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6C8ABD">
      <w:pPr>
        <w:pStyle w:val="3"/>
        <w:bidi w:val="0"/>
        <w:rPr>
          <w:rFonts w:hint="eastAsia"/>
          <w:color w:val="auto"/>
          <w:highlight w:val="none"/>
          <w:lang w:eastAsia="zh-CN"/>
        </w:rPr>
      </w:pPr>
      <w:bookmarkStart w:id="0" w:name="_Hlt67893495"/>
      <w:bookmarkEnd w:id="0"/>
      <w:bookmarkStart w:id="50" w:name="_GoBack"/>
      <w:bookmarkEnd w:id="50"/>
    </w:p>
    <w:p w14:paraId="0FC27F42">
      <w:pPr>
        <w:spacing w:line="360" w:lineRule="auto"/>
        <w:jc w:val="center"/>
        <w:rPr>
          <w:rFonts w:hint="eastAsia" w:ascii="宋体" w:hAnsi="宋体" w:eastAsia="宋体" w:cs="仿宋_GB2312"/>
          <w:b/>
          <w:color w:val="auto"/>
          <w:sz w:val="48"/>
          <w:szCs w:val="48"/>
          <w:highlight w:val="none"/>
          <w:lang w:eastAsia="zh-CN"/>
        </w:rPr>
      </w:pPr>
      <w:r>
        <w:rPr>
          <w:rFonts w:hint="eastAsia" w:ascii="宋体" w:hAnsi="宋体" w:cs="仿宋_GB2312"/>
          <w:b/>
          <w:color w:val="auto"/>
          <w:sz w:val="48"/>
          <w:szCs w:val="48"/>
          <w:highlight w:val="none"/>
          <w:lang w:eastAsia="zh-CN"/>
        </w:rPr>
        <w:t>北海市海城区第二十一小学项目（二期）场地平整工程</w:t>
      </w:r>
    </w:p>
    <w:p w14:paraId="6468E7BB">
      <w:pPr>
        <w:spacing w:line="360" w:lineRule="auto"/>
        <w:jc w:val="center"/>
        <w:rPr>
          <w:rFonts w:hint="eastAsia" w:ascii="宋体" w:hAnsi="宋体" w:cs="仿宋_GB2312"/>
          <w:b/>
          <w:color w:val="auto"/>
          <w:sz w:val="44"/>
          <w:szCs w:val="44"/>
          <w:highlight w:val="none"/>
        </w:rPr>
      </w:pPr>
    </w:p>
    <w:p w14:paraId="27F9AEB0">
      <w:pPr>
        <w:spacing w:line="360" w:lineRule="auto"/>
        <w:jc w:val="center"/>
        <w:rPr>
          <w:rFonts w:ascii="宋体" w:hAnsi="宋体" w:cs="仿宋_GB2312"/>
          <w:b/>
          <w:color w:val="auto"/>
          <w:sz w:val="72"/>
          <w:szCs w:val="72"/>
          <w:highlight w:val="none"/>
        </w:rPr>
      </w:pPr>
      <w:r>
        <w:rPr>
          <w:rFonts w:hint="eastAsia" w:ascii="宋体" w:hAnsi="宋体" w:cs="仿宋_GB2312"/>
          <w:b/>
          <w:bCs/>
          <w:color w:val="auto"/>
          <w:w w:val="95"/>
          <w:sz w:val="72"/>
          <w:szCs w:val="72"/>
          <w:highlight w:val="none"/>
          <w:lang w:val="zh-CN"/>
        </w:rPr>
        <w:t>竞争性磋商</w:t>
      </w:r>
      <w:r>
        <w:rPr>
          <w:rFonts w:hint="eastAsia" w:ascii="宋体" w:hAnsi="宋体" w:cs="仿宋_GB2312"/>
          <w:b/>
          <w:color w:val="auto"/>
          <w:sz w:val="72"/>
          <w:szCs w:val="72"/>
          <w:highlight w:val="none"/>
        </w:rPr>
        <w:t>文件</w:t>
      </w:r>
    </w:p>
    <w:p w14:paraId="4183BB0E">
      <w:pPr>
        <w:spacing w:line="360" w:lineRule="auto"/>
        <w:jc w:val="center"/>
        <w:rPr>
          <w:rFonts w:ascii="宋体" w:hAnsi="宋体" w:cs="仿宋_GB2312"/>
          <w:b/>
          <w:color w:val="auto"/>
          <w:sz w:val="44"/>
          <w:szCs w:val="44"/>
          <w:highlight w:val="none"/>
        </w:rPr>
      </w:pPr>
      <w:r>
        <w:rPr>
          <w:rFonts w:hint="eastAsia" w:ascii="宋体" w:hAnsi="宋体" w:cs="仿宋_GB2312"/>
          <w:b/>
          <w:color w:val="auto"/>
          <w:sz w:val="44"/>
          <w:szCs w:val="44"/>
          <w:highlight w:val="none"/>
        </w:rPr>
        <w:t>（电子交易）</w:t>
      </w:r>
    </w:p>
    <w:p w14:paraId="587B26D6">
      <w:pPr>
        <w:adjustRightInd w:val="0"/>
        <w:snapToGrid w:val="0"/>
        <w:spacing w:line="360" w:lineRule="auto"/>
        <w:jc w:val="center"/>
        <w:rPr>
          <w:rFonts w:ascii="宋体" w:hAnsi="宋体" w:cs="仿宋_GB2312"/>
          <w:color w:val="auto"/>
          <w:sz w:val="30"/>
          <w:szCs w:val="30"/>
          <w:highlight w:val="none"/>
        </w:rPr>
      </w:pPr>
    </w:p>
    <w:p w14:paraId="40AF32B9">
      <w:pPr>
        <w:adjustRightInd w:val="0"/>
        <w:snapToGrid w:val="0"/>
        <w:spacing w:line="360" w:lineRule="auto"/>
        <w:ind w:firstLine="2400" w:firstLineChars="800"/>
        <w:jc w:val="both"/>
        <w:rPr>
          <w:rFonts w:hint="eastAsia" w:ascii="宋体" w:hAnsi="宋体" w:eastAsia="宋体" w:cs="仿宋_GB2312"/>
          <w:color w:val="auto"/>
          <w:sz w:val="30"/>
          <w:szCs w:val="30"/>
          <w:highlight w:val="none"/>
          <w:lang w:eastAsia="zh-CN"/>
        </w:rPr>
      </w:pPr>
      <w:r>
        <w:rPr>
          <w:rFonts w:hint="eastAsia" w:ascii="宋体" w:hAnsi="宋体" w:cs="仿宋_GB2312"/>
          <w:color w:val="auto"/>
          <w:sz w:val="30"/>
          <w:szCs w:val="30"/>
          <w:highlight w:val="none"/>
        </w:rPr>
        <w:t>项目编号:BHZC2026-C2-020024-BBWH</w:t>
      </w:r>
    </w:p>
    <w:p w14:paraId="1314F770">
      <w:pPr>
        <w:adjustRightInd w:val="0"/>
        <w:spacing w:line="360" w:lineRule="auto"/>
        <w:jc w:val="center"/>
        <w:rPr>
          <w:rFonts w:ascii="宋体" w:hAnsi="宋体" w:cs="仿宋_GB2312"/>
          <w:color w:val="auto"/>
          <w:sz w:val="24"/>
          <w:highlight w:val="none"/>
        </w:rPr>
      </w:pPr>
      <w:r>
        <w:rPr>
          <w:rFonts w:hint="eastAsia" w:ascii="宋体" w:hAnsi="宋体" w:eastAsia="宋体" w:cs="宋体"/>
          <w:color w:val="auto"/>
          <w:sz w:val="28"/>
          <w:highlight w:val="none"/>
        </w:rPr>
        <w:drawing>
          <wp:inline distT="0" distB="0" distL="114300" distR="114300">
            <wp:extent cx="2514600" cy="2271395"/>
            <wp:effectExtent l="0" t="0" r="0" b="14605"/>
            <wp:docPr id="1" name="图片 1" descr="宏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宏亚logo"/>
                    <pic:cNvPicPr>
                      <a:picLocks noChangeAspect="1"/>
                    </pic:cNvPicPr>
                  </pic:nvPicPr>
                  <pic:blipFill>
                    <a:blip r:embed="rId15"/>
                    <a:stretch>
                      <a:fillRect/>
                    </a:stretch>
                  </pic:blipFill>
                  <pic:spPr>
                    <a:xfrm>
                      <a:off x="0" y="0"/>
                      <a:ext cx="2514600" cy="2271395"/>
                    </a:xfrm>
                    <a:prstGeom prst="rect">
                      <a:avLst/>
                    </a:prstGeom>
                    <a:noFill/>
                    <a:ln>
                      <a:noFill/>
                    </a:ln>
                  </pic:spPr>
                </pic:pic>
              </a:graphicData>
            </a:graphic>
          </wp:inline>
        </w:drawing>
      </w:r>
    </w:p>
    <w:p w14:paraId="0E17E521">
      <w:pPr>
        <w:adjustRightInd w:val="0"/>
        <w:spacing w:line="360" w:lineRule="auto"/>
        <w:jc w:val="center"/>
        <w:rPr>
          <w:rFonts w:ascii="宋体" w:hAnsi="宋体" w:cs="仿宋_GB2312"/>
          <w:color w:val="auto"/>
          <w:sz w:val="24"/>
          <w:highlight w:val="none"/>
        </w:rPr>
      </w:pPr>
    </w:p>
    <w:p w14:paraId="4024E9BD">
      <w:pPr>
        <w:adjustRightInd w:val="0"/>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21BBD7C7">
      <w:pPr>
        <w:adjustRightInd w:val="0"/>
        <w:spacing w:line="360" w:lineRule="auto"/>
        <w:rPr>
          <w:rFonts w:hint="eastAsia" w:ascii="宋体" w:hAnsi="宋体" w:cs="仿宋_GB2312"/>
          <w:color w:val="auto"/>
          <w:sz w:val="24"/>
          <w:highlight w:val="none"/>
        </w:rPr>
      </w:pPr>
    </w:p>
    <w:p w14:paraId="278728B1">
      <w:pPr>
        <w:adjustRightInd w:val="0"/>
        <w:spacing w:line="360" w:lineRule="auto"/>
        <w:ind w:firstLine="1980" w:firstLineChars="900"/>
        <w:rPr>
          <w:rFonts w:hint="default" w:ascii="宋体" w:hAnsi="宋体" w:eastAsia="宋体" w:cs="仿宋_GB2312"/>
          <w:b w:val="0"/>
          <w:bCs/>
          <w:color w:val="auto"/>
          <w:sz w:val="32"/>
          <w:szCs w:val="32"/>
          <w:highlight w:val="none"/>
          <w:lang w:val="en-US"/>
        </w:rPr>
      </w:pPr>
      <w:r>
        <w:rPr>
          <w:rFonts w:hint="eastAsia" w:ascii="宋体" w:hAnsi="宋体" w:cs="仿宋_GB2312"/>
          <w:color w:val="auto"/>
          <w:sz w:val="22"/>
          <w:szCs w:val="22"/>
          <w:highlight w:val="none"/>
        </w:rPr>
        <w:t xml:space="preserve"> </w:t>
      </w:r>
      <w:r>
        <w:rPr>
          <w:rFonts w:hint="eastAsia" w:ascii="宋体" w:hAnsi="宋体" w:eastAsia="宋体" w:cs="仿宋_GB2312"/>
          <w:b w:val="0"/>
          <w:bCs/>
          <w:color w:val="auto"/>
          <w:sz w:val="32"/>
          <w:szCs w:val="32"/>
          <w:highlight w:val="none"/>
          <w:lang w:val="en-US" w:eastAsia="zh-CN"/>
        </w:rPr>
        <w:t>采购人：</w:t>
      </w:r>
      <w:r>
        <w:rPr>
          <w:rFonts w:hint="eastAsia" w:ascii="宋体" w:hAnsi="宋体" w:cs="仿宋_GB2312"/>
          <w:b w:val="0"/>
          <w:bCs/>
          <w:color w:val="auto"/>
          <w:sz w:val="32"/>
          <w:szCs w:val="32"/>
          <w:highlight w:val="none"/>
          <w:lang w:val="en-US" w:eastAsia="zh-CN"/>
        </w:rPr>
        <w:t>北海市海城区教育局</w:t>
      </w:r>
    </w:p>
    <w:p w14:paraId="1C3D3AA0">
      <w:pPr>
        <w:adjustRightInd w:val="0"/>
        <w:spacing w:line="360" w:lineRule="auto"/>
        <w:jc w:val="center"/>
        <w:rPr>
          <w:rFonts w:hint="eastAsia" w:ascii="宋体" w:hAnsi="宋体" w:eastAsia="宋体" w:cs="仿宋_GB2312"/>
          <w:b w:val="0"/>
          <w:bCs/>
          <w:color w:val="auto"/>
          <w:sz w:val="32"/>
          <w:szCs w:val="32"/>
          <w:highlight w:val="none"/>
        </w:rPr>
      </w:pPr>
      <w:r>
        <w:rPr>
          <w:rFonts w:hint="eastAsia" w:ascii="宋体" w:hAnsi="宋体" w:eastAsia="宋体" w:cs="仿宋_GB2312"/>
          <w:b w:val="0"/>
          <w:bCs/>
          <w:color w:val="auto"/>
          <w:sz w:val="32"/>
          <w:szCs w:val="32"/>
          <w:highlight w:val="none"/>
          <w:lang w:val="en-US" w:eastAsia="zh-CN"/>
        </w:rPr>
        <w:t>采购代理机构：</w:t>
      </w:r>
      <w:r>
        <w:rPr>
          <w:rFonts w:hint="eastAsia" w:ascii="宋体" w:hAnsi="宋体" w:eastAsia="宋体" w:cs="仿宋_GB2312"/>
          <w:b w:val="0"/>
          <w:bCs/>
          <w:color w:val="auto"/>
          <w:sz w:val="32"/>
          <w:szCs w:val="32"/>
          <w:highlight w:val="none"/>
        </w:rPr>
        <w:t>广西北部湾宏亚建设管理有限公司</w:t>
      </w:r>
    </w:p>
    <w:p w14:paraId="75BE8171">
      <w:pPr>
        <w:adjustRightInd w:val="0"/>
        <w:snapToGrid w:val="0"/>
        <w:spacing w:line="360" w:lineRule="auto"/>
        <w:jc w:val="center"/>
        <w:rPr>
          <w:rFonts w:hint="eastAsia" w:ascii="宋体" w:hAnsi="宋体" w:cs="仿宋_GB2312"/>
          <w:bCs/>
          <w:color w:val="auto"/>
          <w:sz w:val="32"/>
          <w:szCs w:val="32"/>
          <w:highlight w:val="none"/>
        </w:rPr>
      </w:pPr>
    </w:p>
    <w:p w14:paraId="256759B6">
      <w:pPr>
        <w:adjustRightInd w:val="0"/>
        <w:snapToGrid w:val="0"/>
        <w:spacing w:line="360" w:lineRule="auto"/>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rPr>
        <w:t>二</w:t>
      </w:r>
      <w:r>
        <w:rPr>
          <w:rFonts w:hint="eastAsia" w:ascii="宋体" w:hAnsi="宋体" w:cs="宋体"/>
          <w:bCs/>
          <w:color w:val="auto"/>
          <w:sz w:val="32"/>
          <w:szCs w:val="32"/>
          <w:highlight w:val="none"/>
        </w:rPr>
        <w:t>〇</w:t>
      </w:r>
      <w:r>
        <w:rPr>
          <w:rFonts w:hint="eastAsia" w:ascii="宋体" w:hAnsi="宋体" w:cs="仿宋_GB2312"/>
          <w:bCs/>
          <w:color w:val="auto"/>
          <w:sz w:val="32"/>
          <w:szCs w:val="32"/>
          <w:highlight w:val="none"/>
        </w:rPr>
        <w:t>二</w:t>
      </w:r>
      <w:r>
        <w:rPr>
          <w:rFonts w:hint="eastAsia" w:ascii="宋体" w:hAnsi="宋体" w:cs="仿宋_GB2312"/>
          <w:bCs/>
          <w:color w:val="auto"/>
          <w:sz w:val="32"/>
          <w:szCs w:val="32"/>
          <w:highlight w:val="none"/>
          <w:lang w:val="en-US" w:eastAsia="zh-CN"/>
        </w:rPr>
        <w:t>六</w:t>
      </w:r>
      <w:r>
        <w:rPr>
          <w:rFonts w:hint="eastAsia" w:ascii="宋体" w:hAnsi="宋体" w:cs="仿宋_GB2312"/>
          <w:bCs/>
          <w:color w:val="auto"/>
          <w:sz w:val="32"/>
          <w:szCs w:val="32"/>
          <w:highlight w:val="none"/>
        </w:rPr>
        <w:t>年</w:t>
      </w:r>
      <w:r>
        <w:rPr>
          <w:rFonts w:hint="eastAsia" w:ascii="宋体" w:hAnsi="宋体" w:cs="仿宋_GB2312"/>
          <w:bCs/>
          <w:color w:val="auto"/>
          <w:sz w:val="32"/>
          <w:szCs w:val="32"/>
          <w:highlight w:val="none"/>
          <w:lang w:val="en-US" w:eastAsia="zh-CN"/>
        </w:rPr>
        <w:t>九</w:t>
      </w:r>
      <w:r>
        <w:rPr>
          <w:rFonts w:hint="eastAsia" w:ascii="宋体" w:hAnsi="宋体" w:cs="仿宋_GB2312"/>
          <w:bCs/>
          <w:color w:val="auto"/>
          <w:sz w:val="32"/>
          <w:szCs w:val="32"/>
          <w:highlight w:val="none"/>
        </w:rPr>
        <w:t>月</w:t>
      </w:r>
      <w:r>
        <w:rPr>
          <w:rFonts w:hint="eastAsia" w:ascii="宋体" w:hAnsi="宋体" w:cs="仿宋_GB2312"/>
          <w:bCs/>
          <w:color w:val="auto"/>
          <w:sz w:val="32"/>
          <w:szCs w:val="32"/>
          <w:highlight w:val="none"/>
          <w:lang w:val="en-US" w:eastAsia="zh-CN"/>
        </w:rPr>
        <w:t>四</w:t>
      </w:r>
      <w:r>
        <w:rPr>
          <w:rFonts w:hint="eastAsia" w:ascii="宋体" w:hAnsi="宋体" w:cs="仿宋_GB2312"/>
          <w:bCs/>
          <w:color w:val="auto"/>
          <w:sz w:val="32"/>
          <w:szCs w:val="32"/>
          <w:highlight w:val="none"/>
        </w:rPr>
        <w:t>日</w:t>
      </w:r>
    </w:p>
    <w:p w14:paraId="37229514">
      <w:pPr>
        <w:pStyle w:val="24"/>
        <w:adjustRightInd w:val="0"/>
        <w:snapToGrid w:val="0"/>
        <w:spacing w:line="360" w:lineRule="auto"/>
        <w:rPr>
          <w:color w:val="auto"/>
          <w:sz w:val="32"/>
          <w:szCs w:val="32"/>
          <w:highlight w:val="none"/>
        </w:rPr>
      </w:pPr>
    </w:p>
    <w:p w14:paraId="06EE5E83">
      <w:pPr>
        <w:spacing w:line="800" w:lineRule="exact"/>
        <w:jc w:val="center"/>
        <w:rPr>
          <w:rFonts w:ascii="黑体" w:hAnsi="Courier New" w:eastAsia="黑体" w:cs="Courier New"/>
          <w:color w:val="auto"/>
          <w:sz w:val="48"/>
          <w:szCs w:val="48"/>
          <w:highlight w:val="none"/>
        </w:rPr>
      </w:pPr>
      <w:r>
        <w:rPr>
          <w:rFonts w:hint="eastAsia" w:ascii="黑体" w:hAnsi="Courier New" w:eastAsia="黑体" w:cs="Courier New"/>
          <w:color w:val="auto"/>
          <w:sz w:val="48"/>
          <w:szCs w:val="48"/>
          <w:highlight w:val="none"/>
        </w:rPr>
        <w:t>目   录</w:t>
      </w:r>
    </w:p>
    <w:p w14:paraId="688A870E">
      <w:pPr>
        <w:spacing w:line="560" w:lineRule="exact"/>
        <w:ind w:left="1" w:firstLine="2"/>
        <w:rPr>
          <w:rFonts w:ascii="宋体" w:hAnsi="宋体" w:cs="Courier New"/>
          <w:b/>
          <w:color w:val="auto"/>
          <w:spacing w:val="4"/>
          <w:sz w:val="32"/>
          <w:highlight w:val="none"/>
        </w:rPr>
      </w:pPr>
    </w:p>
    <w:p w14:paraId="082EBF86">
      <w:pPr>
        <w:spacing w:line="400" w:lineRule="exact"/>
        <w:rPr>
          <w:rFonts w:ascii="仿宋_GB2312" w:hAnsi="宋体" w:eastAsia="仿宋_GB2312"/>
          <w:b/>
          <w:color w:val="auto"/>
          <w:sz w:val="32"/>
          <w:szCs w:val="32"/>
          <w:highlight w:val="none"/>
        </w:rPr>
      </w:pPr>
    </w:p>
    <w:p w14:paraId="1853B1DD">
      <w:pPr>
        <w:pStyle w:val="30"/>
        <w:tabs>
          <w:tab w:val="right" w:leader="dot" w:pos="9288"/>
        </w:tabs>
        <w:spacing w:line="360" w:lineRule="auto"/>
        <w:rPr>
          <w:rFonts w:ascii="宋体" w:hAnsi="宋体"/>
          <w:color w:val="auto"/>
          <w:sz w:val="32"/>
          <w:szCs w:val="32"/>
          <w:highlight w:val="none"/>
        </w:rPr>
      </w:pPr>
      <w:r>
        <w:rPr>
          <w:rFonts w:ascii="宋体" w:hAnsi="宋体" w:cs="Courier New"/>
          <w:bCs/>
          <w:color w:val="auto"/>
          <w:spacing w:val="4"/>
          <w:sz w:val="32"/>
          <w:szCs w:val="32"/>
          <w:highlight w:val="none"/>
        </w:rPr>
        <w:fldChar w:fldCharType="begin"/>
      </w:r>
      <w:r>
        <w:rPr>
          <w:rFonts w:ascii="宋体" w:hAnsi="宋体" w:cs="Courier New"/>
          <w:bCs/>
          <w:color w:val="auto"/>
          <w:spacing w:val="4"/>
          <w:sz w:val="32"/>
          <w:szCs w:val="32"/>
          <w:highlight w:val="none"/>
        </w:rPr>
        <w:instrText xml:space="preserve"> </w:instrText>
      </w:r>
      <w:r>
        <w:rPr>
          <w:rFonts w:hint="eastAsia" w:ascii="宋体" w:hAnsi="宋体" w:cs="Courier New"/>
          <w:bCs/>
          <w:color w:val="auto"/>
          <w:spacing w:val="4"/>
          <w:sz w:val="32"/>
          <w:szCs w:val="32"/>
          <w:highlight w:val="none"/>
        </w:rPr>
        <w:instrText xml:space="preserve">TOC \o "1-2" \h \z \u</w:instrText>
      </w:r>
      <w:r>
        <w:rPr>
          <w:rFonts w:ascii="宋体" w:hAnsi="宋体" w:cs="Courier New"/>
          <w:bCs/>
          <w:color w:val="auto"/>
          <w:spacing w:val="4"/>
          <w:sz w:val="32"/>
          <w:szCs w:val="32"/>
          <w:highlight w:val="none"/>
        </w:rPr>
        <w:instrText xml:space="preserve"> </w:instrText>
      </w:r>
      <w:r>
        <w:rPr>
          <w:rFonts w:ascii="宋体" w:hAnsi="宋体" w:cs="Courier New"/>
          <w:bCs/>
          <w:color w:val="auto"/>
          <w:spacing w:val="4"/>
          <w:sz w:val="32"/>
          <w:szCs w:val="32"/>
          <w:highlight w:val="none"/>
        </w:rPr>
        <w:fldChar w:fldCharType="separate"/>
      </w:r>
      <w:r>
        <w:rPr>
          <w:color w:val="auto"/>
          <w:highlight w:val="none"/>
        </w:rPr>
        <w:fldChar w:fldCharType="begin"/>
      </w:r>
      <w:r>
        <w:rPr>
          <w:color w:val="auto"/>
          <w:highlight w:val="none"/>
        </w:rPr>
        <w:instrText xml:space="preserve"> HYPERLINK \l "_Toc176861406" </w:instrText>
      </w:r>
      <w:r>
        <w:rPr>
          <w:color w:val="auto"/>
          <w:highlight w:val="none"/>
        </w:rPr>
        <w:fldChar w:fldCharType="separate"/>
      </w:r>
      <w:r>
        <w:rPr>
          <w:rStyle w:val="43"/>
          <w:rFonts w:hint="eastAsia" w:ascii="宋体" w:hAnsi="宋体"/>
          <w:color w:val="auto"/>
          <w:sz w:val="32"/>
          <w:szCs w:val="32"/>
          <w:highlight w:val="none"/>
        </w:rPr>
        <w:t>第一章</w:t>
      </w:r>
      <w:r>
        <w:rPr>
          <w:rStyle w:val="43"/>
          <w:rFonts w:ascii="宋体" w:hAnsi="宋体"/>
          <w:color w:val="auto"/>
          <w:sz w:val="32"/>
          <w:szCs w:val="32"/>
          <w:highlight w:val="none"/>
        </w:rPr>
        <w:t xml:space="preserve">  </w:t>
      </w:r>
      <w:r>
        <w:rPr>
          <w:rStyle w:val="43"/>
          <w:rFonts w:hint="eastAsia" w:ascii="宋体" w:hAnsi="宋体"/>
          <w:color w:val="auto"/>
          <w:sz w:val="32"/>
          <w:szCs w:val="32"/>
          <w:highlight w:val="none"/>
        </w:rPr>
        <w:t>竞争性磋商公告</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_Toc176861406 \h </w:instrText>
      </w:r>
      <w:r>
        <w:rPr>
          <w:rFonts w:ascii="宋体" w:hAnsi="宋体"/>
          <w:color w:val="auto"/>
          <w:sz w:val="32"/>
          <w:szCs w:val="32"/>
          <w:highlight w:val="none"/>
        </w:rPr>
        <w:fldChar w:fldCharType="separate"/>
      </w:r>
      <w:r>
        <w:rPr>
          <w:rFonts w:ascii="宋体" w:hAnsi="宋体"/>
          <w:color w:val="auto"/>
          <w:sz w:val="32"/>
          <w:szCs w:val="32"/>
          <w:highlight w:val="none"/>
        </w:rPr>
        <w:t>1</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555233E">
      <w:pPr>
        <w:pStyle w:val="30"/>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"_Toc176861407" </w:instrText>
      </w:r>
      <w:r>
        <w:rPr>
          <w:color w:val="auto"/>
          <w:highlight w:val="none"/>
        </w:rPr>
        <w:fldChar w:fldCharType="separate"/>
      </w:r>
      <w:r>
        <w:rPr>
          <w:rStyle w:val="43"/>
          <w:rFonts w:hint="eastAsia" w:ascii="宋体" w:hAnsi="宋体"/>
          <w:color w:val="auto"/>
          <w:sz w:val="32"/>
          <w:szCs w:val="32"/>
          <w:highlight w:val="none"/>
        </w:rPr>
        <w:t>第二章</w:t>
      </w:r>
      <w:r>
        <w:rPr>
          <w:rStyle w:val="43"/>
          <w:rFonts w:ascii="宋体" w:hAnsi="宋体"/>
          <w:color w:val="auto"/>
          <w:sz w:val="32"/>
          <w:szCs w:val="32"/>
          <w:highlight w:val="none"/>
        </w:rPr>
        <w:t xml:space="preserve">  </w:t>
      </w:r>
      <w:r>
        <w:rPr>
          <w:rStyle w:val="43"/>
          <w:rFonts w:hint="eastAsia" w:ascii="宋体" w:hAnsi="宋体"/>
          <w:color w:val="auto"/>
          <w:sz w:val="32"/>
          <w:szCs w:val="32"/>
          <w:highlight w:val="none"/>
        </w:rPr>
        <w:t>磋商供应商须知</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_Toc176861407 \h </w:instrText>
      </w:r>
      <w:r>
        <w:rPr>
          <w:rFonts w:ascii="宋体" w:hAnsi="宋体"/>
          <w:color w:val="auto"/>
          <w:sz w:val="32"/>
          <w:szCs w:val="32"/>
          <w:highlight w:val="none"/>
        </w:rPr>
        <w:fldChar w:fldCharType="separate"/>
      </w:r>
      <w:r>
        <w:rPr>
          <w:rFonts w:ascii="宋体" w:hAnsi="宋体"/>
          <w:color w:val="auto"/>
          <w:sz w:val="32"/>
          <w:szCs w:val="32"/>
          <w:highlight w:val="none"/>
        </w:rPr>
        <w:t>6</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B277CC6">
      <w:pPr>
        <w:pStyle w:val="30"/>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"_Toc176861408" </w:instrText>
      </w:r>
      <w:r>
        <w:rPr>
          <w:color w:val="auto"/>
          <w:highlight w:val="none"/>
        </w:rPr>
        <w:fldChar w:fldCharType="separate"/>
      </w:r>
      <w:r>
        <w:rPr>
          <w:rStyle w:val="43"/>
          <w:rFonts w:hint="eastAsia" w:ascii="宋体" w:hAnsi="宋体"/>
          <w:color w:val="auto"/>
          <w:sz w:val="32"/>
          <w:szCs w:val="32"/>
          <w:highlight w:val="none"/>
        </w:rPr>
        <w:t>第三章</w:t>
      </w:r>
      <w:r>
        <w:rPr>
          <w:rStyle w:val="43"/>
          <w:rFonts w:ascii="宋体" w:hAnsi="宋体"/>
          <w:color w:val="auto"/>
          <w:sz w:val="32"/>
          <w:szCs w:val="32"/>
          <w:highlight w:val="none"/>
        </w:rPr>
        <w:t xml:space="preserve">  </w:t>
      </w:r>
      <w:r>
        <w:rPr>
          <w:rStyle w:val="43"/>
          <w:rFonts w:hint="eastAsia" w:ascii="宋体" w:hAnsi="宋体"/>
          <w:color w:val="auto"/>
          <w:sz w:val="32"/>
          <w:szCs w:val="32"/>
          <w:highlight w:val="none"/>
        </w:rPr>
        <w:t>竞争性磋商响应文件格式</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_Toc176861408 \h </w:instrText>
      </w:r>
      <w:r>
        <w:rPr>
          <w:rFonts w:ascii="宋体" w:hAnsi="宋体"/>
          <w:color w:val="auto"/>
          <w:sz w:val="32"/>
          <w:szCs w:val="32"/>
          <w:highlight w:val="none"/>
        </w:rPr>
        <w:fldChar w:fldCharType="separate"/>
      </w:r>
      <w:r>
        <w:rPr>
          <w:rFonts w:ascii="宋体" w:hAnsi="宋体"/>
          <w:color w:val="auto"/>
          <w:sz w:val="32"/>
          <w:szCs w:val="32"/>
          <w:highlight w:val="none"/>
        </w:rPr>
        <w:t>33</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67E7626D">
      <w:pPr>
        <w:pStyle w:val="30"/>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"_Toc176861409" </w:instrText>
      </w:r>
      <w:r>
        <w:rPr>
          <w:color w:val="auto"/>
          <w:highlight w:val="none"/>
        </w:rPr>
        <w:fldChar w:fldCharType="separate"/>
      </w:r>
      <w:r>
        <w:rPr>
          <w:rStyle w:val="43"/>
          <w:rFonts w:hint="eastAsia" w:ascii="宋体" w:hAnsi="宋体"/>
          <w:color w:val="auto"/>
          <w:sz w:val="32"/>
          <w:szCs w:val="32"/>
          <w:highlight w:val="none"/>
        </w:rPr>
        <w:t>第四章</w:t>
      </w:r>
      <w:r>
        <w:rPr>
          <w:rStyle w:val="43"/>
          <w:rFonts w:ascii="宋体" w:hAnsi="宋体"/>
          <w:color w:val="auto"/>
          <w:sz w:val="32"/>
          <w:szCs w:val="32"/>
          <w:highlight w:val="none"/>
        </w:rPr>
        <w:t xml:space="preserve">  </w:t>
      </w:r>
      <w:r>
        <w:rPr>
          <w:rStyle w:val="43"/>
          <w:rFonts w:hint="eastAsia" w:ascii="宋体" w:hAnsi="宋体"/>
          <w:color w:val="auto"/>
          <w:sz w:val="32"/>
          <w:szCs w:val="32"/>
          <w:highlight w:val="none"/>
        </w:rPr>
        <w:t>采购项目需求</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_Toc176861409 \h </w:instrText>
      </w:r>
      <w:r>
        <w:rPr>
          <w:rFonts w:ascii="宋体" w:hAnsi="宋体"/>
          <w:color w:val="auto"/>
          <w:sz w:val="32"/>
          <w:szCs w:val="32"/>
          <w:highlight w:val="none"/>
        </w:rPr>
        <w:fldChar w:fldCharType="separate"/>
      </w:r>
      <w:r>
        <w:rPr>
          <w:rFonts w:ascii="宋体" w:hAnsi="宋体"/>
          <w:color w:val="auto"/>
          <w:sz w:val="32"/>
          <w:szCs w:val="32"/>
          <w:highlight w:val="none"/>
        </w:rPr>
        <w:t>62</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B444694">
      <w:pPr>
        <w:pStyle w:val="30"/>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"_Toc176861410" </w:instrText>
      </w:r>
      <w:r>
        <w:rPr>
          <w:color w:val="auto"/>
          <w:highlight w:val="none"/>
        </w:rPr>
        <w:fldChar w:fldCharType="separate"/>
      </w:r>
      <w:r>
        <w:rPr>
          <w:rStyle w:val="43"/>
          <w:rFonts w:hint="eastAsia" w:ascii="宋体" w:hAnsi="宋体"/>
          <w:color w:val="auto"/>
          <w:sz w:val="32"/>
          <w:szCs w:val="32"/>
          <w:highlight w:val="none"/>
        </w:rPr>
        <w:t>第五章</w:t>
      </w:r>
      <w:r>
        <w:rPr>
          <w:rStyle w:val="43"/>
          <w:rFonts w:ascii="宋体" w:hAnsi="宋体"/>
          <w:color w:val="auto"/>
          <w:sz w:val="32"/>
          <w:szCs w:val="32"/>
          <w:highlight w:val="none"/>
        </w:rPr>
        <w:t xml:space="preserve">  </w:t>
      </w:r>
      <w:r>
        <w:rPr>
          <w:rStyle w:val="43"/>
          <w:rFonts w:hint="eastAsia" w:ascii="宋体" w:hAnsi="宋体"/>
          <w:color w:val="auto"/>
          <w:sz w:val="32"/>
          <w:szCs w:val="32"/>
          <w:highlight w:val="none"/>
        </w:rPr>
        <w:t>工程量清单及图纸</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_Toc176861410 \h </w:instrText>
      </w:r>
      <w:r>
        <w:rPr>
          <w:rFonts w:ascii="宋体" w:hAnsi="宋体"/>
          <w:color w:val="auto"/>
          <w:sz w:val="32"/>
          <w:szCs w:val="32"/>
          <w:highlight w:val="none"/>
        </w:rPr>
        <w:fldChar w:fldCharType="separate"/>
      </w:r>
      <w:r>
        <w:rPr>
          <w:rFonts w:ascii="宋体" w:hAnsi="宋体"/>
          <w:color w:val="auto"/>
          <w:sz w:val="32"/>
          <w:szCs w:val="32"/>
          <w:highlight w:val="none"/>
        </w:rPr>
        <w:t>65</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F49CEDC">
      <w:pPr>
        <w:pStyle w:val="30"/>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"_Toc176861411" </w:instrText>
      </w:r>
      <w:r>
        <w:rPr>
          <w:color w:val="auto"/>
          <w:highlight w:val="none"/>
        </w:rPr>
        <w:fldChar w:fldCharType="separate"/>
      </w:r>
      <w:r>
        <w:rPr>
          <w:rStyle w:val="43"/>
          <w:rFonts w:hint="eastAsia" w:ascii="宋体" w:hAnsi="宋体"/>
          <w:color w:val="auto"/>
          <w:kern w:val="0"/>
          <w:sz w:val="32"/>
          <w:szCs w:val="32"/>
          <w:highlight w:val="none"/>
        </w:rPr>
        <w:t>第六章</w:t>
      </w:r>
      <w:r>
        <w:rPr>
          <w:rStyle w:val="43"/>
          <w:rFonts w:ascii="宋体" w:hAnsi="宋体"/>
          <w:color w:val="auto"/>
          <w:kern w:val="0"/>
          <w:sz w:val="32"/>
          <w:szCs w:val="32"/>
          <w:highlight w:val="none"/>
        </w:rPr>
        <w:t xml:space="preserve">  </w:t>
      </w:r>
      <w:r>
        <w:rPr>
          <w:rStyle w:val="43"/>
          <w:rFonts w:hint="eastAsia" w:ascii="宋体" w:hAnsi="宋体"/>
          <w:color w:val="auto"/>
          <w:kern w:val="0"/>
          <w:sz w:val="32"/>
          <w:szCs w:val="32"/>
          <w:highlight w:val="none"/>
        </w:rPr>
        <w:t>合同格式</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_Toc176861411 \h </w:instrText>
      </w:r>
      <w:r>
        <w:rPr>
          <w:rFonts w:ascii="宋体" w:hAnsi="宋体"/>
          <w:color w:val="auto"/>
          <w:sz w:val="32"/>
          <w:szCs w:val="32"/>
          <w:highlight w:val="none"/>
        </w:rPr>
        <w:fldChar w:fldCharType="separate"/>
      </w:r>
      <w:r>
        <w:rPr>
          <w:rFonts w:ascii="宋体" w:hAnsi="宋体"/>
          <w:color w:val="auto"/>
          <w:sz w:val="32"/>
          <w:szCs w:val="32"/>
          <w:highlight w:val="none"/>
        </w:rPr>
        <w:t>66</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5DEADCC4">
      <w:pPr>
        <w:pStyle w:val="30"/>
        <w:tabs>
          <w:tab w:val="right" w:leader="dot" w:pos="9288"/>
        </w:tabs>
        <w:spacing w:line="360" w:lineRule="auto"/>
        <w:rPr>
          <w:rFonts w:ascii="宋体" w:hAnsi="宋体"/>
          <w:color w:val="auto"/>
          <w:sz w:val="32"/>
          <w:szCs w:val="32"/>
          <w:highlight w:val="none"/>
        </w:rPr>
      </w:pPr>
      <w:r>
        <w:rPr>
          <w:color w:val="auto"/>
          <w:highlight w:val="none"/>
        </w:rPr>
        <w:fldChar w:fldCharType="begin"/>
      </w:r>
      <w:r>
        <w:rPr>
          <w:color w:val="auto"/>
          <w:highlight w:val="none"/>
        </w:rPr>
        <w:instrText xml:space="preserve"> HYPERLINK \l "_Toc176861412" </w:instrText>
      </w:r>
      <w:r>
        <w:rPr>
          <w:color w:val="auto"/>
          <w:highlight w:val="none"/>
        </w:rPr>
        <w:fldChar w:fldCharType="separate"/>
      </w:r>
      <w:r>
        <w:rPr>
          <w:rStyle w:val="43"/>
          <w:rFonts w:hint="eastAsia" w:ascii="宋体" w:hAnsi="宋体"/>
          <w:color w:val="auto"/>
          <w:kern w:val="0"/>
          <w:sz w:val="32"/>
          <w:szCs w:val="32"/>
          <w:highlight w:val="none"/>
        </w:rPr>
        <w:t>第七章</w:t>
      </w:r>
      <w:r>
        <w:rPr>
          <w:rStyle w:val="43"/>
          <w:rFonts w:ascii="宋体" w:hAnsi="宋体"/>
          <w:color w:val="auto"/>
          <w:kern w:val="0"/>
          <w:sz w:val="32"/>
          <w:szCs w:val="32"/>
          <w:highlight w:val="none"/>
        </w:rPr>
        <w:t xml:space="preserve">  </w:t>
      </w:r>
      <w:r>
        <w:rPr>
          <w:rStyle w:val="43"/>
          <w:rFonts w:hint="eastAsia" w:ascii="宋体" w:hAnsi="宋体"/>
          <w:color w:val="auto"/>
          <w:kern w:val="0"/>
          <w:sz w:val="32"/>
          <w:szCs w:val="32"/>
          <w:highlight w:val="none"/>
        </w:rPr>
        <w:t>评定标准</w:t>
      </w:r>
      <w:r>
        <w:rPr>
          <w:rFonts w:ascii="宋体" w:hAnsi="宋体"/>
          <w:color w:val="auto"/>
          <w:sz w:val="32"/>
          <w:szCs w:val="32"/>
          <w:highlight w:val="none"/>
        </w:rPr>
        <w:tab/>
      </w:r>
      <w:r>
        <w:rPr>
          <w:rFonts w:ascii="宋体" w:hAnsi="宋体"/>
          <w:color w:val="auto"/>
          <w:sz w:val="32"/>
          <w:szCs w:val="32"/>
          <w:highlight w:val="none"/>
        </w:rPr>
        <w:fldChar w:fldCharType="begin"/>
      </w:r>
      <w:r>
        <w:rPr>
          <w:rFonts w:ascii="宋体" w:hAnsi="宋体"/>
          <w:color w:val="auto"/>
          <w:sz w:val="32"/>
          <w:szCs w:val="32"/>
          <w:highlight w:val="none"/>
        </w:rPr>
        <w:instrText xml:space="preserve"> PAGEREF _Toc176861412 \h </w:instrText>
      </w:r>
      <w:r>
        <w:rPr>
          <w:rFonts w:ascii="宋体" w:hAnsi="宋体"/>
          <w:color w:val="auto"/>
          <w:sz w:val="32"/>
          <w:szCs w:val="32"/>
          <w:highlight w:val="none"/>
        </w:rPr>
        <w:fldChar w:fldCharType="separate"/>
      </w:r>
      <w:r>
        <w:rPr>
          <w:rFonts w:ascii="宋体" w:hAnsi="宋体"/>
          <w:color w:val="auto"/>
          <w:sz w:val="32"/>
          <w:szCs w:val="32"/>
          <w:highlight w:val="none"/>
        </w:rPr>
        <w:t>134</w:t>
      </w:r>
      <w:r>
        <w:rPr>
          <w:rFonts w:ascii="宋体" w:hAnsi="宋体"/>
          <w:color w:val="auto"/>
          <w:sz w:val="32"/>
          <w:szCs w:val="32"/>
          <w:highlight w:val="none"/>
        </w:rPr>
        <w:fldChar w:fldCharType="end"/>
      </w:r>
      <w:r>
        <w:rPr>
          <w:rFonts w:ascii="宋体" w:hAnsi="宋体"/>
          <w:color w:val="auto"/>
          <w:sz w:val="32"/>
          <w:szCs w:val="32"/>
          <w:highlight w:val="none"/>
        </w:rPr>
        <w:fldChar w:fldCharType="end"/>
      </w:r>
    </w:p>
    <w:p w14:paraId="4B18DA69">
      <w:pPr>
        <w:spacing w:line="360" w:lineRule="auto"/>
        <w:jc w:val="center"/>
        <w:rPr>
          <w:rFonts w:ascii="仿宋_GB2312" w:hAnsi="宋体" w:eastAsia="仿宋_GB2312"/>
          <w:b/>
          <w:color w:val="auto"/>
          <w:sz w:val="32"/>
          <w:szCs w:val="32"/>
          <w:highlight w:val="none"/>
        </w:rPr>
      </w:pPr>
      <w:r>
        <w:rPr>
          <w:rFonts w:ascii="宋体" w:hAnsi="宋体" w:cs="Courier New"/>
          <w:bCs/>
          <w:color w:val="auto"/>
          <w:spacing w:val="4"/>
          <w:sz w:val="32"/>
          <w:szCs w:val="32"/>
          <w:highlight w:val="none"/>
        </w:rPr>
        <w:fldChar w:fldCharType="end"/>
      </w:r>
    </w:p>
    <w:p w14:paraId="18B81D1B">
      <w:pPr>
        <w:spacing w:line="400" w:lineRule="exact"/>
        <w:jc w:val="center"/>
        <w:rPr>
          <w:rFonts w:ascii="仿宋_GB2312" w:hAnsi="宋体" w:eastAsia="仿宋_GB2312"/>
          <w:b/>
          <w:color w:val="auto"/>
          <w:sz w:val="32"/>
          <w:szCs w:val="32"/>
          <w:highlight w:val="none"/>
        </w:rPr>
      </w:pPr>
    </w:p>
    <w:p w14:paraId="6065A761">
      <w:pPr>
        <w:spacing w:line="400" w:lineRule="exact"/>
        <w:jc w:val="center"/>
        <w:rPr>
          <w:rFonts w:ascii="仿宋_GB2312" w:hAnsi="宋体" w:eastAsia="仿宋_GB2312"/>
          <w:b/>
          <w:color w:val="auto"/>
          <w:sz w:val="32"/>
          <w:szCs w:val="32"/>
          <w:highlight w:val="none"/>
        </w:rPr>
      </w:pPr>
    </w:p>
    <w:p w14:paraId="1B223BEA">
      <w:pPr>
        <w:spacing w:line="400" w:lineRule="exact"/>
        <w:jc w:val="center"/>
        <w:rPr>
          <w:rFonts w:ascii="仿宋_GB2312" w:hAnsi="宋体" w:eastAsia="仿宋_GB2312"/>
          <w:b/>
          <w:color w:val="auto"/>
          <w:sz w:val="32"/>
          <w:szCs w:val="32"/>
          <w:highlight w:val="none"/>
        </w:rPr>
      </w:pPr>
    </w:p>
    <w:p w14:paraId="2D28DD2A">
      <w:pPr>
        <w:spacing w:line="400" w:lineRule="exact"/>
        <w:jc w:val="center"/>
        <w:rPr>
          <w:rFonts w:ascii="仿宋_GB2312" w:hAnsi="宋体" w:eastAsia="仿宋_GB2312"/>
          <w:b/>
          <w:color w:val="auto"/>
          <w:sz w:val="32"/>
          <w:szCs w:val="32"/>
          <w:highlight w:val="none"/>
        </w:rPr>
      </w:pPr>
    </w:p>
    <w:p w14:paraId="0A51C1F5">
      <w:pPr>
        <w:spacing w:line="400" w:lineRule="exact"/>
        <w:jc w:val="center"/>
        <w:rPr>
          <w:rFonts w:ascii="仿宋_GB2312" w:hAnsi="宋体" w:eastAsia="仿宋_GB2312"/>
          <w:b/>
          <w:color w:val="auto"/>
          <w:sz w:val="32"/>
          <w:szCs w:val="32"/>
          <w:highlight w:val="none"/>
        </w:rPr>
      </w:pPr>
    </w:p>
    <w:p w14:paraId="2F0CD17F">
      <w:pPr>
        <w:spacing w:line="400" w:lineRule="exact"/>
        <w:jc w:val="center"/>
        <w:rPr>
          <w:rFonts w:ascii="仿宋_GB2312" w:hAnsi="宋体" w:eastAsia="仿宋_GB2312"/>
          <w:b/>
          <w:color w:val="auto"/>
          <w:sz w:val="32"/>
          <w:szCs w:val="32"/>
          <w:highlight w:val="none"/>
        </w:rPr>
      </w:pPr>
    </w:p>
    <w:p w14:paraId="385753EE">
      <w:pPr>
        <w:spacing w:line="400" w:lineRule="exact"/>
        <w:jc w:val="center"/>
        <w:rPr>
          <w:rFonts w:ascii="仿宋_GB2312" w:hAnsi="宋体" w:eastAsia="仿宋_GB2312"/>
          <w:b/>
          <w:color w:val="auto"/>
          <w:sz w:val="32"/>
          <w:szCs w:val="32"/>
          <w:highlight w:val="none"/>
        </w:rPr>
      </w:pPr>
    </w:p>
    <w:p w14:paraId="0A85E8BE">
      <w:pPr>
        <w:spacing w:line="400" w:lineRule="exact"/>
        <w:jc w:val="center"/>
        <w:rPr>
          <w:rFonts w:ascii="仿宋_GB2312" w:hAnsi="宋体" w:eastAsia="仿宋_GB2312"/>
          <w:b/>
          <w:color w:val="auto"/>
          <w:sz w:val="32"/>
          <w:szCs w:val="32"/>
          <w:highlight w:val="none"/>
        </w:rPr>
      </w:pPr>
    </w:p>
    <w:p w14:paraId="67ADC08F">
      <w:pPr>
        <w:spacing w:line="400" w:lineRule="exact"/>
        <w:jc w:val="center"/>
        <w:rPr>
          <w:rFonts w:ascii="仿宋_GB2312" w:hAnsi="宋体" w:eastAsia="仿宋_GB2312"/>
          <w:b/>
          <w:color w:val="auto"/>
          <w:sz w:val="32"/>
          <w:szCs w:val="32"/>
          <w:highlight w:val="none"/>
        </w:rPr>
      </w:pPr>
    </w:p>
    <w:p w14:paraId="377844E2">
      <w:pPr>
        <w:spacing w:line="400" w:lineRule="exact"/>
        <w:rPr>
          <w:rFonts w:ascii="仿宋_GB2312" w:hAnsi="宋体" w:eastAsia="仿宋_GB2312"/>
          <w:b/>
          <w:color w:val="auto"/>
          <w:sz w:val="32"/>
          <w:szCs w:val="32"/>
          <w:highlight w:val="none"/>
        </w:rPr>
      </w:pPr>
    </w:p>
    <w:p w14:paraId="58AAE8B7">
      <w:pPr>
        <w:spacing w:line="400" w:lineRule="exact"/>
        <w:rPr>
          <w:rFonts w:ascii="仿宋_GB2312" w:hAnsi="宋体" w:eastAsia="仿宋_GB2312"/>
          <w:b/>
          <w:color w:val="auto"/>
          <w:sz w:val="32"/>
          <w:szCs w:val="32"/>
          <w:highlight w:val="none"/>
        </w:rPr>
        <w:sectPr>
          <w:headerReference r:id="rId4" w:type="first"/>
          <w:headerReference r:id="rId3" w:type="default"/>
          <w:pgSz w:w="11906" w:h="16838"/>
          <w:pgMar w:top="1474" w:right="1304" w:bottom="1134" w:left="1304"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0B99BC1">
      <w:pPr>
        <w:spacing w:line="600" w:lineRule="exact"/>
        <w:jc w:val="center"/>
        <w:outlineLvl w:val="0"/>
        <w:rPr>
          <w:rFonts w:ascii="宋体" w:hAnsi="宋体"/>
          <w:b/>
          <w:color w:val="auto"/>
          <w:sz w:val="36"/>
          <w:szCs w:val="36"/>
          <w:highlight w:val="none"/>
        </w:rPr>
      </w:pPr>
      <w:bookmarkStart w:id="1" w:name="_Toc3994503"/>
      <w:bookmarkStart w:id="2" w:name="_Toc23639"/>
      <w:bookmarkStart w:id="3" w:name="_Toc176861406"/>
      <w:r>
        <w:rPr>
          <w:rFonts w:hint="eastAsia" w:ascii="宋体" w:hAnsi="宋体"/>
          <w:b/>
          <w:color w:val="auto"/>
          <w:sz w:val="36"/>
          <w:szCs w:val="36"/>
          <w:highlight w:val="none"/>
        </w:rPr>
        <w:t>第一章  竞争性磋商公告</w:t>
      </w:r>
      <w:bookmarkEnd w:id="1"/>
      <w:bookmarkEnd w:id="2"/>
      <w:bookmarkEnd w:id="3"/>
    </w:p>
    <w:p w14:paraId="25AFBF8D">
      <w:pPr>
        <w:spacing w:line="400" w:lineRule="exact"/>
        <w:jc w:val="center"/>
        <w:rPr>
          <w:rFonts w:ascii="黑体" w:hAnsi="宋体" w:eastAsia="黑体"/>
          <w:b/>
          <w:color w:val="auto"/>
          <w:sz w:val="32"/>
          <w:szCs w:val="32"/>
          <w:highlight w:val="none"/>
        </w:rPr>
      </w:pPr>
    </w:p>
    <w:p w14:paraId="0D378893">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eastAsia="宋体" w:cs="宋体"/>
          <w:b/>
          <w:color w:val="auto"/>
          <w:sz w:val="30"/>
          <w:szCs w:val="30"/>
          <w:highlight w:val="none"/>
          <w:lang w:eastAsia="zh-CN"/>
        </w:rPr>
      </w:pPr>
      <w:r>
        <w:rPr>
          <w:rFonts w:hint="eastAsia" w:ascii="宋体" w:hAnsi="宋体" w:eastAsia="宋体" w:cs="宋体"/>
          <w:b/>
          <w:color w:val="auto"/>
          <w:sz w:val="30"/>
          <w:szCs w:val="30"/>
          <w:highlight w:val="none"/>
          <w:lang w:val="en-US" w:eastAsia="zh-CN"/>
        </w:rPr>
        <w:t>广西北部湾宏亚建设管理有限公司关于</w:t>
      </w:r>
      <w:r>
        <w:rPr>
          <w:rFonts w:hint="eastAsia" w:ascii="宋体" w:hAnsi="宋体" w:cs="宋体"/>
          <w:b/>
          <w:color w:val="auto"/>
          <w:sz w:val="30"/>
          <w:szCs w:val="30"/>
          <w:highlight w:val="none"/>
          <w:lang w:val="en-US" w:eastAsia="zh-CN"/>
        </w:rPr>
        <w:t>北海市海城区第二十一小学项目（二期）场地平整工程</w:t>
      </w:r>
      <w:r>
        <w:rPr>
          <w:rFonts w:hint="eastAsia" w:ascii="宋体" w:hAnsi="宋体" w:eastAsia="宋体" w:cs="宋体"/>
          <w:b/>
          <w:color w:val="auto"/>
          <w:sz w:val="30"/>
          <w:szCs w:val="30"/>
          <w:highlight w:val="none"/>
        </w:rPr>
        <w:t>竞争性</w:t>
      </w:r>
      <w:r>
        <w:rPr>
          <w:rFonts w:hint="eastAsia" w:ascii="宋体" w:hAnsi="宋体" w:eastAsia="宋体" w:cs="宋体"/>
          <w:b/>
          <w:color w:val="auto"/>
          <w:sz w:val="30"/>
          <w:szCs w:val="30"/>
          <w:highlight w:val="none"/>
          <w:lang w:val="en-US" w:eastAsia="zh-CN"/>
        </w:rPr>
        <w:t>磋商</w:t>
      </w:r>
      <w:r>
        <w:rPr>
          <w:rFonts w:hint="eastAsia" w:ascii="宋体" w:hAnsi="宋体" w:eastAsia="宋体" w:cs="宋体"/>
          <w:b/>
          <w:color w:val="auto"/>
          <w:sz w:val="30"/>
          <w:szCs w:val="30"/>
          <w:highlight w:val="none"/>
        </w:rPr>
        <w:t>公告</w:t>
      </w:r>
    </w:p>
    <w:p w14:paraId="0E873F0A">
      <w:pPr>
        <w:pStyle w:val="19"/>
        <w:rPr>
          <w:rFonts w:hint="default"/>
          <w:color w:val="auto"/>
          <w:highlight w:val="none"/>
          <w:lang w:val="en-US" w:eastAsia="zh-CN"/>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3"/>
      </w:tblGrid>
      <w:tr w14:paraId="0CED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9962" w:type="dxa"/>
          </w:tcPr>
          <w:p w14:paraId="1BDDD691">
            <w:pPr>
              <w:tabs>
                <w:tab w:val="left" w:pos="9639"/>
                <w:tab w:val="left" w:pos="9746"/>
              </w:tabs>
              <w:adjustRightInd w:val="0"/>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项目概况</w:t>
            </w:r>
          </w:p>
          <w:p w14:paraId="1EC76024">
            <w:pPr>
              <w:tabs>
                <w:tab w:val="left" w:pos="9639"/>
                <w:tab w:val="left" w:pos="9746"/>
              </w:tabs>
              <w:adjustRightInd w:val="0"/>
              <w:snapToGrid w:val="0"/>
              <w:spacing w:line="360" w:lineRule="auto"/>
              <w:ind w:left="105" w:leftChars="50" w:firstLine="360" w:firstLineChars="150"/>
              <w:rPr>
                <w:rFonts w:ascii="宋体" w:hAnsi="宋体" w:cs="宋体"/>
                <w:color w:val="auto"/>
                <w:kern w:val="0"/>
                <w:szCs w:val="21"/>
                <w:highlight w:val="none"/>
              </w:rPr>
            </w:pPr>
            <w:r>
              <w:rPr>
                <w:rFonts w:hint="eastAsia" w:ascii="宋体" w:hAnsi="宋体" w:cs="宋体"/>
                <w:color w:val="auto"/>
                <w:kern w:val="0"/>
                <w:sz w:val="24"/>
                <w:highlight w:val="none"/>
                <w:lang w:val="en-US" w:eastAsia="zh-CN"/>
              </w:rPr>
              <w:t>北海市海城区第二十一小学项目（二期）场地平整工程</w:t>
            </w:r>
            <w:r>
              <w:rPr>
                <w:rFonts w:hint="eastAsia" w:ascii="宋体" w:hAnsi="宋体" w:cs="宋体"/>
                <w:color w:val="auto"/>
                <w:kern w:val="0"/>
                <w:sz w:val="24"/>
                <w:highlight w:val="none"/>
              </w:rPr>
              <w:t>采购项目的潜在供应商应在广西政府采购云平台（https://www.gcy.zfcg.gxzf.gov.cn/）获取采购文件，并于</w:t>
            </w:r>
            <w:r>
              <w:rPr>
                <w:rFonts w:hint="eastAsia" w:ascii="宋体" w:hAnsi="宋体" w:cs="宋体"/>
                <w:color w:val="auto"/>
                <w:kern w:val="0"/>
                <w:sz w:val="24"/>
                <w:highlight w:val="none"/>
                <w:u w:val="single"/>
                <w:lang w:eastAsia="zh-CN"/>
              </w:rPr>
              <w:t>2026</w:t>
            </w:r>
            <w:r>
              <w:rPr>
                <w:rFonts w:hint="eastAsia" w:ascii="宋体" w:hAnsi="宋体" w:cs="宋体"/>
                <w:color w:val="auto"/>
                <w:kern w:val="0"/>
                <w:sz w:val="24"/>
                <w:highlight w:val="none"/>
                <w:u w:val="single"/>
              </w:rPr>
              <w:t>年</w:t>
            </w:r>
            <w:r>
              <w:rPr>
                <w:rFonts w:hint="eastAsia" w:ascii="宋体" w:hAnsi="宋体" w:cs="宋体"/>
                <w:color w:val="auto"/>
                <w:kern w:val="0"/>
                <w:sz w:val="24"/>
                <w:highlight w:val="none"/>
                <w:u w:val="single"/>
                <w:lang w:val="en-US" w:eastAsia="zh-CN"/>
              </w:rPr>
              <w:t>09</w:t>
            </w:r>
            <w:r>
              <w:rPr>
                <w:rFonts w:hint="eastAsia" w:ascii="宋体" w:hAnsi="宋体" w:cs="宋体"/>
                <w:color w:val="auto"/>
                <w:kern w:val="0"/>
                <w:sz w:val="24"/>
                <w:highlight w:val="none"/>
                <w:u w:val="single"/>
              </w:rPr>
              <w:t>月</w:t>
            </w:r>
            <w:r>
              <w:rPr>
                <w:rFonts w:hint="eastAsia" w:ascii="宋体" w:hAnsi="宋体" w:cs="宋体"/>
                <w:color w:val="auto"/>
                <w:kern w:val="0"/>
                <w:sz w:val="24"/>
                <w:highlight w:val="none"/>
                <w:u w:val="single"/>
                <w:lang w:val="en-US" w:eastAsia="zh-CN"/>
              </w:rPr>
              <w:t>15</w:t>
            </w:r>
            <w:r>
              <w:rPr>
                <w:rFonts w:hint="eastAsia" w:ascii="宋体" w:hAnsi="宋体" w:cs="宋体"/>
                <w:color w:val="auto"/>
                <w:kern w:val="0"/>
                <w:sz w:val="24"/>
                <w:highlight w:val="none"/>
                <w:u w:val="single"/>
              </w:rPr>
              <w:t>日</w:t>
            </w:r>
            <w:r>
              <w:rPr>
                <w:rFonts w:hint="eastAsia" w:ascii="宋体" w:hAnsi="宋体" w:cs="宋体"/>
                <w:color w:val="auto"/>
                <w:kern w:val="0"/>
                <w:sz w:val="24"/>
                <w:highlight w:val="none"/>
                <w:u w:val="single"/>
                <w:lang w:val="en-US" w:eastAsia="zh-CN"/>
              </w:rPr>
              <w:t>09时00</w:t>
            </w:r>
            <w:r>
              <w:rPr>
                <w:rFonts w:hint="eastAsia" w:ascii="宋体" w:hAnsi="宋体" w:cs="宋体"/>
                <w:color w:val="auto"/>
                <w:kern w:val="0"/>
                <w:sz w:val="24"/>
                <w:highlight w:val="none"/>
                <w:u w:val="single"/>
              </w:rPr>
              <w:t>分00秒</w:t>
            </w:r>
            <w:r>
              <w:rPr>
                <w:rFonts w:hint="eastAsia" w:ascii="宋体" w:hAnsi="宋体" w:cs="宋体"/>
                <w:color w:val="auto"/>
                <w:kern w:val="0"/>
                <w:sz w:val="24"/>
                <w:highlight w:val="none"/>
              </w:rPr>
              <w:t>（北京时间）前提交响应文件。</w:t>
            </w:r>
          </w:p>
        </w:tc>
      </w:tr>
    </w:tbl>
    <w:p w14:paraId="01104065">
      <w:pPr>
        <w:tabs>
          <w:tab w:val="left" w:pos="9639"/>
          <w:tab w:val="left" w:pos="9746"/>
        </w:tabs>
        <w:adjustRightInd w:val="0"/>
        <w:snapToGrid w:val="0"/>
        <w:rPr>
          <w:rFonts w:ascii="宋体" w:hAnsi="宋体" w:cs="宋体"/>
          <w:color w:val="auto"/>
          <w:kern w:val="0"/>
          <w:szCs w:val="21"/>
          <w:highlight w:val="none"/>
        </w:rPr>
      </w:pPr>
    </w:p>
    <w:p w14:paraId="66CBF5EB">
      <w:pPr>
        <w:tabs>
          <w:tab w:val="left" w:pos="9639"/>
          <w:tab w:val="left" w:pos="9746"/>
        </w:tabs>
        <w:adjustRightInd w:val="0"/>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一、项目基本情况</w:t>
      </w:r>
    </w:p>
    <w:p w14:paraId="3D8A06C7">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项目编号：BHZC2026-C2-020024-BBWH</w:t>
      </w:r>
    </w:p>
    <w:p w14:paraId="4CADB845">
      <w:pPr>
        <w:adjustRightInd w:val="0"/>
        <w:spacing w:line="360" w:lineRule="auto"/>
        <w:ind w:firstLine="480" w:firstLineChars="200"/>
        <w:rPr>
          <w:rFonts w:hint="eastAsia" w:ascii="宋体" w:hAnsi="宋体" w:eastAsia="宋体" w:cs="宋体"/>
          <w:b/>
          <w:color w:val="auto"/>
          <w:sz w:val="24"/>
          <w:szCs w:val="24"/>
          <w:highlight w:val="none"/>
          <w:lang w:val="en-US" w:eastAsia="zh-CN"/>
        </w:rPr>
      </w:pPr>
      <w:r>
        <w:rPr>
          <w:rFonts w:hint="eastAsia" w:ascii="宋体" w:hAnsi="宋体"/>
          <w:color w:val="auto"/>
          <w:sz w:val="24"/>
          <w:highlight w:val="none"/>
        </w:rPr>
        <w:t>项目名称：</w:t>
      </w:r>
      <w:r>
        <w:rPr>
          <w:rFonts w:hint="eastAsia" w:ascii="宋体" w:hAnsi="宋体" w:cs="宋体"/>
          <w:b w:val="0"/>
          <w:bCs/>
          <w:color w:val="auto"/>
          <w:sz w:val="24"/>
          <w:szCs w:val="24"/>
          <w:highlight w:val="none"/>
          <w:lang w:val="en-US" w:eastAsia="zh-CN"/>
        </w:rPr>
        <w:t>北海市海城区第二十一小学项目（二期）场地平整工程</w:t>
      </w:r>
    </w:p>
    <w:p w14:paraId="3965417A">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采购方式：竞争性磋商</w:t>
      </w:r>
    </w:p>
    <w:p w14:paraId="3AA65597">
      <w:pPr>
        <w:adjustRightInd w:val="0"/>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rPr>
        <w:t>预算</w:t>
      </w:r>
      <w:r>
        <w:rPr>
          <w:rFonts w:hint="eastAsia" w:ascii="宋体" w:hAnsi="宋体"/>
          <w:color w:val="auto"/>
          <w:sz w:val="24"/>
          <w:highlight w:val="none"/>
          <w:lang w:val="en-US" w:eastAsia="zh-CN"/>
        </w:rPr>
        <w:t>总</w:t>
      </w:r>
      <w:r>
        <w:rPr>
          <w:rFonts w:hint="eastAsia" w:ascii="宋体" w:hAnsi="宋体"/>
          <w:color w:val="auto"/>
          <w:sz w:val="24"/>
          <w:highlight w:val="none"/>
        </w:rPr>
        <w:t>金额（元）：</w:t>
      </w:r>
      <w:r>
        <w:rPr>
          <w:rFonts w:hint="eastAsia" w:ascii="宋体" w:hAnsi="宋体"/>
          <w:color w:val="auto"/>
          <w:sz w:val="24"/>
          <w:highlight w:val="none"/>
          <w:lang w:val="en-US" w:eastAsia="zh-CN"/>
        </w:rPr>
        <w:t xml:space="preserve">2186958.72 </w:t>
      </w:r>
    </w:p>
    <w:p w14:paraId="34BC7F93">
      <w:pPr>
        <w:adjustRightIn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采购需求：</w:t>
      </w:r>
    </w:p>
    <w:p w14:paraId="58AF3E85">
      <w:pPr>
        <w:adjustRightInd w:val="0"/>
        <w:spacing w:line="360" w:lineRule="auto"/>
        <w:ind w:firstLine="480" w:firstLineChars="200"/>
        <w:rPr>
          <w:rFonts w:hint="eastAsia" w:ascii="宋体" w:hAnsi="宋体" w:cs="宋体"/>
          <w:b w:val="0"/>
          <w:bCs/>
          <w:color w:val="auto"/>
          <w:sz w:val="24"/>
          <w:szCs w:val="24"/>
          <w:highlight w:val="none"/>
          <w:lang w:val="en-US" w:eastAsia="zh-CN"/>
        </w:rPr>
      </w:pPr>
      <w:r>
        <w:rPr>
          <w:rFonts w:hint="eastAsia" w:ascii="宋体" w:hAnsi="宋体"/>
          <w:color w:val="auto"/>
          <w:sz w:val="24"/>
          <w:highlight w:val="none"/>
          <w:lang w:val="en-US" w:eastAsia="zh-CN"/>
        </w:rPr>
        <w:t>标项名称：</w:t>
      </w:r>
      <w:r>
        <w:rPr>
          <w:rFonts w:hint="eastAsia" w:ascii="宋体" w:hAnsi="宋体" w:cs="宋体"/>
          <w:b w:val="0"/>
          <w:bCs/>
          <w:color w:val="auto"/>
          <w:sz w:val="24"/>
          <w:szCs w:val="24"/>
          <w:highlight w:val="none"/>
          <w:lang w:val="en-US" w:eastAsia="zh-CN"/>
        </w:rPr>
        <w:t>北海市海城区第二十一小学项目（二期）场地平整工程</w:t>
      </w:r>
    </w:p>
    <w:p w14:paraId="05B92C27">
      <w:pPr>
        <w:adjustRightInd w:val="0"/>
        <w:spacing w:line="360" w:lineRule="auto"/>
        <w:ind w:firstLine="480" w:firstLineChars="200"/>
        <w:rPr>
          <w:rFonts w:hint="default" w:ascii="宋体" w:hAnsi="宋体" w:cs="宋体"/>
          <w:b w:val="0"/>
          <w:bCs/>
          <w:color w:val="auto"/>
          <w:sz w:val="24"/>
          <w:szCs w:val="24"/>
          <w:highlight w:val="none"/>
          <w:lang w:val="en-US" w:eastAsia="zh-CN"/>
        </w:rPr>
      </w:pPr>
      <w:r>
        <w:rPr>
          <w:rFonts w:hint="eastAsia" w:ascii="宋体" w:hAnsi="宋体" w:cs="宋体"/>
          <w:b w:val="0"/>
          <w:bCs/>
          <w:color w:val="auto"/>
          <w:sz w:val="24"/>
          <w:szCs w:val="24"/>
          <w:highlight w:val="none"/>
          <w:lang w:val="en-US" w:eastAsia="zh-CN"/>
        </w:rPr>
        <w:t>数量：1项</w:t>
      </w:r>
    </w:p>
    <w:p w14:paraId="7961C239">
      <w:pPr>
        <w:adjustRightInd w:val="0"/>
        <w:spacing w:line="360" w:lineRule="auto"/>
        <w:ind w:firstLine="480" w:firstLineChars="200"/>
        <w:rPr>
          <w:rFonts w:hint="default" w:ascii="宋体" w:hAnsi="宋体" w:cs="宋体"/>
          <w:b w:val="0"/>
          <w:bCs/>
          <w:color w:val="auto"/>
          <w:sz w:val="24"/>
          <w:szCs w:val="24"/>
          <w:highlight w:val="none"/>
          <w:lang w:val="en-US" w:eastAsia="zh-CN"/>
        </w:rPr>
      </w:pPr>
      <w:r>
        <w:rPr>
          <w:rFonts w:hint="default" w:ascii="宋体" w:hAnsi="宋体" w:cs="宋体"/>
          <w:b w:val="0"/>
          <w:bCs/>
          <w:color w:val="auto"/>
          <w:sz w:val="24"/>
          <w:szCs w:val="24"/>
          <w:highlight w:val="none"/>
          <w:lang w:val="en-US" w:eastAsia="zh-CN"/>
        </w:rPr>
        <w:t>预算金额（元）:</w:t>
      </w:r>
      <w:r>
        <w:rPr>
          <w:rFonts w:hint="eastAsia" w:ascii="宋体" w:hAnsi="宋体"/>
          <w:color w:val="auto"/>
          <w:sz w:val="24"/>
          <w:highlight w:val="none"/>
          <w:lang w:val="en-US" w:eastAsia="zh-CN"/>
        </w:rPr>
        <w:t>2186958.72</w:t>
      </w:r>
    </w:p>
    <w:p w14:paraId="2832CB4E">
      <w:pPr>
        <w:adjustRightInd w:val="0"/>
        <w:spacing w:line="360" w:lineRule="auto"/>
        <w:ind w:firstLine="480" w:firstLineChars="200"/>
        <w:jc w:val="left"/>
        <w:rPr>
          <w:rFonts w:hint="eastAsia" w:ascii="宋体" w:hAnsi="宋体"/>
          <w:color w:val="auto"/>
          <w:sz w:val="24"/>
          <w:highlight w:val="none"/>
          <w:lang w:val="en-US" w:eastAsia="zh-CN"/>
        </w:rPr>
      </w:pPr>
      <w:r>
        <w:rPr>
          <w:rFonts w:hint="default" w:ascii="宋体" w:hAnsi="宋体" w:cs="宋体"/>
          <w:b w:val="0"/>
          <w:bCs/>
          <w:color w:val="auto"/>
          <w:sz w:val="24"/>
          <w:szCs w:val="24"/>
          <w:highlight w:val="none"/>
          <w:lang w:val="en-US" w:eastAsia="zh-CN"/>
        </w:rPr>
        <w:t>简要规格描述或项目基本概况介绍、用途：</w:t>
      </w:r>
      <w:r>
        <w:rPr>
          <w:rFonts w:hint="eastAsia" w:ascii="宋体" w:hAnsi="宋体"/>
          <w:color w:val="auto"/>
          <w:sz w:val="24"/>
          <w:highlight w:val="none"/>
          <w:lang w:val="en-US" w:eastAsia="zh-CN"/>
        </w:rPr>
        <w:t>本工程为北海市海城区第二十一小学项目（二期）场地平整工程，核心施工内容包含场地清理、土方调配、构筑物新建、原有设施拆除及场地清理等多项作业。具体施工内容为：清除并外运场地表土与鱼塘淤泥、外购土方进行回填及场地平整、新建场地挡土墙，同时拆除场地内原有混凝土基础、混凝土路面、混凝土电杆，并完成场地内树木砍伐清理工作。本项目各地块用地面积及土方工程量明细如下：场地面积17598.72㎡，土方开挖预估总量25442.24m³，土方回填预估总量33716.65m³。工程具体施工细则、作业范围及工程量标准，以施工图纸及工程量清单为准。</w:t>
      </w:r>
    </w:p>
    <w:p w14:paraId="343444E1">
      <w:pPr>
        <w:adjustRightInd w:val="0"/>
        <w:spacing w:line="360" w:lineRule="auto"/>
        <w:ind w:firstLine="480" w:firstLineChars="200"/>
        <w:rPr>
          <w:rFonts w:hint="default" w:ascii="宋体" w:hAnsi="宋体"/>
          <w:color w:val="auto"/>
          <w:sz w:val="24"/>
          <w:highlight w:val="none"/>
          <w:lang w:val="en-US" w:eastAsia="zh-CN"/>
        </w:rPr>
      </w:pPr>
      <w:r>
        <w:rPr>
          <w:rFonts w:hint="eastAsia" w:ascii="宋体" w:hAnsi="宋体"/>
          <w:color w:val="auto"/>
          <w:sz w:val="24"/>
          <w:highlight w:val="none"/>
          <w:lang w:val="en-US" w:eastAsia="zh-CN"/>
        </w:rPr>
        <w:t>最高限价（如有）：2186958.72元</w:t>
      </w:r>
    </w:p>
    <w:p w14:paraId="72949152">
      <w:pPr>
        <w:adjustRightInd w:val="0"/>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合同履行期限：</w:t>
      </w:r>
      <w:r>
        <w:rPr>
          <w:rFonts w:hint="eastAsia" w:ascii="宋体" w:hAnsi="宋体"/>
          <w:color w:val="auto"/>
          <w:sz w:val="24"/>
          <w:highlight w:val="none"/>
          <w:lang w:val="en-US" w:eastAsia="zh-CN"/>
        </w:rPr>
        <w:t>要求工期30日历天。</w:t>
      </w:r>
    </w:p>
    <w:p w14:paraId="44DFB7DB">
      <w:pPr>
        <w:adjustRightInd w:val="0"/>
        <w:spacing w:line="360" w:lineRule="auto"/>
        <w:ind w:firstLine="480" w:firstLineChars="200"/>
        <w:rPr>
          <w:rFonts w:hint="default" w:ascii="宋体" w:hAnsi="宋体"/>
          <w:color w:val="auto"/>
          <w:sz w:val="24"/>
          <w:highlight w:val="none"/>
          <w:lang w:val="en-US" w:eastAsia="zh-CN"/>
        </w:rPr>
      </w:pPr>
      <w:r>
        <w:rPr>
          <w:rFonts w:hint="default" w:ascii="宋体" w:hAnsi="宋体"/>
          <w:color w:val="auto"/>
          <w:sz w:val="24"/>
          <w:highlight w:val="none"/>
          <w:lang w:val="en-US" w:eastAsia="zh-CN"/>
        </w:rPr>
        <w:t>本标项（否）接受联合体投标</w:t>
      </w:r>
    </w:p>
    <w:p w14:paraId="32BBD50D">
      <w:pPr>
        <w:adjustRightInd w:val="0"/>
        <w:spacing w:line="360" w:lineRule="auto"/>
        <w:ind w:firstLine="480" w:firstLineChars="200"/>
        <w:rPr>
          <w:rFonts w:hint="default" w:ascii="宋体" w:hAnsi="宋体"/>
          <w:color w:val="auto"/>
          <w:sz w:val="24"/>
          <w:highlight w:val="none"/>
          <w:lang w:val="en-US" w:eastAsia="zh-CN"/>
        </w:rPr>
      </w:pPr>
      <w:r>
        <w:rPr>
          <w:rFonts w:hint="default" w:ascii="宋体" w:hAnsi="宋体"/>
          <w:color w:val="auto"/>
          <w:sz w:val="24"/>
          <w:highlight w:val="none"/>
          <w:lang w:val="en-US" w:eastAsia="zh-CN"/>
        </w:rPr>
        <w:t>备注：</w:t>
      </w:r>
      <w:r>
        <w:rPr>
          <w:rFonts w:hint="eastAsia" w:ascii="宋体" w:hAnsi="宋体"/>
          <w:color w:val="auto"/>
          <w:sz w:val="24"/>
          <w:highlight w:val="none"/>
          <w:lang w:val="en-US" w:eastAsia="zh-CN"/>
        </w:rPr>
        <w:t>无</w:t>
      </w:r>
    </w:p>
    <w:p w14:paraId="20590C25">
      <w:pPr>
        <w:tabs>
          <w:tab w:val="left" w:pos="9639"/>
          <w:tab w:val="left" w:pos="9746"/>
        </w:tabs>
        <w:adjustRightInd w:val="0"/>
        <w:snapToGrid w:val="0"/>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二、申请人的资格要求</w:t>
      </w:r>
    </w:p>
    <w:p w14:paraId="7D1AE5A8">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rPr>
        <w:t>1.满足《中华人民共和国政府采购法》第二十二条规定；</w:t>
      </w:r>
    </w:p>
    <w:p w14:paraId="52BE427B">
      <w:pPr>
        <w:adjustRightInd w:val="0"/>
        <w:spacing w:line="360" w:lineRule="auto"/>
        <w:rPr>
          <w:rFonts w:hint="eastAsia" w:ascii="宋体" w:hAnsi="宋体" w:cs="宋体"/>
          <w:color w:val="auto"/>
          <w:sz w:val="24"/>
          <w:highlight w:val="none"/>
        </w:rPr>
      </w:pPr>
      <w:r>
        <w:rPr>
          <w:rFonts w:hint="eastAsia" w:ascii="宋体" w:hAnsi="宋体" w:cs="宋体"/>
          <w:snapToGrid w:val="0"/>
          <w:color w:val="auto"/>
          <w:kern w:val="28"/>
          <w:sz w:val="24"/>
          <w:szCs w:val="20"/>
          <w:highlight w:val="none"/>
        </w:rPr>
        <w:t xml:space="preserve">    </w:t>
      </w:r>
      <w:r>
        <w:rPr>
          <w:rFonts w:ascii="宋体" w:hAnsi="宋体" w:cs="宋体"/>
          <w:snapToGrid w:val="0"/>
          <w:color w:val="auto"/>
          <w:kern w:val="28"/>
          <w:sz w:val="24"/>
          <w:szCs w:val="20"/>
          <w:highlight w:val="none"/>
        </w:rPr>
        <w:t>2</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sz w:val="24"/>
          <w:highlight w:val="none"/>
        </w:rPr>
        <w:t>分标1：本项目属于专门面向</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企业采购的项目，</w:t>
      </w:r>
      <w:r>
        <w:rPr>
          <w:rFonts w:hint="eastAsia" w:ascii="宋体" w:hAnsi="宋体" w:cs="宋体"/>
          <w:color w:val="auto"/>
          <w:sz w:val="24"/>
          <w:highlight w:val="none"/>
          <w:lang w:val="en-US" w:eastAsia="zh-CN"/>
        </w:rPr>
        <w:t>磋商</w:t>
      </w:r>
      <w:r>
        <w:rPr>
          <w:rFonts w:hint="eastAsia" w:ascii="宋体" w:hAnsi="宋体" w:cs="宋体"/>
          <w:color w:val="auto"/>
          <w:sz w:val="24"/>
          <w:highlight w:val="none"/>
        </w:rPr>
        <w:t>供应商应为</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企业须符合本项目采购标的所属行业对应的</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企业划分标准；监狱企业、残疾人福利单位视同</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p>
    <w:p w14:paraId="4556F991">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3.本项目的特定资格要求：</w:t>
      </w:r>
    </w:p>
    <w:p w14:paraId="1D44BCEC">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【分标1】</w:t>
      </w:r>
    </w:p>
    <w:p w14:paraId="684524AB">
      <w:pPr>
        <w:numPr>
          <w:ilvl w:val="0"/>
          <w:numId w:val="2"/>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磋商供应商须具备建筑工程施工总承包二级（含）以上或市政公用工程施工总承包二级（含）以上资质及有效的安全生产许可证，并在人员、设备、资金等方面具备相应的施工能力。</w:t>
      </w:r>
    </w:p>
    <w:p w14:paraId="418EF83D">
      <w:pPr>
        <w:numPr>
          <w:ilvl w:val="0"/>
          <w:numId w:val="2"/>
        </w:numPr>
        <w:adjustRightInd w:val="0"/>
        <w:spacing w:line="360" w:lineRule="auto"/>
        <w:ind w:left="0" w:leftChars="0"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磋商供应商拟派的项目经理须具备建筑工程或市政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15DDC7FA">
      <w:pPr>
        <w:numPr>
          <w:ilvl w:val="0"/>
          <w:numId w:val="0"/>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（3）安全员要求：本工程至少投入1名专职安全员且具备有效的安全生产考核合格证（C证）。</w:t>
      </w:r>
    </w:p>
    <w:p w14:paraId="00B5C64B">
      <w:pPr>
        <w:spacing w:line="360" w:lineRule="auto"/>
        <w:rPr>
          <w:rFonts w:ascii="宋体" w:hAnsi="宋体" w:cs="宋体"/>
          <w:b/>
          <w:color w:val="auto"/>
          <w:kern w:val="0"/>
          <w:sz w:val="24"/>
          <w:highlight w:val="none"/>
        </w:rPr>
      </w:pPr>
      <w:r>
        <w:rPr>
          <w:rFonts w:hint="eastAsia" w:ascii="宋体" w:hAnsi="宋体" w:cs="宋体"/>
          <w:b/>
          <w:color w:val="auto"/>
          <w:kern w:val="0"/>
          <w:sz w:val="24"/>
          <w:highlight w:val="none"/>
        </w:rPr>
        <w:t>三、</w:t>
      </w:r>
      <w:r>
        <w:rPr>
          <w:rFonts w:hint="eastAsia" w:ascii="宋体" w:hAnsi="宋体" w:cs="宋体"/>
          <w:b/>
          <w:color w:val="auto"/>
          <w:kern w:val="1"/>
          <w:sz w:val="24"/>
          <w:szCs w:val="24"/>
          <w:highlight w:val="none"/>
        </w:rPr>
        <w:t>获取采购文件</w:t>
      </w:r>
    </w:p>
    <w:p w14:paraId="1781D7C4">
      <w:pPr>
        <w:adjustRightInd w:val="0"/>
        <w:spacing w:line="360" w:lineRule="auto"/>
        <w:ind w:firstLine="540"/>
        <w:rPr>
          <w:rFonts w:ascii="宋体" w:hAnsi="宋体" w:cs="宋体"/>
          <w:b w:val="0"/>
          <w:bCs/>
          <w:color w:val="auto"/>
          <w:sz w:val="24"/>
          <w:highlight w:val="none"/>
        </w:rPr>
      </w:pPr>
      <w:r>
        <w:rPr>
          <w:rFonts w:hint="eastAsia" w:ascii="宋体" w:hAnsi="宋体" w:cs="宋体"/>
          <w:b w:val="0"/>
          <w:bCs/>
          <w:color w:val="auto"/>
          <w:sz w:val="24"/>
          <w:highlight w:val="none"/>
        </w:rPr>
        <w:t>时间：</w:t>
      </w:r>
      <w:r>
        <w:rPr>
          <w:rFonts w:hint="eastAsia" w:ascii="宋体" w:hAnsi="宋体" w:cs="宋体"/>
          <w:b w:val="0"/>
          <w:bCs/>
          <w:color w:val="auto"/>
          <w:sz w:val="24"/>
          <w:highlight w:val="none"/>
          <w:lang w:eastAsia="zh-CN"/>
        </w:rPr>
        <w:t>2026</w:t>
      </w:r>
      <w:r>
        <w:rPr>
          <w:rFonts w:hint="eastAsia" w:ascii="宋体" w:hAnsi="宋体" w:cs="宋体"/>
          <w:b w:val="0"/>
          <w:bCs/>
          <w:color w:val="auto"/>
          <w:sz w:val="24"/>
          <w:highlight w:val="none"/>
        </w:rPr>
        <w:t>年</w:t>
      </w:r>
      <w:r>
        <w:rPr>
          <w:rFonts w:hint="eastAsia" w:ascii="宋体" w:hAnsi="宋体" w:cs="宋体"/>
          <w:b w:val="0"/>
          <w:bCs/>
          <w:color w:val="auto"/>
          <w:sz w:val="24"/>
          <w:highlight w:val="none"/>
          <w:lang w:val="en-US" w:eastAsia="zh-CN"/>
        </w:rPr>
        <w:t>09</w:t>
      </w:r>
      <w:r>
        <w:rPr>
          <w:rFonts w:hint="eastAsia" w:ascii="宋体" w:hAnsi="宋体" w:cs="宋体"/>
          <w:b w:val="0"/>
          <w:bCs/>
          <w:color w:val="auto"/>
          <w:sz w:val="24"/>
          <w:highlight w:val="none"/>
        </w:rPr>
        <w:t>月</w:t>
      </w:r>
      <w:r>
        <w:rPr>
          <w:rFonts w:hint="eastAsia" w:ascii="宋体" w:hAnsi="宋体" w:cs="宋体"/>
          <w:b w:val="0"/>
          <w:bCs/>
          <w:color w:val="auto"/>
          <w:sz w:val="24"/>
          <w:highlight w:val="none"/>
          <w:lang w:val="en-US" w:eastAsia="zh-CN"/>
        </w:rPr>
        <w:t>04</w:t>
      </w:r>
      <w:r>
        <w:rPr>
          <w:rFonts w:hint="eastAsia" w:ascii="宋体" w:hAnsi="宋体" w:cs="宋体"/>
          <w:b w:val="0"/>
          <w:bCs/>
          <w:color w:val="auto"/>
          <w:sz w:val="24"/>
          <w:highlight w:val="none"/>
        </w:rPr>
        <w:t>日至</w:t>
      </w:r>
      <w:r>
        <w:rPr>
          <w:rFonts w:hint="eastAsia" w:ascii="宋体" w:hAnsi="宋体" w:cs="宋体"/>
          <w:b w:val="0"/>
          <w:bCs/>
          <w:color w:val="auto"/>
          <w:sz w:val="24"/>
          <w:highlight w:val="none"/>
          <w:lang w:eastAsia="zh-CN"/>
        </w:rPr>
        <w:t>2026</w:t>
      </w:r>
      <w:r>
        <w:rPr>
          <w:rFonts w:hint="eastAsia" w:ascii="宋体" w:hAnsi="宋体" w:cs="宋体"/>
          <w:b w:val="0"/>
          <w:bCs/>
          <w:color w:val="auto"/>
          <w:sz w:val="24"/>
          <w:highlight w:val="none"/>
        </w:rPr>
        <w:t>年</w:t>
      </w:r>
      <w:r>
        <w:rPr>
          <w:rFonts w:hint="eastAsia" w:ascii="宋体" w:hAnsi="宋体" w:cs="宋体"/>
          <w:b w:val="0"/>
          <w:bCs/>
          <w:color w:val="auto"/>
          <w:sz w:val="24"/>
          <w:highlight w:val="none"/>
          <w:lang w:val="en-US" w:eastAsia="zh-CN"/>
        </w:rPr>
        <w:t>09</w:t>
      </w:r>
      <w:r>
        <w:rPr>
          <w:rFonts w:hint="eastAsia" w:ascii="宋体" w:hAnsi="宋体" w:cs="宋体"/>
          <w:b w:val="0"/>
          <w:bCs/>
          <w:color w:val="auto"/>
          <w:sz w:val="24"/>
          <w:highlight w:val="none"/>
        </w:rPr>
        <w:t>月</w:t>
      </w:r>
      <w:r>
        <w:rPr>
          <w:rFonts w:hint="eastAsia" w:ascii="宋体" w:hAnsi="宋体" w:cs="宋体"/>
          <w:b w:val="0"/>
          <w:bCs/>
          <w:color w:val="auto"/>
          <w:sz w:val="24"/>
          <w:highlight w:val="none"/>
          <w:lang w:val="en-US" w:eastAsia="zh-CN"/>
        </w:rPr>
        <w:t>11</w:t>
      </w:r>
      <w:r>
        <w:rPr>
          <w:rFonts w:hint="eastAsia" w:ascii="宋体" w:hAnsi="宋体" w:cs="宋体"/>
          <w:b w:val="0"/>
          <w:bCs/>
          <w:color w:val="auto"/>
          <w:sz w:val="24"/>
          <w:highlight w:val="none"/>
        </w:rPr>
        <w:t>日，每天上午</w:t>
      </w:r>
      <w:r>
        <w:rPr>
          <w:rFonts w:hint="eastAsia" w:ascii="宋体" w:hAnsi="宋体"/>
          <w:b w:val="0"/>
          <w:bCs/>
          <w:color w:val="auto"/>
          <w:sz w:val="24"/>
          <w:highlight w:val="none"/>
        </w:rPr>
        <w:t>00:00至12:00 ，下午12:00至23:59</w:t>
      </w:r>
      <w:r>
        <w:rPr>
          <w:rFonts w:hint="eastAsia" w:ascii="宋体" w:hAnsi="宋体" w:cs="宋体"/>
          <w:b w:val="0"/>
          <w:bCs/>
          <w:color w:val="auto"/>
          <w:sz w:val="24"/>
          <w:highlight w:val="none"/>
        </w:rPr>
        <w:t>（北京时间，法定节假日除外）；</w:t>
      </w:r>
    </w:p>
    <w:p w14:paraId="6275023F">
      <w:pPr>
        <w:adjustRightInd w:val="0"/>
        <w:spacing w:line="360" w:lineRule="auto"/>
        <w:ind w:firstLine="540"/>
        <w:rPr>
          <w:rFonts w:hint="eastAsia" w:ascii="宋体" w:hAnsi="宋体" w:eastAsia="宋体" w:cs="宋体"/>
          <w:b w:val="0"/>
          <w:bCs/>
          <w:color w:val="auto"/>
          <w:sz w:val="28"/>
          <w:szCs w:val="28"/>
          <w:highlight w:val="none"/>
          <w:u w:val="single"/>
          <w:lang w:eastAsia="zh-CN"/>
        </w:rPr>
      </w:pPr>
      <w:r>
        <w:rPr>
          <w:rFonts w:hint="eastAsia" w:ascii="宋体" w:hAnsi="宋体" w:cs="宋体"/>
          <w:b w:val="0"/>
          <w:bCs/>
          <w:color w:val="auto"/>
          <w:sz w:val="24"/>
          <w:highlight w:val="none"/>
        </w:rPr>
        <w:t>地点（网址）：</w:t>
      </w:r>
      <w:r>
        <w:rPr>
          <w:rFonts w:hint="eastAsia" w:ascii="宋体" w:hAnsi="宋体" w:eastAsia="宋体" w:cs="宋体"/>
          <w:b w:val="0"/>
          <w:bCs/>
          <w:color w:val="auto"/>
          <w:kern w:val="1"/>
          <w:sz w:val="24"/>
          <w:szCs w:val="24"/>
          <w:highlight w:val="none"/>
        </w:rPr>
        <w:t>广西政府采购云平台</w:t>
      </w:r>
      <w:r>
        <w:rPr>
          <w:rFonts w:hint="eastAsia" w:ascii="宋体" w:hAnsi="宋体" w:eastAsia="宋体" w:cs="宋体"/>
          <w:b w:val="0"/>
          <w:bCs/>
          <w:i w:val="0"/>
          <w:iCs w:val="0"/>
          <w:caps w:val="0"/>
          <w:color w:val="auto"/>
          <w:spacing w:val="0"/>
          <w:kern w:val="1"/>
          <w:sz w:val="24"/>
          <w:szCs w:val="24"/>
          <w:highlight w:val="none"/>
        </w:rPr>
        <w:t>线上获取</w:t>
      </w:r>
      <w:r>
        <w:rPr>
          <w:rFonts w:hint="eastAsia" w:ascii="宋体" w:hAnsi="宋体" w:eastAsia="宋体" w:cs="宋体"/>
          <w:b w:val="0"/>
          <w:bCs/>
          <w:color w:val="auto"/>
          <w:kern w:val="1"/>
          <w:sz w:val="24"/>
          <w:szCs w:val="24"/>
          <w:highlight w:val="none"/>
        </w:rPr>
        <w:t>（https://www.gcy.zfcg.gxzf.gov.cn/）</w:t>
      </w:r>
      <w:r>
        <w:rPr>
          <w:rFonts w:hint="eastAsia" w:ascii="宋体" w:hAnsi="宋体" w:cs="宋体"/>
          <w:b w:val="0"/>
          <w:bCs/>
          <w:color w:val="auto"/>
          <w:kern w:val="1"/>
          <w:sz w:val="24"/>
          <w:szCs w:val="24"/>
          <w:highlight w:val="none"/>
          <w:lang w:eastAsia="zh-CN"/>
        </w:rPr>
        <w:t>；</w:t>
      </w:r>
    </w:p>
    <w:p w14:paraId="07025067">
      <w:pPr>
        <w:adjustRightInd w:val="0"/>
        <w:spacing w:line="360" w:lineRule="auto"/>
        <w:ind w:firstLine="540"/>
        <w:rPr>
          <w:rFonts w:ascii="宋体" w:hAnsi="宋体" w:cs="宋体"/>
          <w:b w:val="0"/>
          <w:bCs/>
          <w:color w:val="auto"/>
          <w:sz w:val="24"/>
          <w:highlight w:val="none"/>
          <w:u w:val="single"/>
        </w:rPr>
      </w:pPr>
      <w:r>
        <w:rPr>
          <w:rFonts w:hint="eastAsia" w:ascii="宋体" w:hAnsi="宋体" w:cs="宋体"/>
          <w:b w:val="0"/>
          <w:bCs/>
          <w:color w:val="auto"/>
          <w:sz w:val="24"/>
          <w:highlight w:val="none"/>
        </w:rPr>
        <w:t>方式：</w:t>
      </w:r>
      <w:r>
        <w:rPr>
          <w:rFonts w:hint="eastAsia" w:ascii="宋体" w:hAnsi="宋体" w:eastAsia="宋体" w:cs="宋体"/>
          <w:b w:val="0"/>
          <w:bCs/>
          <w:i w:val="0"/>
          <w:iCs w:val="0"/>
          <w:caps w:val="0"/>
          <w:color w:val="auto"/>
          <w:spacing w:val="0"/>
          <w:kern w:val="1"/>
          <w:sz w:val="24"/>
          <w:szCs w:val="24"/>
          <w:highlight w:val="none"/>
        </w:rPr>
        <w:t>潜在</w:t>
      </w:r>
      <w:r>
        <w:rPr>
          <w:rFonts w:hint="eastAsia" w:ascii="宋体" w:hAnsi="宋体" w:cs="宋体"/>
          <w:b w:val="0"/>
          <w:bCs/>
          <w:i w:val="0"/>
          <w:iCs w:val="0"/>
          <w:caps w:val="0"/>
          <w:color w:val="auto"/>
          <w:spacing w:val="0"/>
          <w:kern w:val="1"/>
          <w:sz w:val="24"/>
          <w:szCs w:val="24"/>
          <w:highlight w:val="none"/>
          <w:lang w:eastAsia="zh-CN"/>
        </w:rPr>
        <w:t>供应商</w:t>
      </w:r>
      <w:r>
        <w:rPr>
          <w:rFonts w:hint="eastAsia" w:ascii="宋体" w:hAnsi="宋体" w:eastAsia="宋体" w:cs="宋体"/>
          <w:b w:val="0"/>
          <w:bCs/>
          <w:i w:val="0"/>
          <w:iCs w:val="0"/>
          <w:caps w:val="0"/>
          <w:color w:val="auto"/>
          <w:spacing w:val="0"/>
          <w:kern w:val="1"/>
          <w:sz w:val="24"/>
          <w:szCs w:val="24"/>
          <w:highlight w:val="none"/>
        </w:rPr>
        <w:t>登陆广西政府采购云平台（https://www.gcy.zfcg.gxzf.gov.cn/），在线自行下载竞争性磋商文件电子版</w:t>
      </w:r>
      <w:r>
        <w:rPr>
          <w:rFonts w:hint="eastAsia" w:ascii="宋体" w:hAnsi="宋体" w:eastAsia="宋体" w:cs="宋体"/>
          <w:b w:val="0"/>
          <w:bCs/>
          <w:i w:val="0"/>
          <w:iCs w:val="0"/>
          <w:caps w:val="0"/>
          <w:color w:val="auto"/>
          <w:spacing w:val="0"/>
          <w:kern w:val="1"/>
          <w:sz w:val="24"/>
          <w:szCs w:val="24"/>
          <w:highlight w:val="none"/>
          <w:lang w:eastAsia="zh-CN"/>
        </w:rPr>
        <w:t>。</w:t>
      </w:r>
    </w:p>
    <w:p w14:paraId="64BCA20C">
      <w:pPr>
        <w:spacing w:line="360" w:lineRule="auto"/>
        <w:ind w:firstLine="480" w:firstLineChars="200"/>
        <w:rPr>
          <w:rFonts w:ascii="宋体" w:hAnsi="宋体" w:cs="宋体"/>
          <w:b w:val="0"/>
          <w:bCs/>
          <w:color w:val="auto"/>
          <w:kern w:val="1"/>
          <w:sz w:val="24"/>
          <w:szCs w:val="24"/>
          <w:highlight w:val="none"/>
        </w:rPr>
      </w:pPr>
      <w:bookmarkStart w:id="4" w:name="_Toc28359015"/>
      <w:bookmarkStart w:id="5" w:name="_Toc35393801"/>
      <w:bookmarkStart w:id="6" w:name="_Toc35393632"/>
      <w:bookmarkStart w:id="7" w:name="_Toc28359092"/>
      <w:r>
        <w:rPr>
          <w:rFonts w:hint="eastAsia" w:ascii="宋体" w:hAnsi="宋体" w:cs="宋体"/>
          <w:b w:val="0"/>
          <w:bCs/>
          <w:color w:val="auto"/>
          <w:kern w:val="1"/>
          <w:sz w:val="24"/>
          <w:szCs w:val="24"/>
          <w:highlight w:val="none"/>
        </w:rPr>
        <w:t>售价（元）：0</w:t>
      </w:r>
    </w:p>
    <w:p w14:paraId="7CD1A233">
      <w:pPr>
        <w:adjustRightInd w:val="0"/>
        <w:snapToGrid w:val="0"/>
        <w:spacing w:line="360" w:lineRule="auto"/>
        <w:jc w:val="left"/>
        <w:rPr>
          <w:rFonts w:ascii="宋体" w:hAnsi="宋体"/>
          <w:b/>
          <w:color w:val="auto"/>
          <w:kern w:val="0"/>
          <w:sz w:val="24"/>
          <w:szCs w:val="20"/>
          <w:highlight w:val="none"/>
        </w:rPr>
      </w:pPr>
      <w:r>
        <w:rPr>
          <w:rFonts w:hint="eastAsia" w:ascii="宋体" w:hAnsi="宋体"/>
          <w:b/>
          <w:color w:val="auto"/>
          <w:kern w:val="0"/>
          <w:sz w:val="24"/>
          <w:szCs w:val="20"/>
          <w:highlight w:val="none"/>
        </w:rPr>
        <w:t>四、响应文件提交</w:t>
      </w:r>
      <w:bookmarkEnd w:id="4"/>
      <w:bookmarkEnd w:id="5"/>
      <w:bookmarkEnd w:id="6"/>
      <w:bookmarkEnd w:id="7"/>
    </w:p>
    <w:p w14:paraId="29F8D135">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截止时间：</w:t>
      </w:r>
      <w:r>
        <w:rPr>
          <w:rFonts w:hint="eastAsia" w:ascii="宋体" w:hAnsi="宋体"/>
          <w:color w:val="auto"/>
          <w:sz w:val="24"/>
          <w:highlight w:val="none"/>
          <w:u w:val="single"/>
          <w:lang w:eastAsia="zh-CN"/>
        </w:rPr>
        <w:t>2026</w:t>
      </w:r>
      <w:r>
        <w:rPr>
          <w:rFonts w:hint="eastAsia" w:ascii="宋体" w:hAnsi="宋体"/>
          <w:bCs/>
          <w:color w:val="auto"/>
          <w:sz w:val="24"/>
          <w:highlight w:val="none"/>
          <w:u w:val="single"/>
        </w:rPr>
        <w:t>年</w:t>
      </w:r>
      <w:r>
        <w:rPr>
          <w:rFonts w:hint="eastAsia" w:ascii="宋体" w:hAnsi="宋体"/>
          <w:bCs/>
          <w:color w:val="auto"/>
          <w:sz w:val="24"/>
          <w:highlight w:val="none"/>
          <w:u w:val="single"/>
          <w:lang w:val="en-US" w:eastAsia="zh-CN"/>
        </w:rPr>
        <w:t>09</w:t>
      </w:r>
      <w:r>
        <w:rPr>
          <w:rFonts w:hint="eastAsia" w:ascii="宋体" w:hAnsi="宋体"/>
          <w:bCs/>
          <w:color w:val="auto"/>
          <w:sz w:val="24"/>
          <w:highlight w:val="none"/>
          <w:u w:val="single"/>
        </w:rPr>
        <w:t>月</w:t>
      </w:r>
      <w:r>
        <w:rPr>
          <w:rFonts w:hint="eastAsia" w:ascii="宋体" w:hAnsi="宋体"/>
          <w:bCs/>
          <w:color w:val="auto"/>
          <w:sz w:val="24"/>
          <w:highlight w:val="none"/>
          <w:u w:val="single"/>
          <w:lang w:val="en-US" w:eastAsia="zh-CN"/>
        </w:rPr>
        <w:t>15</w:t>
      </w:r>
      <w:r>
        <w:rPr>
          <w:rFonts w:hint="eastAsia" w:ascii="宋体" w:hAnsi="宋体"/>
          <w:bCs/>
          <w:color w:val="auto"/>
          <w:sz w:val="24"/>
          <w:highlight w:val="none"/>
          <w:u w:val="single"/>
        </w:rPr>
        <w:t>日</w:t>
      </w:r>
      <w:r>
        <w:rPr>
          <w:rFonts w:hint="eastAsia" w:ascii="宋体" w:hAnsi="宋体"/>
          <w:bCs/>
          <w:color w:val="auto"/>
          <w:sz w:val="24"/>
          <w:highlight w:val="none"/>
          <w:u w:val="single"/>
          <w:lang w:val="en-US" w:eastAsia="zh-CN"/>
        </w:rPr>
        <w:t>09时00</w:t>
      </w:r>
      <w:r>
        <w:rPr>
          <w:rFonts w:hint="eastAsia" w:ascii="宋体" w:hAnsi="宋体"/>
          <w:bCs/>
          <w:color w:val="auto"/>
          <w:sz w:val="24"/>
          <w:highlight w:val="none"/>
          <w:u w:val="single"/>
        </w:rPr>
        <w:t>分</w:t>
      </w:r>
      <w:r>
        <w:rPr>
          <w:rFonts w:hint="eastAsia" w:ascii="宋体" w:hAnsi="宋体"/>
          <w:bCs/>
          <w:color w:val="auto"/>
          <w:sz w:val="24"/>
          <w:highlight w:val="none"/>
        </w:rPr>
        <w:t>（北京时间）</w:t>
      </w:r>
    </w:p>
    <w:p w14:paraId="349C273F">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地点（网址）：</w:t>
      </w:r>
      <w:r>
        <w:rPr>
          <w:rFonts w:hint="eastAsia" w:ascii="宋体" w:hAnsi="宋体" w:eastAsia="宋体" w:cs="宋体"/>
          <w:i w:val="0"/>
          <w:iCs w:val="0"/>
          <w:caps w:val="0"/>
          <w:color w:val="auto"/>
          <w:spacing w:val="0"/>
          <w:kern w:val="1"/>
          <w:sz w:val="24"/>
          <w:szCs w:val="24"/>
          <w:highlight w:val="none"/>
        </w:rPr>
        <w:t>通过广西政府采购云平台实行在线投标响应</w:t>
      </w:r>
      <w:r>
        <w:rPr>
          <w:rFonts w:hint="eastAsia" w:ascii="宋体" w:hAnsi="宋体" w:cs="仿宋_GB2312"/>
          <w:b/>
          <w:color w:val="auto"/>
          <w:sz w:val="24"/>
          <w:highlight w:val="none"/>
        </w:rPr>
        <w:t>。</w:t>
      </w:r>
    </w:p>
    <w:p w14:paraId="148AF086">
      <w:pPr>
        <w:adjustRightInd w:val="0"/>
        <w:snapToGrid w:val="0"/>
        <w:spacing w:line="360" w:lineRule="auto"/>
        <w:jc w:val="left"/>
        <w:rPr>
          <w:rFonts w:ascii="宋体" w:hAnsi="宋体"/>
          <w:b/>
          <w:color w:val="auto"/>
          <w:kern w:val="0"/>
          <w:sz w:val="24"/>
          <w:szCs w:val="20"/>
          <w:highlight w:val="none"/>
        </w:rPr>
      </w:pPr>
      <w:bookmarkStart w:id="8" w:name="_Toc28359016"/>
      <w:bookmarkStart w:id="9" w:name="_Toc35393633"/>
      <w:bookmarkStart w:id="10" w:name="_Toc28359093"/>
      <w:bookmarkStart w:id="11" w:name="_Toc35393802"/>
      <w:r>
        <w:rPr>
          <w:rFonts w:hint="eastAsia" w:ascii="宋体" w:hAnsi="宋体"/>
          <w:b/>
          <w:color w:val="auto"/>
          <w:kern w:val="0"/>
          <w:sz w:val="24"/>
          <w:szCs w:val="20"/>
          <w:highlight w:val="none"/>
        </w:rPr>
        <w:t>五、响应文件开启</w:t>
      </w:r>
      <w:bookmarkEnd w:id="8"/>
      <w:bookmarkEnd w:id="9"/>
      <w:bookmarkEnd w:id="10"/>
      <w:bookmarkEnd w:id="11"/>
    </w:p>
    <w:p w14:paraId="081E58B6">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lang w:val="en-US" w:eastAsia="zh-CN"/>
        </w:rPr>
        <w:t>开启</w:t>
      </w:r>
      <w:r>
        <w:rPr>
          <w:rFonts w:hint="eastAsia" w:ascii="宋体" w:hAnsi="宋体"/>
          <w:color w:val="auto"/>
          <w:sz w:val="24"/>
          <w:highlight w:val="none"/>
        </w:rPr>
        <w:t>时间：</w:t>
      </w:r>
      <w:r>
        <w:rPr>
          <w:rFonts w:hint="eastAsia" w:ascii="宋体" w:hAnsi="宋体"/>
          <w:color w:val="auto"/>
          <w:sz w:val="24"/>
          <w:highlight w:val="none"/>
          <w:u w:val="single"/>
          <w:lang w:eastAsia="zh-CN"/>
        </w:rPr>
        <w:t>2026</w:t>
      </w:r>
      <w:r>
        <w:rPr>
          <w:rFonts w:hint="eastAsia" w:ascii="宋体" w:hAnsi="宋体"/>
          <w:bCs/>
          <w:color w:val="auto"/>
          <w:sz w:val="24"/>
          <w:highlight w:val="none"/>
          <w:u w:val="single"/>
        </w:rPr>
        <w:t>年</w:t>
      </w:r>
      <w:r>
        <w:rPr>
          <w:rFonts w:hint="eastAsia" w:ascii="宋体" w:hAnsi="宋体"/>
          <w:bCs/>
          <w:color w:val="auto"/>
          <w:sz w:val="24"/>
          <w:highlight w:val="none"/>
          <w:u w:val="single"/>
          <w:lang w:val="en-US" w:eastAsia="zh-CN"/>
        </w:rPr>
        <w:t>09</w:t>
      </w:r>
      <w:r>
        <w:rPr>
          <w:rFonts w:hint="eastAsia" w:ascii="宋体" w:hAnsi="宋体"/>
          <w:bCs/>
          <w:color w:val="auto"/>
          <w:sz w:val="24"/>
          <w:highlight w:val="none"/>
          <w:u w:val="single"/>
        </w:rPr>
        <w:t>月</w:t>
      </w:r>
      <w:r>
        <w:rPr>
          <w:rFonts w:hint="eastAsia" w:ascii="宋体" w:hAnsi="宋体"/>
          <w:bCs/>
          <w:color w:val="auto"/>
          <w:sz w:val="24"/>
          <w:highlight w:val="none"/>
          <w:u w:val="single"/>
          <w:lang w:val="en-US" w:eastAsia="zh-CN"/>
        </w:rPr>
        <w:t>15</w:t>
      </w:r>
      <w:r>
        <w:rPr>
          <w:rFonts w:hint="eastAsia" w:ascii="宋体" w:hAnsi="宋体"/>
          <w:bCs/>
          <w:color w:val="auto"/>
          <w:sz w:val="24"/>
          <w:highlight w:val="none"/>
          <w:u w:val="single"/>
        </w:rPr>
        <w:t>日</w:t>
      </w:r>
      <w:r>
        <w:rPr>
          <w:rFonts w:hint="eastAsia" w:ascii="宋体" w:hAnsi="宋体"/>
          <w:bCs/>
          <w:color w:val="auto"/>
          <w:sz w:val="24"/>
          <w:highlight w:val="none"/>
          <w:u w:val="single"/>
          <w:lang w:val="en-US" w:eastAsia="zh-CN"/>
        </w:rPr>
        <w:t>09时00</w:t>
      </w:r>
      <w:r>
        <w:rPr>
          <w:rFonts w:hint="eastAsia" w:ascii="宋体" w:hAnsi="宋体"/>
          <w:bCs/>
          <w:color w:val="auto"/>
          <w:sz w:val="24"/>
          <w:highlight w:val="none"/>
          <w:u w:val="single"/>
        </w:rPr>
        <w:t>分</w:t>
      </w:r>
      <w:r>
        <w:rPr>
          <w:rFonts w:hint="eastAsia" w:ascii="宋体" w:hAnsi="宋体"/>
          <w:bCs/>
          <w:color w:val="auto"/>
          <w:sz w:val="24"/>
          <w:highlight w:val="none"/>
        </w:rPr>
        <w:t>（北京时间）</w:t>
      </w:r>
    </w:p>
    <w:p w14:paraId="2DA8EB9F">
      <w:pPr>
        <w:adjustRightInd w:val="0"/>
        <w:spacing w:line="360" w:lineRule="auto"/>
        <w:ind w:firstLine="480" w:firstLineChars="200"/>
        <w:rPr>
          <w:rFonts w:ascii="宋体" w:hAnsi="宋体"/>
          <w:bCs/>
          <w:color w:val="auto"/>
          <w:sz w:val="24"/>
          <w:highlight w:val="none"/>
          <w:u w:val="single"/>
        </w:rPr>
      </w:pPr>
      <w:r>
        <w:rPr>
          <w:rFonts w:hint="eastAsia" w:ascii="宋体" w:hAnsi="宋体"/>
          <w:color w:val="auto"/>
          <w:sz w:val="24"/>
          <w:highlight w:val="none"/>
        </w:rPr>
        <w:t>地点：</w:t>
      </w:r>
      <w:r>
        <w:rPr>
          <w:rFonts w:hint="eastAsia" w:cs="宋体"/>
          <w:color w:val="auto"/>
          <w:kern w:val="1"/>
          <w:sz w:val="24"/>
          <w:szCs w:val="24"/>
          <w:highlight w:val="none"/>
        </w:rPr>
        <w:t>通过广西政府采购云平台实行在线解密开启</w:t>
      </w:r>
      <w:r>
        <w:rPr>
          <w:rFonts w:hint="eastAsia" w:ascii="宋体" w:hAnsi="宋体" w:cs="宋体"/>
          <w:color w:val="auto"/>
          <w:sz w:val="24"/>
          <w:highlight w:val="none"/>
        </w:rPr>
        <w:t>。</w:t>
      </w:r>
    </w:p>
    <w:p w14:paraId="2D7A441A">
      <w:pPr>
        <w:adjustRightInd w:val="0"/>
        <w:snapToGrid w:val="0"/>
        <w:spacing w:line="360" w:lineRule="auto"/>
        <w:jc w:val="left"/>
        <w:rPr>
          <w:rFonts w:ascii="宋体" w:hAnsi="宋体"/>
          <w:b/>
          <w:color w:val="auto"/>
          <w:kern w:val="0"/>
          <w:sz w:val="24"/>
          <w:szCs w:val="20"/>
          <w:highlight w:val="none"/>
        </w:rPr>
      </w:pPr>
      <w:bookmarkStart w:id="12" w:name="_Toc28359094"/>
      <w:bookmarkStart w:id="13" w:name="_Toc35393803"/>
      <w:bookmarkStart w:id="14" w:name="_Toc28359017"/>
      <w:bookmarkStart w:id="15" w:name="_Toc35393634"/>
      <w:r>
        <w:rPr>
          <w:rFonts w:hint="eastAsia" w:ascii="宋体" w:hAnsi="宋体"/>
          <w:b/>
          <w:color w:val="auto"/>
          <w:kern w:val="0"/>
          <w:sz w:val="24"/>
          <w:szCs w:val="20"/>
          <w:highlight w:val="none"/>
        </w:rPr>
        <w:t>六、公告期限</w:t>
      </w:r>
      <w:bookmarkEnd w:id="12"/>
      <w:bookmarkEnd w:id="13"/>
      <w:bookmarkEnd w:id="14"/>
      <w:bookmarkEnd w:id="15"/>
    </w:p>
    <w:p w14:paraId="689D93A1">
      <w:pPr>
        <w:adjustRightIn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个工作日。</w:t>
      </w:r>
    </w:p>
    <w:p w14:paraId="6F5F36AB">
      <w:pPr>
        <w:adjustRightInd w:val="0"/>
        <w:snapToGrid w:val="0"/>
        <w:spacing w:line="360" w:lineRule="auto"/>
        <w:jc w:val="left"/>
        <w:rPr>
          <w:rFonts w:ascii="宋体" w:hAnsi="宋体"/>
          <w:b/>
          <w:color w:val="auto"/>
          <w:kern w:val="0"/>
          <w:sz w:val="24"/>
          <w:szCs w:val="20"/>
          <w:highlight w:val="none"/>
        </w:rPr>
      </w:pPr>
      <w:bookmarkStart w:id="16" w:name="_Toc35393635"/>
      <w:bookmarkStart w:id="17" w:name="_Toc35393804"/>
      <w:r>
        <w:rPr>
          <w:rFonts w:hint="eastAsia" w:ascii="宋体" w:hAnsi="宋体"/>
          <w:b/>
          <w:color w:val="auto"/>
          <w:kern w:val="0"/>
          <w:sz w:val="24"/>
          <w:szCs w:val="20"/>
          <w:highlight w:val="none"/>
        </w:rPr>
        <w:t>七、其他补充事宜</w:t>
      </w:r>
      <w:bookmarkEnd w:id="16"/>
      <w:bookmarkEnd w:id="17"/>
    </w:p>
    <w:p w14:paraId="3706CFD1">
      <w:pPr>
        <w:snapToGrid w:val="0"/>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1.磋商保证金：</w:t>
      </w:r>
      <w:r>
        <w:rPr>
          <w:rFonts w:hint="eastAsia" w:ascii="宋体" w:hAnsi="宋体" w:cs="宋体"/>
          <w:color w:val="auto"/>
          <w:sz w:val="24"/>
          <w:highlight w:val="none"/>
          <w:lang w:val="en-US" w:eastAsia="zh-CN"/>
        </w:rPr>
        <w:t>本项目不收取磋商保证金。</w:t>
      </w:r>
    </w:p>
    <w:p w14:paraId="7DD6F509">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本项目需要落实的政府采购政策：（1）支持采用本国产品：政府采购应当采购本国产品，确需采购进口产品的，实行审核管理。优先采购向我国企业转让技术、与我国企业签订消化吸收再创新方案的供应商的进口产品。（2）支持绿色发展：落实强制采购节能产品、鼓励节能政策；鼓励环保政策；推广使用绿色包装；采购绿色建材等。（3）支持中小企业发展：采购限额标准以上，200 万元以下的货物和服务采购项目、400万元以下的工程采购项目，适宜由中小企业提供的，采购人应当专门面向中小企业采购。超过 200万元的货物和服务采购项目、超过400 万元的工程采购项目中适宜由中小企业提供的，预留该部分采购项目预算总额的 30%以上专门面向中小企业采购，其中预留给小微企业的比例不低于60%。对于未预留份额专门面向中小企业采购的政府采购工程项目，以及预留份额政府采购工程项目中的非预留部分标项，对小型和微型企业的磋商报价给予3%-5%的扣除，用扣除后的价格参与评审。（4）支持监狱企业、残疾人福利性单位发展：监狱企业、残疾人福利性单位视同小型和微型企业。（5）支持创新发展：优先采购被认定为首台</w:t>
      </w:r>
      <w:r>
        <w:rPr>
          <w:rFonts w:hint="eastAsia" w:ascii="宋体" w:hAnsi="宋体" w:cs="宋体"/>
          <w:color w:val="auto"/>
          <w:sz w:val="24"/>
          <w:highlight w:val="none"/>
          <w:lang w:val="en-US" w:eastAsia="zh-CN"/>
        </w:rPr>
        <w:t>/首</w:t>
      </w:r>
      <w:r>
        <w:rPr>
          <w:rFonts w:hint="eastAsia" w:ascii="宋体" w:hAnsi="宋体" w:cs="宋体"/>
          <w:color w:val="auto"/>
          <w:sz w:val="24"/>
          <w:highlight w:val="none"/>
        </w:rPr>
        <w:t>套产品和“制造精品”的自主创新产品。（6）平等对待内外资企业和符合条件的破产重整企业。</w:t>
      </w:r>
    </w:p>
    <w:p w14:paraId="31880191">
      <w:pPr>
        <w:adjustRightInd w:val="0"/>
        <w:spacing w:line="360" w:lineRule="auto"/>
        <w:ind w:firstLine="480" w:firstLineChars="200"/>
        <w:rPr>
          <w:rFonts w:hint="eastAsia" w:ascii="宋体" w:hAnsi="宋体" w:cs="宋体"/>
          <w:snapToGrid w:val="0"/>
          <w:color w:val="auto"/>
          <w:kern w:val="28"/>
          <w:sz w:val="24"/>
          <w:highlight w:val="none"/>
        </w:rPr>
      </w:pPr>
      <w:r>
        <w:rPr>
          <w:rFonts w:hint="eastAsia" w:ascii="宋体" w:hAnsi="宋体" w:cs="宋体"/>
          <w:snapToGrid w:val="0"/>
          <w:color w:val="auto"/>
          <w:kern w:val="28"/>
          <w:sz w:val="24"/>
          <w:highlight w:val="none"/>
        </w:rPr>
        <w:t>3.</w:t>
      </w:r>
      <w:r>
        <w:rPr>
          <w:rFonts w:hint="eastAsia" w:ascii="宋体" w:hAnsi="宋体" w:cs="宋体"/>
          <w:snapToGrid w:val="0"/>
          <w:color w:val="auto"/>
          <w:kern w:val="28"/>
          <w:sz w:val="24"/>
          <w:highlight w:val="none"/>
          <w:lang w:val="en-US" w:eastAsia="zh-CN"/>
        </w:rPr>
        <w:t>其他要求：（1）</w:t>
      </w:r>
      <w:r>
        <w:rPr>
          <w:rFonts w:hint="eastAsia" w:ascii="宋体" w:hAnsi="宋体" w:cs="宋体"/>
          <w:snapToGrid w:val="0"/>
          <w:color w:val="auto"/>
          <w:kern w:val="28"/>
          <w:sz w:val="24"/>
          <w:highlight w:val="none"/>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544D0418">
      <w:pPr>
        <w:adjustRightInd w:val="0"/>
        <w:spacing w:line="360" w:lineRule="auto"/>
        <w:ind w:firstLine="480" w:firstLineChars="200"/>
        <w:rPr>
          <w:rFonts w:hint="eastAsia" w:ascii="宋体" w:hAnsi="宋体" w:cs="宋体"/>
          <w:snapToGrid w:val="0"/>
          <w:color w:val="auto"/>
          <w:kern w:val="28"/>
          <w:sz w:val="24"/>
          <w:highlight w:val="none"/>
          <w:lang w:val="en-US" w:eastAsia="zh-CN"/>
        </w:rPr>
      </w:pPr>
      <w:r>
        <w:rPr>
          <w:rFonts w:hint="eastAsia" w:ascii="宋体" w:hAnsi="宋体" w:cs="宋体"/>
          <w:snapToGrid w:val="0"/>
          <w:color w:val="auto"/>
          <w:kern w:val="28"/>
          <w:sz w:val="24"/>
          <w:highlight w:val="none"/>
          <w:lang w:eastAsia="zh-CN"/>
        </w:rPr>
        <w:t>（</w:t>
      </w:r>
      <w:r>
        <w:rPr>
          <w:rFonts w:hint="eastAsia" w:ascii="宋体" w:hAnsi="宋体" w:cs="宋体"/>
          <w:snapToGrid w:val="0"/>
          <w:color w:val="auto"/>
          <w:kern w:val="28"/>
          <w:sz w:val="24"/>
          <w:highlight w:val="none"/>
          <w:lang w:val="en-US" w:eastAsia="zh-CN"/>
        </w:rPr>
        <w:t>2</w:t>
      </w:r>
      <w:r>
        <w:rPr>
          <w:rFonts w:hint="eastAsia" w:ascii="宋体" w:hAnsi="宋体" w:cs="宋体"/>
          <w:snapToGrid w:val="0"/>
          <w:color w:val="auto"/>
          <w:kern w:val="28"/>
          <w:sz w:val="24"/>
          <w:highlight w:val="none"/>
          <w:lang w:eastAsia="zh-CN"/>
        </w:rPr>
        <w:t>）</w:t>
      </w:r>
      <w:r>
        <w:rPr>
          <w:rFonts w:hint="eastAsia" w:ascii="宋体" w:hAnsi="宋体" w:cs="宋体"/>
          <w:snapToGrid w:val="0"/>
          <w:color w:val="auto"/>
          <w:kern w:val="28"/>
          <w:sz w:val="24"/>
          <w:highlight w:val="none"/>
        </w:rPr>
        <w:t>未被“信用中国”（www.creditchina.gov.cn)、中国政府采购网（www.ccgp.gov.cn）列入失信被执行人、</w:t>
      </w:r>
      <w:r>
        <w:rPr>
          <w:rFonts w:hint="eastAsia" w:ascii="宋体" w:hAnsi="宋体" w:cs="宋体"/>
          <w:snapToGrid w:val="0"/>
          <w:color w:val="auto"/>
          <w:kern w:val="28"/>
          <w:sz w:val="24"/>
          <w:highlight w:val="none"/>
          <w:lang w:eastAsia="zh-CN"/>
        </w:rPr>
        <w:t>重大税收违法失信主体名单</w:t>
      </w:r>
      <w:r>
        <w:rPr>
          <w:rFonts w:hint="eastAsia" w:ascii="宋体" w:hAnsi="宋体" w:cs="宋体"/>
          <w:snapToGrid w:val="0"/>
          <w:color w:val="auto"/>
          <w:kern w:val="28"/>
          <w:sz w:val="24"/>
          <w:highlight w:val="none"/>
        </w:rPr>
        <w:t>、政府采购严重违法失信行为记录名单</w:t>
      </w:r>
      <w:r>
        <w:rPr>
          <w:rFonts w:hint="eastAsia" w:ascii="宋体" w:hAnsi="宋体" w:cs="宋体"/>
          <w:snapToGrid w:val="0"/>
          <w:color w:val="auto"/>
          <w:kern w:val="28"/>
          <w:sz w:val="24"/>
          <w:highlight w:val="none"/>
          <w:lang w:eastAsia="zh-CN"/>
        </w:rPr>
        <w:t>。</w:t>
      </w:r>
    </w:p>
    <w:p w14:paraId="221EA144">
      <w:pPr>
        <w:adjustRightInd w:val="0"/>
        <w:spacing w:line="360" w:lineRule="auto"/>
        <w:ind w:firstLine="480" w:firstLineChars="200"/>
        <w:rPr>
          <w:color w:val="auto"/>
          <w:highlight w:val="none"/>
        </w:rPr>
      </w:pPr>
      <w:r>
        <w:rPr>
          <w:rFonts w:hint="eastAsia" w:ascii="宋体" w:hAnsi="宋体" w:cs="宋体"/>
          <w:snapToGrid w:val="0"/>
          <w:color w:val="auto"/>
          <w:kern w:val="28"/>
          <w:sz w:val="24"/>
          <w:highlight w:val="none"/>
          <w:lang w:val="en-US" w:eastAsia="zh-CN"/>
        </w:rPr>
        <w:t>4.</w:t>
      </w:r>
      <w:r>
        <w:rPr>
          <w:rFonts w:hint="eastAsia" w:ascii="宋体" w:hAnsi="宋体" w:cs="宋体"/>
          <w:snapToGrid w:val="0"/>
          <w:color w:val="auto"/>
          <w:kern w:val="28"/>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477C550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.网上公告媒体查询：</w:t>
      </w:r>
      <w:r>
        <w:rPr>
          <w:rFonts w:hint="eastAsia" w:ascii="宋体" w:hAnsi="宋体" w:cs="宋体"/>
          <w:color w:val="auto"/>
          <w:sz w:val="24"/>
          <w:highlight w:val="none"/>
          <w:lang w:val="en-US" w:eastAsia="zh-CN"/>
        </w:rPr>
        <w:t>中国政府采购网(www.ccgp.gov.cn)、广西壮族自治区政府采购网（http://zfcg.gxzf.gov.cn/）</w:t>
      </w:r>
      <w:r>
        <w:rPr>
          <w:rFonts w:hint="eastAsia" w:ascii="宋体" w:hAnsi="宋体" w:cs="宋体"/>
          <w:color w:val="auto"/>
          <w:sz w:val="24"/>
          <w:highlight w:val="none"/>
        </w:rPr>
        <w:t>。</w:t>
      </w:r>
    </w:p>
    <w:p w14:paraId="1032E445">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2A69019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w:t>
      </w:r>
      <w:r>
        <w:rPr>
          <w:rFonts w:hint="eastAsia" w:ascii="宋体" w:hAnsi="宋体" w:cs="宋体"/>
          <w:color w:val="auto"/>
          <w:sz w:val="24"/>
          <w:szCs w:val="24"/>
          <w:highlight w:val="none"/>
        </w:rPr>
        <w:t>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r>
        <w:rPr>
          <w:rFonts w:hint="eastAsia" w:ascii="宋体" w:hAnsi="宋体" w:cs="宋体"/>
          <w:color w:val="auto"/>
          <w:sz w:val="24"/>
          <w:highlight w:val="none"/>
        </w:rPr>
        <w:t>。</w:t>
      </w:r>
    </w:p>
    <w:p w14:paraId="7E074B76">
      <w:pPr>
        <w:adjustRightInd w:val="0"/>
        <w:spacing w:line="360" w:lineRule="auto"/>
        <w:ind w:firstLine="480" w:firstLineChars="200"/>
        <w:rPr>
          <w:rFonts w:ascii="宋体" w:hAnsi="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.本项目采用远程异地评标。</w:t>
      </w:r>
    </w:p>
    <w:p w14:paraId="50A2551B">
      <w:pPr>
        <w:adjustRightInd w:val="0"/>
        <w:snapToGrid w:val="0"/>
        <w:spacing w:line="360" w:lineRule="auto"/>
        <w:jc w:val="left"/>
        <w:rPr>
          <w:rFonts w:ascii="宋体" w:hAnsi="宋体"/>
          <w:b/>
          <w:color w:val="auto"/>
          <w:kern w:val="0"/>
          <w:sz w:val="24"/>
          <w:szCs w:val="20"/>
          <w:highlight w:val="none"/>
        </w:rPr>
      </w:pPr>
      <w:bookmarkStart w:id="18" w:name="_Toc35393636"/>
      <w:bookmarkStart w:id="19" w:name="_Toc28359018"/>
      <w:bookmarkStart w:id="20" w:name="_Toc35393805"/>
      <w:bookmarkStart w:id="21" w:name="_Toc28359095"/>
      <w:r>
        <w:rPr>
          <w:rFonts w:hint="eastAsia" w:ascii="宋体" w:hAnsi="宋体"/>
          <w:b/>
          <w:color w:val="auto"/>
          <w:kern w:val="0"/>
          <w:sz w:val="24"/>
          <w:szCs w:val="20"/>
          <w:highlight w:val="none"/>
        </w:rPr>
        <w:t>八、凡对本次采购提出询问、质疑、投诉，请按以下方式联系</w:t>
      </w:r>
      <w:bookmarkEnd w:id="18"/>
      <w:bookmarkEnd w:id="19"/>
      <w:bookmarkEnd w:id="20"/>
      <w:bookmarkEnd w:id="21"/>
    </w:p>
    <w:p w14:paraId="7465E028">
      <w:pPr>
        <w:adjustRightIn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1.采购人信息</w:t>
      </w:r>
    </w:p>
    <w:p w14:paraId="3891F4E6">
      <w:pPr>
        <w:adjustRightInd w:val="0"/>
        <w:spacing w:line="360" w:lineRule="auto"/>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北海市海城区教育局</w:t>
      </w:r>
    </w:p>
    <w:p w14:paraId="0D90B9FE">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地    址：广西壮族自治区北海市</w:t>
      </w:r>
      <w:r>
        <w:rPr>
          <w:rFonts w:hint="eastAsia" w:ascii="宋体" w:hAnsi="宋体" w:cs="宋体"/>
          <w:color w:val="auto"/>
          <w:sz w:val="24"/>
          <w:highlight w:val="none"/>
          <w:lang w:val="en-US" w:eastAsia="zh-CN"/>
        </w:rPr>
        <w:t>海城区贵州路52号</w:t>
      </w:r>
      <w:r>
        <w:rPr>
          <w:rFonts w:hint="eastAsia" w:ascii="宋体" w:hAnsi="宋体" w:cs="宋体"/>
          <w:color w:val="auto"/>
          <w:sz w:val="24"/>
          <w:highlight w:val="none"/>
        </w:rPr>
        <w:t xml:space="preserve">        </w:t>
      </w:r>
    </w:p>
    <w:p w14:paraId="4548286D">
      <w:pPr>
        <w:adjustRightIn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项目联系人：</w:t>
      </w:r>
      <w:r>
        <w:rPr>
          <w:rFonts w:hint="eastAsia" w:ascii="宋体" w:hAnsi="宋体" w:cs="宋体"/>
          <w:color w:val="auto"/>
          <w:sz w:val="24"/>
          <w:highlight w:val="none"/>
          <w:lang w:val="en-US" w:eastAsia="zh-CN"/>
        </w:rPr>
        <w:t>黄俊超</w:t>
      </w:r>
      <w:r>
        <w:rPr>
          <w:rFonts w:hint="eastAsia" w:ascii="宋体" w:hAnsi="宋体" w:cs="宋体"/>
          <w:color w:val="auto"/>
          <w:sz w:val="24"/>
          <w:highlight w:val="none"/>
        </w:rPr>
        <w:t xml:space="preserve">  </w:t>
      </w:r>
    </w:p>
    <w:p w14:paraId="7C8E509E">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项目联系方式：</w:t>
      </w:r>
      <w:r>
        <w:rPr>
          <w:rFonts w:hint="eastAsia" w:ascii="宋体" w:hAnsi="宋体" w:cs="宋体"/>
          <w:color w:val="auto"/>
          <w:sz w:val="24"/>
          <w:highlight w:val="none"/>
          <w:lang w:val="en-US" w:eastAsia="zh-CN"/>
        </w:rPr>
        <w:t xml:space="preserve">0779-2039586 </w:t>
      </w:r>
    </w:p>
    <w:p w14:paraId="4DF4BE39">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w:t>
      </w:r>
    </w:p>
    <w:p w14:paraId="442218D5">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2.采购代理机构信息            </w:t>
      </w:r>
    </w:p>
    <w:p w14:paraId="305A835C">
      <w:pPr>
        <w:adjustRightIn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名    称：</w:t>
      </w:r>
      <w:r>
        <w:rPr>
          <w:rFonts w:hint="eastAsia" w:ascii="宋体" w:hAnsi="宋体" w:cs="宋体"/>
          <w:color w:val="auto"/>
          <w:sz w:val="24"/>
          <w:szCs w:val="24"/>
          <w:highlight w:val="none"/>
          <w:lang w:eastAsia="zh-CN"/>
        </w:rPr>
        <w:t>广西北部湾宏亚建设管理有限公司</w:t>
      </w:r>
    </w:p>
    <w:p w14:paraId="0472E1C3">
      <w:pPr>
        <w:adjustRightInd w:val="0"/>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    址：</w:t>
      </w:r>
      <w:r>
        <w:rPr>
          <w:rFonts w:hint="eastAsia" w:ascii="宋体" w:hAnsi="宋体" w:cs="宋体"/>
          <w:b w:val="0"/>
          <w:bCs w:val="0"/>
          <w:color w:val="auto"/>
          <w:sz w:val="24"/>
          <w:szCs w:val="24"/>
          <w:highlight w:val="none"/>
          <w:lang w:eastAsia="zh-CN"/>
        </w:rPr>
        <w:t>广西壮族自治区北海市海城区银河城市科技产业城2栋0101号</w:t>
      </w:r>
    </w:p>
    <w:p w14:paraId="6CFDA549">
      <w:pPr>
        <w:adjustRightInd w:val="0"/>
        <w:spacing w:line="360" w:lineRule="auto"/>
        <w:rPr>
          <w:rFonts w:ascii="宋体" w:hAnsi="宋体" w:cs="宋体"/>
          <w:color w:val="auto"/>
          <w:sz w:val="24"/>
          <w:highlight w:val="none"/>
        </w:rPr>
      </w:pPr>
      <w:r>
        <w:rPr>
          <w:rFonts w:hint="eastAsia" w:ascii="宋体" w:hAnsi="宋体" w:cs="宋体"/>
          <w:color w:val="auto"/>
          <w:sz w:val="24"/>
          <w:highlight w:val="none"/>
        </w:rPr>
        <w:t xml:space="preserve">    项目联系人（询问）：</w:t>
      </w:r>
      <w:r>
        <w:rPr>
          <w:rFonts w:hint="eastAsia" w:ascii="宋体" w:hAnsi="宋体" w:cs="宋体"/>
          <w:color w:val="auto"/>
          <w:sz w:val="24"/>
          <w:highlight w:val="none"/>
          <w:lang w:val="en-US" w:eastAsia="zh-CN"/>
        </w:rPr>
        <w:t>韦丽丹</w:t>
      </w:r>
      <w:r>
        <w:rPr>
          <w:rFonts w:hint="eastAsia" w:ascii="宋体" w:hAnsi="宋体" w:cs="宋体"/>
          <w:color w:val="auto"/>
          <w:sz w:val="24"/>
          <w:highlight w:val="none"/>
        </w:rPr>
        <w:t xml:space="preserve"> </w:t>
      </w:r>
    </w:p>
    <w:p w14:paraId="6BC0E3D8">
      <w:pPr>
        <w:tabs>
          <w:tab w:val="left" w:pos="9639"/>
          <w:tab w:val="left" w:pos="9746"/>
        </w:tabs>
        <w:adjustRightInd w:val="0"/>
        <w:snapToGrid w:val="0"/>
        <w:ind w:firstLine="480" w:firstLineChars="200"/>
        <w:rPr>
          <w:rFonts w:ascii="宋体" w:hAnsi="宋体" w:cs="宋体"/>
          <w:color w:val="auto"/>
          <w:kern w:val="0"/>
          <w:sz w:val="24"/>
          <w:szCs w:val="24"/>
          <w:highlight w:val="none"/>
        </w:rPr>
      </w:pPr>
      <w:r>
        <w:rPr>
          <w:rFonts w:hint="eastAsia" w:ascii="宋体" w:hAnsi="宋体" w:cs="宋体"/>
          <w:color w:val="auto"/>
          <w:sz w:val="24"/>
          <w:highlight w:val="none"/>
        </w:rPr>
        <w:t>项目联系方式（询问）：</w:t>
      </w:r>
      <w:r>
        <w:rPr>
          <w:rFonts w:hint="eastAsia" w:ascii="宋体" w:hAnsi="宋体" w:cs="宋体"/>
          <w:color w:val="auto"/>
          <w:sz w:val="24"/>
          <w:highlight w:val="none"/>
          <w:lang w:eastAsia="zh-CN"/>
        </w:rPr>
        <w:t>0779-</w:t>
      </w:r>
      <w:r>
        <w:rPr>
          <w:rFonts w:hint="eastAsia" w:ascii="宋体" w:hAnsi="宋体" w:cs="宋体"/>
          <w:color w:val="auto"/>
          <w:sz w:val="24"/>
          <w:highlight w:val="none"/>
          <w:lang w:val="en-US" w:eastAsia="zh-CN"/>
        </w:rPr>
        <w:t>3928925</w:t>
      </w:r>
    </w:p>
    <w:p w14:paraId="53022080">
      <w:pPr>
        <w:tabs>
          <w:tab w:val="left" w:pos="9639"/>
          <w:tab w:val="left" w:pos="9746"/>
        </w:tabs>
        <w:adjustRightInd w:val="0"/>
        <w:snapToGrid w:val="0"/>
        <w:ind w:firstLine="6377" w:firstLineChars="3037"/>
        <w:rPr>
          <w:rFonts w:ascii="宋体" w:hAnsi="宋体" w:cs="宋体"/>
          <w:color w:val="auto"/>
          <w:kern w:val="0"/>
          <w:szCs w:val="21"/>
          <w:highlight w:val="none"/>
        </w:rPr>
      </w:pPr>
    </w:p>
    <w:p w14:paraId="1C435E8F">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若对项目采购电子交易系统操作有疑问，可登录广西政府采购云平台（https://www.zcygov.cn/），点击右侧咨询小采，获取采小蜜智能服务管家帮助，或拨打广西政府采购云平台服务热线95763获取热线服务帮助。</w:t>
      </w:r>
    </w:p>
    <w:p w14:paraId="612ABC77">
      <w:pPr>
        <w:tabs>
          <w:tab w:val="left" w:pos="9639"/>
          <w:tab w:val="left" w:pos="9746"/>
        </w:tabs>
        <w:adjustRightInd w:val="0"/>
        <w:snapToGrid w:val="0"/>
        <w:spacing w:line="260" w:lineRule="exact"/>
        <w:ind w:firstLine="10666" w:firstLineChars="3320"/>
        <w:rPr>
          <w:rFonts w:ascii="仿宋_GB2312" w:hAnsi="宋体" w:eastAsia="仿宋_GB2312"/>
          <w:b/>
          <w:color w:val="auto"/>
          <w:sz w:val="32"/>
          <w:szCs w:val="32"/>
          <w:highlight w:val="none"/>
        </w:rPr>
      </w:pPr>
    </w:p>
    <w:p w14:paraId="609EF59D">
      <w:pPr>
        <w:rPr>
          <w:rFonts w:hint="eastAsia" w:ascii="宋体" w:hAnsi="宋体"/>
          <w:b/>
          <w:color w:val="auto"/>
          <w:sz w:val="40"/>
          <w:szCs w:val="40"/>
          <w:highlight w:val="none"/>
        </w:rPr>
      </w:pPr>
      <w:bookmarkStart w:id="22" w:name="_Toc176861407"/>
      <w:bookmarkStart w:id="23" w:name="_Toc3943"/>
      <w:bookmarkStart w:id="24" w:name="_Toc3994504"/>
      <w:r>
        <w:rPr>
          <w:rFonts w:hint="eastAsia" w:ascii="宋体" w:hAnsi="宋体"/>
          <w:b/>
          <w:color w:val="auto"/>
          <w:sz w:val="40"/>
          <w:szCs w:val="40"/>
          <w:highlight w:val="none"/>
        </w:rPr>
        <w:br w:type="page"/>
      </w:r>
    </w:p>
    <w:p w14:paraId="211916A3">
      <w:pPr>
        <w:spacing w:line="600" w:lineRule="exact"/>
        <w:jc w:val="center"/>
        <w:outlineLvl w:val="0"/>
        <w:rPr>
          <w:rFonts w:ascii="宋体" w:hAnsi="宋体"/>
          <w:b/>
          <w:color w:val="auto"/>
          <w:sz w:val="40"/>
          <w:szCs w:val="40"/>
          <w:highlight w:val="none"/>
        </w:rPr>
      </w:pPr>
      <w:r>
        <w:rPr>
          <w:rFonts w:hint="eastAsia" w:ascii="宋体" w:hAnsi="宋体"/>
          <w:b/>
          <w:color w:val="auto"/>
          <w:sz w:val="40"/>
          <w:szCs w:val="40"/>
          <w:highlight w:val="none"/>
        </w:rPr>
        <w:t>第二章  磋商供应商须知</w:t>
      </w:r>
      <w:bookmarkEnd w:id="22"/>
      <w:bookmarkEnd w:id="23"/>
      <w:bookmarkEnd w:id="24"/>
    </w:p>
    <w:p w14:paraId="2941B8D0">
      <w:pPr>
        <w:spacing w:line="400" w:lineRule="exact"/>
        <w:jc w:val="center"/>
        <w:rPr>
          <w:rFonts w:ascii="宋体" w:hAnsi="宋体"/>
          <w:b/>
          <w:color w:val="auto"/>
          <w:sz w:val="32"/>
          <w:szCs w:val="32"/>
          <w:highlight w:val="none"/>
        </w:rPr>
      </w:pPr>
      <w:r>
        <w:rPr>
          <w:rFonts w:hint="eastAsia" w:ascii="宋体" w:hAnsi="宋体"/>
          <w:b/>
          <w:color w:val="auto"/>
          <w:sz w:val="32"/>
          <w:szCs w:val="32"/>
          <w:highlight w:val="none"/>
        </w:rPr>
        <w:t>磋商</w:t>
      </w:r>
      <w:r>
        <w:rPr>
          <w:rFonts w:ascii="宋体" w:hAnsi="宋体"/>
          <w:b/>
          <w:color w:val="auto"/>
          <w:sz w:val="32"/>
          <w:szCs w:val="32"/>
          <w:highlight w:val="none"/>
        </w:rPr>
        <w:t>供应商须知前附表</w:t>
      </w:r>
    </w:p>
    <w:tbl>
      <w:tblPr>
        <w:tblStyle w:val="38"/>
        <w:tblW w:w="10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284"/>
        <w:gridCol w:w="8781"/>
      </w:tblGrid>
      <w:tr w14:paraId="10D4A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37" w:type="dxa"/>
            <w:vAlign w:val="center"/>
          </w:tcPr>
          <w:p w14:paraId="2E450458">
            <w:pPr>
              <w:pStyle w:val="70"/>
              <w:spacing w:line="360" w:lineRule="auto"/>
              <w:jc w:val="center"/>
              <w:rPr>
                <w:rFonts w:hAnsi="宋体"/>
                <w:color w:val="auto"/>
                <w:sz w:val="24"/>
                <w:szCs w:val="24"/>
                <w:highlight w:val="none"/>
              </w:rPr>
            </w:pPr>
            <w:r>
              <w:rPr>
                <w:rFonts w:hint="eastAsia" w:hAnsi="宋体"/>
                <w:color w:val="auto"/>
                <w:sz w:val="24"/>
                <w:szCs w:val="24"/>
                <w:highlight w:val="none"/>
              </w:rPr>
              <w:t>序号</w:t>
            </w:r>
          </w:p>
        </w:tc>
        <w:tc>
          <w:tcPr>
            <w:tcW w:w="1284" w:type="dxa"/>
            <w:vAlign w:val="center"/>
          </w:tcPr>
          <w:p w14:paraId="6E0D1810">
            <w:pPr>
              <w:pStyle w:val="70"/>
              <w:spacing w:line="360" w:lineRule="auto"/>
              <w:jc w:val="center"/>
              <w:rPr>
                <w:rFonts w:hAnsi="宋体"/>
                <w:color w:val="auto"/>
                <w:sz w:val="24"/>
                <w:szCs w:val="24"/>
                <w:highlight w:val="none"/>
              </w:rPr>
            </w:pPr>
            <w:r>
              <w:rPr>
                <w:rFonts w:hint="eastAsia" w:hAnsi="宋体"/>
                <w:color w:val="auto"/>
                <w:sz w:val="24"/>
                <w:szCs w:val="24"/>
                <w:highlight w:val="none"/>
              </w:rPr>
              <w:t>名称</w:t>
            </w:r>
          </w:p>
        </w:tc>
        <w:tc>
          <w:tcPr>
            <w:tcW w:w="8781" w:type="dxa"/>
            <w:vAlign w:val="center"/>
          </w:tcPr>
          <w:p w14:paraId="0786CA14">
            <w:pPr>
              <w:pStyle w:val="70"/>
              <w:spacing w:line="360" w:lineRule="auto"/>
              <w:jc w:val="center"/>
              <w:rPr>
                <w:rFonts w:hAnsi="宋体"/>
                <w:color w:val="auto"/>
                <w:sz w:val="24"/>
                <w:szCs w:val="24"/>
                <w:highlight w:val="none"/>
              </w:rPr>
            </w:pPr>
            <w:r>
              <w:rPr>
                <w:rFonts w:hint="eastAsia" w:hAnsi="宋体"/>
                <w:color w:val="auto"/>
                <w:sz w:val="24"/>
                <w:szCs w:val="24"/>
                <w:highlight w:val="none"/>
              </w:rPr>
              <w:t>内    容</w:t>
            </w:r>
          </w:p>
        </w:tc>
      </w:tr>
      <w:tr w14:paraId="2D9A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41C09DD3">
            <w:pPr>
              <w:pStyle w:val="70"/>
              <w:spacing w:line="360" w:lineRule="auto"/>
              <w:jc w:val="center"/>
              <w:rPr>
                <w:rFonts w:hAnsi="宋体"/>
                <w:color w:val="auto"/>
                <w:sz w:val="24"/>
                <w:szCs w:val="24"/>
                <w:highlight w:val="none"/>
              </w:rPr>
            </w:pPr>
            <w:r>
              <w:rPr>
                <w:rFonts w:hint="eastAsia" w:hAnsi="宋体"/>
                <w:color w:val="auto"/>
                <w:sz w:val="24"/>
                <w:szCs w:val="24"/>
                <w:highlight w:val="none"/>
              </w:rPr>
              <w:t>1</w:t>
            </w:r>
          </w:p>
        </w:tc>
        <w:tc>
          <w:tcPr>
            <w:tcW w:w="1284" w:type="dxa"/>
            <w:vAlign w:val="center"/>
          </w:tcPr>
          <w:p w14:paraId="560A1E97">
            <w:pPr>
              <w:pStyle w:val="70"/>
              <w:spacing w:line="360" w:lineRule="auto"/>
              <w:jc w:val="center"/>
              <w:rPr>
                <w:rFonts w:hAnsi="宋体"/>
                <w:color w:val="auto"/>
                <w:sz w:val="24"/>
                <w:szCs w:val="24"/>
                <w:highlight w:val="none"/>
              </w:rPr>
            </w:pPr>
            <w:r>
              <w:rPr>
                <w:rFonts w:hint="eastAsia" w:hAnsi="宋体"/>
                <w:color w:val="auto"/>
                <w:sz w:val="24"/>
                <w:szCs w:val="24"/>
                <w:highlight w:val="none"/>
              </w:rPr>
              <w:t>项目名称及编号</w:t>
            </w:r>
          </w:p>
        </w:tc>
        <w:tc>
          <w:tcPr>
            <w:tcW w:w="8781" w:type="dxa"/>
            <w:vAlign w:val="center"/>
          </w:tcPr>
          <w:p w14:paraId="6BCCF1E5">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工程名称：</w:t>
            </w:r>
            <w:r>
              <w:rPr>
                <w:rFonts w:hint="eastAsia" w:ascii="宋体" w:hAnsi="宋体" w:cs="宋体"/>
                <w:b w:val="0"/>
                <w:bCs/>
                <w:color w:val="auto"/>
                <w:sz w:val="24"/>
                <w:szCs w:val="24"/>
                <w:highlight w:val="none"/>
                <w:lang w:val="en-US" w:eastAsia="zh-CN"/>
              </w:rPr>
              <w:t>北海市海城区第二十一小学项目（二期）场地平整工程</w:t>
            </w:r>
            <w:r>
              <w:rPr>
                <w:rFonts w:hint="eastAsia" w:ascii="宋体" w:hAnsi="宋体" w:cs="宋体"/>
                <w:color w:val="auto"/>
                <w:sz w:val="24"/>
                <w:highlight w:val="none"/>
              </w:rPr>
              <w:t xml:space="preserve"> </w:t>
            </w:r>
          </w:p>
          <w:p w14:paraId="50DE72B5">
            <w:pPr>
              <w:spacing w:line="360" w:lineRule="auto"/>
              <w:rPr>
                <w:rFonts w:hint="eastAsia" w:ascii="宋体" w:hAnsi="宋体" w:eastAsia="宋体" w:cs="宋体"/>
                <w:color w:val="auto"/>
                <w:sz w:val="24"/>
                <w:highlight w:val="none"/>
                <w:lang w:eastAsia="zh-CN"/>
              </w:rPr>
            </w:pPr>
            <w:r>
              <w:rPr>
                <w:rFonts w:hint="eastAsia" w:ascii="宋体" w:hAnsi="宋体" w:cs="宋体"/>
                <w:color w:val="auto"/>
                <w:spacing w:val="2"/>
                <w:sz w:val="24"/>
                <w:highlight w:val="none"/>
              </w:rPr>
              <w:t>项目编号：BHZC2026-C2-020024-BBWH</w:t>
            </w:r>
          </w:p>
          <w:p w14:paraId="36028CF5">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建设地点：</w:t>
            </w:r>
            <w:r>
              <w:rPr>
                <w:rFonts w:hint="eastAsia" w:ascii="宋体" w:hAnsi="宋体" w:cs="宋体"/>
                <w:b w:val="0"/>
                <w:bCs/>
                <w:color w:val="auto"/>
                <w:sz w:val="24"/>
                <w:szCs w:val="24"/>
                <w:highlight w:val="none"/>
                <w:lang w:val="en-US" w:eastAsia="zh-CN"/>
              </w:rPr>
              <w:t>北海市海城区第二十一小学</w:t>
            </w:r>
            <w:r>
              <w:rPr>
                <w:rFonts w:hint="eastAsia" w:ascii="宋体" w:hAnsi="宋体"/>
                <w:color w:val="auto"/>
                <w:sz w:val="24"/>
                <w:highlight w:val="none"/>
                <w:lang w:val="en-US" w:eastAsia="zh-CN"/>
              </w:rPr>
              <w:t>。</w:t>
            </w:r>
            <w:r>
              <w:rPr>
                <w:rFonts w:hint="eastAsia" w:ascii="宋体" w:hAnsi="宋体" w:cs="宋体"/>
                <w:color w:val="auto"/>
                <w:sz w:val="24"/>
                <w:highlight w:val="none"/>
              </w:rPr>
              <w:t xml:space="preserve"> </w:t>
            </w:r>
          </w:p>
          <w:p w14:paraId="56A04132">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发包方式：包工包料</w:t>
            </w:r>
          </w:p>
          <w:p w14:paraId="54F6F7B7">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工程质量要求：达到国家工程施工验收规范合格标准</w:t>
            </w:r>
          </w:p>
          <w:p w14:paraId="05C98AAC">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要求工期：</w:t>
            </w:r>
            <w:r>
              <w:rPr>
                <w:rFonts w:hint="eastAsia" w:ascii="宋体" w:hAnsi="宋体"/>
                <w:color w:val="auto"/>
                <w:sz w:val="24"/>
                <w:highlight w:val="none"/>
                <w:lang w:val="en-US" w:eastAsia="zh-CN"/>
              </w:rPr>
              <w:t>30日历天</w:t>
            </w:r>
          </w:p>
          <w:p w14:paraId="18D1C611">
            <w:pPr>
              <w:pStyle w:val="70"/>
              <w:spacing w:line="360" w:lineRule="auto"/>
              <w:rPr>
                <w:rFonts w:hAnsi="宋体"/>
                <w:color w:val="auto"/>
                <w:sz w:val="24"/>
                <w:szCs w:val="24"/>
                <w:highlight w:val="none"/>
              </w:rPr>
            </w:pPr>
            <w:r>
              <w:rPr>
                <w:rFonts w:hint="eastAsia" w:hAnsi="宋体" w:cs="宋体"/>
                <w:color w:val="auto"/>
                <w:spacing w:val="2"/>
                <w:sz w:val="24"/>
                <w:szCs w:val="24"/>
                <w:highlight w:val="none"/>
              </w:rPr>
              <w:t>采购范围：</w:t>
            </w:r>
            <w:r>
              <w:rPr>
                <w:rFonts w:hint="eastAsia" w:ascii="宋体" w:hAnsi="宋体"/>
                <w:color w:val="auto"/>
                <w:sz w:val="24"/>
                <w:highlight w:val="none"/>
                <w:lang w:val="en-US" w:eastAsia="zh-CN"/>
              </w:rPr>
              <w:t>本工程为北海市海城区第二十一小学项目（二期）场地平整工程，核心施工内容包含场地清理、土方调配、构筑物新建、原有设施拆除及场地清理等多项作业。具体施工内容为：清除并外运场地表土与鱼塘淤泥、外购土方进行回填及场地平整、新建场地挡土墙，同时拆除场地内原有混凝土基础、混凝土路面、混凝土电杆，并完成场地内树木砍伐清理工作。本项目各地块用地面积及土方工程量明细如下：场地面积17598.72㎡，土方开挖</w:t>
            </w:r>
            <w:r>
              <w:rPr>
                <w:rFonts w:hint="eastAsia" w:hAnsi="宋体"/>
                <w:color w:val="auto"/>
                <w:sz w:val="24"/>
                <w:highlight w:val="none"/>
                <w:lang w:val="en-US" w:eastAsia="zh-CN"/>
              </w:rPr>
              <w:t>预估</w:t>
            </w:r>
            <w:r>
              <w:rPr>
                <w:rFonts w:hint="eastAsia" w:ascii="宋体" w:hAnsi="宋体"/>
                <w:color w:val="auto"/>
                <w:sz w:val="24"/>
                <w:highlight w:val="none"/>
                <w:lang w:val="en-US" w:eastAsia="zh-CN"/>
              </w:rPr>
              <w:t>总量25442.24m³，土方回填</w:t>
            </w:r>
            <w:r>
              <w:rPr>
                <w:rFonts w:hint="eastAsia" w:hAnsi="宋体"/>
                <w:color w:val="auto"/>
                <w:sz w:val="24"/>
                <w:highlight w:val="none"/>
                <w:lang w:val="en-US" w:eastAsia="zh-CN"/>
              </w:rPr>
              <w:t>预估</w:t>
            </w:r>
            <w:r>
              <w:rPr>
                <w:rFonts w:hint="eastAsia" w:ascii="宋体" w:hAnsi="宋体"/>
                <w:color w:val="auto"/>
                <w:sz w:val="24"/>
                <w:highlight w:val="none"/>
                <w:lang w:val="en-US" w:eastAsia="zh-CN"/>
              </w:rPr>
              <w:t>总量33716.65m³。工程具体施工细则、作业范围及工程量标准，以施工图纸及工程量清单为准。</w:t>
            </w:r>
          </w:p>
        </w:tc>
      </w:tr>
      <w:tr w14:paraId="621F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5C81286C">
            <w:pPr>
              <w:pStyle w:val="70"/>
              <w:spacing w:line="360" w:lineRule="auto"/>
              <w:jc w:val="center"/>
              <w:rPr>
                <w:rFonts w:hAnsi="宋体"/>
                <w:color w:val="auto"/>
                <w:sz w:val="24"/>
                <w:szCs w:val="24"/>
                <w:highlight w:val="none"/>
              </w:rPr>
            </w:pPr>
            <w:r>
              <w:rPr>
                <w:rFonts w:hint="eastAsia" w:hAnsi="宋体"/>
                <w:color w:val="auto"/>
                <w:sz w:val="24"/>
                <w:szCs w:val="24"/>
                <w:highlight w:val="none"/>
              </w:rPr>
              <w:t>2</w:t>
            </w:r>
          </w:p>
        </w:tc>
        <w:tc>
          <w:tcPr>
            <w:tcW w:w="1284" w:type="dxa"/>
            <w:vAlign w:val="center"/>
          </w:tcPr>
          <w:p w14:paraId="483663DD">
            <w:pPr>
              <w:pStyle w:val="70"/>
              <w:spacing w:line="360" w:lineRule="auto"/>
              <w:rPr>
                <w:rFonts w:hAnsi="宋体"/>
                <w:color w:val="auto"/>
                <w:sz w:val="24"/>
                <w:szCs w:val="24"/>
                <w:highlight w:val="none"/>
              </w:rPr>
            </w:pPr>
            <w:r>
              <w:rPr>
                <w:rFonts w:hint="eastAsia" w:hAnsi="宋体"/>
                <w:color w:val="auto"/>
                <w:sz w:val="24"/>
                <w:szCs w:val="24"/>
                <w:highlight w:val="none"/>
              </w:rPr>
              <w:t>资金来源</w:t>
            </w:r>
          </w:p>
        </w:tc>
        <w:tc>
          <w:tcPr>
            <w:tcW w:w="8781" w:type="dxa"/>
            <w:vAlign w:val="center"/>
          </w:tcPr>
          <w:p w14:paraId="0863C95D">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本工程的资金来源为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u w:val="single"/>
                <w:lang w:val="en-US" w:eastAsia="zh-CN"/>
              </w:rPr>
              <w:t>财政资金</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，资金已落实，并将资金用于本工程合同项下的合格支付。</w:t>
            </w:r>
          </w:p>
          <w:p w14:paraId="026A1747">
            <w:pPr>
              <w:pStyle w:val="70"/>
              <w:spacing w:line="360" w:lineRule="auto"/>
              <w:rPr>
                <w:rFonts w:hAnsi="宋体" w:cs="宋体"/>
                <w:color w:val="auto"/>
                <w:spacing w:val="2"/>
                <w:sz w:val="24"/>
                <w:szCs w:val="24"/>
                <w:highlight w:val="none"/>
              </w:rPr>
            </w:pPr>
            <w:r>
              <w:rPr>
                <w:rFonts w:hint="eastAsia" w:hAnsi="宋体" w:cs="宋体"/>
                <w:color w:val="auto"/>
                <w:spacing w:val="2"/>
                <w:sz w:val="24"/>
                <w:szCs w:val="24"/>
                <w:highlight w:val="none"/>
              </w:rPr>
              <w:t>本项目采购预算控制价</w:t>
            </w:r>
            <w:r>
              <w:rPr>
                <w:rFonts w:hint="eastAsia" w:hAnsi="宋体" w:cs="宋体"/>
                <w:color w:val="auto"/>
                <w:spacing w:val="2"/>
                <w:sz w:val="24"/>
                <w:szCs w:val="24"/>
                <w:highlight w:val="none"/>
                <w:lang w:eastAsia="zh-CN"/>
              </w:rPr>
              <w:t>：</w:t>
            </w:r>
            <w:r>
              <w:rPr>
                <w:rFonts w:hint="eastAsia" w:ascii="宋体" w:hAnsi="宋体"/>
                <w:color w:val="auto"/>
                <w:sz w:val="24"/>
                <w:highlight w:val="none"/>
                <w:lang w:val="en-US" w:eastAsia="zh-CN"/>
              </w:rPr>
              <w:t>2186958.72</w:t>
            </w:r>
            <w:r>
              <w:rPr>
                <w:rFonts w:hint="eastAsia" w:hAnsi="宋体" w:cs="宋体"/>
                <w:color w:val="auto"/>
                <w:spacing w:val="2"/>
                <w:sz w:val="24"/>
                <w:szCs w:val="24"/>
                <w:highlight w:val="none"/>
                <w:lang w:val="en-US" w:eastAsia="zh-CN"/>
              </w:rPr>
              <w:t>元</w:t>
            </w:r>
            <w:r>
              <w:rPr>
                <w:rFonts w:hint="eastAsia" w:hAnsi="宋体" w:cs="宋体"/>
                <w:color w:val="auto"/>
                <w:spacing w:val="2"/>
                <w:sz w:val="24"/>
                <w:szCs w:val="24"/>
                <w:highlight w:val="none"/>
              </w:rPr>
              <w:t xml:space="preserve">  </w:t>
            </w:r>
          </w:p>
        </w:tc>
      </w:tr>
      <w:tr w14:paraId="1957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47254D1C">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3</w:t>
            </w:r>
          </w:p>
        </w:tc>
        <w:tc>
          <w:tcPr>
            <w:tcW w:w="1284" w:type="dxa"/>
            <w:vAlign w:val="center"/>
          </w:tcPr>
          <w:p w14:paraId="1D2ABE62">
            <w:pPr>
              <w:pStyle w:val="95"/>
              <w:ind w:firstLine="0"/>
              <w:jc w:val="center"/>
              <w:rPr>
                <w:color w:val="auto"/>
                <w:highlight w:val="none"/>
              </w:rPr>
            </w:pPr>
            <w:r>
              <w:rPr>
                <w:rFonts w:hint="eastAsia"/>
                <w:color w:val="auto"/>
                <w:highlight w:val="none"/>
              </w:rPr>
              <w:t>采购标的及其对应的中小企业划分标准所属行业</w:t>
            </w:r>
          </w:p>
        </w:tc>
        <w:tc>
          <w:tcPr>
            <w:tcW w:w="8781" w:type="dxa"/>
            <w:vAlign w:val="center"/>
          </w:tcPr>
          <w:p w14:paraId="7F72A249">
            <w:pPr>
              <w:pStyle w:val="95"/>
              <w:ind w:firstLine="0"/>
              <w:rPr>
                <w:color w:val="auto"/>
                <w:highlight w:val="none"/>
              </w:rPr>
            </w:pPr>
            <w:r>
              <w:rPr>
                <w:rFonts w:hint="eastAsia"/>
                <w:color w:val="auto"/>
                <w:highlight w:val="none"/>
              </w:rPr>
              <w:t>（1）标的：</w:t>
            </w:r>
            <w:r>
              <w:rPr>
                <w:rFonts w:hint="eastAsia"/>
                <w:color w:val="auto"/>
                <w:highlight w:val="none"/>
                <w:u w:val="single"/>
                <w:lang w:val="en-US" w:eastAsia="zh-CN"/>
              </w:rPr>
              <w:t>北海市海城区第二十一小学项目（二期）场地平整工程</w:t>
            </w:r>
            <w:r>
              <w:rPr>
                <w:rFonts w:hint="eastAsia"/>
                <w:color w:val="auto"/>
                <w:highlight w:val="none"/>
              </w:rPr>
              <w:t>，属于</w:t>
            </w:r>
            <w:r>
              <w:rPr>
                <w:rFonts w:hint="eastAsia"/>
                <w:color w:val="auto"/>
                <w:highlight w:val="none"/>
                <w:u w:val="single"/>
              </w:rPr>
              <w:t xml:space="preserve"> 建筑业 </w:t>
            </w:r>
            <w:r>
              <w:rPr>
                <w:rFonts w:hint="eastAsia"/>
                <w:color w:val="auto"/>
                <w:highlight w:val="none"/>
              </w:rPr>
              <w:t>行业；</w:t>
            </w:r>
          </w:p>
          <w:p w14:paraId="1BAA391D">
            <w:pPr>
              <w:pStyle w:val="95"/>
              <w:rPr>
                <w:color w:val="auto"/>
                <w:highlight w:val="none"/>
              </w:rPr>
            </w:pPr>
          </w:p>
        </w:tc>
      </w:tr>
      <w:tr w14:paraId="00C1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637" w:type="dxa"/>
            <w:vAlign w:val="center"/>
          </w:tcPr>
          <w:p w14:paraId="202698A0">
            <w:pPr>
              <w:pStyle w:val="70"/>
              <w:spacing w:line="360" w:lineRule="auto"/>
              <w:jc w:val="center"/>
              <w:rPr>
                <w:rFonts w:hAnsi="宋体"/>
                <w:color w:val="auto"/>
                <w:sz w:val="24"/>
                <w:szCs w:val="24"/>
                <w:highlight w:val="none"/>
              </w:rPr>
            </w:pPr>
            <w:r>
              <w:rPr>
                <w:rFonts w:hint="eastAsia" w:hAnsi="宋体"/>
                <w:color w:val="auto"/>
                <w:sz w:val="24"/>
                <w:szCs w:val="24"/>
                <w:highlight w:val="none"/>
              </w:rPr>
              <w:t>4</w:t>
            </w:r>
          </w:p>
        </w:tc>
        <w:tc>
          <w:tcPr>
            <w:tcW w:w="1284" w:type="dxa"/>
            <w:vAlign w:val="center"/>
          </w:tcPr>
          <w:p w14:paraId="24FAF7F0">
            <w:pPr>
              <w:pStyle w:val="70"/>
              <w:spacing w:line="360" w:lineRule="auto"/>
              <w:jc w:val="center"/>
              <w:rPr>
                <w:rFonts w:hAnsi="宋体"/>
                <w:color w:val="auto"/>
                <w:sz w:val="24"/>
                <w:szCs w:val="24"/>
                <w:highlight w:val="none"/>
              </w:rPr>
            </w:pPr>
            <w:r>
              <w:rPr>
                <w:rFonts w:hint="eastAsia" w:hAnsi="宋体"/>
                <w:color w:val="auto"/>
                <w:sz w:val="24"/>
                <w:szCs w:val="24"/>
                <w:highlight w:val="none"/>
              </w:rPr>
              <w:t>磋商供应商资格</w:t>
            </w:r>
          </w:p>
        </w:tc>
        <w:tc>
          <w:tcPr>
            <w:tcW w:w="8781" w:type="dxa"/>
            <w:vAlign w:val="center"/>
          </w:tcPr>
          <w:p w14:paraId="32098B2A">
            <w:pPr>
              <w:widowControl/>
              <w:adjustRightInd w:val="0"/>
              <w:snapToGrid w:val="0"/>
              <w:spacing w:line="360" w:lineRule="auto"/>
              <w:rPr>
                <w:rFonts w:ascii="宋体" w:hAnsi="宋体"/>
                <w:color w:val="auto"/>
                <w:sz w:val="24"/>
                <w:highlight w:val="none"/>
              </w:rPr>
            </w:pPr>
            <w:r>
              <w:rPr>
                <w:rFonts w:hint="eastAsia" w:ascii="宋体" w:hAnsi="宋体"/>
                <w:color w:val="auto"/>
                <w:sz w:val="24"/>
                <w:highlight w:val="none"/>
              </w:rPr>
              <w:t>磋商供应商资格要求：</w:t>
            </w:r>
          </w:p>
          <w:p w14:paraId="7A4E45E8">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lang w:val="en-US" w:eastAsia="zh-CN"/>
              </w:rPr>
              <w:t>1</w:t>
            </w: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rPr>
              <w:t>满足《中华人民共和国政府采购法》第二十二条规定；</w:t>
            </w:r>
          </w:p>
          <w:p w14:paraId="64BDB547">
            <w:pPr>
              <w:adjustRightInd w:val="0"/>
              <w:spacing w:line="360" w:lineRule="auto"/>
              <w:rPr>
                <w:rFonts w:hint="eastAsia" w:ascii="宋体" w:hAnsi="宋体" w:cs="宋体"/>
                <w:color w:val="auto"/>
                <w:sz w:val="24"/>
                <w:highlight w:val="none"/>
              </w:rPr>
            </w:pPr>
            <w:r>
              <w:rPr>
                <w:rFonts w:hint="eastAsia" w:ascii="宋体" w:hAnsi="宋体" w:cs="宋体"/>
                <w:snapToGrid w:val="0"/>
                <w:color w:val="auto"/>
                <w:kern w:val="28"/>
                <w:sz w:val="24"/>
                <w:szCs w:val="20"/>
                <w:highlight w:val="none"/>
              </w:rPr>
              <w:t xml:space="preserve">    </w:t>
            </w: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lang w:val="en-US" w:eastAsia="zh-CN"/>
              </w:rPr>
              <w:t>2</w:t>
            </w:r>
            <w:r>
              <w:rPr>
                <w:rFonts w:hint="eastAsia" w:ascii="宋体" w:hAnsi="宋体" w:cs="宋体"/>
                <w:snapToGrid w:val="0"/>
                <w:color w:val="auto"/>
                <w:kern w:val="28"/>
                <w:sz w:val="24"/>
                <w:szCs w:val="20"/>
                <w:highlight w:val="none"/>
                <w:lang w:eastAsia="zh-CN"/>
              </w:rPr>
              <w:t>）</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sz w:val="24"/>
                <w:highlight w:val="none"/>
              </w:rPr>
              <w:t>分标1：本项目属于专门面向</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企业采购的项目，</w:t>
            </w:r>
            <w:r>
              <w:rPr>
                <w:rFonts w:hint="eastAsia" w:ascii="宋体" w:hAnsi="宋体" w:cs="宋体"/>
                <w:color w:val="auto"/>
                <w:sz w:val="24"/>
                <w:highlight w:val="none"/>
                <w:lang w:val="en-US" w:eastAsia="zh-CN"/>
              </w:rPr>
              <w:t>磋商</w:t>
            </w:r>
            <w:r>
              <w:rPr>
                <w:rFonts w:hint="eastAsia" w:ascii="宋体" w:hAnsi="宋体" w:cs="宋体"/>
                <w:color w:val="auto"/>
                <w:sz w:val="24"/>
                <w:highlight w:val="none"/>
              </w:rPr>
              <w:t>供应商应为</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企业须符合本项目采购标的所属行业对应的</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企业划分标准；监狱企业、残疾人福利单位视同</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p>
          <w:p w14:paraId="345D22AB">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本项目的特定资格要求：</w:t>
            </w:r>
          </w:p>
          <w:p w14:paraId="738233FF">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【分标1】</w:t>
            </w:r>
          </w:p>
          <w:p w14:paraId="5BA06B7B">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①磋商供应商须具备建筑工程施工总承包二级（含）以上或市政公用工程施工总承包二级（含）以上资质及有效的安全生产许可证，并在人员、设备、资金等方面具备相应的施工能力。</w:t>
            </w:r>
          </w:p>
          <w:p w14:paraId="4D583F7B">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②磋商供应商拟派的项目经理须具备建筑工程或市政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3F528FAA">
            <w:pPr>
              <w:numPr>
                <w:ilvl w:val="0"/>
                <w:numId w:val="0"/>
              </w:num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③安全员要求：本工程至少投入1名专职安全员且具备有效的安全生产考核合格证（C证）。</w:t>
            </w:r>
          </w:p>
        </w:tc>
      </w:tr>
      <w:tr w14:paraId="0BD1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1BBD69CD">
            <w:pPr>
              <w:pStyle w:val="70"/>
              <w:spacing w:line="360" w:lineRule="auto"/>
              <w:jc w:val="center"/>
              <w:rPr>
                <w:rFonts w:hAnsi="宋体"/>
                <w:color w:val="auto"/>
                <w:sz w:val="24"/>
                <w:szCs w:val="24"/>
                <w:highlight w:val="none"/>
              </w:rPr>
            </w:pPr>
            <w:r>
              <w:rPr>
                <w:rFonts w:hint="eastAsia" w:hAnsi="宋体"/>
                <w:color w:val="auto"/>
                <w:sz w:val="24"/>
                <w:szCs w:val="24"/>
                <w:highlight w:val="none"/>
              </w:rPr>
              <w:t>5</w:t>
            </w:r>
          </w:p>
        </w:tc>
        <w:tc>
          <w:tcPr>
            <w:tcW w:w="1284" w:type="dxa"/>
            <w:vAlign w:val="center"/>
          </w:tcPr>
          <w:p w14:paraId="36787A3D">
            <w:pPr>
              <w:pStyle w:val="70"/>
              <w:spacing w:line="360" w:lineRule="auto"/>
              <w:jc w:val="center"/>
              <w:rPr>
                <w:rFonts w:hAnsi="宋体"/>
                <w:color w:val="auto"/>
                <w:sz w:val="24"/>
                <w:szCs w:val="24"/>
                <w:highlight w:val="none"/>
              </w:rPr>
            </w:pPr>
            <w:r>
              <w:rPr>
                <w:rFonts w:hint="eastAsia" w:hAnsi="宋体" w:cs="宋体"/>
                <w:b/>
                <w:color w:val="auto"/>
                <w:sz w:val="24"/>
                <w:szCs w:val="24"/>
                <w:highlight w:val="none"/>
              </w:rPr>
              <w:t>磋商保证金</w:t>
            </w:r>
          </w:p>
        </w:tc>
        <w:tc>
          <w:tcPr>
            <w:tcW w:w="8781" w:type="dxa"/>
            <w:tcBorders>
              <w:top w:val="single" w:color="auto" w:sz="4" w:space="0"/>
              <w:left w:val="single" w:color="auto" w:sz="4" w:space="0"/>
              <w:bottom w:val="single" w:color="auto" w:sz="4" w:space="0"/>
              <w:right w:val="single" w:color="auto" w:sz="4" w:space="0"/>
            </w:tcBorders>
            <w:vAlign w:val="center"/>
          </w:tcPr>
          <w:p w14:paraId="278AF90B">
            <w:pPr>
              <w:snapToGrid w:val="0"/>
              <w:spacing w:line="360" w:lineRule="auto"/>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磋商保证金：本项目不收取磋商保证金。</w:t>
            </w:r>
          </w:p>
        </w:tc>
      </w:tr>
      <w:tr w14:paraId="62EE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71F4F160">
            <w:pPr>
              <w:pStyle w:val="70"/>
              <w:spacing w:line="360" w:lineRule="auto"/>
              <w:jc w:val="center"/>
              <w:rPr>
                <w:rFonts w:hAnsi="宋体"/>
                <w:color w:val="auto"/>
                <w:sz w:val="24"/>
                <w:szCs w:val="24"/>
                <w:highlight w:val="none"/>
              </w:rPr>
            </w:pPr>
            <w:r>
              <w:rPr>
                <w:rFonts w:hint="eastAsia" w:hAnsi="宋体"/>
                <w:color w:val="auto"/>
                <w:sz w:val="24"/>
                <w:szCs w:val="24"/>
                <w:highlight w:val="none"/>
              </w:rPr>
              <w:t>6</w:t>
            </w:r>
          </w:p>
        </w:tc>
        <w:tc>
          <w:tcPr>
            <w:tcW w:w="1284" w:type="dxa"/>
            <w:vAlign w:val="center"/>
          </w:tcPr>
          <w:p w14:paraId="1F6F6422">
            <w:pPr>
              <w:pStyle w:val="70"/>
              <w:spacing w:line="360" w:lineRule="auto"/>
              <w:jc w:val="center"/>
              <w:rPr>
                <w:rFonts w:hAnsi="宋体"/>
                <w:color w:val="auto"/>
                <w:sz w:val="24"/>
                <w:szCs w:val="24"/>
                <w:highlight w:val="none"/>
              </w:rPr>
            </w:pPr>
            <w:r>
              <w:rPr>
                <w:rFonts w:hint="eastAsia" w:hAnsi="宋体" w:cs="宋体"/>
                <w:b/>
                <w:bCs/>
                <w:color w:val="auto"/>
                <w:sz w:val="24"/>
                <w:szCs w:val="24"/>
                <w:highlight w:val="none"/>
              </w:rPr>
              <w:t>分包</w:t>
            </w:r>
          </w:p>
        </w:tc>
        <w:tc>
          <w:tcPr>
            <w:tcW w:w="8781" w:type="dxa"/>
            <w:tcBorders>
              <w:top w:val="single" w:color="auto" w:sz="4" w:space="0"/>
              <w:left w:val="single" w:color="auto" w:sz="4" w:space="0"/>
              <w:bottom w:val="single" w:color="auto" w:sz="4" w:space="0"/>
              <w:right w:val="single" w:color="auto" w:sz="4" w:space="0"/>
            </w:tcBorders>
            <w:vAlign w:val="center"/>
          </w:tcPr>
          <w:p w14:paraId="7CE7CB57">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sym w:font="Wingdings" w:char="00A8"/>
            </w:r>
            <w:r>
              <w:rPr>
                <w:rFonts w:hint="eastAsia" w:ascii="宋体" w:hAnsi="宋体" w:cs="宋体"/>
                <w:color w:val="auto"/>
                <w:sz w:val="24"/>
                <w:highlight w:val="none"/>
              </w:rPr>
              <w:t>A同意将非主体、非关键性的工作分包。</w:t>
            </w:r>
          </w:p>
          <w:p w14:paraId="54643D5C">
            <w:pPr>
              <w:snapToGrid w:val="0"/>
              <w:spacing w:line="360" w:lineRule="auto"/>
              <w:rPr>
                <w:rFonts w:ascii="宋体" w:hAnsi="宋体" w:cs="宋体"/>
                <w:color w:val="auto"/>
                <w:sz w:val="24"/>
                <w:highlight w:val="none"/>
              </w:rPr>
            </w:pPr>
            <w:r>
              <w:rPr>
                <w:rFonts w:hint="eastAsia" w:ascii="宋体" w:hAnsi="宋体" w:cs="宋体"/>
                <w:color w:val="auto"/>
                <w:sz w:val="24"/>
                <w:highlight w:val="none"/>
              </w:rPr>
              <w:sym w:font="Wingdings" w:char="00FE"/>
            </w:r>
            <w:r>
              <w:rPr>
                <w:rFonts w:hint="eastAsia" w:ascii="宋体" w:hAnsi="宋体" w:cs="宋体"/>
                <w:color w:val="auto"/>
                <w:sz w:val="24"/>
                <w:highlight w:val="none"/>
              </w:rPr>
              <w:t>B不同意分包。</w:t>
            </w:r>
          </w:p>
        </w:tc>
      </w:tr>
      <w:tr w14:paraId="5EF7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647420A7">
            <w:pPr>
              <w:pStyle w:val="70"/>
              <w:spacing w:line="360" w:lineRule="auto"/>
              <w:jc w:val="center"/>
              <w:rPr>
                <w:rFonts w:hAnsi="宋体"/>
                <w:color w:val="auto"/>
                <w:sz w:val="24"/>
                <w:szCs w:val="24"/>
                <w:highlight w:val="none"/>
              </w:rPr>
            </w:pPr>
            <w:r>
              <w:rPr>
                <w:rFonts w:hint="eastAsia" w:hAnsi="宋体"/>
                <w:color w:val="auto"/>
                <w:sz w:val="24"/>
                <w:szCs w:val="24"/>
                <w:highlight w:val="none"/>
              </w:rPr>
              <w:t>7</w:t>
            </w:r>
          </w:p>
        </w:tc>
        <w:tc>
          <w:tcPr>
            <w:tcW w:w="1284" w:type="dxa"/>
            <w:vAlign w:val="center"/>
          </w:tcPr>
          <w:p w14:paraId="3AE37CC7">
            <w:pPr>
              <w:pStyle w:val="70"/>
              <w:spacing w:line="360" w:lineRule="auto"/>
              <w:jc w:val="center"/>
              <w:rPr>
                <w:rFonts w:hAnsi="宋体"/>
                <w:color w:val="auto"/>
                <w:sz w:val="24"/>
                <w:szCs w:val="24"/>
                <w:highlight w:val="none"/>
              </w:rPr>
            </w:pPr>
            <w:r>
              <w:rPr>
                <w:rFonts w:hint="eastAsia" w:hAnsi="宋体"/>
                <w:color w:val="auto"/>
                <w:sz w:val="24"/>
                <w:szCs w:val="24"/>
                <w:highlight w:val="none"/>
              </w:rPr>
              <w:t>报价要求</w:t>
            </w:r>
          </w:p>
        </w:tc>
        <w:tc>
          <w:tcPr>
            <w:tcW w:w="8781" w:type="dxa"/>
            <w:vAlign w:val="center"/>
          </w:tcPr>
          <w:p w14:paraId="1DDC93EC">
            <w:pPr>
              <w:widowControl/>
              <w:adjustRightInd w:val="0"/>
              <w:snapToGrid w:val="0"/>
              <w:spacing w:line="360" w:lineRule="auto"/>
              <w:rPr>
                <w:rFonts w:ascii="宋体" w:hAnsi="宋体"/>
                <w:color w:val="auto"/>
                <w:sz w:val="24"/>
                <w:highlight w:val="none"/>
              </w:rPr>
            </w:pPr>
            <w:r>
              <w:rPr>
                <w:rFonts w:hint="eastAsia" w:ascii="宋体" w:hAnsi="宋体"/>
                <w:color w:val="auto"/>
                <w:kern w:val="0"/>
                <w:sz w:val="24"/>
                <w:highlight w:val="none"/>
                <w:lang w:val="en-US" w:eastAsia="zh-CN"/>
              </w:rPr>
              <w:t>磋商</w:t>
            </w:r>
            <w:r>
              <w:rPr>
                <w:rFonts w:hint="eastAsia" w:ascii="宋体" w:hAnsi="宋体"/>
                <w:color w:val="auto"/>
                <w:kern w:val="0"/>
                <w:sz w:val="24"/>
                <w:highlight w:val="none"/>
              </w:rPr>
              <w:t>供应商应就《采购需求》中所有的服务内容作完整唯一报价。</w:t>
            </w:r>
          </w:p>
        </w:tc>
      </w:tr>
      <w:tr w14:paraId="49DD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637" w:type="dxa"/>
            <w:vAlign w:val="center"/>
          </w:tcPr>
          <w:p w14:paraId="6884F0D0">
            <w:pPr>
              <w:pStyle w:val="70"/>
              <w:spacing w:line="360" w:lineRule="auto"/>
              <w:jc w:val="center"/>
              <w:rPr>
                <w:rFonts w:hAnsi="宋体"/>
                <w:color w:val="auto"/>
                <w:sz w:val="24"/>
                <w:szCs w:val="24"/>
                <w:highlight w:val="none"/>
              </w:rPr>
            </w:pPr>
            <w:r>
              <w:rPr>
                <w:rFonts w:hint="eastAsia" w:hAnsi="宋体"/>
                <w:color w:val="auto"/>
                <w:sz w:val="24"/>
                <w:szCs w:val="24"/>
                <w:highlight w:val="none"/>
              </w:rPr>
              <w:t>8</w:t>
            </w:r>
          </w:p>
        </w:tc>
        <w:tc>
          <w:tcPr>
            <w:tcW w:w="1284" w:type="dxa"/>
            <w:vAlign w:val="center"/>
          </w:tcPr>
          <w:p w14:paraId="078E95CA">
            <w:pPr>
              <w:pStyle w:val="70"/>
              <w:spacing w:line="360" w:lineRule="auto"/>
              <w:jc w:val="center"/>
              <w:rPr>
                <w:rFonts w:hAnsi="宋体"/>
                <w:color w:val="auto"/>
                <w:sz w:val="24"/>
                <w:szCs w:val="24"/>
                <w:highlight w:val="none"/>
              </w:rPr>
            </w:pPr>
            <w:r>
              <w:rPr>
                <w:rFonts w:hint="eastAsia" w:hAnsi="宋体"/>
                <w:color w:val="auto"/>
                <w:sz w:val="24"/>
                <w:szCs w:val="24"/>
                <w:highlight w:val="none"/>
              </w:rPr>
              <w:t>磋商前准备</w:t>
            </w:r>
          </w:p>
        </w:tc>
        <w:tc>
          <w:tcPr>
            <w:tcW w:w="8781" w:type="dxa"/>
            <w:vAlign w:val="center"/>
          </w:tcPr>
          <w:p w14:paraId="757A6CA4">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1.</w:t>
            </w:r>
            <w:r>
              <w:rPr>
                <w:rFonts w:ascii="宋体" w:hAnsi="宋体"/>
                <w:color w:val="auto"/>
                <w:kern w:val="0"/>
                <w:sz w:val="24"/>
                <w:highlight w:val="none"/>
              </w:rPr>
              <w:t>本项目实行网上</w:t>
            </w:r>
            <w:r>
              <w:rPr>
                <w:rFonts w:hint="eastAsia" w:ascii="宋体" w:hAnsi="宋体"/>
                <w:color w:val="auto"/>
                <w:kern w:val="0"/>
                <w:sz w:val="24"/>
                <w:highlight w:val="none"/>
              </w:rPr>
              <w:t>磋商</w:t>
            </w:r>
            <w:r>
              <w:rPr>
                <w:rFonts w:ascii="宋体" w:hAnsi="宋体"/>
                <w:color w:val="auto"/>
                <w:kern w:val="0"/>
                <w:sz w:val="24"/>
                <w:highlight w:val="none"/>
              </w:rPr>
              <w:t>，采用电子</w:t>
            </w:r>
            <w:r>
              <w:rPr>
                <w:rFonts w:hint="eastAsia" w:ascii="宋体" w:hAnsi="宋体"/>
                <w:color w:val="auto"/>
                <w:kern w:val="0"/>
                <w:sz w:val="24"/>
                <w:highlight w:val="none"/>
              </w:rPr>
              <w:t>磋商响应</w:t>
            </w:r>
            <w:r>
              <w:rPr>
                <w:rFonts w:ascii="宋体" w:hAnsi="宋体"/>
                <w:color w:val="auto"/>
                <w:kern w:val="0"/>
                <w:sz w:val="24"/>
                <w:highlight w:val="none"/>
              </w:rPr>
              <w:t>文件。若供应商参与</w:t>
            </w:r>
            <w:r>
              <w:rPr>
                <w:rFonts w:hint="eastAsia" w:ascii="宋体" w:hAnsi="宋体"/>
                <w:color w:val="auto"/>
                <w:kern w:val="0"/>
                <w:sz w:val="24"/>
                <w:highlight w:val="none"/>
              </w:rPr>
              <w:t>磋商</w:t>
            </w:r>
            <w:r>
              <w:rPr>
                <w:rFonts w:ascii="宋体" w:hAnsi="宋体"/>
                <w:color w:val="auto"/>
                <w:kern w:val="0"/>
                <w:sz w:val="24"/>
                <w:highlight w:val="none"/>
              </w:rPr>
              <w:t>，自行承担</w:t>
            </w:r>
            <w:r>
              <w:rPr>
                <w:rFonts w:hint="eastAsia" w:ascii="宋体" w:hAnsi="宋体"/>
                <w:color w:val="auto"/>
                <w:kern w:val="0"/>
                <w:sz w:val="24"/>
                <w:highlight w:val="none"/>
              </w:rPr>
              <w:t>磋商</w:t>
            </w:r>
            <w:r>
              <w:rPr>
                <w:rFonts w:ascii="宋体" w:hAnsi="宋体"/>
                <w:color w:val="auto"/>
                <w:kern w:val="0"/>
                <w:sz w:val="24"/>
                <w:highlight w:val="none"/>
              </w:rPr>
              <w:t>一切费用</w:t>
            </w:r>
            <w:r>
              <w:rPr>
                <w:rFonts w:hint="eastAsia" w:ascii="宋体" w:hAnsi="宋体"/>
                <w:color w:val="auto"/>
                <w:kern w:val="0"/>
                <w:sz w:val="24"/>
                <w:highlight w:val="none"/>
              </w:rPr>
              <w:t>。</w:t>
            </w:r>
          </w:p>
          <w:p w14:paraId="67456D64">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2.</w:t>
            </w:r>
            <w:r>
              <w:rPr>
                <w:rFonts w:ascii="宋体" w:hAnsi="宋体"/>
                <w:color w:val="auto"/>
                <w:kern w:val="0"/>
                <w:sz w:val="24"/>
                <w:highlight w:val="none"/>
              </w:rPr>
              <w:t>各</w:t>
            </w:r>
            <w:r>
              <w:rPr>
                <w:rFonts w:hint="eastAsia" w:ascii="宋体" w:hAnsi="宋体"/>
                <w:color w:val="auto"/>
                <w:kern w:val="0"/>
                <w:sz w:val="24"/>
                <w:highlight w:val="none"/>
                <w:lang w:val="en-US" w:eastAsia="zh-CN"/>
              </w:rPr>
              <w:t>磋商</w:t>
            </w:r>
            <w:r>
              <w:rPr>
                <w:rFonts w:ascii="宋体" w:hAnsi="宋体"/>
                <w:color w:val="auto"/>
                <w:kern w:val="0"/>
                <w:sz w:val="24"/>
                <w:highlight w:val="none"/>
              </w:rPr>
              <w:t>供应商应在</w:t>
            </w:r>
            <w:r>
              <w:rPr>
                <w:rFonts w:hint="eastAsia" w:ascii="宋体" w:hAnsi="宋体"/>
                <w:color w:val="auto"/>
                <w:kern w:val="0"/>
                <w:sz w:val="24"/>
                <w:highlight w:val="none"/>
              </w:rPr>
              <w:t>截</w:t>
            </w:r>
            <w:r>
              <w:rPr>
                <w:rFonts w:ascii="宋体" w:hAnsi="宋体"/>
                <w:color w:val="auto"/>
                <w:kern w:val="0"/>
                <w:sz w:val="24"/>
                <w:highlight w:val="none"/>
              </w:rPr>
              <w:t>标前应确保成为</w:t>
            </w:r>
            <w:r>
              <w:rPr>
                <w:rFonts w:hint="eastAsia" w:ascii="宋体" w:hAnsi="宋体"/>
                <w:color w:val="auto"/>
                <w:kern w:val="0"/>
                <w:sz w:val="24"/>
                <w:highlight w:val="none"/>
              </w:rPr>
              <w:t>“广西政府采购云平台”</w:t>
            </w:r>
            <w:r>
              <w:rPr>
                <w:rFonts w:ascii="宋体" w:hAnsi="宋体"/>
                <w:color w:val="auto"/>
                <w:kern w:val="0"/>
                <w:sz w:val="24"/>
                <w:highlight w:val="none"/>
              </w:rPr>
              <w:t>正式注册入库供应商，并完成CA数字证书</w:t>
            </w:r>
            <w:r>
              <w:rPr>
                <w:rFonts w:hint="eastAsia" w:ascii="宋体" w:hAnsi="宋体"/>
                <w:color w:val="auto"/>
                <w:kern w:val="0"/>
                <w:sz w:val="24"/>
                <w:highlight w:val="none"/>
              </w:rPr>
              <w:t>申领</w:t>
            </w:r>
            <w:r>
              <w:rPr>
                <w:rFonts w:ascii="宋体" w:hAnsi="宋体"/>
                <w:color w:val="auto"/>
                <w:kern w:val="0"/>
                <w:sz w:val="24"/>
                <w:highlight w:val="none"/>
              </w:rPr>
              <w:t>。因未注册入库、未办理CA数字证书等原因造成无法</w:t>
            </w:r>
            <w:r>
              <w:rPr>
                <w:rFonts w:hint="eastAsia" w:ascii="宋体" w:hAnsi="宋体"/>
                <w:color w:val="auto"/>
                <w:kern w:val="0"/>
                <w:sz w:val="24"/>
                <w:highlight w:val="none"/>
              </w:rPr>
              <w:t>磋商</w:t>
            </w:r>
            <w:r>
              <w:rPr>
                <w:rFonts w:ascii="宋体" w:hAnsi="宋体"/>
                <w:color w:val="auto"/>
                <w:kern w:val="0"/>
                <w:sz w:val="24"/>
                <w:highlight w:val="none"/>
              </w:rPr>
              <w:t>或</w:t>
            </w:r>
            <w:r>
              <w:rPr>
                <w:rFonts w:hint="eastAsia" w:ascii="宋体" w:hAnsi="宋体"/>
                <w:color w:val="auto"/>
                <w:kern w:val="0"/>
                <w:sz w:val="24"/>
                <w:highlight w:val="none"/>
              </w:rPr>
              <w:t>磋商</w:t>
            </w:r>
            <w:r>
              <w:rPr>
                <w:rFonts w:ascii="宋体" w:hAnsi="宋体"/>
                <w:color w:val="auto"/>
                <w:kern w:val="0"/>
                <w:sz w:val="24"/>
                <w:highlight w:val="none"/>
              </w:rPr>
              <w:t>失败等后果由供应商自行承担。</w:t>
            </w:r>
          </w:p>
          <w:p w14:paraId="61EDB678">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3.</w:t>
            </w:r>
            <w:r>
              <w:rPr>
                <w:rFonts w:hint="eastAsia" w:ascii="宋体" w:hAnsi="宋体"/>
                <w:color w:val="auto"/>
                <w:kern w:val="0"/>
                <w:sz w:val="24"/>
                <w:highlight w:val="none"/>
                <w:lang w:val="en-US" w:eastAsia="zh-CN"/>
              </w:rPr>
              <w:t>磋商</w:t>
            </w:r>
            <w:r>
              <w:rPr>
                <w:rFonts w:ascii="宋体" w:hAnsi="宋体"/>
                <w:color w:val="auto"/>
                <w:kern w:val="0"/>
                <w:sz w:val="24"/>
                <w:highlight w:val="none"/>
              </w:rPr>
              <w:t>供应商将</w:t>
            </w:r>
            <w:r>
              <w:rPr>
                <w:rFonts w:hint="eastAsia" w:ascii="宋体" w:hAnsi="宋体"/>
                <w:color w:val="auto"/>
                <w:kern w:val="0"/>
                <w:sz w:val="24"/>
                <w:highlight w:val="none"/>
              </w:rPr>
              <w:t>广西政府采购云平台</w:t>
            </w:r>
            <w:r>
              <w:rPr>
                <w:rFonts w:ascii="宋体" w:hAnsi="宋体"/>
                <w:color w:val="auto"/>
                <w:kern w:val="0"/>
                <w:sz w:val="24"/>
                <w:highlight w:val="none"/>
              </w:rPr>
              <w:t>电子交易客户端下载、安装完成后，可通过账号密码或CA登录客户端进行</w:t>
            </w:r>
            <w:r>
              <w:rPr>
                <w:rFonts w:hint="eastAsia" w:ascii="宋体" w:hAnsi="宋体"/>
                <w:color w:val="auto"/>
                <w:kern w:val="0"/>
                <w:sz w:val="24"/>
                <w:highlight w:val="none"/>
              </w:rPr>
              <w:t>磋商响应</w:t>
            </w:r>
            <w:r>
              <w:rPr>
                <w:rFonts w:ascii="宋体" w:hAnsi="宋体"/>
                <w:color w:val="auto"/>
                <w:kern w:val="0"/>
                <w:sz w:val="24"/>
                <w:highlight w:val="none"/>
              </w:rPr>
              <w:t>文件制作。</w:t>
            </w:r>
            <w:r>
              <w:rPr>
                <w:rFonts w:hint="eastAsia" w:ascii="宋体" w:hAnsi="宋体"/>
                <w:color w:val="auto"/>
                <w:kern w:val="0"/>
                <w:sz w:val="24"/>
                <w:highlight w:val="none"/>
              </w:rPr>
              <w:t>新版客户端下载路径：</w:t>
            </w:r>
            <w:r>
              <w:rPr>
                <w:rFonts w:hint="eastAsia" w:ascii="宋体" w:hAnsi="宋体" w:cs="宋体"/>
                <w:color w:val="auto"/>
                <w:sz w:val="24"/>
                <w:highlight w:val="none"/>
              </w:rPr>
              <w:t>广西政府采购网（http://zfcg.gxzf.gov.cn/）—办事</w:t>
            </w:r>
            <w:r>
              <w:rPr>
                <w:rFonts w:hint="eastAsia" w:ascii="宋体" w:hAnsi="宋体" w:cs="宋体"/>
                <w:color w:val="auto"/>
                <w:sz w:val="24"/>
                <w:highlight w:val="none"/>
                <w:lang w:val="en-US" w:eastAsia="zh-CN"/>
              </w:rPr>
              <w:t>指南</w:t>
            </w:r>
            <w:r>
              <w:rPr>
                <w:rFonts w:hint="eastAsia" w:ascii="宋体" w:hAnsi="宋体" w:cs="宋体"/>
                <w:color w:val="auto"/>
                <w:sz w:val="24"/>
                <w:highlight w:val="none"/>
              </w:rPr>
              <w:t>—下载专区—广西政府采购云平台新版客户端</w:t>
            </w:r>
            <w:r>
              <w:rPr>
                <w:rFonts w:hint="eastAsia" w:ascii="宋体" w:hAnsi="宋体"/>
                <w:color w:val="auto"/>
                <w:kern w:val="0"/>
                <w:sz w:val="24"/>
                <w:highlight w:val="none"/>
              </w:rPr>
              <w:t>。原在广西政府采购云平台注册的临时供应商需在新平台启用后重新注册登记。如有问题可拨打广西政府采购云平台客户服务热线</w:t>
            </w:r>
            <w:r>
              <w:rPr>
                <w:rFonts w:ascii="宋体" w:hAnsi="宋体"/>
                <w:color w:val="auto"/>
                <w:kern w:val="0"/>
                <w:sz w:val="24"/>
                <w:highlight w:val="none"/>
              </w:rPr>
              <w:t>95763</w:t>
            </w:r>
            <w:r>
              <w:rPr>
                <w:rFonts w:hint="eastAsia" w:ascii="宋体" w:hAnsi="宋体"/>
                <w:color w:val="auto"/>
                <w:kern w:val="0"/>
                <w:sz w:val="24"/>
                <w:highlight w:val="none"/>
              </w:rPr>
              <w:t>进行咨询。</w:t>
            </w:r>
          </w:p>
          <w:p w14:paraId="650E5822">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4.通过“广西政府采购云平台”上传递交的“电子加密磋商响应文件”无法按时解密，视为磋商响应文件撤回，磋商无效。</w:t>
            </w:r>
          </w:p>
        </w:tc>
      </w:tr>
      <w:tr w14:paraId="6235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637" w:type="dxa"/>
            <w:vAlign w:val="center"/>
          </w:tcPr>
          <w:p w14:paraId="124DE24A">
            <w:pPr>
              <w:pStyle w:val="70"/>
              <w:spacing w:line="360" w:lineRule="auto"/>
              <w:jc w:val="center"/>
              <w:rPr>
                <w:rFonts w:hAnsi="宋体"/>
                <w:color w:val="auto"/>
                <w:sz w:val="24"/>
                <w:szCs w:val="24"/>
                <w:highlight w:val="none"/>
              </w:rPr>
            </w:pPr>
            <w:r>
              <w:rPr>
                <w:rFonts w:hint="eastAsia" w:hAnsi="宋体"/>
                <w:color w:val="auto"/>
                <w:sz w:val="24"/>
                <w:szCs w:val="24"/>
                <w:highlight w:val="none"/>
              </w:rPr>
              <w:t>9</w:t>
            </w:r>
          </w:p>
        </w:tc>
        <w:tc>
          <w:tcPr>
            <w:tcW w:w="1284" w:type="dxa"/>
            <w:vAlign w:val="center"/>
          </w:tcPr>
          <w:p w14:paraId="6F8B783D">
            <w:pPr>
              <w:pStyle w:val="70"/>
              <w:spacing w:line="360" w:lineRule="auto"/>
              <w:jc w:val="center"/>
              <w:rPr>
                <w:rFonts w:hAnsi="宋体"/>
                <w:color w:val="auto"/>
                <w:sz w:val="24"/>
                <w:szCs w:val="24"/>
                <w:highlight w:val="none"/>
              </w:rPr>
            </w:pPr>
            <w:r>
              <w:rPr>
                <w:rFonts w:hint="eastAsia" w:hAnsi="宋体"/>
                <w:color w:val="auto"/>
                <w:sz w:val="24"/>
                <w:szCs w:val="24"/>
                <w:highlight w:val="none"/>
              </w:rPr>
              <w:t>响应文件递交截止时间</w:t>
            </w:r>
          </w:p>
        </w:tc>
        <w:tc>
          <w:tcPr>
            <w:tcW w:w="8781" w:type="dxa"/>
            <w:vAlign w:val="center"/>
          </w:tcPr>
          <w:p w14:paraId="4A366D20">
            <w:pPr>
              <w:widowControl/>
              <w:adjustRightInd w:val="0"/>
              <w:snapToGrid w:val="0"/>
              <w:spacing w:line="360" w:lineRule="auto"/>
              <w:rPr>
                <w:rFonts w:ascii="宋体" w:hAnsi="宋体"/>
                <w:color w:val="auto"/>
                <w:kern w:val="0"/>
                <w:sz w:val="24"/>
                <w:highlight w:val="none"/>
              </w:rPr>
            </w:pPr>
            <w:r>
              <w:rPr>
                <w:rFonts w:hint="eastAsia" w:ascii="宋体" w:hAnsi="宋体"/>
                <w:color w:val="auto"/>
                <w:kern w:val="0"/>
                <w:sz w:val="24"/>
                <w:highlight w:val="none"/>
              </w:rPr>
              <w:t xml:space="preserve">响应文件递交截止时间： </w:t>
            </w:r>
            <w:r>
              <w:rPr>
                <w:rFonts w:hint="eastAsia" w:ascii="宋体" w:hAnsi="宋体"/>
                <w:color w:val="auto"/>
                <w:sz w:val="24"/>
                <w:highlight w:val="none"/>
                <w:u w:val="single"/>
                <w:lang w:eastAsia="zh-CN"/>
              </w:rPr>
              <w:t>2026</w:t>
            </w:r>
            <w:r>
              <w:rPr>
                <w:rFonts w:hint="eastAsia" w:ascii="宋体" w:hAnsi="宋体"/>
                <w:bCs/>
                <w:color w:val="auto"/>
                <w:sz w:val="24"/>
                <w:highlight w:val="none"/>
                <w:u w:val="single"/>
              </w:rPr>
              <w:t>年</w:t>
            </w:r>
            <w:r>
              <w:rPr>
                <w:rFonts w:hint="eastAsia" w:ascii="宋体" w:hAnsi="宋体"/>
                <w:bCs/>
                <w:color w:val="auto"/>
                <w:sz w:val="24"/>
                <w:highlight w:val="none"/>
                <w:u w:val="single"/>
                <w:lang w:val="en-US" w:eastAsia="zh-CN"/>
              </w:rPr>
              <w:t>09</w:t>
            </w:r>
            <w:r>
              <w:rPr>
                <w:rFonts w:hint="eastAsia" w:ascii="宋体" w:hAnsi="宋体"/>
                <w:bCs/>
                <w:color w:val="auto"/>
                <w:sz w:val="24"/>
                <w:highlight w:val="none"/>
                <w:u w:val="single"/>
              </w:rPr>
              <w:t>月</w:t>
            </w:r>
            <w:r>
              <w:rPr>
                <w:rFonts w:hint="eastAsia" w:ascii="宋体" w:hAnsi="宋体"/>
                <w:bCs/>
                <w:color w:val="auto"/>
                <w:sz w:val="24"/>
                <w:highlight w:val="none"/>
                <w:u w:val="single"/>
                <w:lang w:val="en-US" w:eastAsia="zh-CN"/>
              </w:rPr>
              <w:t>15</w:t>
            </w:r>
            <w:r>
              <w:rPr>
                <w:rFonts w:hint="eastAsia" w:ascii="宋体" w:hAnsi="宋体"/>
                <w:bCs/>
                <w:color w:val="auto"/>
                <w:sz w:val="24"/>
                <w:highlight w:val="none"/>
                <w:u w:val="single"/>
              </w:rPr>
              <w:t>日</w:t>
            </w:r>
            <w:r>
              <w:rPr>
                <w:rFonts w:hint="eastAsia" w:ascii="宋体" w:hAnsi="宋体"/>
                <w:bCs/>
                <w:color w:val="auto"/>
                <w:sz w:val="24"/>
                <w:highlight w:val="none"/>
                <w:u w:val="single"/>
                <w:lang w:val="en-US" w:eastAsia="zh-CN"/>
              </w:rPr>
              <w:t>09时00</w:t>
            </w:r>
            <w:r>
              <w:rPr>
                <w:rFonts w:hint="eastAsia" w:ascii="宋体" w:hAnsi="宋体"/>
                <w:bCs/>
                <w:color w:val="auto"/>
                <w:sz w:val="24"/>
                <w:highlight w:val="none"/>
                <w:u w:val="single"/>
              </w:rPr>
              <w:t>分</w:t>
            </w:r>
            <w:r>
              <w:rPr>
                <w:rFonts w:hint="eastAsia" w:ascii="宋体" w:hAnsi="宋体"/>
                <w:color w:val="auto"/>
                <w:kern w:val="0"/>
                <w:sz w:val="24"/>
                <w:highlight w:val="none"/>
              </w:rPr>
              <w:t>之前将电子磋商响应文件上传到广西政府采购云平台。应按照本项目磋商文件和广西政府采购云平台的要求编制、加密传输磋商响应文件。</w:t>
            </w:r>
            <w:r>
              <w:rPr>
                <w:rFonts w:hint="eastAsia" w:ascii="宋体" w:hAnsi="宋体"/>
                <w:color w:val="auto"/>
                <w:kern w:val="0"/>
                <w:sz w:val="24"/>
                <w:highlight w:val="none"/>
                <w:lang w:val="en-US" w:eastAsia="zh-CN"/>
              </w:rPr>
              <w:t>磋商</w:t>
            </w:r>
            <w:r>
              <w:rPr>
                <w:rFonts w:hint="eastAsia" w:ascii="宋体" w:hAnsi="宋体"/>
                <w:color w:val="auto"/>
                <w:kern w:val="0"/>
                <w:sz w:val="24"/>
                <w:highlight w:val="none"/>
              </w:rPr>
              <w:t>供应商在使用系统进行评审的过程中遇到涉及平台使用的任何问题，可致电广西政府采购云平台技术支持热线咨询，联系方式：</w:t>
            </w:r>
            <w:r>
              <w:rPr>
                <w:rFonts w:ascii="宋体" w:hAnsi="宋体"/>
                <w:color w:val="auto"/>
                <w:kern w:val="0"/>
                <w:sz w:val="24"/>
                <w:highlight w:val="none"/>
              </w:rPr>
              <w:t>95763</w:t>
            </w:r>
            <w:r>
              <w:rPr>
                <w:rFonts w:hint="eastAsia" w:ascii="宋体" w:hAnsi="宋体"/>
                <w:color w:val="auto"/>
                <w:kern w:val="0"/>
                <w:sz w:val="24"/>
                <w:highlight w:val="none"/>
              </w:rPr>
              <w:t>。</w:t>
            </w:r>
          </w:p>
        </w:tc>
      </w:tr>
      <w:tr w14:paraId="63E4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37" w:type="dxa"/>
            <w:vAlign w:val="center"/>
          </w:tcPr>
          <w:p w14:paraId="2BECCA01">
            <w:pPr>
              <w:pStyle w:val="70"/>
              <w:spacing w:line="360" w:lineRule="auto"/>
              <w:jc w:val="center"/>
              <w:rPr>
                <w:rFonts w:hAnsi="宋体"/>
                <w:color w:val="auto"/>
                <w:sz w:val="24"/>
                <w:szCs w:val="24"/>
                <w:highlight w:val="none"/>
              </w:rPr>
            </w:pPr>
            <w:r>
              <w:rPr>
                <w:rFonts w:hint="eastAsia" w:hAnsi="宋体"/>
                <w:color w:val="auto"/>
                <w:sz w:val="24"/>
                <w:szCs w:val="24"/>
                <w:highlight w:val="none"/>
              </w:rPr>
              <w:t>10</w:t>
            </w:r>
          </w:p>
        </w:tc>
        <w:tc>
          <w:tcPr>
            <w:tcW w:w="1284" w:type="dxa"/>
            <w:vAlign w:val="center"/>
          </w:tcPr>
          <w:p w14:paraId="2B4EB566">
            <w:pPr>
              <w:pStyle w:val="24"/>
              <w:spacing w:line="360" w:lineRule="auto"/>
              <w:jc w:val="center"/>
              <w:rPr>
                <w:rFonts w:hAnsi="宋体"/>
                <w:color w:val="auto"/>
                <w:sz w:val="24"/>
                <w:szCs w:val="24"/>
                <w:highlight w:val="none"/>
              </w:rPr>
            </w:pPr>
            <w:r>
              <w:rPr>
                <w:rFonts w:hint="eastAsia" w:hAnsi="宋体"/>
                <w:color w:val="auto"/>
                <w:sz w:val="24"/>
                <w:szCs w:val="24"/>
                <w:highlight w:val="none"/>
              </w:rPr>
              <w:t>有效期</w:t>
            </w:r>
          </w:p>
        </w:tc>
        <w:tc>
          <w:tcPr>
            <w:tcW w:w="8781" w:type="dxa"/>
            <w:vAlign w:val="center"/>
          </w:tcPr>
          <w:p w14:paraId="2651EA36">
            <w:pPr>
              <w:widowControl/>
              <w:adjustRightInd w:val="0"/>
              <w:snapToGrid w:val="0"/>
              <w:spacing w:line="360" w:lineRule="auto"/>
              <w:rPr>
                <w:rFonts w:ascii="宋体" w:hAnsi="宋体"/>
                <w:color w:val="auto"/>
                <w:sz w:val="24"/>
                <w:highlight w:val="none"/>
              </w:rPr>
            </w:pPr>
            <w:r>
              <w:rPr>
                <w:rFonts w:hint="eastAsia" w:ascii="宋体" w:hAnsi="宋体"/>
                <w:color w:val="auto"/>
                <w:kern w:val="0"/>
                <w:sz w:val="24"/>
                <w:highlight w:val="none"/>
              </w:rPr>
              <w:t>响应文件有效期：响应文件递交截止日期后六十日。</w:t>
            </w:r>
          </w:p>
        </w:tc>
      </w:tr>
      <w:tr w14:paraId="398C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0C01ED86">
            <w:pPr>
              <w:pStyle w:val="70"/>
              <w:spacing w:line="360" w:lineRule="auto"/>
              <w:jc w:val="center"/>
              <w:rPr>
                <w:rFonts w:hAnsi="宋体"/>
                <w:color w:val="auto"/>
                <w:sz w:val="24"/>
                <w:szCs w:val="24"/>
                <w:highlight w:val="none"/>
              </w:rPr>
            </w:pPr>
            <w:r>
              <w:rPr>
                <w:rFonts w:hint="eastAsia" w:hAnsi="宋体"/>
                <w:color w:val="auto"/>
                <w:sz w:val="24"/>
                <w:szCs w:val="24"/>
                <w:highlight w:val="none"/>
              </w:rPr>
              <w:t>11</w:t>
            </w:r>
          </w:p>
        </w:tc>
        <w:tc>
          <w:tcPr>
            <w:tcW w:w="1284" w:type="dxa"/>
            <w:vAlign w:val="center"/>
          </w:tcPr>
          <w:p w14:paraId="5681DF41">
            <w:pPr>
              <w:overflowPunct w:val="0"/>
              <w:spacing w:line="360" w:lineRule="auto"/>
              <w:jc w:val="center"/>
              <w:rPr>
                <w:rFonts w:ascii="宋体" w:hAnsi="宋体" w:cs="Courier New"/>
                <w:color w:val="auto"/>
                <w:sz w:val="24"/>
                <w:highlight w:val="none"/>
              </w:rPr>
            </w:pPr>
            <w:r>
              <w:rPr>
                <w:rFonts w:hint="eastAsia" w:ascii="宋体" w:hAnsi="宋体" w:cs="Courier New"/>
                <w:color w:val="auto"/>
                <w:sz w:val="24"/>
                <w:highlight w:val="none"/>
              </w:rPr>
              <w:t>磋商响应文件解密时间</w:t>
            </w:r>
          </w:p>
        </w:tc>
        <w:tc>
          <w:tcPr>
            <w:tcW w:w="8781" w:type="dxa"/>
            <w:vAlign w:val="center"/>
          </w:tcPr>
          <w:p w14:paraId="0A9267E7">
            <w:pPr>
              <w:widowControl/>
              <w:adjustRightInd w:val="0"/>
              <w:snapToGrid w:val="0"/>
              <w:spacing w:line="360" w:lineRule="auto"/>
              <w:rPr>
                <w:rFonts w:ascii="宋体" w:hAnsi="宋体" w:cs="Courier New"/>
                <w:color w:val="auto"/>
                <w:sz w:val="24"/>
                <w:highlight w:val="none"/>
              </w:rPr>
            </w:pPr>
            <w:r>
              <w:rPr>
                <w:rFonts w:hint="eastAsia" w:ascii="宋体" w:hAnsi="宋体"/>
                <w:color w:val="auto"/>
                <w:kern w:val="0"/>
                <w:sz w:val="24"/>
                <w:highlight w:val="none"/>
              </w:rPr>
              <w:t>截标时间后30分钟内磋商供应商可以登录广西政府采购云平台，用“项目采购-开标评标”功能进行解密磋商文件。若磋商供应商在规定时间内无法解密或解密失败，视为磋商响应文件撤回，磋商无效。</w:t>
            </w:r>
          </w:p>
        </w:tc>
      </w:tr>
      <w:tr w14:paraId="6EE0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72EC804E">
            <w:pPr>
              <w:pStyle w:val="70"/>
              <w:spacing w:line="360" w:lineRule="auto"/>
              <w:jc w:val="center"/>
              <w:rPr>
                <w:rFonts w:hAnsi="宋体"/>
                <w:color w:val="auto"/>
                <w:sz w:val="24"/>
                <w:szCs w:val="24"/>
                <w:highlight w:val="none"/>
              </w:rPr>
            </w:pPr>
            <w:r>
              <w:rPr>
                <w:rFonts w:hint="eastAsia" w:hAnsi="宋体"/>
                <w:color w:val="auto"/>
                <w:sz w:val="24"/>
                <w:szCs w:val="24"/>
                <w:highlight w:val="none"/>
              </w:rPr>
              <w:t>12</w:t>
            </w:r>
          </w:p>
        </w:tc>
        <w:tc>
          <w:tcPr>
            <w:tcW w:w="1284" w:type="dxa"/>
            <w:vAlign w:val="center"/>
          </w:tcPr>
          <w:p w14:paraId="021B21EF">
            <w:pPr>
              <w:pStyle w:val="70"/>
              <w:spacing w:line="360" w:lineRule="auto"/>
              <w:jc w:val="center"/>
              <w:rPr>
                <w:rFonts w:hAnsi="宋体"/>
                <w:color w:val="auto"/>
                <w:sz w:val="24"/>
                <w:szCs w:val="24"/>
                <w:highlight w:val="none"/>
              </w:rPr>
            </w:pPr>
            <w:r>
              <w:rPr>
                <w:rFonts w:hint="eastAsia" w:hAnsi="宋体"/>
                <w:color w:val="auto"/>
                <w:sz w:val="24"/>
                <w:szCs w:val="24"/>
                <w:highlight w:val="none"/>
              </w:rPr>
              <w:t>评审方法</w:t>
            </w:r>
          </w:p>
        </w:tc>
        <w:tc>
          <w:tcPr>
            <w:tcW w:w="8781" w:type="dxa"/>
            <w:vAlign w:val="center"/>
          </w:tcPr>
          <w:p w14:paraId="01F32ED1">
            <w:pPr>
              <w:pStyle w:val="70"/>
              <w:spacing w:line="360" w:lineRule="auto"/>
              <w:rPr>
                <w:rFonts w:hAnsi="宋体"/>
                <w:color w:val="auto"/>
                <w:sz w:val="24"/>
                <w:szCs w:val="24"/>
                <w:highlight w:val="none"/>
              </w:rPr>
            </w:pPr>
            <w:r>
              <w:rPr>
                <w:rFonts w:hint="eastAsia" w:hAnsi="宋体"/>
                <w:color w:val="auto"/>
                <w:sz w:val="24"/>
                <w:szCs w:val="24"/>
                <w:highlight w:val="none"/>
              </w:rPr>
              <w:t>评审方法：综合评分法（详细见第</w:t>
            </w:r>
            <w:r>
              <w:rPr>
                <w:rFonts w:hint="eastAsia" w:hAnsi="宋体"/>
                <w:color w:val="auto"/>
                <w:sz w:val="24"/>
                <w:szCs w:val="24"/>
                <w:highlight w:val="none"/>
                <w:lang w:val="en-US" w:eastAsia="zh-CN"/>
              </w:rPr>
              <w:t>七</w:t>
            </w:r>
            <w:r>
              <w:rPr>
                <w:rFonts w:hint="eastAsia" w:hAnsi="宋体"/>
                <w:color w:val="auto"/>
                <w:sz w:val="24"/>
                <w:szCs w:val="24"/>
                <w:highlight w:val="none"/>
              </w:rPr>
              <w:t>章）</w:t>
            </w:r>
          </w:p>
        </w:tc>
      </w:tr>
      <w:tr w14:paraId="6254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694E9BF">
            <w:pPr>
              <w:pStyle w:val="70"/>
              <w:spacing w:line="360" w:lineRule="auto"/>
              <w:jc w:val="center"/>
              <w:rPr>
                <w:rFonts w:hAnsi="宋体"/>
                <w:color w:val="auto"/>
                <w:sz w:val="24"/>
                <w:szCs w:val="24"/>
                <w:highlight w:val="none"/>
              </w:rPr>
            </w:pPr>
            <w:r>
              <w:rPr>
                <w:rFonts w:hint="eastAsia" w:hAnsi="宋体"/>
                <w:color w:val="auto"/>
                <w:sz w:val="24"/>
                <w:szCs w:val="24"/>
                <w:highlight w:val="none"/>
              </w:rPr>
              <w:t>13</w:t>
            </w:r>
          </w:p>
        </w:tc>
        <w:tc>
          <w:tcPr>
            <w:tcW w:w="1284" w:type="dxa"/>
            <w:vAlign w:val="center"/>
          </w:tcPr>
          <w:p w14:paraId="08F54F93">
            <w:pPr>
              <w:pStyle w:val="70"/>
              <w:spacing w:line="360" w:lineRule="auto"/>
              <w:jc w:val="center"/>
              <w:rPr>
                <w:rFonts w:hAnsi="宋体"/>
                <w:bCs/>
                <w:color w:val="auto"/>
                <w:sz w:val="24"/>
                <w:szCs w:val="24"/>
                <w:highlight w:val="none"/>
              </w:rPr>
            </w:pPr>
            <w:r>
              <w:rPr>
                <w:rFonts w:hint="eastAsia" w:hAnsi="宋体"/>
                <w:bCs/>
                <w:color w:val="auto"/>
                <w:sz w:val="24"/>
                <w:szCs w:val="24"/>
                <w:highlight w:val="none"/>
              </w:rPr>
              <w:t>成交</w:t>
            </w:r>
            <w:r>
              <w:rPr>
                <w:rFonts w:hAnsi="宋体"/>
                <w:bCs/>
                <w:color w:val="auto"/>
                <w:sz w:val="24"/>
                <w:szCs w:val="24"/>
                <w:highlight w:val="none"/>
              </w:rPr>
              <w:t>结果</w:t>
            </w:r>
          </w:p>
        </w:tc>
        <w:tc>
          <w:tcPr>
            <w:tcW w:w="8781" w:type="dxa"/>
            <w:tcBorders>
              <w:top w:val="single" w:color="auto" w:sz="4" w:space="0"/>
              <w:left w:val="single" w:color="auto" w:sz="4" w:space="0"/>
              <w:bottom w:val="single" w:color="auto" w:sz="4" w:space="0"/>
              <w:right w:val="single" w:color="auto" w:sz="4" w:space="0"/>
            </w:tcBorders>
            <w:vAlign w:val="center"/>
          </w:tcPr>
          <w:p w14:paraId="2569FB6C">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b/>
                <w:bCs/>
                <w:color w:val="auto"/>
                <w:sz w:val="24"/>
                <w:highlight w:val="none"/>
              </w:rPr>
              <w:t>成交通知书及成交公告：</w:t>
            </w:r>
            <w:r>
              <w:rPr>
                <w:rFonts w:hint="eastAsia" w:ascii="宋体" w:hAnsi="宋体" w:cs="宋体"/>
                <w:color w:val="auto"/>
                <w:sz w:val="24"/>
                <w:highlight w:val="none"/>
              </w:rPr>
              <w:t>采购代理机构在采购人依法确定成交人之日起2个工作日内发出成交通知书，并在</w:t>
            </w:r>
            <w:r>
              <w:rPr>
                <w:rFonts w:hint="eastAsia" w:ascii="宋体" w:hAnsi="宋体" w:cs="宋体"/>
                <w:color w:val="auto"/>
                <w:sz w:val="24"/>
                <w:highlight w:val="none"/>
                <w:lang w:val="en-US" w:eastAsia="zh-CN"/>
              </w:rPr>
              <w:t>采购公告发布的同一媒介网站</w:t>
            </w:r>
            <w:r>
              <w:rPr>
                <w:rFonts w:hint="eastAsia" w:ascii="宋体" w:hAnsi="宋体" w:cs="宋体"/>
                <w:color w:val="auto"/>
                <w:sz w:val="24"/>
                <w:highlight w:val="none"/>
              </w:rPr>
              <w:t>发布成交公告。</w:t>
            </w:r>
          </w:p>
          <w:p w14:paraId="022BD636">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b/>
                <w:bCs/>
                <w:color w:val="auto"/>
                <w:sz w:val="24"/>
                <w:highlight w:val="none"/>
              </w:rPr>
              <w:t>中小企业信用融资：</w:t>
            </w:r>
            <w:r>
              <w:rPr>
                <w:rFonts w:hint="eastAsia" w:ascii="宋体" w:hAnsi="宋体" w:cs="宋体"/>
                <w:color w:val="auto"/>
                <w:sz w:val="24"/>
                <w:highlight w:val="none"/>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采购人/采购代理机构网站自助查询。</w:t>
            </w:r>
          </w:p>
          <w:p w14:paraId="0E20FF96">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color w:val="auto"/>
                <w:sz w:val="24"/>
                <w:highlight w:val="none"/>
              </w:rPr>
              <w:t>供应商成交后也可在“广西政府采购云平台”申请政采贷：操作路径：登录广西政府采购云平台-金融服务中心-【融资服务】，可在热门申请中选择产品直接申请。</w:t>
            </w:r>
          </w:p>
        </w:tc>
      </w:tr>
      <w:tr w14:paraId="5149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637" w:type="dxa"/>
            <w:vAlign w:val="center"/>
          </w:tcPr>
          <w:p w14:paraId="1DCAF469">
            <w:pPr>
              <w:pStyle w:val="70"/>
              <w:spacing w:line="360" w:lineRule="auto"/>
              <w:jc w:val="center"/>
              <w:rPr>
                <w:rFonts w:hAnsi="宋体"/>
                <w:color w:val="auto"/>
                <w:sz w:val="24"/>
                <w:szCs w:val="24"/>
                <w:highlight w:val="none"/>
              </w:rPr>
            </w:pPr>
            <w:r>
              <w:rPr>
                <w:rFonts w:hint="eastAsia" w:hAnsi="宋体"/>
                <w:color w:val="auto"/>
                <w:sz w:val="24"/>
                <w:szCs w:val="24"/>
                <w:highlight w:val="none"/>
              </w:rPr>
              <w:t>14</w:t>
            </w:r>
          </w:p>
        </w:tc>
        <w:tc>
          <w:tcPr>
            <w:tcW w:w="1284" w:type="dxa"/>
            <w:vAlign w:val="center"/>
          </w:tcPr>
          <w:p w14:paraId="23809393">
            <w:pPr>
              <w:pStyle w:val="70"/>
              <w:spacing w:line="360" w:lineRule="auto"/>
              <w:jc w:val="center"/>
              <w:rPr>
                <w:rFonts w:hAnsi="宋体"/>
                <w:bCs/>
                <w:color w:val="auto"/>
                <w:sz w:val="24"/>
                <w:szCs w:val="24"/>
                <w:highlight w:val="none"/>
              </w:rPr>
            </w:pPr>
            <w:r>
              <w:rPr>
                <w:rFonts w:hint="eastAsia" w:hAnsi="宋体" w:cs="宋体"/>
                <w:b/>
                <w:bCs/>
                <w:color w:val="auto"/>
                <w:sz w:val="24"/>
                <w:szCs w:val="24"/>
                <w:highlight w:val="none"/>
              </w:rPr>
              <w:t>签订合同</w:t>
            </w:r>
          </w:p>
        </w:tc>
        <w:tc>
          <w:tcPr>
            <w:tcW w:w="8781" w:type="dxa"/>
            <w:tcBorders>
              <w:top w:val="single" w:color="auto" w:sz="4" w:space="0"/>
              <w:left w:val="single" w:color="auto" w:sz="4" w:space="0"/>
              <w:bottom w:val="single" w:color="auto" w:sz="4" w:space="0"/>
              <w:right w:val="single" w:color="auto" w:sz="4" w:space="0"/>
            </w:tcBorders>
            <w:vAlign w:val="center"/>
          </w:tcPr>
          <w:p w14:paraId="065702A8">
            <w:pPr>
              <w:autoSpaceDE w:val="0"/>
              <w:autoSpaceDN w:val="0"/>
              <w:snapToGrid w:val="0"/>
              <w:spacing w:line="360" w:lineRule="auto"/>
              <w:textAlignment w:val="bottom"/>
              <w:rPr>
                <w:rFonts w:ascii="宋体" w:hAnsi="宋体" w:cs="宋体"/>
                <w:color w:val="auto"/>
                <w:sz w:val="24"/>
                <w:highlight w:val="none"/>
              </w:rPr>
            </w:pPr>
            <w:r>
              <w:rPr>
                <w:rFonts w:hint="eastAsia" w:ascii="宋体" w:hAnsi="宋体" w:cs="宋体"/>
                <w:color w:val="auto"/>
                <w:sz w:val="24"/>
                <w:highlight w:val="none"/>
              </w:rPr>
              <w:t>自成交通知书发出之日起，原则上要求</w:t>
            </w:r>
            <w:r>
              <w:rPr>
                <w:rFonts w:ascii="宋体" w:hAnsi="宋体" w:cs="宋体"/>
                <w:color w:val="auto"/>
                <w:sz w:val="24"/>
                <w:highlight w:val="none"/>
              </w:rPr>
              <w:t>25</w:t>
            </w:r>
            <w:r>
              <w:rPr>
                <w:rFonts w:hint="eastAsia" w:ascii="宋体" w:hAnsi="宋体" w:cs="宋体"/>
                <w:color w:val="auto"/>
                <w:sz w:val="24"/>
                <w:highlight w:val="none"/>
              </w:rPr>
              <w:t>日内签订（项目实施过程中出现质疑或投诉的情形除外）。</w:t>
            </w:r>
          </w:p>
        </w:tc>
      </w:tr>
      <w:tr w14:paraId="45AD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29542FD5">
            <w:pPr>
              <w:pStyle w:val="70"/>
              <w:spacing w:line="360" w:lineRule="auto"/>
              <w:jc w:val="center"/>
              <w:rPr>
                <w:rFonts w:hAnsi="宋体"/>
                <w:color w:val="auto"/>
                <w:sz w:val="24"/>
                <w:szCs w:val="24"/>
                <w:highlight w:val="none"/>
              </w:rPr>
            </w:pPr>
            <w:r>
              <w:rPr>
                <w:rFonts w:hint="eastAsia" w:hAnsi="宋体"/>
                <w:color w:val="auto"/>
                <w:sz w:val="24"/>
                <w:szCs w:val="24"/>
                <w:highlight w:val="none"/>
              </w:rPr>
              <w:t>15</w:t>
            </w:r>
          </w:p>
        </w:tc>
        <w:tc>
          <w:tcPr>
            <w:tcW w:w="1284" w:type="dxa"/>
            <w:vAlign w:val="center"/>
          </w:tcPr>
          <w:p w14:paraId="0F136CD7">
            <w:pPr>
              <w:pStyle w:val="70"/>
              <w:spacing w:line="360" w:lineRule="auto"/>
              <w:jc w:val="center"/>
              <w:rPr>
                <w:rFonts w:hAnsi="宋体"/>
                <w:bCs/>
                <w:color w:val="auto"/>
                <w:sz w:val="24"/>
                <w:szCs w:val="24"/>
                <w:highlight w:val="none"/>
              </w:rPr>
            </w:pPr>
            <w:r>
              <w:rPr>
                <w:rFonts w:hint="eastAsia" w:hAnsi="宋体" w:cs="宋体"/>
                <w:b/>
                <w:color w:val="auto"/>
                <w:sz w:val="24"/>
                <w:szCs w:val="24"/>
                <w:highlight w:val="none"/>
              </w:rPr>
              <w:t>电子签名</w:t>
            </w:r>
          </w:p>
        </w:tc>
        <w:tc>
          <w:tcPr>
            <w:tcW w:w="8781" w:type="dxa"/>
            <w:vAlign w:val="center"/>
          </w:tcPr>
          <w:p w14:paraId="3B3F8BCC">
            <w:pPr>
              <w:pStyle w:val="24"/>
              <w:adjustRightInd w:val="0"/>
              <w:snapToGrid w:val="0"/>
              <w:spacing w:line="360" w:lineRule="auto"/>
              <w:rPr>
                <w:rFonts w:hAnsi="宋体" w:cs="宋体"/>
                <w:b/>
                <w:color w:val="auto"/>
                <w:sz w:val="24"/>
                <w:szCs w:val="24"/>
                <w:highlight w:val="none"/>
              </w:rPr>
            </w:pPr>
            <w:r>
              <w:rPr>
                <w:rFonts w:hint="eastAsia" w:hAnsi="宋体" w:cs="宋体"/>
                <w:b/>
                <w:color w:val="auto"/>
                <w:sz w:val="24"/>
                <w:szCs w:val="24"/>
                <w:highlight w:val="none"/>
              </w:rPr>
              <w:t>“电子签名”系指数据电文中以电子形式所含、所附用于识别签名人身份并表明签名人认可其中内容的数据；“公章”系指单位法定名称章。因特殊原因需要使用冠以法定名称的业务专用章的，提交响应文件时须提供《业务专用章使用说明函》。磋商文件对响应文件签字、盖章的要求适用于电子签名。</w:t>
            </w:r>
          </w:p>
          <w:p w14:paraId="584D17D3">
            <w:pPr>
              <w:pStyle w:val="24"/>
              <w:adjustRightInd w:val="0"/>
              <w:snapToGrid w:val="0"/>
              <w:spacing w:line="360" w:lineRule="auto"/>
              <w:rPr>
                <w:rFonts w:hAnsi="宋体"/>
                <w:bCs/>
                <w:color w:val="auto"/>
                <w:sz w:val="24"/>
                <w:szCs w:val="24"/>
                <w:highlight w:val="none"/>
              </w:rPr>
            </w:pPr>
            <w:r>
              <w:rPr>
                <w:rFonts w:hint="eastAsia" w:hAnsi="宋体" w:cs="宋体"/>
                <w:b/>
                <w:color w:val="auto"/>
                <w:sz w:val="24"/>
                <w:szCs w:val="24"/>
                <w:highlight w:val="none"/>
              </w:rPr>
              <w:t>本文件所涉及的法定代表人（负责人）或其委托代理人签名的内容，可以是</w:t>
            </w:r>
            <w:r>
              <w:rPr>
                <w:rFonts w:hint="eastAsia" w:hAnsi="宋体" w:cs="宋体"/>
                <w:b/>
                <w:color w:val="auto"/>
                <w:sz w:val="24"/>
                <w:szCs w:val="24"/>
                <w:highlight w:val="none"/>
                <w:lang w:val="en-US" w:eastAsia="zh-CN"/>
              </w:rPr>
              <w:t>磋商</w:t>
            </w:r>
            <w:r>
              <w:rPr>
                <w:rFonts w:hint="eastAsia" w:hAnsi="宋体" w:cs="宋体"/>
                <w:b/>
                <w:color w:val="auto"/>
                <w:sz w:val="24"/>
                <w:szCs w:val="24"/>
                <w:highlight w:val="none"/>
              </w:rPr>
              <w:t>供应商的法定代表人（负责人）或其委托代理人的电子签名；如果</w:t>
            </w:r>
            <w:r>
              <w:rPr>
                <w:rFonts w:hint="eastAsia" w:hAnsi="宋体" w:cs="宋体"/>
                <w:b/>
                <w:color w:val="auto"/>
                <w:sz w:val="24"/>
                <w:szCs w:val="24"/>
                <w:highlight w:val="none"/>
                <w:lang w:val="en-US" w:eastAsia="zh-CN"/>
              </w:rPr>
              <w:t>磋商</w:t>
            </w:r>
            <w:r>
              <w:rPr>
                <w:rFonts w:hint="eastAsia" w:hAnsi="宋体" w:cs="宋体"/>
                <w:b/>
                <w:color w:val="auto"/>
                <w:sz w:val="24"/>
                <w:szCs w:val="24"/>
                <w:highlight w:val="none"/>
              </w:rPr>
              <w:t>供应商没有法定代表人（负责人）或其委托代理人的电子签名，</w:t>
            </w:r>
            <w:r>
              <w:rPr>
                <w:rFonts w:hint="eastAsia" w:hAnsi="宋体" w:cs="宋体"/>
                <w:b/>
                <w:color w:val="auto"/>
                <w:sz w:val="24"/>
                <w:szCs w:val="24"/>
                <w:highlight w:val="none"/>
                <w:lang w:val="en-US" w:eastAsia="zh-CN"/>
              </w:rPr>
              <w:t>磋商</w:t>
            </w:r>
            <w:r>
              <w:rPr>
                <w:rFonts w:hint="eastAsia" w:hAnsi="宋体" w:cs="宋体"/>
                <w:b/>
                <w:color w:val="auto"/>
                <w:sz w:val="24"/>
                <w:szCs w:val="24"/>
                <w:highlight w:val="none"/>
              </w:rPr>
              <w:t>供应商也可以线下签名或盖姓名章后扫描上传。电子响应文件加盖公章部分均采用CA签章。</w:t>
            </w:r>
          </w:p>
        </w:tc>
      </w:tr>
      <w:tr w14:paraId="235D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F7369E4">
            <w:pPr>
              <w:pStyle w:val="70"/>
              <w:spacing w:line="360" w:lineRule="auto"/>
              <w:jc w:val="center"/>
              <w:rPr>
                <w:rFonts w:hAnsi="宋体"/>
                <w:color w:val="auto"/>
                <w:sz w:val="24"/>
                <w:szCs w:val="24"/>
                <w:highlight w:val="none"/>
              </w:rPr>
            </w:pPr>
            <w:r>
              <w:rPr>
                <w:rFonts w:hint="eastAsia" w:hAnsi="宋体"/>
                <w:color w:val="auto"/>
                <w:sz w:val="24"/>
                <w:szCs w:val="24"/>
                <w:highlight w:val="none"/>
              </w:rPr>
              <w:t>16</w:t>
            </w:r>
          </w:p>
        </w:tc>
        <w:tc>
          <w:tcPr>
            <w:tcW w:w="1284" w:type="dxa"/>
            <w:vAlign w:val="center"/>
          </w:tcPr>
          <w:p w14:paraId="419CD925">
            <w:pPr>
              <w:pStyle w:val="70"/>
              <w:spacing w:line="360" w:lineRule="auto"/>
              <w:jc w:val="center"/>
              <w:rPr>
                <w:rFonts w:hAnsi="宋体"/>
                <w:color w:val="auto"/>
                <w:sz w:val="24"/>
                <w:szCs w:val="24"/>
                <w:highlight w:val="none"/>
              </w:rPr>
            </w:pPr>
            <w:r>
              <w:rPr>
                <w:rFonts w:hint="eastAsia" w:hAnsi="宋体"/>
                <w:bCs/>
                <w:color w:val="auto"/>
                <w:sz w:val="24"/>
                <w:szCs w:val="24"/>
                <w:highlight w:val="none"/>
              </w:rPr>
              <w:t>质疑及投诉联系方式</w:t>
            </w:r>
          </w:p>
        </w:tc>
        <w:tc>
          <w:tcPr>
            <w:tcW w:w="8781" w:type="dxa"/>
            <w:vAlign w:val="center"/>
          </w:tcPr>
          <w:p w14:paraId="328B8E2E">
            <w:pPr>
              <w:pStyle w:val="24"/>
              <w:adjustRightInd w:val="0"/>
              <w:snapToGrid w:val="0"/>
              <w:spacing w:line="360" w:lineRule="auto"/>
              <w:rPr>
                <w:rFonts w:hint="eastAsia" w:hAnsi="宋体"/>
                <w:bCs/>
                <w:color w:val="auto"/>
                <w:sz w:val="24"/>
                <w:szCs w:val="24"/>
                <w:highlight w:val="none"/>
                <w:lang w:val="en-US" w:eastAsia="zh-CN"/>
              </w:rPr>
            </w:pPr>
            <w:r>
              <w:rPr>
                <w:rFonts w:hint="eastAsia" w:hAnsi="宋体"/>
                <w:bCs/>
                <w:color w:val="auto"/>
                <w:sz w:val="24"/>
                <w:szCs w:val="24"/>
                <w:highlight w:val="none"/>
              </w:rPr>
              <w:t>质疑联系部门及电话为：</w:t>
            </w:r>
            <w:r>
              <w:rPr>
                <w:rFonts w:hint="eastAsia" w:hAnsi="宋体"/>
                <w:bCs/>
                <w:color w:val="auto"/>
                <w:sz w:val="24"/>
                <w:szCs w:val="24"/>
                <w:highlight w:val="none"/>
                <w:lang w:eastAsia="zh-CN"/>
              </w:rPr>
              <w:t>广西北部湾宏亚建设管理有限公司</w:t>
            </w:r>
            <w:r>
              <w:rPr>
                <w:rFonts w:hint="eastAsia" w:hAnsi="宋体"/>
                <w:bCs/>
                <w:color w:val="auto"/>
                <w:sz w:val="24"/>
                <w:szCs w:val="24"/>
                <w:highlight w:val="none"/>
              </w:rPr>
              <w:t xml:space="preserve">   联系电话：0779-</w:t>
            </w:r>
            <w:r>
              <w:rPr>
                <w:rFonts w:hint="eastAsia" w:hAnsi="宋体"/>
                <w:bCs/>
                <w:color w:val="auto"/>
                <w:sz w:val="24"/>
                <w:szCs w:val="24"/>
                <w:highlight w:val="none"/>
                <w:lang w:val="en-US" w:eastAsia="zh-CN"/>
              </w:rPr>
              <w:t>3928925</w:t>
            </w:r>
          </w:p>
          <w:p w14:paraId="087E7C26">
            <w:pPr>
              <w:pStyle w:val="24"/>
              <w:adjustRightInd w:val="0"/>
              <w:snapToGrid w:val="0"/>
              <w:spacing w:line="360" w:lineRule="auto"/>
              <w:rPr>
                <w:rFonts w:hAnsi="宋体"/>
                <w:bCs/>
                <w:color w:val="auto"/>
                <w:sz w:val="24"/>
                <w:szCs w:val="24"/>
                <w:highlight w:val="none"/>
              </w:rPr>
            </w:pPr>
            <w:r>
              <w:rPr>
                <w:rFonts w:hint="eastAsia" w:hAnsi="宋体"/>
                <w:bCs/>
                <w:color w:val="auto"/>
                <w:sz w:val="24"/>
                <w:szCs w:val="24"/>
                <w:highlight w:val="none"/>
              </w:rPr>
              <w:t>投诉联系部门及电话为：</w:t>
            </w:r>
            <w:r>
              <w:rPr>
                <w:rFonts w:hint="eastAsia" w:hAnsi="宋体"/>
                <w:bCs/>
                <w:color w:val="auto"/>
                <w:sz w:val="24"/>
                <w:szCs w:val="24"/>
                <w:highlight w:val="none"/>
                <w:lang w:eastAsia="zh-CN"/>
              </w:rPr>
              <w:t>北海市</w:t>
            </w:r>
            <w:r>
              <w:rPr>
                <w:rFonts w:hint="eastAsia" w:hAnsi="宋体"/>
                <w:bCs/>
                <w:color w:val="auto"/>
                <w:sz w:val="24"/>
                <w:szCs w:val="24"/>
                <w:highlight w:val="none"/>
                <w:lang w:val="en-US" w:eastAsia="zh-CN"/>
              </w:rPr>
              <w:t>海城区</w:t>
            </w:r>
            <w:r>
              <w:rPr>
                <w:rFonts w:hint="eastAsia" w:hAnsi="宋体"/>
                <w:bCs/>
                <w:color w:val="auto"/>
                <w:sz w:val="24"/>
                <w:szCs w:val="24"/>
                <w:highlight w:val="none"/>
                <w:lang w:eastAsia="zh-CN"/>
              </w:rPr>
              <w:t>财政局</w:t>
            </w:r>
            <w:r>
              <w:rPr>
                <w:rFonts w:hint="eastAsia" w:hAnsi="宋体"/>
                <w:bCs/>
                <w:color w:val="auto"/>
                <w:sz w:val="24"/>
                <w:szCs w:val="24"/>
                <w:highlight w:val="none"/>
              </w:rPr>
              <w:t>（财政监督部门）    联系电话：</w:t>
            </w:r>
            <w:r>
              <w:rPr>
                <w:rFonts w:hint="eastAsia" w:hAnsi="宋体"/>
                <w:bCs/>
                <w:color w:val="auto"/>
                <w:sz w:val="24"/>
                <w:szCs w:val="24"/>
                <w:highlight w:val="none"/>
                <w:lang w:eastAsia="zh-CN"/>
              </w:rPr>
              <w:t>0779-3032655</w:t>
            </w:r>
          </w:p>
        </w:tc>
      </w:tr>
      <w:tr w14:paraId="7B2C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0DA148E">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rPr>
              <w:t>17</w:t>
            </w:r>
          </w:p>
        </w:tc>
        <w:tc>
          <w:tcPr>
            <w:tcW w:w="1284" w:type="dxa"/>
            <w:vAlign w:val="center"/>
          </w:tcPr>
          <w:p w14:paraId="659C7286">
            <w:pPr>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解释权</w:t>
            </w:r>
          </w:p>
        </w:tc>
        <w:tc>
          <w:tcPr>
            <w:tcW w:w="8781" w:type="dxa"/>
            <w:vAlign w:val="center"/>
          </w:tcPr>
          <w:p w14:paraId="193DF972">
            <w:pPr>
              <w:spacing w:line="360" w:lineRule="auto"/>
              <w:rPr>
                <w:rFonts w:cs="Arial" w:asciiTheme="minorEastAsia" w:hAnsiTheme="minorEastAsia" w:eastAsiaTheme="minorEastAsia"/>
                <w:color w:val="auto"/>
                <w:kern w:val="0"/>
                <w:sz w:val="24"/>
                <w:highlight w:val="none"/>
              </w:rPr>
            </w:pPr>
            <w:r>
              <w:rPr>
                <w:rFonts w:hint="eastAsia" w:cs="Arial" w:asciiTheme="minorEastAsia" w:hAnsiTheme="minorEastAsia" w:eastAsiaTheme="minorEastAsia"/>
                <w:color w:val="auto"/>
                <w:kern w:val="0"/>
                <w:sz w:val="24"/>
                <w:highlight w:val="none"/>
              </w:rPr>
              <w:t>本磋商文件解释权属采购人及代理机构。</w:t>
            </w:r>
          </w:p>
        </w:tc>
      </w:tr>
    </w:tbl>
    <w:p w14:paraId="7518B77F">
      <w:pPr>
        <w:rPr>
          <w:rFonts w:hint="eastAsia" w:ascii="宋体" w:hAnsi="宋体"/>
          <w:b/>
          <w:color w:val="auto"/>
          <w:sz w:val="24"/>
          <w:highlight w:val="none"/>
        </w:rPr>
      </w:pPr>
      <w:r>
        <w:rPr>
          <w:rFonts w:hint="eastAsia" w:ascii="宋体" w:hAnsi="宋体"/>
          <w:b/>
          <w:color w:val="auto"/>
          <w:sz w:val="24"/>
          <w:highlight w:val="none"/>
        </w:rPr>
        <w:br w:type="page"/>
      </w:r>
    </w:p>
    <w:p w14:paraId="05CFA9FA">
      <w:pPr>
        <w:spacing w:line="360" w:lineRule="auto"/>
        <w:ind w:firstLine="643" w:firstLineChars="200"/>
        <w:jc w:val="center"/>
        <w:rPr>
          <w:rFonts w:ascii="宋体" w:hAnsi="宋体"/>
          <w:b/>
          <w:color w:val="auto"/>
          <w:sz w:val="32"/>
          <w:szCs w:val="32"/>
          <w:highlight w:val="none"/>
        </w:rPr>
      </w:pPr>
      <w:r>
        <w:rPr>
          <w:rFonts w:hint="eastAsia" w:ascii="宋体" w:hAnsi="宋体"/>
          <w:b/>
          <w:color w:val="auto"/>
          <w:sz w:val="32"/>
          <w:szCs w:val="32"/>
          <w:highlight w:val="none"/>
        </w:rPr>
        <w:t>磋商</w:t>
      </w:r>
      <w:r>
        <w:rPr>
          <w:rFonts w:ascii="宋体" w:hAnsi="宋体"/>
          <w:b/>
          <w:color w:val="auto"/>
          <w:sz w:val="32"/>
          <w:szCs w:val="32"/>
          <w:highlight w:val="none"/>
        </w:rPr>
        <w:t>供应商须知</w:t>
      </w:r>
    </w:p>
    <w:p w14:paraId="53B68883">
      <w:pPr>
        <w:spacing w:line="360" w:lineRule="auto"/>
        <w:ind w:firstLine="480" w:firstLineChars="200"/>
        <w:rPr>
          <w:rFonts w:ascii="宋体" w:hAnsi="宋体"/>
          <w:color w:val="auto"/>
          <w:sz w:val="24"/>
          <w:highlight w:val="none"/>
        </w:rPr>
      </w:pPr>
    </w:p>
    <w:p w14:paraId="44593D68">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一、总　则</w:t>
      </w:r>
    </w:p>
    <w:p w14:paraId="75FF5D63">
      <w:pPr>
        <w:snapToGrid w:val="0"/>
        <w:spacing w:line="360" w:lineRule="auto"/>
        <w:ind w:firstLine="482" w:firstLineChars="200"/>
        <w:jc w:val="left"/>
        <w:rPr>
          <w:rFonts w:ascii="宋体" w:hAnsi="宋体" w:cs="宋体"/>
          <w:b/>
          <w:color w:val="auto"/>
          <w:sz w:val="24"/>
          <w:highlight w:val="none"/>
        </w:rPr>
      </w:pPr>
      <w:bookmarkStart w:id="25" w:name="_Toc254970527"/>
      <w:bookmarkStart w:id="26" w:name="_Toc254970668"/>
      <w:r>
        <w:rPr>
          <w:rFonts w:hint="eastAsia" w:ascii="宋体" w:hAnsi="宋体" w:cs="宋体"/>
          <w:b/>
          <w:color w:val="auto"/>
          <w:sz w:val="24"/>
          <w:highlight w:val="none"/>
        </w:rPr>
        <w:t>1.适用范围</w:t>
      </w:r>
      <w:bookmarkEnd w:id="25"/>
      <w:bookmarkEnd w:id="26"/>
    </w:p>
    <w:p w14:paraId="2AA1AC3E">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本磋商文件适用于本项目的磋商、响应、评审、定标、验收、合同履约、付款等行为（法律、法规另有规定的，从其规定）。</w:t>
      </w:r>
    </w:p>
    <w:p w14:paraId="0412CCF1">
      <w:pPr>
        <w:snapToGrid w:val="0"/>
        <w:spacing w:line="360" w:lineRule="auto"/>
        <w:ind w:firstLine="482" w:firstLineChars="200"/>
        <w:jc w:val="left"/>
        <w:rPr>
          <w:rFonts w:ascii="宋体" w:hAnsi="宋体" w:cs="宋体"/>
          <w:b/>
          <w:color w:val="auto"/>
          <w:sz w:val="24"/>
          <w:highlight w:val="none"/>
        </w:rPr>
      </w:pPr>
      <w:bookmarkStart w:id="27" w:name="_Toc254970528"/>
      <w:bookmarkStart w:id="28" w:name="_Toc254970669"/>
      <w:r>
        <w:rPr>
          <w:rFonts w:hint="eastAsia" w:ascii="宋体" w:hAnsi="宋体" w:cs="宋体"/>
          <w:b/>
          <w:color w:val="auto"/>
          <w:sz w:val="24"/>
          <w:highlight w:val="none"/>
        </w:rPr>
        <w:t>2.定义</w:t>
      </w:r>
      <w:bookmarkEnd w:id="27"/>
      <w:bookmarkEnd w:id="28"/>
    </w:p>
    <w:p w14:paraId="78523C4F">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1“采购人”系指组织本次磋商的采购单位。</w:t>
      </w:r>
    </w:p>
    <w:p w14:paraId="5A60D39A">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w:t>
      </w:r>
      <w:r>
        <w:rPr>
          <w:rFonts w:ascii="宋体" w:hAnsi="宋体" w:cs="宋体"/>
          <w:color w:val="auto"/>
          <w:sz w:val="24"/>
          <w:highlight w:val="none"/>
        </w:rPr>
        <w:t>2</w:t>
      </w:r>
      <w:r>
        <w:rPr>
          <w:rFonts w:hint="eastAsia" w:ascii="宋体" w:hAnsi="宋体" w:cs="宋体"/>
          <w:color w:val="auto"/>
          <w:sz w:val="24"/>
          <w:highlight w:val="none"/>
        </w:rPr>
        <w:t>“采购代理机构”系指组织本次磋商的采购代理机构（以下简称“</w:t>
      </w:r>
      <w:r>
        <w:rPr>
          <w:rFonts w:hint="eastAsia" w:ascii="宋体" w:hAnsi="宋体"/>
          <w:color w:val="auto"/>
          <w:sz w:val="24"/>
          <w:highlight w:val="none"/>
        </w:rPr>
        <w:t>本代理机构</w:t>
      </w:r>
      <w:r>
        <w:rPr>
          <w:rFonts w:hint="eastAsia" w:ascii="宋体" w:hAnsi="宋体" w:cs="宋体"/>
          <w:color w:val="auto"/>
          <w:sz w:val="24"/>
          <w:highlight w:val="none"/>
        </w:rPr>
        <w:t>”）。</w:t>
      </w:r>
    </w:p>
    <w:p w14:paraId="6733381A">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2.3</w:t>
      </w:r>
      <w:r>
        <w:rPr>
          <w:rFonts w:hint="eastAsia" w:ascii="宋体" w:hAnsi="宋体" w:cs="宋体"/>
          <w:color w:val="auto"/>
          <w:sz w:val="24"/>
          <w:highlight w:val="none"/>
        </w:rPr>
        <w:t>“磋商供应商”系指响应磋商、参加磋商竞争的法人、其他组织或者自然人。</w:t>
      </w:r>
    </w:p>
    <w:p w14:paraId="53EB896A">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4“工程”是指建设工程，包括建筑物和构筑物的新建、改建、扩建、装修、拆除、修缮等。</w:t>
      </w:r>
    </w:p>
    <w:p w14:paraId="637BDE0E">
      <w:pPr>
        <w:snapToGrid w:val="0"/>
        <w:spacing w:line="360" w:lineRule="auto"/>
        <w:ind w:firstLine="480" w:firstLineChars="200"/>
        <w:jc w:val="lef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5“项目”系指磋商供应商按竞争性磋商文件规定向采购人提供的产品和服务。</w:t>
      </w:r>
    </w:p>
    <w:p w14:paraId="5CFF0915">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2.6“书面形式”包括信函、传真、电报等。</w:t>
      </w:r>
    </w:p>
    <w:p w14:paraId="66C264A8">
      <w:pPr>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2.7“▲”系指实质性要求条款。</w:t>
      </w:r>
    </w:p>
    <w:p w14:paraId="7A69F919">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3. 供应商的基本条件</w:t>
      </w:r>
    </w:p>
    <w:p w14:paraId="4F5070FD">
      <w:pPr>
        <w:adjustRightInd w:val="0"/>
        <w:spacing w:line="360" w:lineRule="auto"/>
        <w:ind w:firstLine="480"/>
        <w:rPr>
          <w:rFonts w:ascii="宋体" w:hAnsi="宋体" w:cs="宋体"/>
          <w:snapToGrid w:val="0"/>
          <w:color w:val="auto"/>
          <w:kern w:val="28"/>
          <w:sz w:val="24"/>
          <w:szCs w:val="20"/>
          <w:highlight w:val="none"/>
        </w:rPr>
      </w:pPr>
      <w:r>
        <w:rPr>
          <w:rFonts w:hint="eastAsia" w:ascii="宋体" w:hAnsi="宋体" w:cs="宋体"/>
          <w:snapToGrid w:val="0"/>
          <w:color w:val="auto"/>
          <w:kern w:val="28"/>
          <w:sz w:val="24"/>
          <w:szCs w:val="20"/>
          <w:highlight w:val="none"/>
          <w:lang w:val="en-US" w:eastAsia="zh-CN"/>
        </w:rPr>
        <w:t>3.1</w:t>
      </w:r>
      <w:r>
        <w:rPr>
          <w:rFonts w:hint="eastAsia" w:ascii="宋体" w:hAnsi="宋体" w:cs="宋体"/>
          <w:snapToGrid w:val="0"/>
          <w:color w:val="auto"/>
          <w:kern w:val="28"/>
          <w:sz w:val="24"/>
          <w:szCs w:val="20"/>
          <w:highlight w:val="none"/>
        </w:rPr>
        <w:t>满足《中华人民共和国政府采购法》第二十二条规定；</w:t>
      </w:r>
    </w:p>
    <w:p w14:paraId="48534673">
      <w:pPr>
        <w:adjustRightInd w:val="0"/>
        <w:spacing w:line="360" w:lineRule="auto"/>
        <w:rPr>
          <w:rFonts w:hint="eastAsia" w:ascii="宋体" w:hAnsi="宋体" w:cs="宋体"/>
          <w:color w:val="auto"/>
          <w:sz w:val="24"/>
          <w:highlight w:val="none"/>
        </w:rPr>
      </w:pPr>
      <w:r>
        <w:rPr>
          <w:rFonts w:hint="eastAsia" w:ascii="宋体" w:hAnsi="宋体" w:cs="宋体"/>
          <w:snapToGrid w:val="0"/>
          <w:color w:val="auto"/>
          <w:kern w:val="28"/>
          <w:sz w:val="24"/>
          <w:szCs w:val="20"/>
          <w:highlight w:val="none"/>
        </w:rPr>
        <w:t xml:space="preserve">    </w:t>
      </w:r>
      <w:r>
        <w:rPr>
          <w:rFonts w:hint="eastAsia" w:ascii="宋体" w:hAnsi="宋体" w:cs="宋体"/>
          <w:snapToGrid w:val="0"/>
          <w:color w:val="auto"/>
          <w:kern w:val="28"/>
          <w:sz w:val="24"/>
          <w:szCs w:val="20"/>
          <w:highlight w:val="none"/>
          <w:lang w:val="en-US" w:eastAsia="zh-CN"/>
        </w:rPr>
        <w:t>3.2</w:t>
      </w:r>
      <w:r>
        <w:rPr>
          <w:rFonts w:hint="eastAsia" w:ascii="宋体" w:hAnsi="宋体" w:cs="宋体"/>
          <w:snapToGrid w:val="0"/>
          <w:color w:val="auto"/>
          <w:kern w:val="28"/>
          <w:sz w:val="24"/>
          <w:szCs w:val="20"/>
          <w:highlight w:val="none"/>
        </w:rPr>
        <w:t>落实政府采购政策需满足的资格要求：</w:t>
      </w:r>
      <w:r>
        <w:rPr>
          <w:rFonts w:hint="eastAsia" w:ascii="宋体" w:hAnsi="宋体" w:cs="宋体"/>
          <w:color w:val="auto"/>
          <w:sz w:val="24"/>
          <w:highlight w:val="none"/>
        </w:rPr>
        <w:t>分标1：本项目属于专门面向</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企业采购的项目，</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供应商应为</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企业须符合本项目采购标的所属行业对应的</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企业划分标准；监狱企业、残疾人福利单位视同</w:t>
      </w:r>
      <w:r>
        <w:rPr>
          <w:rFonts w:hint="eastAsia" w:ascii="宋体" w:hAnsi="宋体" w:cs="宋体"/>
          <w:color w:val="auto"/>
          <w:sz w:val="24"/>
          <w:highlight w:val="none"/>
          <w:lang w:val="en-US" w:eastAsia="zh-CN"/>
        </w:rPr>
        <w:t>小微</w:t>
      </w:r>
      <w:r>
        <w:rPr>
          <w:rFonts w:hint="eastAsia" w:ascii="宋体" w:hAnsi="宋体" w:cs="宋体"/>
          <w:color w:val="auto"/>
          <w:sz w:val="24"/>
          <w:highlight w:val="none"/>
        </w:rPr>
        <w:t>企业。</w:t>
      </w:r>
    </w:p>
    <w:p w14:paraId="7EF89CAF">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3.3</w:t>
      </w:r>
      <w:r>
        <w:rPr>
          <w:rFonts w:hint="eastAsia" w:ascii="宋体" w:hAnsi="宋体" w:cs="宋体"/>
          <w:color w:val="auto"/>
          <w:sz w:val="24"/>
          <w:highlight w:val="none"/>
        </w:rPr>
        <w:t>本项目的特定资格要求：</w:t>
      </w:r>
    </w:p>
    <w:p w14:paraId="64FD323E">
      <w:pPr>
        <w:adjustRightIn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【分标1】</w:t>
      </w:r>
    </w:p>
    <w:p w14:paraId="7F21AC61">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①磋商供应商须具备建筑工程施工总承包二级（含）以上或市政公用工程施工总承包二级（含）以上资质及有效的安全生产许可证，并在人员、设备、资金等方面具备相应的施工能力。</w:t>
      </w:r>
    </w:p>
    <w:p w14:paraId="666B9F88">
      <w:pPr>
        <w:numPr>
          <w:ilvl w:val="0"/>
          <w:numId w:val="0"/>
        </w:numPr>
        <w:adjustRightIn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②磋商供应商拟派的项目经理须具备建筑工程或市政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0128295E">
      <w:pPr>
        <w:adjustRightInd w:val="0"/>
        <w:snapToGrid w:val="0"/>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③安全员要求：本工程至少投入1名专职安全员且具备有效的安全生产考核合格证（C证）。</w:t>
      </w:r>
    </w:p>
    <w:p w14:paraId="1398FAE4">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4.需要落实的政府采购政策</w:t>
      </w:r>
    </w:p>
    <w:p w14:paraId="1C30A9BD">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4.1是否允许采购进口产品要求</w:t>
      </w:r>
    </w:p>
    <w:p w14:paraId="07DBE119">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color w:val="auto"/>
          <w:sz w:val="24"/>
          <w:szCs w:val="20"/>
          <w:highlight w:val="none"/>
        </w:rPr>
        <w:t>；</w:t>
      </w:r>
      <w:r>
        <w:rPr>
          <w:rFonts w:hint="eastAsia" w:ascii="宋体" w:hAnsi="宋体" w:cs="宋体"/>
          <w:color w:val="auto"/>
          <w:kern w:val="0"/>
          <w:sz w:val="24"/>
          <w:szCs w:val="20"/>
          <w:highlight w:val="none"/>
        </w:rPr>
        <w:t>优先采购向我国企业转让技术、与我国企业签订消化吸收再创新方案的供应商的进口产品</w:t>
      </w:r>
      <w:r>
        <w:rPr>
          <w:rFonts w:hint="eastAsia" w:ascii="宋体" w:hAnsi="宋体"/>
          <w:color w:val="auto"/>
          <w:sz w:val="24"/>
          <w:szCs w:val="20"/>
          <w:highlight w:val="none"/>
        </w:rPr>
        <w:t>。</w:t>
      </w:r>
    </w:p>
    <w:p w14:paraId="6C22705E">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4.2支持绿色发展</w:t>
      </w:r>
    </w:p>
    <w:p w14:paraId="01DD6D9F">
      <w:pPr>
        <w:adjustRightInd w:val="0"/>
        <w:spacing w:line="360" w:lineRule="auto"/>
        <w:ind w:firstLine="480" w:firstLineChars="200"/>
        <w:rPr>
          <w:rFonts w:ascii="宋体" w:hAnsi="宋体" w:cs="宋体"/>
          <w:b/>
          <w:color w:val="auto"/>
          <w:sz w:val="24"/>
          <w:highlight w:val="none"/>
        </w:rPr>
      </w:pPr>
      <w:r>
        <w:rPr>
          <w:rFonts w:hint="eastAsia" w:ascii="宋体" w:hAnsi="宋体" w:cs="宋体"/>
          <w:color w:val="auto"/>
          <w:sz w:val="24"/>
          <w:highlight w:val="none"/>
        </w:rPr>
        <w:t>4.2.1采购人拟采购的产品属于品目清单范围的，采购人及其委托的采购代理机构将依据国家确定的认证机构出具的、处于有效期之内的节能产品、环境标志产品认证证书，对获得证书的产品实施政府优先采购或强制采购。</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供应商须按采磋商文件要求提供相关产品认证证书。</w:t>
      </w:r>
      <w:r>
        <w:rPr>
          <w:rFonts w:hint="eastAsia" w:ascii="宋体" w:hAnsi="宋体" w:cs="宋体"/>
          <w:b/>
          <w:color w:val="auto"/>
          <w:sz w:val="24"/>
          <w:highlight w:val="none"/>
        </w:rPr>
        <w:t>▲采购人拟采购的产品属于政府强制采购的节能产品品目清单范围的，</w:t>
      </w:r>
      <w:r>
        <w:rPr>
          <w:rFonts w:hint="eastAsia" w:ascii="宋体" w:hAnsi="宋体" w:cs="宋体"/>
          <w:b/>
          <w:color w:val="auto"/>
          <w:sz w:val="24"/>
          <w:highlight w:val="none"/>
          <w:lang w:val="en-US" w:eastAsia="zh-CN"/>
        </w:rPr>
        <w:t>磋商</w:t>
      </w:r>
      <w:r>
        <w:rPr>
          <w:rFonts w:hint="eastAsia" w:ascii="宋体" w:hAnsi="宋体" w:cs="宋体"/>
          <w:b/>
          <w:color w:val="auto"/>
          <w:sz w:val="24"/>
          <w:highlight w:val="none"/>
        </w:rPr>
        <w:t>供应商相应的响应产品未获得国家确定的认证机构出具的、处于有效期之内的节能产品认证证书的，响应无效。</w:t>
      </w:r>
    </w:p>
    <w:p w14:paraId="49F3342B">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4.2.2纳入政府采购管理的修缮、装修类项目采购建材的，鼓励采购单位将绿色建材性能、指标等作为实质性条件纳入采购文件和合同，具体性能指标要求参考相关绿色建材政府采购需求标准。</w:t>
      </w:r>
    </w:p>
    <w:p w14:paraId="03813198">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3AF4D741">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w:t>
      </w:r>
      <w:r>
        <w:rPr>
          <w:rFonts w:ascii="宋体" w:hAnsi="宋体" w:cs="宋体"/>
          <w:color w:val="auto"/>
          <w:sz w:val="24"/>
          <w:highlight w:val="none"/>
        </w:rPr>
        <w:t xml:space="preserve">2.4 </w:t>
      </w:r>
      <w:r>
        <w:rPr>
          <w:rFonts w:hint="eastAsia" w:ascii="宋体" w:hAnsi="宋体" w:cs="宋体"/>
          <w:color w:val="auto"/>
          <w:sz w:val="24"/>
          <w:highlight w:val="none"/>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53586A50">
      <w:pPr>
        <w:adjustRightIn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4.3支持中小企业发展。</w:t>
      </w:r>
    </w:p>
    <w:p w14:paraId="216368C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4.3.1中小企业，是指在中华人民共和国境内依法设立，依据国务院批准的中小企业划分标准确定的中型企业、小型企业和微型企业，但与大企业的负责人为同一人，或者与大企业存在直接控股、管理关系的除外。</w:t>
      </w:r>
    </w:p>
    <w:p w14:paraId="7784F5DD">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符合中小企业划分标准的个体工商户，在政府采购活动中视同中小企业。</w:t>
      </w:r>
    </w:p>
    <w:p w14:paraId="614DB1AA">
      <w:pPr>
        <w:widowControl/>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bCs/>
          <w:color w:val="auto"/>
          <w:sz w:val="24"/>
          <w:highlight w:val="none"/>
        </w:rPr>
        <w:t>4.</w:t>
      </w:r>
      <w:r>
        <w:rPr>
          <w:rFonts w:ascii="宋体" w:hAnsi="宋体" w:cs="宋体"/>
          <w:bCs/>
          <w:color w:val="auto"/>
          <w:sz w:val="24"/>
          <w:highlight w:val="none"/>
        </w:rPr>
        <w:t>3.2</w:t>
      </w:r>
      <w:r>
        <w:rPr>
          <w:rFonts w:hint="eastAsia" w:ascii="宋体" w:hAnsi="宋体" w:cs="宋体"/>
          <w:color w:val="auto"/>
          <w:kern w:val="0"/>
          <w:sz w:val="24"/>
          <w:highlight w:val="none"/>
        </w:rPr>
        <w:t>在政府采购活动中，服务类项目采购，服务由中小企业承接，即提供服务的人员为中小企业依照《中华人民共和国劳动合同法》订立劳动合同的从业人员，享受中小企业扶持政策。</w:t>
      </w:r>
    </w:p>
    <w:p w14:paraId="55F09412">
      <w:pPr>
        <w:widowControl/>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以联合体形式参加政府采购活动，联合体各方均为中小企业的，联合体视同中小企业。其中，联合体各方均为小微企业的，联合体视同小微企业。</w:t>
      </w:r>
    </w:p>
    <w:p w14:paraId="3DD37D6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4.3.3对于未预留份额专门面向中小企业采购的政府采购工程项目，以及预留份额政府采购工程项目中的非预留部分标项，对小型和微型企业的最后报价给予3%</w:t>
      </w:r>
      <w:r>
        <w:rPr>
          <w:rFonts w:ascii="宋体" w:hAnsi="宋体" w:cs="宋体"/>
          <w:color w:val="auto"/>
          <w:sz w:val="24"/>
          <w:highlight w:val="none"/>
        </w:rPr>
        <w:t>—</w:t>
      </w:r>
      <w:r>
        <w:rPr>
          <w:rFonts w:hint="eastAsia" w:ascii="宋体" w:hAnsi="宋体" w:cs="宋体"/>
          <w:color w:val="auto"/>
          <w:sz w:val="24"/>
          <w:highlight w:val="none"/>
        </w:rPr>
        <w:t>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w:t>
      </w:r>
      <w:r>
        <w:rPr>
          <w:rFonts w:ascii="宋体" w:hAnsi="宋体" w:cs="宋体"/>
          <w:color w:val="auto"/>
          <w:sz w:val="24"/>
          <w:highlight w:val="none"/>
        </w:rPr>
        <w:t>1%—2%</w:t>
      </w:r>
      <w:r>
        <w:rPr>
          <w:rFonts w:hint="eastAsia" w:ascii="宋体" w:hAnsi="宋体" w:cs="宋体"/>
          <w:color w:val="auto"/>
          <w:sz w:val="24"/>
          <w:highlight w:val="none"/>
        </w:rPr>
        <w:t>的扣除，用扣除后的价格参加评审。组成联合体或者接受分包的小微企业与联合体内其他企业、分包企业之间存在直接控股、管理关系的，不享受价格扣除优惠政策。专门面向中小企业采购的政府采购项目或者采购包不再执行价格扣除政策。</w:t>
      </w:r>
    </w:p>
    <w:p w14:paraId="74C8FB5D">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4.3.4符合《关于促进残疾人就业政府采购政策的通知》（财库〔2017〕141号）规定的条件并提供《残疾人福利性单位声明函》（附件</w:t>
      </w:r>
      <w:r>
        <w:rPr>
          <w:rFonts w:hint="eastAsia" w:ascii="宋体" w:hAnsi="宋体" w:cs="宋体"/>
          <w:color w:val="auto"/>
          <w:sz w:val="24"/>
          <w:highlight w:val="none"/>
          <w:lang w:val="en-US" w:eastAsia="zh-CN"/>
        </w:rPr>
        <w:t>14</w:t>
      </w:r>
      <w:r>
        <w:rPr>
          <w:rFonts w:hint="eastAsia" w:ascii="宋体" w:hAnsi="宋体" w:cs="宋体"/>
          <w:color w:val="auto"/>
          <w:sz w:val="24"/>
          <w:highlight w:val="none"/>
        </w:rPr>
        <w:t>）的残疾人福利性单位视同小型、微型企业；</w:t>
      </w:r>
    </w:p>
    <w:p w14:paraId="3569F653">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4.3.5符合《关于政府采购支持监狱企业发展有关问题的通知》（财库〔2014〕6</w:t>
      </w:r>
      <w:r>
        <w:rPr>
          <w:rFonts w:hint="eastAsia" w:ascii="宋体" w:hAnsi="宋体" w:cs="宋体"/>
          <w:color w:val="auto"/>
          <w:sz w:val="24"/>
          <w:highlight w:val="none"/>
          <w:lang w:eastAsia="zh-CN"/>
        </w:rPr>
        <w:t>52号</w:t>
      </w:r>
      <w:r>
        <w:rPr>
          <w:rFonts w:hint="eastAsia" w:ascii="宋体" w:hAnsi="宋体" w:cs="宋体"/>
          <w:color w:val="auto"/>
          <w:sz w:val="24"/>
          <w:highlight w:val="none"/>
        </w:rPr>
        <w:t>）规定的监狱企业并提供由省级以上监狱管理局、戒毒管理局（含新疆生产建设兵团）出具的属于监狱企业证明文件的，视同为小型、微型企业。</w:t>
      </w:r>
    </w:p>
    <w:p w14:paraId="1829CCE2">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4.3.6可享受中小企业扶持政策的</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供应商应按照磋商文件格式要求提供《中小企业声明函》，</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供应商提供的《中小企业声明函》与实际情况不符的，不享受中小企业扶持政策。声明内容不实的，属于提供虚假材料谋取中标、成交的，依法承担法律责任。</w:t>
      </w:r>
    </w:p>
    <w:p w14:paraId="6AC3405C">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4.3.7中小企业享受扶持政策获得政府采购合同的，小微企业不得将合同分包给大中型企业，中型企业不得将合同分包给大型企业。</w:t>
      </w:r>
    </w:p>
    <w:p w14:paraId="29CB7B30">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4.5</w:t>
      </w:r>
      <w:r>
        <w:rPr>
          <w:rFonts w:hint="eastAsia" w:ascii="宋体" w:hAnsi="宋体" w:cs="宋体"/>
          <w:b/>
          <w:bCs/>
          <w:color w:val="auto"/>
          <w:sz w:val="24"/>
          <w:highlight w:val="none"/>
        </w:rPr>
        <w:t>支持创新发展</w:t>
      </w:r>
    </w:p>
    <w:p w14:paraId="340D4F6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4.5.1 采购人优先采购被认定为首台套产品和“制造精品”的自主创新产品。</w:t>
      </w:r>
    </w:p>
    <w:p w14:paraId="45BFC0A1">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4.5.2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30E3A8AC">
      <w:pPr>
        <w:adjustRightInd w:val="0"/>
        <w:spacing w:line="360" w:lineRule="auto"/>
        <w:ind w:firstLine="482" w:firstLineChars="200"/>
        <w:rPr>
          <w:rFonts w:ascii="宋体" w:hAnsi="宋体" w:cs="宋体"/>
          <w:b/>
          <w:color w:val="auto"/>
          <w:sz w:val="24"/>
          <w:highlight w:val="none"/>
        </w:rPr>
      </w:pPr>
      <w:r>
        <w:rPr>
          <w:rFonts w:hint="eastAsia" w:ascii="宋体" w:hAnsi="宋体" w:cs="宋体"/>
          <w:b/>
          <w:color w:val="auto"/>
          <w:sz w:val="24"/>
          <w:highlight w:val="none"/>
        </w:rPr>
        <w:t>4.6平等对待内外资企业</w:t>
      </w:r>
    </w:p>
    <w:p w14:paraId="6FB649C7">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6DECA975">
      <w:pPr>
        <w:adjustRightInd w:val="0"/>
        <w:snapToGrid w:val="0"/>
        <w:spacing w:line="360" w:lineRule="auto"/>
        <w:ind w:firstLine="482" w:firstLineChars="200"/>
        <w:jc w:val="left"/>
        <w:rPr>
          <w:rFonts w:ascii="宋体" w:hAnsi="宋体"/>
          <w:b/>
          <w:bCs/>
          <w:color w:val="auto"/>
          <w:kern w:val="0"/>
          <w:sz w:val="24"/>
          <w:szCs w:val="20"/>
          <w:highlight w:val="none"/>
        </w:rPr>
      </w:pPr>
      <w:r>
        <w:rPr>
          <w:rFonts w:hint="eastAsia" w:ascii="宋体" w:hAnsi="宋体" w:cs="宋体"/>
          <w:b/>
          <w:color w:val="auto"/>
          <w:kern w:val="0"/>
          <w:sz w:val="24"/>
          <w:szCs w:val="20"/>
          <w:highlight w:val="none"/>
        </w:rPr>
        <w:t>4.7</w:t>
      </w:r>
      <w:r>
        <w:rPr>
          <w:rFonts w:hint="eastAsia" w:ascii="宋体" w:hAnsi="宋体"/>
          <w:b/>
          <w:color w:val="auto"/>
          <w:kern w:val="0"/>
          <w:sz w:val="24"/>
          <w:szCs w:val="20"/>
          <w:highlight w:val="none"/>
        </w:rPr>
        <w:t>平等对待符合条件的破产重整企业</w:t>
      </w:r>
    </w:p>
    <w:p w14:paraId="6C990591">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s="宋体"/>
          <w:color w:val="auto"/>
          <w:kern w:val="0"/>
          <w:sz w:val="24"/>
          <w:szCs w:val="20"/>
          <w:highlight w:val="none"/>
        </w:rPr>
        <w:t>平等对待符合条件的破产重整企业，切实保障企业公平竞争，平等维护企业的合法利益。</w:t>
      </w:r>
    </w:p>
    <w:p w14:paraId="57ABF170">
      <w:pPr>
        <w:widowControl/>
        <w:adjustRightInd w:val="0"/>
        <w:snapToGrid w:val="0"/>
        <w:spacing w:line="360" w:lineRule="auto"/>
        <w:ind w:firstLine="482" w:firstLineChars="200"/>
        <w:jc w:val="left"/>
        <w:rPr>
          <w:rFonts w:ascii="宋体" w:hAnsi="宋体"/>
          <w:b/>
          <w:color w:val="auto"/>
          <w:sz w:val="24"/>
          <w:highlight w:val="none"/>
        </w:rPr>
      </w:pPr>
      <w:r>
        <w:rPr>
          <w:rFonts w:hint="eastAsia" w:ascii="宋体" w:hAnsi="宋体"/>
          <w:b/>
          <w:color w:val="auto"/>
          <w:sz w:val="24"/>
          <w:highlight w:val="none"/>
        </w:rPr>
        <w:t>5.联合体磋商</w:t>
      </w:r>
    </w:p>
    <w:p w14:paraId="20FBD86F">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w:t>
      </w:r>
      <w:r>
        <w:rPr>
          <w:rFonts w:ascii="宋体" w:hAnsi="宋体" w:cs="宋体"/>
          <w:color w:val="auto"/>
          <w:kern w:val="0"/>
          <w:sz w:val="24"/>
          <w:highlight w:val="none"/>
        </w:rPr>
        <w:t>.</w:t>
      </w:r>
      <w:r>
        <w:rPr>
          <w:rFonts w:hint="eastAsia" w:ascii="宋体" w:hAnsi="宋体" w:cs="宋体"/>
          <w:color w:val="auto"/>
          <w:kern w:val="0"/>
          <w:sz w:val="24"/>
          <w:highlight w:val="none"/>
        </w:rPr>
        <w:t>1联合体磋商要求:</w:t>
      </w:r>
    </w:p>
    <w:p w14:paraId="00628172">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（1）两个以上供应商可以组成一个磋商联合体，以一个供应商的身份磋商。</w:t>
      </w:r>
    </w:p>
    <w:p w14:paraId="325DCFA9">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（2）以联合体形式参加磋商的，联合体各方均应当符合“具有独立承担民事责任的能力”的条件。本项目有特殊要求规定供应商特定条件的，联合体各方中至少应当有一方符合磋商文件规定的特定条件。</w:t>
      </w:r>
    </w:p>
    <w:p w14:paraId="786AD17F">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（3）联合体各方之间应当签订</w:t>
      </w:r>
      <w:r>
        <w:rPr>
          <w:rFonts w:hint="eastAsia" w:ascii="宋体" w:hAnsi="宋体" w:cs="宋体"/>
          <w:b w:val="0"/>
          <w:bCs/>
          <w:color w:val="auto"/>
          <w:kern w:val="0"/>
          <w:sz w:val="24"/>
          <w:highlight w:val="none"/>
        </w:rPr>
        <w:t>联合协议</w:t>
      </w:r>
      <w:r>
        <w:rPr>
          <w:rFonts w:hint="eastAsia" w:ascii="宋体" w:hAnsi="宋体" w:cs="宋体"/>
          <w:color w:val="auto"/>
          <w:kern w:val="0"/>
          <w:sz w:val="24"/>
          <w:highlight w:val="none"/>
        </w:rPr>
        <w:t>，明确约定联合体各方承担的工作和响应的责任，并将联合协议连同磋商响应文件一并提交本采购代理机构。联合体各方签订联合协议后，不得再以自己名义单独在同一项目中参与</w:t>
      </w:r>
      <w:r>
        <w:rPr>
          <w:rFonts w:ascii="宋体" w:hAnsi="宋体" w:cs="宋体"/>
          <w:color w:val="auto"/>
          <w:kern w:val="0"/>
          <w:sz w:val="24"/>
          <w:highlight w:val="none"/>
        </w:rPr>
        <w:t>磋商</w:t>
      </w:r>
      <w:r>
        <w:rPr>
          <w:rFonts w:hint="eastAsia" w:ascii="宋体" w:hAnsi="宋体" w:cs="宋体"/>
          <w:color w:val="auto"/>
          <w:kern w:val="0"/>
          <w:sz w:val="24"/>
          <w:highlight w:val="none"/>
        </w:rPr>
        <w:t>，也不得组成新的联合体参加同一项目磋商。否则，与之相关的响应文件作废。</w:t>
      </w:r>
    </w:p>
    <w:p w14:paraId="4E3B88A6">
      <w:pPr>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（4）磋商联合体的业绩和信誉按联合体主体方（或牵头方）计算。</w:t>
      </w:r>
    </w:p>
    <w:p w14:paraId="53395317">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联合体各方中至少有一方符合本文件规定的特定资质条件。联合体磋商的，须提供《联合协议》（格式见附件）。</w:t>
      </w:r>
    </w:p>
    <w:p w14:paraId="0F813987">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5</w:t>
      </w:r>
      <w:r>
        <w:rPr>
          <w:rFonts w:ascii="宋体" w:hAnsi="宋体" w:cs="宋体"/>
          <w:color w:val="auto"/>
          <w:sz w:val="24"/>
          <w:highlight w:val="none"/>
        </w:rPr>
        <w:t>.</w:t>
      </w:r>
      <w:r>
        <w:rPr>
          <w:rFonts w:hint="eastAsia" w:ascii="宋体" w:hAnsi="宋体" w:cs="宋体"/>
          <w:color w:val="auto"/>
          <w:sz w:val="24"/>
          <w:highlight w:val="none"/>
        </w:rPr>
        <w:t>2大中型企业与小微企业组成联合体或者大中型企业向小微企业分包的，对其报价给予6%的扣除，用扣除后的价格参加评审。</w:t>
      </w:r>
    </w:p>
    <w:p w14:paraId="2A6B9052">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6. 磋商费用、竞争性磋商公告、竞争性磋商文件的澄清和修改</w:t>
      </w:r>
    </w:p>
    <w:p w14:paraId="41219AF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6.1磋商费用：</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供应商应自行承担所有与编写和提交竞争性磋商响应文件有关的费用，不论磋商结果如何，采购人和本代理机构在任何情况下无义务和责任承担此类费用。</w:t>
      </w:r>
    </w:p>
    <w:p w14:paraId="2B3F8B33">
      <w:pPr>
        <w:pStyle w:val="24"/>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6.2竞争性磋商公告：见</w:t>
      </w:r>
      <w:r>
        <w:rPr>
          <w:rFonts w:hint="eastAsia" w:hAnsi="宋体"/>
          <w:color w:val="auto"/>
          <w:sz w:val="24"/>
          <w:szCs w:val="24"/>
          <w:highlight w:val="none"/>
          <w:lang w:val="en-US" w:eastAsia="zh-CN"/>
        </w:rPr>
        <w:t>中国政府采购网、广西壮族自治区政府采购网</w:t>
      </w:r>
      <w:r>
        <w:rPr>
          <w:rFonts w:hint="eastAsia" w:hAnsi="宋体" w:cs="宋体"/>
          <w:color w:val="auto"/>
          <w:sz w:val="24"/>
          <w:szCs w:val="24"/>
          <w:highlight w:val="none"/>
        </w:rPr>
        <w:t>。</w:t>
      </w:r>
    </w:p>
    <w:p w14:paraId="2021ACF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6.3竞争性磋商文件的澄清和修改：</w:t>
      </w:r>
    </w:p>
    <w:p w14:paraId="7C19B844">
      <w:pPr>
        <w:pStyle w:val="24"/>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6.3.1</w:t>
      </w:r>
      <w:r>
        <w:rPr>
          <w:rFonts w:hint="eastAsia" w:ascii="宋体" w:hAnsi="宋体"/>
          <w:color w:val="auto"/>
          <w:kern w:val="0"/>
          <w:sz w:val="24"/>
          <w:highlight w:val="none"/>
          <w:lang w:val="en-US" w:eastAsia="zh-CN"/>
        </w:rPr>
        <w:t>磋商</w:t>
      </w:r>
      <w:r>
        <w:rPr>
          <w:rFonts w:hint="eastAsia" w:hAnsi="宋体"/>
          <w:bCs/>
          <w:color w:val="auto"/>
          <w:sz w:val="24"/>
          <w:szCs w:val="24"/>
          <w:highlight w:val="none"/>
        </w:rPr>
        <w:t>供应商应认真审核《采购需求》中的服务要求，如发现采购需求中服务要求有误或要求不合理的，</w:t>
      </w:r>
      <w:r>
        <w:rPr>
          <w:rFonts w:hint="eastAsia" w:ascii="宋体" w:hAnsi="宋体"/>
          <w:color w:val="auto"/>
          <w:kern w:val="0"/>
          <w:sz w:val="24"/>
          <w:highlight w:val="none"/>
          <w:lang w:val="en-US" w:eastAsia="zh-CN"/>
        </w:rPr>
        <w:t>磋商</w:t>
      </w:r>
      <w:r>
        <w:rPr>
          <w:rFonts w:hint="eastAsia" w:hAnsi="宋体"/>
          <w:bCs/>
          <w:color w:val="auto"/>
          <w:sz w:val="24"/>
          <w:szCs w:val="24"/>
          <w:highlight w:val="none"/>
        </w:rPr>
        <w:t>供应商必须在规定的时间前要求澄清，否则，由此产生的后果由</w:t>
      </w:r>
      <w:r>
        <w:rPr>
          <w:rFonts w:hint="eastAsia" w:ascii="宋体" w:hAnsi="宋体"/>
          <w:color w:val="auto"/>
          <w:kern w:val="0"/>
          <w:sz w:val="24"/>
          <w:highlight w:val="none"/>
          <w:lang w:val="en-US" w:eastAsia="zh-CN"/>
        </w:rPr>
        <w:t>磋商</w:t>
      </w:r>
      <w:r>
        <w:rPr>
          <w:rFonts w:hint="eastAsia" w:hAnsi="宋体"/>
          <w:bCs/>
          <w:color w:val="auto"/>
          <w:sz w:val="24"/>
          <w:szCs w:val="24"/>
          <w:highlight w:val="none"/>
        </w:rPr>
        <w:t>供应商负责。</w:t>
      </w:r>
    </w:p>
    <w:p w14:paraId="496A37A9">
      <w:pPr>
        <w:pStyle w:val="24"/>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6.3.2任何要求澄清竞争性磋商文件的</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供应商，均应在响应文件递交截止日期三日前的正常工作时间以传真等书面形式通知本代理机构，同时认定其他澄清方式为无效。本代理机构将以书面形式予以答复。</w:t>
      </w:r>
    </w:p>
    <w:p w14:paraId="6801457B">
      <w:pPr>
        <w:widowControl/>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6.3.3本代理机构对已发出的磋商文件进行必要澄清或者修改的，在竞争性磋商文件要求提交竞争性磋商响应文件截止时间五日前（不足五日顺延），在</w:t>
      </w:r>
      <w:r>
        <w:rPr>
          <w:rFonts w:hint="eastAsia" w:ascii="宋体" w:hAnsi="宋体" w:cs="宋体"/>
          <w:color w:val="auto"/>
          <w:sz w:val="24"/>
          <w:highlight w:val="none"/>
          <w:lang w:val="en-US" w:eastAsia="zh-CN"/>
        </w:rPr>
        <w:t>采购公告发布的同一媒介网站</w:t>
      </w:r>
      <w:r>
        <w:rPr>
          <w:rFonts w:hint="eastAsia" w:ascii="宋体" w:hAnsi="宋体"/>
          <w:color w:val="auto"/>
          <w:sz w:val="24"/>
          <w:highlight w:val="none"/>
        </w:rPr>
        <w:t>上发布更正公告，并以书面形式通知所有竞争性磋商文件收受人。该澄清或者修改的内容为竞争性磋商文件的组成部分。</w:t>
      </w:r>
    </w:p>
    <w:p w14:paraId="6D59941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6.3.4本代理机构可视具体情况，延长响应文件递交截止时间和开标时间。本代理机构至少在竞争性磋商文件要求提交竞争性磋商响应文件的截止时间一日前，将变更时间书面通知所有竞争性磋商文件收受人，并在</w:t>
      </w:r>
      <w:r>
        <w:rPr>
          <w:rFonts w:hint="eastAsia" w:ascii="宋体" w:hAnsi="宋体" w:cs="宋体"/>
          <w:color w:val="auto"/>
          <w:sz w:val="24"/>
          <w:highlight w:val="none"/>
          <w:lang w:val="en-US" w:eastAsia="zh-CN"/>
        </w:rPr>
        <w:t>采购公告发布的同一媒介网站</w:t>
      </w:r>
      <w:r>
        <w:rPr>
          <w:rFonts w:hint="eastAsia" w:ascii="宋体" w:hAnsi="宋体"/>
          <w:color w:val="auto"/>
          <w:sz w:val="24"/>
          <w:highlight w:val="none"/>
        </w:rPr>
        <w:t>上发布变更公告。</w:t>
      </w:r>
    </w:p>
    <w:p w14:paraId="07021F91">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二、竞争性磋商响应文件的编制</w:t>
      </w:r>
    </w:p>
    <w:p w14:paraId="6FD68AA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 竞争性磋商响应文件编制基本要求</w:t>
      </w:r>
    </w:p>
    <w:p w14:paraId="023331FF">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7.1</w:t>
      </w:r>
      <w:r>
        <w:rPr>
          <w:rFonts w:ascii="宋体" w:hAnsi="宋体"/>
          <w:color w:val="auto"/>
          <w:sz w:val="24"/>
          <w:highlight w:val="none"/>
        </w:rPr>
        <w:t>本项目实行电子</w:t>
      </w:r>
      <w:r>
        <w:rPr>
          <w:rFonts w:hint="eastAsia" w:ascii="宋体" w:hAnsi="宋体"/>
          <w:color w:val="auto"/>
          <w:sz w:val="24"/>
          <w:highlight w:val="none"/>
        </w:rPr>
        <w:t>磋商</w:t>
      </w:r>
      <w:r>
        <w:rPr>
          <w:rFonts w:ascii="宋体" w:hAnsi="宋体"/>
          <w:color w:val="auto"/>
          <w:sz w:val="24"/>
          <w:highlight w:val="none"/>
        </w:rPr>
        <w:t>，</w:t>
      </w:r>
      <w:r>
        <w:rPr>
          <w:rFonts w:hint="eastAsia" w:ascii="宋体" w:hAnsi="宋体"/>
          <w:color w:val="auto"/>
          <w:kern w:val="0"/>
          <w:sz w:val="24"/>
          <w:highlight w:val="none"/>
          <w:lang w:val="en-US" w:eastAsia="zh-CN"/>
        </w:rPr>
        <w:t>磋商</w:t>
      </w:r>
      <w:r>
        <w:rPr>
          <w:rFonts w:ascii="宋体" w:hAnsi="宋体"/>
          <w:color w:val="auto"/>
          <w:sz w:val="24"/>
          <w:highlight w:val="none"/>
        </w:rPr>
        <w:t>供应商应准备电子</w:t>
      </w:r>
      <w:r>
        <w:rPr>
          <w:rFonts w:hint="eastAsia" w:ascii="宋体" w:hAnsi="宋体"/>
          <w:color w:val="auto"/>
          <w:sz w:val="24"/>
          <w:highlight w:val="none"/>
        </w:rPr>
        <w:t>磋商</w:t>
      </w:r>
      <w:r>
        <w:rPr>
          <w:rFonts w:ascii="宋体" w:hAnsi="宋体"/>
          <w:color w:val="auto"/>
          <w:sz w:val="24"/>
          <w:highlight w:val="none"/>
        </w:rPr>
        <w:t>响应文件：</w:t>
      </w:r>
    </w:p>
    <w:p w14:paraId="7B9555C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7.1.1</w:t>
      </w:r>
      <w:r>
        <w:rPr>
          <w:rFonts w:ascii="宋体" w:hAnsi="宋体"/>
          <w:color w:val="auto"/>
          <w:sz w:val="24"/>
          <w:highlight w:val="none"/>
        </w:rPr>
        <w:t>电子响应文件按广西政府采购云平台平台</w:t>
      </w:r>
      <w:r>
        <w:rPr>
          <w:rFonts w:hint="eastAsia" w:ascii="宋体" w:hAnsi="宋体"/>
          <w:color w:val="auto"/>
          <w:sz w:val="24"/>
          <w:highlight w:val="none"/>
        </w:rPr>
        <w:t>要求</w:t>
      </w:r>
      <w:r>
        <w:rPr>
          <w:rFonts w:ascii="宋体" w:hAnsi="宋体"/>
          <w:color w:val="auto"/>
          <w:sz w:val="24"/>
          <w:highlight w:val="none"/>
        </w:rPr>
        <w:t>及本磋商文件要求制作、加密并递交。具体操作流程</w:t>
      </w:r>
      <w:r>
        <w:rPr>
          <w:rFonts w:hint="eastAsia" w:ascii="宋体" w:hAnsi="宋体"/>
          <w:color w:val="auto"/>
          <w:sz w:val="24"/>
          <w:highlight w:val="none"/>
        </w:rPr>
        <w:t>可参考</w:t>
      </w:r>
      <w:r>
        <w:rPr>
          <w:rFonts w:ascii="宋体" w:hAnsi="宋体"/>
          <w:color w:val="auto"/>
          <w:sz w:val="24"/>
          <w:highlight w:val="none"/>
        </w:rPr>
        <w:t>《</w:t>
      </w:r>
      <w:r>
        <w:rPr>
          <w:rFonts w:hint="eastAsia" w:ascii="宋体" w:hAnsi="宋体"/>
          <w:color w:val="auto"/>
          <w:sz w:val="24"/>
          <w:highlight w:val="none"/>
        </w:rPr>
        <w:t>政府采购</w:t>
      </w:r>
      <w:r>
        <w:rPr>
          <w:rFonts w:ascii="宋体" w:hAnsi="宋体"/>
          <w:color w:val="auto"/>
          <w:sz w:val="24"/>
          <w:highlight w:val="none"/>
        </w:rPr>
        <w:t>项目电子交易管理操作指南</w:t>
      </w:r>
      <w:r>
        <w:rPr>
          <w:rFonts w:hint="eastAsia" w:ascii="宋体" w:hAnsi="宋体"/>
          <w:color w:val="auto"/>
          <w:sz w:val="24"/>
          <w:highlight w:val="none"/>
        </w:rPr>
        <w:t>-</w:t>
      </w:r>
      <w:r>
        <w:rPr>
          <w:rFonts w:ascii="宋体" w:hAnsi="宋体"/>
          <w:color w:val="auto"/>
          <w:sz w:val="24"/>
          <w:highlight w:val="none"/>
        </w:rPr>
        <w:t>供应商》</w:t>
      </w:r>
      <w:r>
        <w:rPr>
          <w:rFonts w:hint="eastAsia" w:ascii="宋体" w:hAnsi="宋体"/>
          <w:color w:val="auto"/>
          <w:sz w:val="24"/>
          <w:highlight w:val="none"/>
        </w:rPr>
        <w:t>，</w:t>
      </w:r>
      <w:r>
        <w:rPr>
          <w:rFonts w:ascii="宋体" w:hAnsi="宋体"/>
          <w:color w:val="auto"/>
          <w:sz w:val="24"/>
          <w:highlight w:val="none"/>
        </w:rPr>
        <w:t>指南可在</w:t>
      </w:r>
      <w:r>
        <w:rPr>
          <w:rFonts w:hint="eastAsia" w:ascii="宋体" w:hAnsi="宋体"/>
          <w:color w:val="auto"/>
          <w:sz w:val="24"/>
          <w:highlight w:val="none"/>
        </w:rPr>
        <w:t>广西政府采购网进行查阅。</w:t>
      </w:r>
    </w:p>
    <w:p w14:paraId="3F2D6258">
      <w:pPr>
        <w:adjustRightInd w:val="0"/>
        <w:snapToGrid w:val="0"/>
        <w:spacing w:line="360" w:lineRule="auto"/>
        <w:ind w:firstLine="480" w:firstLineChars="200"/>
        <w:rPr>
          <w:rFonts w:ascii="宋体" w:hAnsi="宋体"/>
          <w:color w:val="auto"/>
          <w:sz w:val="24"/>
          <w:highlight w:val="none"/>
        </w:rPr>
      </w:pPr>
      <w:r>
        <w:rPr>
          <w:rFonts w:ascii="宋体" w:hAnsi="宋体"/>
          <w:color w:val="auto"/>
          <w:sz w:val="24"/>
          <w:highlight w:val="none"/>
        </w:rPr>
        <w:t>▲</w:t>
      </w:r>
      <w:r>
        <w:rPr>
          <w:rFonts w:hint="eastAsia" w:ascii="宋体" w:hAnsi="宋体"/>
          <w:color w:val="auto"/>
          <w:sz w:val="24"/>
          <w:highlight w:val="none"/>
        </w:rPr>
        <w:t>7.1.3磋商响应</w:t>
      </w:r>
      <w:r>
        <w:rPr>
          <w:rFonts w:ascii="宋体" w:hAnsi="宋体"/>
          <w:color w:val="auto"/>
          <w:sz w:val="24"/>
          <w:highlight w:val="none"/>
        </w:rPr>
        <w:t>文件</w:t>
      </w:r>
      <w:r>
        <w:rPr>
          <w:rFonts w:hint="eastAsia" w:ascii="宋体" w:hAnsi="宋体"/>
          <w:color w:val="auto"/>
          <w:sz w:val="24"/>
          <w:highlight w:val="none"/>
        </w:rPr>
        <w:t>解密</w:t>
      </w:r>
      <w:r>
        <w:rPr>
          <w:rFonts w:ascii="宋体" w:hAnsi="宋体"/>
          <w:color w:val="auto"/>
          <w:sz w:val="24"/>
          <w:highlight w:val="none"/>
        </w:rPr>
        <w:t>：</w:t>
      </w:r>
      <w:r>
        <w:rPr>
          <w:rFonts w:hint="eastAsia" w:ascii="宋体" w:hAnsi="宋体"/>
          <w:color w:val="auto"/>
          <w:sz w:val="24"/>
          <w:highlight w:val="none"/>
        </w:rPr>
        <w:t>若磋商供应商在规定时间内无法解密或解密失败，视为磋商响应文件撤回，磋商无效。</w:t>
      </w:r>
    </w:p>
    <w:p w14:paraId="1ED1EBF5">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7.2</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供应商提交的竞争性磋商响应文件以及</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供应商与代理机构和采购人就有关磋商的所有来往函电均应使用中文。</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供应商提交的支持文件和印刷的文献可以使用别的语言，但其相应内容必须附有中文翻译文本，在解释竞争性磋商响应文件时以翻译文本为主。</w:t>
      </w:r>
    </w:p>
    <w:p w14:paraId="0C19F97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7.3</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供应商应认真阅读、并充分理解本文件的全部内容（包括所有的澄清、更改、补充、答疑等内容），承诺并履行本文件中各项条款规定及要求。</w:t>
      </w:r>
    </w:p>
    <w:p w14:paraId="070F03D0">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7.4竞争性磋商响应文件必须按本文件的全部内容，包括所有的澄清、更改、补充、答疑等内容及附件进行编制。</w:t>
      </w:r>
    </w:p>
    <w:p w14:paraId="64F891F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7.5如因</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供应商只填写和提供了本文件要求的部分内容和附件，而给磋商小组评审造成困难，其可能导致的结果和责任由</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供应商自行承担。</w:t>
      </w:r>
    </w:p>
    <w:p w14:paraId="11652449">
      <w:pPr>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7.6全面实行全流程电子化采购后进一步精简评标事项和环节，梳理采购流程，取消原件审查、核对等环节。资格条件证明材料、业绩证明、授权书等材料均以电子采购文件为评审依据，</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供应商须对所提供材料的真实性和一致性负责。</w:t>
      </w:r>
    </w:p>
    <w:p w14:paraId="4CBAB62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7.7竞争性磋商响应文件的组成：竞争性磋商响应文件应分为资格文件、价格文件和商务技术文件组成。</w:t>
      </w:r>
      <w:r>
        <w:rPr>
          <w:rFonts w:hint="eastAsia" w:ascii="宋体" w:hAnsi="宋体"/>
          <w:color w:val="auto"/>
          <w:kern w:val="0"/>
          <w:sz w:val="24"/>
          <w:highlight w:val="none"/>
          <w:lang w:val="en-US" w:eastAsia="zh-CN"/>
        </w:rPr>
        <w:t>磋商</w:t>
      </w:r>
      <w:r>
        <w:rPr>
          <w:rFonts w:ascii="宋体" w:hAnsi="宋体"/>
          <w:color w:val="auto"/>
          <w:sz w:val="24"/>
          <w:highlight w:val="none"/>
        </w:rPr>
        <w:t>供应商应仔细阅读磋商采购文件的所有内容，按磋商采购文件的要求，详细编制磋商响应文件。</w:t>
      </w:r>
    </w:p>
    <w:p w14:paraId="76AEAD92">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7.7.1资格文件</w:t>
      </w:r>
    </w:p>
    <w:p w14:paraId="4BB962B5">
      <w:pPr>
        <w:adjustRightInd w:val="0"/>
        <w:snapToGrid w:val="0"/>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rPr>
        <w:t>▲</w:t>
      </w:r>
      <w:r>
        <w:rPr>
          <w:rFonts w:hint="eastAsia" w:ascii="宋体" w:hAnsi="宋体"/>
          <w:color w:val="auto"/>
          <w:sz w:val="24"/>
          <w:highlight w:val="none"/>
        </w:rPr>
        <w:t>（1）</w:t>
      </w:r>
      <w:r>
        <w:rPr>
          <w:rFonts w:hint="eastAsia" w:ascii="宋体" w:hAnsi="宋体" w:cs="宋体"/>
          <w:color w:val="auto"/>
          <w:sz w:val="24"/>
          <w:highlight w:val="none"/>
        </w:rPr>
        <w:t>北海市政府采购供应商信用承诺函</w:t>
      </w:r>
      <w:r>
        <w:rPr>
          <w:rFonts w:hint="eastAsia" w:ascii="宋体" w:hAnsi="宋体" w:cs="宋体"/>
          <w:color w:val="auto"/>
          <w:sz w:val="24"/>
          <w:highlight w:val="none"/>
          <w:lang w:eastAsia="zh-CN"/>
        </w:rPr>
        <w:t>；</w:t>
      </w:r>
      <w:r>
        <w:rPr>
          <w:rFonts w:hint="eastAsia" w:ascii="宋体" w:hAnsi="宋体"/>
          <w:b/>
          <w:bCs/>
          <w:color w:val="auto"/>
          <w:sz w:val="24"/>
          <w:highlight w:val="none"/>
        </w:rPr>
        <w:t>（必须提供，格式见第三章）</w:t>
      </w:r>
    </w:p>
    <w:p w14:paraId="5FE787A3">
      <w:pPr>
        <w:adjustRightInd w:val="0"/>
        <w:snapToGrid w:val="0"/>
        <w:spacing w:line="360" w:lineRule="auto"/>
        <w:ind w:firstLine="482" w:firstLineChars="200"/>
        <w:rPr>
          <w:rFonts w:ascii="宋体" w:hAnsi="宋体"/>
          <w:b/>
          <w:bCs/>
          <w:color w:val="auto"/>
          <w:sz w:val="24"/>
          <w:highlight w:val="none"/>
        </w:rPr>
      </w:pPr>
      <w:r>
        <w:rPr>
          <w:rFonts w:hint="eastAsia" w:ascii="宋体" w:hAnsi="宋体"/>
          <w:b/>
          <w:bCs/>
          <w:color w:val="auto"/>
          <w:sz w:val="24"/>
          <w:highlight w:val="none"/>
        </w:rPr>
        <w:t>▲</w:t>
      </w:r>
      <w:r>
        <w:rPr>
          <w:rFonts w:hint="eastAsia" w:ascii="宋体" w:hAnsi="宋体"/>
          <w:color w:val="auto"/>
          <w:sz w:val="24"/>
          <w:highlight w:val="none"/>
        </w:rPr>
        <w:t>（2）</w:t>
      </w:r>
      <w:r>
        <w:rPr>
          <w:rFonts w:hint="eastAsia" w:ascii="宋体" w:hAnsi="宋体" w:cs="宋体"/>
          <w:color w:val="auto"/>
          <w:sz w:val="24"/>
          <w:highlight w:val="none"/>
        </w:rPr>
        <w:t>磋商供应商有效的</w:t>
      </w:r>
      <w:r>
        <w:rPr>
          <w:rFonts w:hint="eastAsia" w:ascii="宋体" w:hAnsi="宋体" w:cs="宋体"/>
          <w:color w:val="auto"/>
          <w:sz w:val="24"/>
          <w:highlight w:val="none"/>
          <w:lang w:val="en-US" w:eastAsia="zh-CN"/>
        </w:rPr>
        <w:t>建筑工程施工总承包二级（含）以上或市政公用工程施工总承包二级（含）以上资质</w:t>
      </w:r>
      <w:r>
        <w:rPr>
          <w:rFonts w:hint="eastAsia" w:ascii="宋体" w:hAnsi="宋体" w:cs="宋体"/>
          <w:color w:val="auto"/>
          <w:sz w:val="24"/>
          <w:highlight w:val="none"/>
        </w:rPr>
        <w:t>证书复印件、安全生产许可证复印件</w:t>
      </w:r>
      <w:r>
        <w:rPr>
          <w:rFonts w:hint="eastAsia" w:ascii="宋体" w:hAnsi="宋体" w:cs="宋体"/>
          <w:color w:val="auto"/>
          <w:sz w:val="24"/>
          <w:highlight w:val="none"/>
          <w:lang w:eastAsia="zh-CN"/>
        </w:rPr>
        <w:t>；</w:t>
      </w:r>
      <w:r>
        <w:rPr>
          <w:rFonts w:hint="eastAsia" w:ascii="宋体" w:hAnsi="宋体"/>
          <w:b/>
          <w:bCs/>
          <w:color w:val="auto"/>
          <w:sz w:val="24"/>
          <w:highlight w:val="none"/>
        </w:rPr>
        <w:t>（必须提供）</w:t>
      </w:r>
    </w:p>
    <w:p w14:paraId="79CCB67D">
      <w:pPr>
        <w:adjustRightInd w:val="0"/>
        <w:snapToGrid w:val="0"/>
        <w:spacing w:line="360" w:lineRule="auto"/>
        <w:ind w:firstLine="482" w:firstLineChars="200"/>
        <w:rPr>
          <w:rFonts w:ascii="宋体" w:hAnsi="宋体" w:cs="宋体"/>
          <w:b/>
          <w:bCs/>
          <w:color w:val="auto"/>
          <w:sz w:val="24"/>
          <w:highlight w:val="none"/>
        </w:rPr>
      </w:pPr>
      <w:r>
        <w:rPr>
          <w:rFonts w:hint="eastAsia" w:ascii="宋体" w:hAnsi="宋体"/>
          <w:b/>
          <w:bCs/>
          <w:color w:val="auto"/>
          <w:sz w:val="24"/>
          <w:highlight w:val="none"/>
        </w:rPr>
        <w:t>▲</w:t>
      </w:r>
      <w:r>
        <w:rPr>
          <w:rFonts w:hint="eastAsia" w:ascii="宋体" w:hAnsi="宋体" w:cs="宋体"/>
          <w:color w:val="auto"/>
          <w:sz w:val="24"/>
          <w:highlight w:val="none"/>
        </w:rPr>
        <w:t>（3）</w:t>
      </w:r>
      <w:r>
        <w:rPr>
          <w:rFonts w:hint="eastAsia" w:ascii="宋体" w:hAnsi="宋体"/>
          <w:color w:val="auto"/>
          <w:kern w:val="0"/>
          <w:sz w:val="24"/>
          <w:highlight w:val="none"/>
          <w:lang w:val="en-US" w:eastAsia="zh-CN"/>
        </w:rPr>
        <w:t>磋商</w:t>
      </w:r>
      <w:r>
        <w:rPr>
          <w:rFonts w:hint="eastAsia" w:ascii="宋体" w:hAnsi="宋体" w:cs="宋体"/>
          <w:color w:val="auto"/>
          <w:sz w:val="24"/>
          <w:highlight w:val="none"/>
        </w:rPr>
        <w:t>供应商拟派的项目经理</w:t>
      </w:r>
      <w:r>
        <w:rPr>
          <w:rFonts w:hint="eastAsia" w:ascii="宋体" w:hAnsi="宋体" w:cs="宋体"/>
          <w:color w:val="auto"/>
          <w:sz w:val="24"/>
          <w:highlight w:val="none"/>
          <w:lang w:val="en-US" w:eastAsia="zh-CN"/>
        </w:rPr>
        <w:t>有效的建筑工程或市政工程专业贰级(含)以上注册建造师执业资格及安全生产考核合格证书（B类），提供有效的建造师注册证及</w:t>
      </w:r>
      <w:r>
        <w:rPr>
          <w:rFonts w:hint="eastAsia" w:ascii="宋体" w:hAnsi="宋体" w:cs="宋体"/>
          <w:color w:val="auto"/>
          <w:sz w:val="24"/>
          <w:highlight w:val="none"/>
        </w:rPr>
        <w:t>安全生产考核合格证书（B类）</w:t>
      </w:r>
      <w:r>
        <w:rPr>
          <w:rFonts w:hint="eastAsia" w:ascii="宋体" w:hAnsi="宋体" w:cs="宋体"/>
          <w:color w:val="auto"/>
          <w:sz w:val="24"/>
          <w:highlight w:val="none"/>
          <w:lang w:val="en-US" w:eastAsia="zh-CN"/>
        </w:rPr>
        <w:t>以及</w:t>
      </w:r>
      <w:r>
        <w:rPr>
          <w:rFonts w:hint="eastAsia" w:ascii="宋体" w:hAnsi="宋体" w:cs="仿宋_GB2312"/>
          <w:color w:val="auto"/>
          <w:sz w:val="24"/>
          <w:highlight w:val="none"/>
          <w:lang w:val="en-US" w:eastAsia="zh-CN"/>
        </w:rPr>
        <w:t>本单位为其缴纳的距响应文件递交截止时间近半年来任意一个月的社保缴费证明</w:t>
      </w:r>
      <w:r>
        <w:rPr>
          <w:rFonts w:hint="eastAsia" w:ascii="宋体" w:hAnsi="宋体" w:eastAsia="宋体" w:cs="仿宋_GB2312"/>
          <w:color w:val="auto"/>
          <w:sz w:val="24"/>
          <w:highlight w:val="none"/>
          <w:lang w:val="en-US" w:eastAsia="zh-CN"/>
        </w:rPr>
        <w:t>（已退休未满65岁的项目经理不用提供社保缴费证明，但应附退休证明文件）</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同时提供拟投入本项目的项目经理无在建、已中标（成交）未开工或已列为其他项目中标（成交）候选人第一名的情况</w:t>
      </w:r>
      <w:r>
        <w:rPr>
          <w:rFonts w:hint="eastAsia" w:ascii="宋体" w:hAnsi="宋体" w:cs="宋体"/>
          <w:color w:val="auto"/>
          <w:sz w:val="24"/>
          <w:highlight w:val="none"/>
          <w:lang w:val="en-US" w:eastAsia="zh-CN"/>
        </w:rPr>
        <w:t>（符合《广西壮族自治区建筑市场诚信卡管理暂行办法》第十六条第一款及桂建管﹝2016﹞70号、桂建管〔2020〕11号文除外）</w:t>
      </w:r>
      <w:r>
        <w:rPr>
          <w:rFonts w:hint="eastAsia" w:ascii="宋体" w:hAnsi="宋体" w:cs="宋体"/>
          <w:color w:val="auto"/>
          <w:sz w:val="24"/>
          <w:highlight w:val="none"/>
        </w:rPr>
        <w:t>的承诺函（格式自拟）</w:t>
      </w:r>
      <w:r>
        <w:rPr>
          <w:rFonts w:hint="eastAsia" w:ascii="宋体" w:hAnsi="宋体" w:cs="宋体"/>
          <w:color w:val="auto"/>
          <w:sz w:val="24"/>
          <w:highlight w:val="none"/>
          <w:lang w:eastAsia="zh-CN"/>
        </w:rPr>
        <w:t>；</w:t>
      </w:r>
      <w:r>
        <w:rPr>
          <w:rFonts w:hint="eastAsia" w:ascii="宋体" w:hAnsi="宋体" w:cs="宋体"/>
          <w:b/>
          <w:bCs/>
          <w:color w:val="auto"/>
          <w:sz w:val="24"/>
          <w:highlight w:val="none"/>
        </w:rPr>
        <w:t>（必须提供）</w:t>
      </w:r>
    </w:p>
    <w:p w14:paraId="0624AB67">
      <w:pPr>
        <w:adjustRightInd w:val="0"/>
        <w:snapToGrid w:val="0"/>
        <w:spacing w:line="360" w:lineRule="auto"/>
        <w:ind w:firstLine="482" w:firstLineChars="200"/>
        <w:rPr>
          <w:rFonts w:hint="default" w:ascii="宋体" w:hAnsi="宋体"/>
          <w:color w:val="auto"/>
          <w:sz w:val="24"/>
          <w:highlight w:val="none"/>
          <w:lang w:val="en-US"/>
        </w:rPr>
      </w:pPr>
      <w:r>
        <w:rPr>
          <w:rFonts w:hint="eastAsia" w:ascii="宋体" w:hAnsi="宋体"/>
          <w:b/>
          <w:bCs/>
          <w:color w:val="auto"/>
          <w:sz w:val="24"/>
          <w:highlight w:val="none"/>
        </w:rPr>
        <w:t>▲</w:t>
      </w:r>
      <w:r>
        <w:rPr>
          <w:rFonts w:hint="eastAsia" w:ascii="宋体" w:hAnsi="宋体"/>
          <w:color w:val="auto"/>
          <w:sz w:val="24"/>
          <w:highlight w:val="none"/>
        </w:rPr>
        <w:t>（4）</w:t>
      </w:r>
      <w:r>
        <w:rPr>
          <w:rFonts w:hint="eastAsia" w:ascii="宋体" w:hAnsi="宋体"/>
          <w:color w:val="auto"/>
          <w:kern w:val="0"/>
          <w:sz w:val="24"/>
          <w:highlight w:val="none"/>
          <w:lang w:val="en-US" w:eastAsia="zh-CN"/>
        </w:rPr>
        <w:t>磋商</w:t>
      </w:r>
      <w:r>
        <w:rPr>
          <w:rFonts w:hint="eastAsia" w:ascii="宋体" w:hAnsi="宋体"/>
          <w:color w:val="auto"/>
          <w:sz w:val="24"/>
          <w:highlight w:val="none"/>
          <w:lang w:val="en-US" w:eastAsia="zh-CN"/>
        </w:rPr>
        <w:t>供应商拟派的</w:t>
      </w:r>
      <w:r>
        <w:rPr>
          <w:rFonts w:hint="eastAsia" w:ascii="宋体" w:hAnsi="宋体" w:cs="宋体"/>
          <w:color w:val="auto"/>
          <w:sz w:val="24"/>
          <w:highlight w:val="none"/>
          <w:lang w:val="en-US" w:eastAsia="zh-CN"/>
        </w:rPr>
        <w:t>专职安全员有效的安全生产考核合格证（C证）复印件，以及</w:t>
      </w:r>
      <w:r>
        <w:rPr>
          <w:rFonts w:hint="eastAsia" w:ascii="宋体" w:hAnsi="宋体" w:cs="仿宋_GB2312"/>
          <w:color w:val="auto"/>
          <w:sz w:val="24"/>
          <w:highlight w:val="none"/>
          <w:lang w:val="en-US" w:eastAsia="zh-CN"/>
        </w:rPr>
        <w:t>本单位为其缴纳的距响应文件递交截止时间近半年来任意一个月的社保缴费证明</w:t>
      </w:r>
      <w:r>
        <w:rPr>
          <w:rFonts w:hint="eastAsia" w:ascii="宋体" w:hAnsi="宋体" w:cs="宋体"/>
          <w:color w:val="auto"/>
          <w:sz w:val="24"/>
          <w:highlight w:val="none"/>
          <w:lang w:eastAsia="zh-CN"/>
        </w:rPr>
        <w:t>；</w:t>
      </w:r>
      <w:r>
        <w:rPr>
          <w:rFonts w:hint="eastAsia" w:ascii="宋体" w:hAnsi="宋体" w:cs="宋体"/>
          <w:b/>
          <w:bCs/>
          <w:color w:val="auto"/>
          <w:sz w:val="24"/>
          <w:highlight w:val="none"/>
        </w:rPr>
        <w:t>（必须提供）</w:t>
      </w:r>
    </w:p>
    <w:p w14:paraId="4ED3D21F">
      <w:pPr>
        <w:adjustRightInd w:val="0"/>
        <w:snapToGrid w:val="0"/>
        <w:spacing w:line="360" w:lineRule="auto"/>
        <w:ind w:firstLine="482" w:firstLineChars="200"/>
        <w:rPr>
          <w:rFonts w:hint="eastAsia" w:ascii="宋体" w:hAnsi="宋体" w:cs="宋体"/>
          <w:b/>
          <w:bCs/>
          <w:color w:val="auto"/>
          <w:sz w:val="24"/>
          <w:highlight w:val="none"/>
        </w:rPr>
      </w:pPr>
      <w:r>
        <w:rPr>
          <w:rFonts w:hint="eastAsia" w:ascii="宋体" w:hAnsi="宋体"/>
          <w:b/>
          <w:bCs/>
          <w:color w:val="auto"/>
          <w:sz w:val="24"/>
          <w:highlight w:val="none"/>
        </w:rPr>
        <w:t>▲</w:t>
      </w:r>
      <w:r>
        <w:rPr>
          <w:rFonts w:hint="eastAsia" w:ascii="宋体" w:hAnsi="宋体"/>
          <w:color w:val="auto"/>
          <w:sz w:val="24"/>
          <w:highlight w:val="none"/>
        </w:rPr>
        <w:t>（</w:t>
      </w:r>
      <w:r>
        <w:rPr>
          <w:rFonts w:hint="eastAsia" w:ascii="宋体" w:hAnsi="宋体"/>
          <w:color w:val="auto"/>
          <w:sz w:val="24"/>
          <w:highlight w:val="none"/>
          <w:lang w:val="en-US" w:eastAsia="zh-CN"/>
        </w:rPr>
        <w:t>5</w:t>
      </w:r>
      <w:r>
        <w:rPr>
          <w:rFonts w:hint="eastAsia" w:ascii="宋体" w:hAnsi="宋体"/>
          <w:color w:val="auto"/>
          <w:sz w:val="24"/>
          <w:highlight w:val="none"/>
        </w:rPr>
        <w:t>）</w:t>
      </w:r>
      <w:r>
        <w:rPr>
          <w:rFonts w:hint="eastAsia" w:ascii="宋体" w:hAnsi="宋体"/>
          <w:color w:val="auto"/>
          <w:sz w:val="24"/>
          <w:highlight w:val="none"/>
          <w:lang w:val="en-US" w:eastAsia="zh-CN"/>
        </w:rPr>
        <w:t>供应商在其响应文件中提供《中小企业声明函》或由省级以上监狱管理局、戒毒管理局（含新疆生产建设兵团）出具的属于监狱企业的证明文件或《残疾人福利性单位声明函》</w:t>
      </w:r>
      <w:r>
        <w:rPr>
          <w:rFonts w:hint="eastAsia" w:ascii="宋体" w:hAnsi="宋体"/>
          <w:color w:val="auto"/>
          <w:sz w:val="24"/>
          <w:highlight w:val="none"/>
        </w:rPr>
        <w:t>（格式见第三章）</w:t>
      </w:r>
      <w:r>
        <w:rPr>
          <w:rFonts w:hint="eastAsia" w:ascii="宋体" w:hAnsi="宋体"/>
          <w:color w:val="auto"/>
          <w:sz w:val="24"/>
          <w:highlight w:val="none"/>
          <w:lang w:eastAsia="zh-CN"/>
        </w:rPr>
        <w:t>；</w:t>
      </w:r>
      <w:r>
        <w:rPr>
          <w:rFonts w:hint="eastAsia" w:ascii="宋体" w:hAnsi="宋体" w:cs="宋体"/>
          <w:b/>
          <w:bCs/>
          <w:color w:val="auto"/>
          <w:sz w:val="24"/>
          <w:highlight w:val="none"/>
        </w:rPr>
        <w:t>（</w:t>
      </w:r>
      <w:r>
        <w:rPr>
          <w:rFonts w:hint="eastAsia" w:ascii="宋体" w:hAnsi="宋体" w:cs="宋体"/>
          <w:b/>
          <w:bCs/>
          <w:color w:val="auto"/>
          <w:sz w:val="24"/>
          <w:highlight w:val="none"/>
          <w:lang w:val="en-US" w:eastAsia="zh-CN"/>
        </w:rPr>
        <w:t>本项目为</w:t>
      </w:r>
      <w:r>
        <w:rPr>
          <w:rFonts w:hint="eastAsia" w:ascii="宋体" w:hAnsi="宋体" w:cs="宋体"/>
          <w:b/>
          <w:bCs/>
          <w:color w:val="auto"/>
          <w:sz w:val="24"/>
          <w:highlight w:val="none"/>
        </w:rPr>
        <w:t>专门面向</w:t>
      </w:r>
      <w:r>
        <w:rPr>
          <w:rFonts w:hint="eastAsia" w:ascii="宋体" w:hAnsi="宋体" w:cs="宋体"/>
          <w:b/>
          <w:bCs/>
          <w:color w:val="auto"/>
          <w:sz w:val="24"/>
          <w:highlight w:val="none"/>
          <w:lang w:val="en-US" w:eastAsia="zh-CN"/>
        </w:rPr>
        <w:t>小微</w:t>
      </w:r>
      <w:r>
        <w:rPr>
          <w:rFonts w:hint="eastAsia" w:ascii="宋体" w:hAnsi="宋体" w:cs="宋体"/>
          <w:b/>
          <w:bCs/>
          <w:color w:val="auto"/>
          <w:sz w:val="24"/>
          <w:highlight w:val="none"/>
        </w:rPr>
        <w:t>企业采购项目</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lang w:val="en-US" w:eastAsia="zh-CN"/>
        </w:rPr>
        <w:t>监狱企业、残疾人福利性企业视同小微企业，</w:t>
      </w:r>
      <w:r>
        <w:rPr>
          <w:rFonts w:hint="eastAsia" w:ascii="宋体" w:hAnsi="宋体" w:cs="宋体"/>
          <w:b/>
          <w:bCs/>
          <w:color w:val="auto"/>
          <w:sz w:val="24"/>
          <w:highlight w:val="none"/>
        </w:rPr>
        <w:t>必须提供）</w:t>
      </w:r>
    </w:p>
    <w:p w14:paraId="36497934">
      <w:pPr>
        <w:adjustRightInd w:val="0"/>
        <w:snapToGrid w:val="0"/>
        <w:spacing w:line="360" w:lineRule="auto"/>
        <w:ind w:firstLine="480" w:firstLineChars="200"/>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eastAsia="zh-CN"/>
        </w:rPr>
        <w:t>（</w:t>
      </w:r>
      <w:r>
        <w:rPr>
          <w:rFonts w:hint="eastAsia" w:ascii="宋体" w:hAnsi="宋体" w:cs="宋体"/>
          <w:b w:val="0"/>
          <w:bCs w:val="0"/>
          <w:color w:val="auto"/>
          <w:sz w:val="24"/>
          <w:highlight w:val="none"/>
          <w:lang w:val="en-US" w:eastAsia="zh-CN"/>
        </w:rPr>
        <w:t>6）供应商认为需要提供的其他资格证明文件。</w:t>
      </w:r>
    </w:p>
    <w:p w14:paraId="3BDDF3A6">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7.7.2价格文件</w:t>
      </w:r>
    </w:p>
    <w:p w14:paraId="5099683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▲（1）竞标函及竞标函附录</w:t>
      </w:r>
      <w:r>
        <w:rPr>
          <w:rFonts w:hint="eastAsia" w:ascii="宋体" w:hAnsi="宋体"/>
          <w:b/>
          <w:bCs/>
          <w:color w:val="auto"/>
          <w:sz w:val="24"/>
          <w:highlight w:val="none"/>
        </w:rPr>
        <w:t>（必须提供，格式见第三章）。</w:t>
      </w:r>
    </w:p>
    <w:p w14:paraId="3A3BB6A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▲（2）竞标报价表</w:t>
      </w:r>
      <w:r>
        <w:rPr>
          <w:rFonts w:hint="eastAsia" w:ascii="宋体" w:hAnsi="宋体"/>
          <w:b/>
          <w:color w:val="auto"/>
          <w:sz w:val="24"/>
          <w:highlight w:val="none"/>
        </w:rPr>
        <w:t>（必须提供，格式见第三章）。</w:t>
      </w:r>
    </w:p>
    <w:p w14:paraId="6C446F1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▲（3）已标价工程量清单</w:t>
      </w:r>
      <w:r>
        <w:rPr>
          <w:rFonts w:hint="eastAsia" w:ascii="宋体" w:hAnsi="宋体"/>
          <w:b/>
          <w:color w:val="auto"/>
          <w:sz w:val="24"/>
          <w:highlight w:val="none"/>
        </w:rPr>
        <w:t>（必须提供，格式见第三章）。</w:t>
      </w:r>
    </w:p>
    <w:p w14:paraId="1B671AAD">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供应商认为需要提供的其他有关资料。</w:t>
      </w:r>
    </w:p>
    <w:p w14:paraId="219F8825">
      <w:pPr>
        <w:adjustRightInd w:val="0"/>
        <w:snapToGrid w:val="0"/>
        <w:spacing w:line="360" w:lineRule="auto"/>
        <w:ind w:firstLine="482" w:firstLineChars="200"/>
        <w:rPr>
          <w:rFonts w:ascii="宋体" w:hAnsi="宋体"/>
          <w:color w:val="auto"/>
          <w:sz w:val="24"/>
          <w:highlight w:val="none"/>
        </w:rPr>
      </w:pPr>
      <w:r>
        <w:rPr>
          <w:rFonts w:hint="eastAsia" w:ascii="宋体" w:hAnsi="宋体"/>
          <w:b/>
          <w:color w:val="auto"/>
          <w:sz w:val="24"/>
          <w:highlight w:val="none"/>
        </w:rPr>
        <w:t>7.7.3 商务技术文件</w:t>
      </w:r>
    </w:p>
    <w:p w14:paraId="324FE38D">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▲（1）磋商书</w:t>
      </w:r>
      <w:r>
        <w:rPr>
          <w:rFonts w:hint="eastAsia" w:ascii="宋体" w:hAnsi="宋体"/>
          <w:b/>
          <w:color w:val="auto"/>
          <w:sz w:val="24"/>
          <w:highlight w:val="none"/>
        </w:rPr>
        <w:t xml:space="preserve"> （必须提供，格式见第三章）；</w:t>
      </w:r>
    </w:p>
    <w:p w14:paraId="69B49E02">
      <w:pPr>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▲（2）法定代表人（负责人）授权委托书和委托代理人身份证复印件</w:t>
      </w:r>
      <w:r>
        <w:rPr>
          <w:rFonts w:hint="eastAsia" w:ascii="宋体" w:hAnsi="宋体"/>
          <w:b/>
          <w:bCs/>
          <w:color w:val="auto"/>
          <w:sz w:val="24"/>
          <w:highlight w:val="none"/>
        </w:rPr>
        <w:t>（</w:t>
      </w:r>
      <w:r>
        <w:rPr>
          <w:rFonts w:hint="eastAsia" w:ascii="宋体" w:hAnsi="宋体"/>
          <w:b/>
          <w:color w:val="auto"/>
          <w:sz w:val="24"/>
          <w:highlight w:val="none"/>
        </w:rPr>
        <w:t>格式见第三章,</w:t>
      </w:r>
      <w:r>
        <w:rPr>
          <w:rFonts w:hint="eastAsia" w:ascii="宋体" w:hAnsi="宋体"/>
          <w:b/>
          <w:bCs/>
          <w:color w:val="auto"/>
          <w:sz w:val="24"/>
          <w:highlight w:val="none"/>
        </w:rPr>
        <w:t>委托代理时必须提供）</w:t>
      </w:r>
      <w:r>
        <w:rPr>
          <w:rFonts w:hint="eastAsia" w:ascii="宋体" w:hAnsi="宋体"/>
          <w:color w:val="auto"/>
          <w:sz w:val="24"/>
          <w:highlight w:val="none"/>
        </w:rPr>
        <w:t>，法定代表人（负责人）参加磋商时，提供法定代表人（负责人）身份证明书和身份证复印件</w:t>
      </w:r>
      <w:r>
        <w:rPr>
          <w:rFonts w:hint="eastAsia" w:ascii="宋体" w:hAnsi="宋体"/>
          <w:b/>
          <w:bCs/>
          <w:color w:val="auto"/>
          <w:sz w:val="24"/>
          <w:highlight w:val="none"/>
        </w:rPr>
        <w:t>（</w:t>
      </w:r>
      <w:r>
        <w:rPr>
          <w:rFonts w:hint="eastAsia" w:ascii="宋体" w:hAnsi="宋体"/>
          <w:b/>
          <w:color w:val="auto"/>
          <w:sz w:val="24"/>
          <w:highlight w:val="none"/>
        </w:rPr>
        <w:t>格式见第三章,</w:t>
      </w:r>
      <w:r>
        <w:rPr>
          <w:rFonts w:hint="eastAsia" w:ascii="宋体" w:hAnsi="宋体"/>
          <w:b/>
          <w:bCs/>
          <w:color w:val="auto"/>
          <w:sz w:val="24"/>
          <w:highlight w:val="none"/>
        </w:rPr>
        <w:t>必须提供）</w:t>
      </w:r>
      <w:r>
        <w:rPr>
          <w:rFonts w:hint="eastAsia" w:ascii="宋体" w:hAnsi="宋体"/>
          <w:color w:val="auto"/>
          <w:sz w:val="24"/>
          <w:highlight w:val="none"/>
        </w:rPr>
        <w:t>；</w:t>
      </w:r>
    </w:p>
    <w:p w14:paraId="76091E57">
      <w:pPr>
        <w:adjustRightInd w:val="0"/>
        <w:snapToGrid w:val="0"/>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▲（3）承诺函</w:t>
      </w:r>
      <w:r>
        <w:rPr>
          <w:rFonts w:hint="eastAsia" w:ascii="宋体" w:hAnsi="宋体"/>
          <w:b/>
          <w:color w:val="auto"/>
          <w:sz w:val="24"/>
          <w:highlight w:val="none"/>
        </w:rPr>
        <w:t>（必须提供，格式见第三章）；</w:t>
      </w:r>
      <w:r>
        <w:rPr>
          <w:rFonts w:hint="eastAsia" w:ascii="宋体" w:hAnsi="宋体"/>
          <w:color w:val="auto"/>
          <w:sz w:val="24"/>
          <w:highlight w:val="none"/>
        </w:rPr>
        <w:t xml:space="preserve"> </w:t>
      </w:r>
    </w:p>
    <w:p w14:paraId="7FB4C13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snapToGrid w:val="0"/>
          <w:color w:val="auto"/>
          <w:spacing w:val="-1"/>
          <w:kern w:val="0"/>
          <w:sz w:val="24"/>
          <w:highlight w:val="none"/>
        </w:rPr>
        <w:t>施工组织设计</w:t>
      </w:r>
      <w:r>
        <w:rPr>
          <w:rFonts w:hint="eastAsia" w:ascii="宋体" w:hAnsi="宋体" w:cs="宋体"/>
          <w:b/>
          <w:bCs/>
          <w:snapToGrid w:val="0"/>
          <w:color w:val="auto"/>
          <w:spacing w:val="-1"/>
          <w:kern w:val="0"/>
          <w:sz w:val="24"/>
          <w:highlight w:val="none"/>
        </w:rPr>
        <w:t>(</w:t>
      </w:r>
      <w:r>
        <w:rPr>
          <w:rFonts w:hint="eastAsia" w:ascii="宋体" w:hAnsi="宋体"/>
          <w:b/>
          <w:color w:val="auto"/>
          <w:sz w:val="24"/>
          <w:highlight w:val="none"/>
        </w:rPr>
        <w:t>必须提供，格式</w:t>
      </w:r>
      <w:r>
        <w:rPr>
          <w:rFonts w:hint="eastAsia" w:ascii="宋体" w:hAnsi="宋体"/>
          <w:b/>
          <w:bCs/>
          <w:color w:val="auto"/>
          <w:sz w:val="24"/>
          <w:highlight w:val="none"/>
        </w:rPr>
        <w:t>自拟</w:t>
      </w:r>
      <w:r>
        <w:rPr>
          <w:rFonts w:hint="eastAsia" w:ascii="宋体" w:hAnsi="宋体"/>
          <w:color w:val="auto"/>
          <w:sz w:val="24"/>
          <w:highlight w:val="none"/>
        </w:rPr>
        <w:t>）；</w:t>
      </w:r>
    </w:p>
    <w:p w14:paraId="68FCCC6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▲（5）项目管理机构配备情况表及主要人员简历表</w:t>
      </w:r>
      <w:r>
        <w:rPr>
          <w:rFonts w:hint="eastAsia" w:ascii="宋体" w:hAnsi="宋体"/>
          <w:b/>
          <w:color w:val="auto"/>
          <w:sz w:val="24"/>
          <w:highlight w:val="none"/>
        </w:rPr>
        <w:t>（根据采购需求相关要求提供，格式自拟，必须提供）</w:t>
      </w:r>
      <w:r>
        <w:rPr>
          <w:rFonts w:hint="eastAsia" w:ascii="宋体" w:hAnsi="宋体"/>
          <w:color w:val="auto"/>
          <w:sz w:val="24"/>
          <w:highlight w:val="none"/>
        </w:rPr>
        <w:t>；</w:t>
      </w:r>
    </w:p>
    <w:p w14:paraId="669299FD">
      <w:pPr>
        <w:numPr>
          <w:ilvl w:val="0"/>
          <w:numId w:val="3"/>
        </w:numPr>
        <w:adjustRightInd w:val="0"/>
        <w:snapToGrid w:val="0"/>
        <w:spacing w:line="360" w:lineRule="auto"/>
        <w:ind w:firstLine="476" w:firstLineChars="200"/>
        <w:rPr>
          <w:rFonts w:ascii="宋体" w:hAnsi="宋体"/>
          <w:color w:val="auto"/>
          <w:sz w:val="24"/>
          <w:highlight w:val="none"/>
        </w:rPr>
      </w:pPr>
      <w:r>
        <w:rPr>
          <w:rFonts w:hint="eastAsia" w:ascii="宋体" w:hAnsi="宋体" w:cs="宋体"/>
          <w:snapToGrid w:val="0"/>
          <w:color w:val="auto"/>
          <w:spacing w:val="-1"/>
          <w:kern w:val="0"/>
          <w:sz w:val="24"/>
          <w:highlight w:val="none"/>
        </w:rPr>
        <w:t>拟分包项目情况表（格式见第三章）；（如有）</w:t>
      </w:r>
    </w:p>
    <w:p w14:paraId="4878FF1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▲（7）建设工程项目管理承诺书</w:t>
      </w:r>
      <w:r>
        <w:rPr>
          <w:rFonts w:hint="eastAsia" w:ascii="宋体" w:hAnsi="宋体"/>
          <w:b/>
          <w:color w:val="auto"/>
          <w:sz w:val="24"/>
          <w:highlight w:val="none"/>
        </w:rPr>
        <w:t>（必须提供，格式见第三章）</w:t>
      </w:r>
    </w:p>
    <w:p w14:paraId="5948249A">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8</w:t>
      </w:r>
      <w:r>
        <w:rPr>
          <w:rFonts w:hint="eastAsia" w:ascii="宋体" w:hAnsi="宋体"/>
          <w:color w:val="auto"/>
          <w:sz w:val="24"/>
          <w:highlight w:val="none"/>
        </w:rPr>
        <w:t>）</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w:t>
      </w:r>
      <w:r>
        <w:rPr>
          <w:rFonts w:hint="eastAsia" w:ascii="宋体" w:hAnsi="宋体"/>
          <w:color w:val="auto"/>
          <w:sz w:val="24"/>
          <w:highlight w:val="none"/>
          <w:lang w:val="en-US" w:eastAsia="zh-CN"/>
        </w:rPr>
        <w:t>完成</w:t>
      </w:r>
      <w:r>
        <w:rPr>
          <w:rFonts w:hint="eastAsia" w:ascii="宋体" w:hAnsi="宋体"/>
          <w:color w:val="auto"/>
          <w:sz w:val="24"/>
          <w:highlight w:val="none"/>
        </w:rPr>
        <w:t>过与本项目相类似的成功案例和经验（如有，需提供合同复印件）；</w:t>
      </w:r>
    </w:p>
    <w:p w14:paraId="08B46B7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w:t>
      </w:r>
      <w:r>
        <w:rPr>
          <w:rFonts w:hint="eastAsia" w:ascii="宋体" w:hAnsi="宋体"/>
          <w:color w:val="auto"/>
          <w:sz w:val="24"/>
          <w:highlight w:val="none"/>
          <w:lang w:val="en-US" w:eastAsia="zh-CN"/>
        </w:rPr>
        <w:t>9</w:t>
      </w:r>
      <w:r>
        <w:rPr>
          <w:rFonts w:hint="eastAsia" w:ascii="宋体" w:hAnsi="宋体"/>
          <w:color w:val="auto"/>
          <w:sz w:val="24"/>
          <w:highlight w:val="none"/>
        </w:rPr>
        <w:t>）采购需求要求提供的材料</w:t>
      </w:r>
      <w:r>
        <w:rPr>
          <w:rFonts w:hint="eastAsia" w:ascii="宋体" w:hAnsi="宋体"/>
          <w:b/>
          <w:bCs/>
          <w:color w:val="auto"/>
          <w:sz w:val="24"/>
          <w:highlight w:val="none"/>
        </w:rPr>
        <w:t>（格式自拟，如有要求则提供）</w:t>
      </w:r>
    </w:p>
    <w:p w14:paraId="0A1F09B1">
      <w:pPr>
        <w:adjustRightInd w:val="0"/>
        <w:snapToGrid w:val="0"/>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0</w:t>
      </w:r>
      <w:r>
        <w:rPr>
          <w:rFonts w:hint="eastAsia" w:ascii="宋体" w:hAnsi="宋体"/>
          <w:color w:val="auto"/>
          <w:sz w:val="24"/>
          <w:highlight w:val="none"/>
        </w:rPr>
        <w:t>）具备履行合同所必需的设备和专业技术能力的证明材料</w:t>
      </w:r>
      <w:r>
        <w:rPr>
          <w:rFonts w:hint="eastAsia" w:ascii="宋体" w:hAnsi="宋体"/>
          <w:b/>
          <w:color w:val="auto"/>
          <w:sz w:val="24"/>
          <w:highlight w:val="none"/>
        </w:rPr>
        <w:t>；</w:t>
      </w:r>
    </w:p>
    <w:p w14:paraId="6F5B381B">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1</w:t>
      </w:r>
      <w:r>
        <w:rPr>
          <w:rFonts w:hint="eastAsia" w:ascii="宋体" w:hAnsi="宋体"/>
          <w:color w:val="auto"/>
          <w:sz w:val="24"/>
          <w:highlight w:val="none"/>
        </w:rPr>
        <w:t>）</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供应商认为需要提供的</w:t>
      </w:r>
      <w:r>
        <w:rPr>
          <w:rFonts w:hint="eastAsia" w:ascii="宋体" w:hAnsi="宋体"/>
          <w:color w:val="auto"/>
          <w:sz w:val="24"/>
          <w:highlight w:val="none"/>
          <w:lang w:val="en-US" w:eastAsia="zh-CN"/>
        </w:rPr>
        <w:t>其他</w:t>
      </w:r>
      <w:r>
        <w:rPr>
          <w:rFonts w:hint="eastAsia" w:ascii="宋体" w:hAnsi="宋体"/>
          <w:color w:val="auto"/>
          <w:sz w:val="24"/>
          <w:highlight w:val="none"/>
        </w:rPr>
        <w:t>有关资料。</w:t>
      </w:r>
    </w:p>
    <w:p w14:paraId="24F94C22">
      <w:pPr>
        <w:spacing w:line="360" w:lineRule="auto"/>
        <w:ind w:firstLine="480" w:firstLineChars="200"/>
        <w:rPr>
          <w:rFonts w:ascii="宋体" w:hAnsi="宋体"/>
          <w:b/>
          <w:color w:val="auto"/>
          <w:sz w:val="24"/>
          <w:highlight w:val="none"/>
        </w:rPr>
      </w:pPr>
      <w:r>
        <w:rPr>
          <w:rFonts w:hint="eastAsia" w:ascii="宋体" w:hAnsi="宋体"/>
          <w:color w:val="auto"/>
          <w:sz w:val="24"/>
          <w:highlight w:val="none"/>
        </w:rPr>
        <w:t>▲特别说明：</w:t>
      </w:r>
      <w:r>
        <w:rPr>
          <w:rFonts w:hint="eastAsia" w:ascii="宋体" w:hAnsi="宋体"/>
          <w:b/>
          <w:color w:val="auto"/>
          <w:sz w:val="24"/>
          <w:highlight w:val="none"/>
        </w:rPr>
        <w:t>（1）</w:t>
      </w:r>
      <w:r>
        <w:rPr>
          <w:rFonts w:ascii="宋体" w:hAnsi="宋体"/>
          <w:b/>
          <w:color w:val="auto"/>
          <w:sz w:val="24"/>
          <w:highlight w:val="none"/>
        </w:rPr>
        <w:t>若磋商文件中有专门标注的某关联点</w:t>
      </w:r>
      <w:r>
        <w:rPr>
          <w:rFonts w:hint="eastAsia" w:ascii="宋体" w:hAnsi="宋体"/>
          <w:b/>
          <w:color w:val="auto"/>
          <w:sz w:val="24"/>
          <w:highlight w:val="none"/>
        </w:rPr>
        <w:t>，</w:t>
      </w:r>
      <w:r>
        <w:rPr>
          <w:rFonts w:ascii="宋体" w:hAnsi="宋体"/>
          <w:b/>
          <w:color w:val="auto"/>
          <w:sz w:val="24"/>
          <w:highlight w:val="none"/>
        </w:rPr>
        <w:t>并要求</w:t>
      </w:r>
      <w:r>
        <w:rPr>
          <w:rFonts w:hint="eastAsia" w:ascii="宋体" w:hAnsi="宋体"/>
          <w:b/>
          <w:color w:val="auto"/>
          <w:sz w:val="24"/>
          <w:highlight w:val="none"/>
          <w:lang w:val="en-US" w:eastAsia="zh-CN"/>
        </w:rPr>
        <w:t>磋商</w:t>
      </w:r>
      <w:r>
        <w:rPr>
          <w:rFonts w:ascii="宋体" w:hAnsi="宋体"/>
          <w:b/>
          <w:color w:val="auto"/>
          <w:sz w:val="24"/>
          <w:highlight w:val="none"/>
        </w:rPr>
        <w:t>供应商在电子投标系统中作出磋商响应的，如</w:t>
      </w:r>
      <w:r>
        <w:rPr>
          <w:rFonts w:hint="eastAsia" w:ascii="宋体" w:hAnsi="宋体"/>
          <w:b/>
          <w:color w:val="auto"/>
          <w:sz w:val="24"/>
          <w:highlight w:val="none"/>
          <w:lang w:val="en-US" w:eastAsia="zh-CN"/>
        </w:rPr>
        <w:t>磋商</w:t>
      </w:r>
      <w:r>
        <w:rPr>
          <w:rFonts w:ascii="宋体" w:hAnsi="宋体"/>
          <w:b/>
          <w:color w:val="auto"/>
          <w:sz w:val="24"/>
          <w:highlight w:val="none"/>
        </w:rPr>
        <w:t>供应商未对关联点进行响应或者在响应文件其它内容进行描述，造成电子评审不能查询的责任由</w:t>
      </w:r>
      <w:r>
        <w:rPr>
          <w:rFonts w:hint="eastAsia" w:ascii="宋体" w:hAnsi="宋体"/>
          <w:b/>
          <w:color w:val="auto"/>
          <w:sz w:val="24"/>
          <w:highlight w:val="none"/>
          <w:lang w:val="en-US" w:eastAsia="zh-CN"/>
        </w:rPr>
        <w:t>磋商</w:t>
      </w:r>
      <w:r>
        <w:rPr>
          <w:rFonts w:ascii="宋体" w:hAnsi="宋体"/>
          <w:b/>
          <w:color w:val="auto"/>
          <w:sz w:val="24"/>
          <w:highlight w:val="none"/>
        </w:rPr>
        <w:t>供应商自行承担。</w:t>
      </w:r>
    </w:p>
    <w:p w14:paraId="3DD2AC05">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2</w:t>
      </w:r>
      <w:r>
        <w:rPr>
          <w:rFonts w:hint="eastAsia" w:ascii="宋体" w:hAnsi="宋体"/>
          <w:b/>
          <w:color w:val="auto"/>
          <w:sz w:val="24"/>
          <w:highlight w:val="none"/>
        </w:rPr>
        <w:t>）磋商文件要求提供的各种复印件，必须加盖磋商供应商CA签章，否则其磋商无效。</w:t>
      </w:r>
    </w:p>
    <w:p w14:paraId="4021AFBF">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w:t>
      </w:r>
      <w:r>
        <w:rPr>
          <w:rFonts w:ascii="宋体" w:hAnsi="宋体"/>
          <w:b/>
          <w:color w:val="auto"/>
          <w:sz w:val="24"/>
          <w:highlight w:val="none"/>
        </w:rPr>
        <w:t>3</w:t>
      </w:r>
      <w:r>
        <w:rPr>
          <w:rFonts w:hint="eastAsia" w:ascii="宋体" w:hAnsi="宋体"/>
          <w:b/>
          <w:color w:val="auto"/>
          <w:sz w:val="24"/>
          <w:highlight w:val="none"/>
        </w:rPr>
        <w:t>）磋商文件要求“必须提供”的证明等材料，磋商供应商必须全部提供，缺一不可，否则磋商无效。</w:t>
      </w:r>
    </w:p>
    <w:p w14:paraId="4A7DE71E">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8. 计量单位</w:t>
      </w:r>
    </w:p>
    <w:p w14:paraId="21DC7C77">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8.1除技术要求中另有规定外，本文件所要求使用的计量单位均应采用国家法定计量单位。</w:t>
      </w:r>
    </w:p>
    <w:p w14:paraId="347D2CE7">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三、报价要求</w:t>
      </w:r>
    </w:p>
    <w:p w14:paraId="31FD2FA2">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9.1对于本文件中未列明，而</w:t>
      </w: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供应商认为必需的费用也需列入总报价。在合同实施时，采购人将不予支付成交供应商没有列入的项目费用，并认为此项目的费用已包括在总报价中。</w:t>
      </w:r>
    </w:p>
    <w:p w14:paraId="1164130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9.2成交供应商负责本项目所需服务及售后服务等全部工作。</w:t>
      </w:r>
    </w:p>
    <w:p w14:paraId="28ED16D3">
      <w:pPr>
        <w:pStyle w:val="24"/>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9.3</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供应商应用大写和小写分别详细填写基础指标报价表。大写和小写不一致的，以大写为准；对不同文字文本竞争性磋商响应文件的解释发生异议的，以中文文本为准。除上述原因以外，如果因</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供应商原因引起的报价失误，并在磋商时被接受，其后果由</w:t>
      </w:r>
      <w:r>
        <w:rPr>
          <w:rFonts w:hint="eastAsia" w:ascii="宋体" w:hAnsi="宋体"/>
          <w:color w:val="auto"/>
          <w:kern w:val="0"/>
          <w:sz w:val="24"/>
          <w:highlight w:val="none"/>
          <w:lang w:val="en-US" w:eastAsia="zh-CN"/>
        </w:rPr>
        <w:t>磋商</w:t>
      </w:r>
      <w:r>
        <w:rPr>
          <w:rFonts w:hint="eastAsia" w:hAnsi="宋体"/>
          <w:color w:val="auto"/>
          <w:sz w:val="24"/>
          <w:szCs w:val="24"/>
          <w:highlight w:val="none"/>
        </w:rPr>
        <w:t>供应商自负。</w:t>
      </w:r>
    </w:p>
    <w:p w14:paraId="2CC5476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9.4报价：供应商应就《采购项目需求》中所有的服务内容作完整唯一报价。</w:t>
      </w:r>
    </w:p>
    <w:p w14:paraId="59A06DF3">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四、竞争性磋商响应文件的封装和递交</w:t>
      </w:r>
    </w:p>
    <w:p w14:paraId="2A0B13FE">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10. 竞争性磋商响应文件的封装</w:t>
      </w:r>
    </w:p>
    <w:p w14:paraId="3912CDF3">
      <w:pPr>
        <w:pStyle w:val="24"/>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10.1</w:t>
      </w:r>
      <w:r>
        <w:rPr>
          <w:rFonts w:hAnsi="宋体"/>
          <w:color w:val="auto"/>
          <w:sz w:val="24"/>
          <w:szCs w:val="24"/>
          <w:highlight w:val="none"/>
        </w:rPr>
        <w:t>电子</w:t>
      </w:r>
      <w:r>
        <w:rPr>
          <w:rFonts w:hint="eastAsia" w:hAnsi="宋体"/>
          <w:color w:val="auto"/>
          <w:sz w:val="24"/>
          <w:szCs w:val="24"/>
          <w:highlight w:val="none"/>
        </w:rPr>
        <w:t>磋商</w:t>
      </w:r>
      <w:r>
        <w:rPr>
          <w:rFonts w:hAnsi="宋体"/>
          <w:color w:val="auto"/>
          <w:sz w:val="24"/>
          <w:szCs w:val="24"/>
          <w:highlight w:val="none"/>
        </w:rPr>
        <w:t>响应文件中须加盖供应商公章部分均采用 CA 签章，并根据“政府采购项目电子交易管理操作指南-供应商” 及本</w:t>
      </w:r>
      <w:r>
        <w:rPr>
          <w:rFonts w:hint="eastAsia" w:hAnsi="宋体"/>
          <w:color w:val="auto"/>
          <w:sz w:val="24"/>
          <w:szCs w:val="24"/>
          <w:highlight w:val="none"/>
        </w:rPr>
        <w:t>磋商</w:t>
      </w:r>
      <w:r>
        <w:rPr>
          <w:rFonts w:hAnsi="宋体"/>
          <w:color w:val="auto"/>
          <w:sz w:val="24"/>
          <w:szCs w:val="24"/>
          <w:highlight w:val="none"/>
        </w:rPr>
        <w:t>文件规定的格式和顺序编制电子</w:t>
      </w:r>
      <w:r>
        <w:rPr>
          <w:rFonts w:hint="eastAsia" w:hAnsi="宋体"/>
          <w:color w:val="auto"/>
          <w:sz w:val="24"/>
          <w:szCs w:val="24"/>
          <w:highlight w:val="none"/>
        </w:rPr>
        <w:t>磋商</w:t>
      </w:r>
      <w:r>
        <w:rPr>
          <w:rFonts w:hAnsi="宋体"/>
          <w:color w:val="auto"/>
          <w:sz w:val="24"/>
          <w:szCs w:val="24"/>
          <w:highlight w:val="none"/>
        </w:rPr>
        <w:t>响应文件并进行关联定位，以便</w:t>
      </w:r>
      <w:r>
        <w:rPr>
          <w:rFonts w:hint="eastAsia" w:hAnsi="宋体"/>
          <w:color w:val="auto"/>
          <w:sz w:val="24"/>
          <w:szCs w:val="24"/>
          <w:highlight w:val="none"/>
        </w:rPr>
        <w:t>磋商小组</w:t>
      </w:r>
      <w:r>
        <w:rPr>
          <w:rFonts w:hAnsi="宋体"/>
          <w:color w:val="auto"/>
          <w:sz w:val="24"/>
          <w:szCs w:val="24"/>
          <w:highlight w:val="none"/>
        </w:rPr>
        <w:t>在评</w:t>
      </w:r>
      <w:r>
        <w:rPr>
          <w:rFonts w:hint="eastAsia" w:hAnsi="宋体"/>
          <w:color w:val="auto"/>
          <w:sz w:val="24"/>
          <w:szCs w:val="24"/>
          <w:highlight w:val="none"/>
          <w:lang w:val="en-US" w:eastAsia="zh-CN"/>
        </w:rPr>
        <w:t>审</w:t>
      </w:r>
      <w:r>
        <w:rPr>
          <w:rFonts w:hAnsi="宋体"/>
          <w:color w:val="auto"/>
          <w:sz w:val="24"/>
          <w:szCs w:val="24"/>
          <w:highlight w:val="none"/>
        </w:rPr>
        <w:t>时，点击评分项可直接定位到该评分项内容。如对</w:t>
      </w:r>
      <w:r>
        <w:rPr>
          <w:rFonts w:hint="eastAsia" w:hAnsi="宋体"/>
          <w:color w:val="auto"/>
          <w:sz w:val="24"/>
          <w:szCs w:val="24"/>
          <w:highlight w:val="none"/>
        </w:rPr>
        <w:t>磋商</w:t>
      </w:r>
      <w:r>
        <w:rPr>
          <w:rFonts w:hAnsi="宋体"/>
          <w:color w:val="auto"/>
          <w:sz w:val="24"/>
          <w:szCs w:val="24"/>
          <w:highlight w:val="none"/>
        </w:rPr>
        <w:t>文件的某项要求，</w:t>
      </w:r>
      <w:r>
        <w:rPr>
          <w:rFonts w:hint="eastAsia" w:ascii="宋体" w:hAnsi="宋体"/>
          <w:color w:val="auto"/>
          <w:kern w:val="0"/>
          <w:sz w:val="24"/>
          <w:highlight w:val="none"/>
          <w:lang w:val="en-US" w:eastAsia="zh-CN"/>
        </w:rPr>
        <w:t>磋商</w:t>
      </w:r>
      <w:r>
        <w:rPr>
          <w:rFonts w:hAnsi="宋体"/>
          <w:color w:val="auto"/>
          <w:sz w:val="24"/>
          <w:szCs w:val="24"/>
          <w:highlight w:val="none"/>
        </w:rPr>
        <w:t>供应商的电子</w:t>
      </w:r>
      <w:r>
        <w:rPr>
          <w:rFonts w:hint="eastAsia" w:hAnsi="宋体"/>
          <w:color w:val="auto"/>
          <w:sz w:val="24"/>
          <w:szCs w:val="24"/>
          <w:highlight w:val="none"/>
        </w:rPr>
        <w:t>磋商</w:t>
      </w:r>
      <w:r>
        <w:rPr>
          <w:rFonts w:hAnsi="宋体"/>
          <w:color w:val="auto"/>
          <w:sz w:val="24"/>
          <w:szCs w:val="24"/>
          <w:highlight w:val="none"/>
        </w:rPr>
        <w:t>响应文件未能关联定位提供相应的内容与其对应，则</w:t>
      </w:r>
      <w:r>
        <w:rPr>
          <w:rFonts w:hint="eastAsia" w:hAnsi="宋体"/>
          <w:color w:val="auto"/>
          <w:sz w:val="24"/>
          <w:szCs w:val="24"/>
          <w:highlight w:val="none"/>
        </w:rPr>
        <w:t>磋商小组</w:t>
      </w:r>
      <w:r>
        <w:rPr>
          <w:rFonts w:hAnsi="宋体"/>
          <w:color w:val="auto"/>
          <w:sz w:val="24"/>
          <w:szCs w:val="24"/>
          <w:highlight w:val="none"/>
        </w:rPr>
        <w:t>在评审时如做出对</w:t>
      </w:r>
      <w:r>
        <w:rPr>
          <w:rFonts w:hint="eastAsia" w:ascii="宋体" w:hAnsi="宋体"/>
          <w:color w:val="auto"/>
          <w:kern w:val="0"/>
          <w:sz w:val="24"/>
          <w:highlight w:val="none"/>
          <w:lang w:val="en-US" w:eastAsia="zh-CN"/>
        </w:rPr>
        <w:t>磋商</w:t>
      </w:r>
      <w:r>
        <w:rPr>
          <w:rFonts w:hAnsi="宋体"/>
          <w:color w:val="auto"/>
          <w:sz w:val="24"/>
          <w:szCs w:val="24"/>
          <w:highlight w:val="none"/>
        </w:rPr>
        <w:t>供应商不利的评审由</w:t>
      </w:r>
      <w:r>
        <w:rPr>
          <w:rFonts w:hint="eastAsia" w:ascii="宋体" w:hAnsi="宋体"/>
          <w:color w:val="auto"/>
          <w:kern w:val="0"/>
          <w:sz w:val="24"/>
          <w:highlight w:val="none"/>
          <w:lang w:val="en-US" w:eastAsia="zh-CN"/>
        </w:rPr>
        <w:t>磋商</w:t>
      </w:r>
      <w:r>
        <w:rPr>
          <w:rFonts w:hAnsi="宋体"/>
          <w:color w:val="auto"/>
          <w:sz w:val="24"/>
          <w:szCs w:val="24"/>
          <w:highlight w:val="none"/>
        </w:rPr>
        <w:t>供应商自行承担。电子</w:t>
      </w:r>
      <w:r>
        <w:rPr>
          <w:rFonts w:hint="eastAsia" w:hAnsi="宋体"/>
          <w:color w:val="auto"/>
          <w:sz w:val="24"/>
          <w:szCs w:val="24"/>
          <w:highlight w:val="none"/>
        </w:rPr>
        <w:t>磋商</w:t>
      </w:r>
      <w:r>
        <w:rPr>
          <w:rFonts w:hAnsi="宋体"/>
          <w:color w:val="auto"/>
          <w:sz w:val="24"/>
          <w:szCs w:val="24"/>
          <w:highlight w:val="none"/>
        </w:rPr>
        <w:t>响应文件如内容不完整</w:t>
      </w:r>
      <w:r>
        <w:rPr>
          <w:rFonts w:hint="eastAsia" w:hAnsi="宋体"/>
          <w:color w:val="auto"/>
          <w:sz w:val="24"/>
          <w:szCs w:val="24"/>
          <w:highlight w:val="none"/>
        </w:rPr>
        <w:t>、</w:t>
      </w:r>
      <w:r>
        <w:rPr>
          <w:rFonts w:hAnsi="宋体"/>
          <w:color w:val="auto"/>
          <w:sz w:val="24"/>
          <w:szCs w:val="24"/>
          <w:highlight w:val="none"/>
        </w:rPr>
        <w:t>编排混乱导致磋商响应文件被误读、 漏读，或者在按采购文件规定的部位查找不到相关内容的，由</w:t>
      </w:r>
      <w:r>
        <w:rPr>
          <w:rFonts w:hint="eastAsia" w:ascii="宋体" w:hAnsi="宋体"/>
          <w:color w:val="auto"/>
          <w:kern w:val="0"/>
          <w:sz w:val="24"/>
          <w:highlight w:val="none"/>
          <w:lang w:val="en-US" w:eastAsia="zh-CN"/>
        </w:rPr>
        <w:t>磋商</w:t>
      </w:r>
      <w:r>
        <w:rPr>
          <w:rFonts w:hAnsi="宋体"/>
          <w:color w:val="auto"/>
          <w:sz w:val="24"/>
          <w:szCs w:val="24"/>
          <w:highlight w:val="none"/>
        </w:rPr>
        <w:t>供应商自行承担。</w:t>
      </w:r>
    </w:p>
    <w:p w14:paraId="467B499F">
      <w:pPr>
        <w:pStyle w:val="24"/>
        <w:adjustRightInd w:val="0"/>
        <w:snapToGrid w:val="0"/>
        <w:spacing w:line="360" w:lineRule="auto"/>
        <w:ind w:firstLine="480" w:firstLineChars="200"/>
        <w:rPr>
          <w:rFonts w:hAnsi="宋体"/>
          <w:color w:val="auto"/>
          <w:sz w:val="24"/>
          <w:szCs w:val="24"/>
          <w:highlight w:val="none"/>
        </w:rPr>
      </w:pPr>
      <w:r>
        <w:rPr>
          <w:rFonts w:hint="eastAsia" w:hAnsi="宋体"/>
          <w:color w:val="auto"/>
          <w:sz w:val="24"/>
          <w:szCs w:val="24"/>
          <w:highlight w:val="none"/>
        </w:rPr>
        <w:t>10.2</w:t>
      </w:r>
      <w:r>
        <w:rPr>
          <w:rFonts w:hAnsi="宋体"/>
          <w:color w:val="auto"/>
          <w:sz w:val="24"/>
          <w:szCs w:val="24"/>
          <w:highlight w:val="none"/>
        </w:rPr>
        <w:t>磋商响应文件不得涂改，若有修改错漏处，须法定代表人</w:t>
      </w:r>
      <w:r>
        <w:rPr>
          <w:rFonts w:hint="eastAsia" w:hAnsi="宋体"/>
          <w:color w:val="auto"/>
          <w:sz w:val="24"/>
          <w:szCs w:val="24"/>
          <w:highlight w:val="none"/>
        </w:rPr>
        <w:t>（负责人）</w:t>
      </w:r>
      <w:r>
        <w:rPr>
          <w:rFonts w:hAnsi="宋体"/>
          <w:color w:val="auto"/>
          <w:sz w:val="24"/>
          <w:szCs w:val="24"/>
          <w:highlight w:val="none"/>
        </w:rPr>
        <w:t>或授权委托人签字</w:t>
      </w:r>
      <w:r>
        <w:rPr>
          <w:rFonts w:hint="eastAsia" w:hAnsi="宋体"/>
          <w:color w:val="auto"/>
          <w:sz w:val="24"/>
          <w:szCs w:val="24"/>
          <w:highlight w:val="none"/>
        </w:rPr>
        <w:t>。</w:t>
      </w:r>
      <w:r>
        <w:rPr>
          <w:rFonts w:hAnsi="宋体"/>
          <w:color w:val="auto"/>
          <w:sz w:val="24"/>
          <w:szCs w:val="24"/>
          <w:highlight w:val="none"/>
        </w:rPr>
        <w:t>磋商响应文件因字迹潦草或表达不清所引起的后果由</w:t>
      </w:r>
      <w:r>
        <w:rPr>
          <w:rFonts w:hint="eastAsia" w:ascii="宋体" w:hAnsi="宋体"/>
          <w:color w:val="auto"/>
          <w:kern w:val="0"/>
          <w:sz w:val="24"/>
          <w:highlight w:val="none"/>
          <w:lang w:val="en-US" w:eastAsia="zh-CN"/>
        </w:rPr>
        <w:t>磋商</w:t>
      </w:r>
      <w:r>
        <w:rPr>
          <w:rFonts w:hAnsi="宋体"/>
          <w:color w:val="auto"/>
          <w:sz w:val="24"/>
          <w:szCs w:val="24"/>
          <w:highlight w:val="none"/>
        </w:rPr>
        <w:t>供应商负责。</w:t>
      </w:r>
    </w:p>
    <w:p w14:paraId="29AFAFB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 竞争性磋商响应文件的递交</w:t>
      </w:r>
    </w:p>
    <w:p w14:paraId="46CA31A0">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11.1所有竞争性磋商响应文件应于竞争性磋商文件中规定的时间前</w:t>
      </w:r>
      <w:r>
        <w:rPr>
          <w:rFonts w:ascii="宋体" w:hAnsi="宋体"/>
          <w:color w:val="auto"/>
          <w:sz w:val="24"/>
          <w:highlight w:val="none"/>
        </w:rPr>
        <w:t>上传递交至广西政府采购云平台。</w:t>
      </w:r>
    </w:p>
    <w:p w14:paraId="3233211A">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电子</w:t>
      </w:r>
      <w:r>
        <w:rPr>
          <w:rFonts w:hint="eastAsia" w:ascii="宋体" w:hAnsi="宋体"/>
          <w:b/>
          <w:color w:val="auto"/>
          <w:sz w:val="24"/>
          <w:highlight w:val="none"/>
        </w:rPr>
        <w:t>磋商</w:t>
      </w:r>
      <w:r>
        <w:rPr>
          <w:rFonts w:ascii="宋体" w:hAnsi="宋体"/>
          <w:b/>
          <w:color w:val="auto"/>
          <w:sz w:val="24"/>
          <w:highlight w:val="none"/>
        </w:rPr>
        <w:t>文件的相关说明</w:t>
      </w:r>
    </w:p>
    <w:p w14:paraId="50ADDADF">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（1）</w:t>
      </w:r>
      <w:r>
        <w:rPr>
          <w:rFonts w:hint="eastAsia" w:ascii="宋体" w:hAnsi="宋体"/>
          <w:b/>
          <w:color w:val="auto"/>
          <w:sz w:val="24"/>
          <w:highlight w:val="none"/>
          <w:lang w:val="en-US" w:eastAsia="zh-CN"/>
        </w:rPr>
        <w:t>磋商</w:t>
      </w:r>
      <w:r>
        <w:rPr>
          <w:rFonts w:ascii="宋体" w:hAnsi="宋体"/>
          <w:b/>
          <w:color w:val="auto"/>
          <w:sz w:val="24"/>
          <w:highlight w:val="none"/>
        </w:rPr>
        <w:t>供应商进行电子</w:t>
      </w:r>
      <w:r>
        <w:rPr>
          <w:rFonts w:hint="eastAsia" w:ascii="宋体" w:hAnsi="宋体"/>
          <w:b/>
          <w:color w:val="auto"/>
          <w:sz w:val="24"/>
          <w:highlight w:val="none"/>
        </w:rPr>
        <w:t>磋商</w:t>
      </w:r>
      <w:r>
        <w:rPr>
          <w:rFonts w:ascii="宋体" w:hAnsi="宋体"/>
          <w:b/>
          <w:color w:val="auto"/>
          <w:sz w:val="24"/>
          <w:highlight w:val="none"/>
        </w:rPr>
        <w:t>应安装客户端软件，并按照采购文件和电子交易平台的要求编制并加密磋商响应文件。</w:t>
      </w:r>
      <w:r>
        <w:rPr>
          <w:rFonts w:hint="eastAsia" w:ascii="宋体" w:hAnsi="宋体"/>
          <w:b/>
          <w:color w:val="auto"/>
          <w:sz w:val="24"/>
          <w:highlight w:val="none"/>
          <w:lang w:val="en-US" w:eastAsia="zh-CN"/>
        </w:rPr>
        <w:t>磋商</w:t>
      </w:r>
      <w:r>
        <w:rPr>
          <w:rFonts w:ascii="宋体" w:hAnsi="宋体"/>
          <w:b/>
          <w:color w:val="auto"/>
          <w:sz w:val="24"/>
          <w:highlight w:val="none"/>
        </w:rPr>
        <w:t>供应商未按规定加密的磋商响应文件，电子交易平台将拒收。</w:t>
      </w:r>
      <w:r>
        <w:rPr>
          <w:rFonts w:hint="eastAsia" w:ascii="宋体" w:hAnsi="宋体"/>
          <w:b/>
          <w:color w:val="auto"/>
          <w:sz w:val="24"/>
          <w:highlight w:val="none"/>
          <w:lang w:val="en-US" w:eastAsia="zh-CN"/>
        </w:rPr>
        <w:t>磋商</w:t>
      </w:r>
      <w:r>
        <w:rPr>
          <w:rFonts w:ascii="宋体" w:hAnsi="宋体"/>
          <w:b/>
          <w:color w:val="auto"/>
          <w:sz w:val="24"/>
          <w:highlight w:val="none"/>
        </w:rPr>
        <w:t>供应商应当在磋商截止时间前完成磋商响应文件的传输递交，并可以补充、修改或者撤回磋商响应文件。补充或者修改磋商响应文件的，应当先行撤回原文件</w:t>
      </w:r>
      <w:r>
        <w:rPr>
          <w:rFonts w:hint="eastAsia" w:ascii="宋体" w:hAnsi="宋体"/>
          <w:b/>
          <w:color w:val="auto"/>
          <w:sz w:val="24"/>
          <w:highlight w:val="none"/>
        </w:rPr>
        <w:t>，</w:t>
      </w:r>
      <w:r>
        <w:rPr>
          <w:rFonts w:ascii="宋体" w:hAnsi="宋体"/>
          <w:b/>
          <w:color w:val="auto"/>
          <w:sz w:val="24"/>
          <w:highlight w:val="none"/>
        </w:rPr>
        <w:t>补充、修改后重新传输递交。磋商截止时间前未完成传输的，视为撤回磋商响应文件。磋商截止时间后递交的磋商响应文件，电子交易平台将拒收。</w:t>
      </w:r>
    </w:p>
    <w:p w14:paraId="7742A754">
      <w:pPr>
        <w:adjustRightInd w:val="0"/>
        <w:snapToGrid w:val="0"/>
        <w:spacing w:line="360" w:lineRule="auto"/>
        <w:ind w:firstLine="482" w:firstLineChars="200"/>
        <w:rPr>
          <w:rFonts w:ascii="宋体" w:hAnsi="宋体"/>
          <w:b/>
          <w:color w:val="auto"/>
          <w:sz w:val="24"/>
          <w:highlight w:val="none"/>
        </w:rPr>
      </w:pPr>
      <w:r>
        <w:rPr>
          <w:rFonts w:ascii="宋体" w:hAnsi="宋体"/>
          <w:b/>
          <w:color w:val="auto"/>
          <w:sz w:val="24"/>
          <w:highlight w:val="none"/>
        </w:rPr>
        <w:t>（</w:t>
      </w:r>
      <w:r>
        <w:rPr>
          <w:rFonts w:hint="eastAsia" w:ascii="宋体" w:hAnsi="宋体"/>
          <w:b/>
          <w:color w:val="auto"/>
          <w:sz w:val="24"/>
          <w:highlight w:val="none"/>
        </w:rPr>
        <w:t>2</w:t>
      </w:r>
      <w:r>
        <w:rPr>
          <w:rFonts w:ascii="宋体" w:hAnsi="宋体"/>
          <w:b/>
          <w:color w:val="auto"/>
          <w:sz w:val="24"/>
          <w:highlight w:val="none"/>
        </w:rPr>
        <w:t>）如有特殊情况，采购代理机构延长截止时间和开标时间，采购代理机构和</w:t>
      </w:r>
      <w:r>
        <w:rPr>
          <w:rFonts w:hint="eastAsia" w:ascii="宋体" w:hAnsi="宋体"/>
          <w:b/>
          <w:color w:val="auto"/>
          <w:sz w:val="24"/>
          <w:highlight w:val="none"/>
          <w:lang w:val="en-US" w:eastAsia="zh-CN"/>
        </w:rPr>
        <w:t>磋商</w:t>
      </w:r>
      <w:r>
        <w:rPr>
          <w:rFonts w:ascii="宋体" w:hAnsi="宋体"/>
          <w:b/>
          <w:color w:val="auto"/>
          <w:sz w:val="24"/>
          <w:highlight w:val="none"/>
        </w:rPr>
        <w:t>供应商的权利和义务将受到新的截止时间和开标时间的约束。</w:t>
      </w:r>
    </w:p>
    <w:p w14:paraId="771D68D3">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11.2竞争性磋商响应文件从响应文件递交截止日期后六十日内有效。</w:t>
      </w:r>
    </w:p>
    <w:p w14:paraId="5669E436">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12.迟交的竞争性磋商响应文件</w:t>
      </w:r>
    </w:p>
    <w:p w14:paraId="63EF9A4C">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12.1在本文件要求竞争性磋商响应文件递交截止时间后送达的竞争性磋商响应文件为无效文件，本代理机构将拒收。</w:t>
      </w:r>
    </w:p>
    <w:p w14:paraId="1ECEB060">
      <w:pPr>
        <w:spacing w:line="360" w:lineRule="auto"/>
        <w:ind w:firstLine="480" w:firstLineChars="200"/>
        <w:rPr>
          <w:rFonts w:hint="default" w:ascii="宋体" w:hAnsi="宋体" w:eastAsia="宋体" w:cs="宋体"/>
          <w:b/>
          <w:snapToGrid w:val="0"/>
          <w:color w:val="auto"/>
          <w:highlight w:val="none"/>
          <w:lang w:val="en-US" w:eastAsia="zh-CN"/>
        </w:rPr>
      </w:pPr>
      <w:r>
        <w:rPr>
          <w:rFonts w:hint="eastAsia" w:ascii="宋体" w:hAnsi="宋体"/>
          <w:color w:val="auto"/>
          <w:sz w:val="24"/>
          <w:highlight w:val="none"/>
        </w:rPr>
        <w:t>13.</w:t>
      </w:r>
      <w:r>
        <w:rPr>
          <w:rFonts w:hint="eastAsia" w:ascii="宋体" w:hAnsi="宋体" w:cs="宋体"/>
          <w:b/>
          <w:snapToGrid w:val="0"/>
          <w:color w:val="auto"/>
          <w:kern w:val="28"/>
          <w:sz w:val="24"/>
          <w:highlight w:val="none"/>
        </w:rPr>
        <w:t xml:space="preserve"> 磋商保证金</w:t>
      </w:r>
      <w:r>
        <w:rPr>
          <w:rFonts w:hint="eastAsia" w:ascii="宋体" w:hAnsi="宋体" w:cs="宋体"/>
          <w:b/>
          <w:snapToGrid w:val="0"/>
          <w:color w:val="auto"/>
          <w:kern w:val="28"/>
          <w:sz w:val="24"/>
          <w:highlight w:val="none"/>
          <w:lang w:eastAsia="zh-CN"/>
        </w:rPr>
        <w:t>（</w:t>
      </w:r>
      <w:r>
        <w:rPr>
          <w:rFonts w:hint="eastAsia" w:ascii="宋体" w:hAnsi="宋体" w:cs="宋体"/>
          <w:b/>
          <w:snapToGrid w:val="0"/>
          <w:color w:val="auto"/>
          <w:kern w:val="28"/>
          <w:sz w:val="24"/>
          <w:highlight w:val="none"/>
          <w:lang w:val="en-US" w:eastAsia="zh-CN"/>
        </w:rPr>
        <w:t>本项目不收取磋商保证金）</w:t>
      </w:r>
    </w:p>
    <w:p w14:paraId="6BF02532">
      <w:pPr>
        <w:adjustRightInd w:val="0"/>
        <w:snapToGrid w:val="0"/>
        <w:spacing w:line="360" w:lineRule="auto"/>
        <w:ind w:firstLine="482" w:firstLineChars="200"/>
        <w:rPr>
          <w:rFonts w:ascii="宋体" w:hAnsi="宋体"/>
          <w:b/>
          <w:color w:val="auto"/>
          <w:sz w:val="24"/>
          <w:highlight w:val="none"/>
        </w:rPr>
      </w:pPr>
      <w:r>
        <w:rPr>
          <w:rFonts w:hint="eastAsia" w:ascii="宋体" w:hAnsi="宋体"/>
          <w:b/>
          <w:bCs/>
          <w:color w:val="auto"/>
          <w:sz w:val="24"/>
          <w:highlight w:val="none"/>
        </w:rPr>
        <w:t>五、</w:t>
      </w:r>
      <w:r>
        <w:rPr>
          <w:rFonts w:hint="eastAsia" w:ascii="宋体" w:hAnsi="宋体"/>
          <w:b/>
          <w:color w:val="auto"/>
          <w:sz w:val="24"/>
          <w:highlight w:val="none"/>
        </w:rPr>
        <w:t>磋</w:t>
      </w:r>
      <w:r>
        <w:rPr>
          <w:rFonts w:hint="eastAsia" w:ascii="宋体" w:hAnsi="宋体"/>
          <w:b/>
          <w:bCs/>
          <w:color w:val="auto"/>
          <w:sz w:val="24"/>
          <w:highlight w:val="none"/>
        </w:rPr>
        <w:t>商程序及评审方法</w:t>
      </w:r>
    </w:p>
    <w:p w14:paraId="1713705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14．磋商程序</w:t>
      </w:r>
    </w:p>
    <w:p w14:paraId="4C005EE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14.1磋商截止时间后，主持人宣布磋商开始。</w:t>
      </w:r>
    </w:p>
    <w:p w14:paraId="597381EA">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14.2</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供应商登录广西政府采购云平台，用“项目采购-开标评标”功能对电子磋商响应文件进行在线解密。在线解密电子磋商响应文件时间为开标时间起半小时内。</w:t>
      </w:r>
    </w:p>
    <w:p w14:paraId="188CB64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14.3磋商小组对磋商响应文件进行评估和比较。</w:t>
      </w:r>
    </w:p>
    <w:p w14:paraId="6F52B37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14.4以广西政府采购云平台中“项目采购”应用模块获取磋商文件顺序确定各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供应商磋商、顺序。</w:t>
      </w:r>
    </w:p>
    <w:p w14:paraId="7349A974">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14.5磋商小组与单一供应商分别进行磋商。（磋商时</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供应商的技术资料、价格和其他信息在评审、磋商过程中保密）</w:t>
      </w:r>
    </w:p>
    <w:p w14:paraId="53BA291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14.6磋商小组要求所有实质性响应的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供应商在规定时间内提交最后报价（只公开最后报价，最后报价不得高于初次报价）。</w:t>
      </w:r>
    </w:p>
    <w:p w14:paraId="2A303D3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14.7由磋商小组采用综合评分法对提交最后报价的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供应商的响应文件和最后报价进行综合评审，在符合采购需求、质量和服务要求的前提下，按评审得分从高到低顺序推荐确定成交候选供应商。</w:t>
      </w:r>
    </w:p>
    <w:p w14:paraId="2C7D600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特别说明：广西政府采购云平台如对电子化磋商及评审程序有调整的，按调整后的程序操作。</w:t>
      </w:r>
    </w:p>
    <w:p w14:paraId="75C21E0D">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15.采购过程中出现以下情形，导致电子交易平台无法正常运行，或者无法保证电子交易的公平、公正和安全时，采购组织机构可中止电子交易活动：</w:t>
      </w:r>
    </w:p>
    <w:p w14:paraId="31B7B01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15.1电子交易平台发生故障而无法登录访问的； </w:t>
      </w:r>
    </w:p>
    <w:p w14:paraId="65B7721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15.2电子交易平台应用或数据库出现错误，不能进行正常操作的；</w:t>
      </w:r>
    </w:p>
    <w:p w14:paraId="08AE67F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15.3电子交易平台发现严重安全漏洞，有潜在泄密危险的；</w:t>
      </w:r>
    </w:p>
    <w:p w14:paraId="7E27EFA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15.4病毒发作导致不能进行正常操作的； </w:t>
      </w:r>
    </w:p>
    <w:p w14:paraId="55837EF3">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15.5其他无法保证电子交易的公平、公正和安全的情况。</w:t>
      </w:r>
    </w:p>
    <w:p w14:paraId="2109F30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5C98E5E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16．磋商内容</w:t>
      </w:r>
    </w:p>
    <w:p w14:paraId="66AF89D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16.1本次磋商内容为在磋商文件范围内就</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供应商的磋商响应文件，磋商小组与</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供应商在技术、价格、服务、合同等问题进行磋商，最终确定成交与否。</w:t>
      </w:r>
    </w:p>
    <w:p w14:paraId="04494EA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16.2磋商应作书面记录，</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供应商并就磋商内容作出书面承诺，并由</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供应商法定代表人或其授权委托人签字后生效，作为磋商响应文件的一部分。</w:t>
      </w:r>
    </w:p>
    <w:p w14:paraId="6DEC664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16.3磋商文件有实质性变动的，磋商小组以书面形式通知所有参加磋商的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w:t>
      </w:r>
    </w:p>
    <w:p w14:paraId="224DEEC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17．磋商</w:t>
      </w:r>
    </w:p>
    <w:p w14:paraId="5C71D5A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17.1磋商小组由采购人、采购</w:t>
      </w:r>
      <w:r>
        <w:rPr>
          <w:rFonts w:hint="eastAsia" w:hAnsi="宋体" w:cs="Times New Roman"/>
          <w:color w:val="auto"/>
          <w:sz w:val="24"/>
          <w:szCs w:val="24"/>
          <w:highlight w:val="none"/>
          <w:lang w:val="en-US" w:eastAsia="zh-CN"/>
        </w:rPr>
        <w:t>代理</w:t>
      </w:r>
      <w:r>
        <w:rPr>
          <w:rFonts w:hint="eastAsia" w:hAnsi="宋体" w:cs="Times New Roman"/>
          <w:color w:val="auto"/>
          <w:sz w:val="24"/>
          <w:szCs w:val="24"/>
          <w:highlight w:val="none"/>
        </w:rPr>
        <w:t>机构依法组建，负责评审活动。磋商小组遵循公开、公平、公正、科学合理、竞争择优的原则。</w:t>
      </w:r>
    </w:p>
    <w:p w14:paraId="3330D3A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17.2磋商小组由采购人代表和有关方面专家组成，成员人数为3人以上单数。</w:t>
      </w:r>
    </w:p>
    <w:p w14:paraId="44FCF9C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17.3磋商小组负责对</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供应商资格的最终审定。</w:t>
      </w:r>
    </w:p>
    <w:p w14:paraId="00BD697E">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17.4磋商小组可以要求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供应商对其磋商响应文件中含义不明确的内容作必要的澄清或者说明，但澄清或者说明不得超过磋商响应文件的范围或者改变磋商响应文件的实质性内容。</w:t>
      </w:r>
    </w:p>
    <w:p w14:paraId="5746424E">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17.5磋商小组对磋商响应文件的判定，只依据磋商响应文件和磋商文件内容本身，不依据任何外来证明。</w:t>
      </w:r>
    </w:p>
    <w:p w14:paraId="30EFDCB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17.6磋商小组不向落标方解释落标的原因，不退还磋商响应文件。</w:t>
      </w:r>
    </w:p>
    <w:p w14:paraId="04054834">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18．磋商响应文件的初审鉴定</w:t>
      </w:r>
    </w:p>
    <w:p w14:paraId="416DACA9">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18.1资格性审查</w:t>
      </w:r>
    </w:p>
    <w:p w14:paraId="1C4E617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18.1.1依据法律、法规和磋商文件规定，对磋商响应文件提供的资格证明及通过“信用中国”网站（www.creditchina.gov.cn）和中国政府采购网（www.ccgp.gov.cn）查询的相关</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供应商主体信用记录（查询截止时点为磋商当日）等进行审查，以确定</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供应商是否具备磋商资格。</w:t>
      </w:r>
    </w:p>
    <w:p w14:paraId="0FDC818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18.2符合性审查</w:t>
      </w:r>
    </w:p>
    <w:p w14:paraId="09EE672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18.2.1磋商时，磋商小组将首先评定每份磋商响应文件是否在实质上响应了磋商文件要求。所谓实质上的响应，是指磋商响应文件与磋商文件的所有实质性条款、条件和要求相符，无显著差异或保留，或者对合同中约定的采购人的权利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供应商的义务方面造成重大的限制，纠正这些显著差异或保留将会对其他实质上响应磋商文件要求的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供应商的竞争地位产生不公正的影响。</w:t>
      </w:r>
    </w:p>
    <w:p w14:paraId="1F69F734">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18.3如果磋商响应文件实质不响应磋商文件的各项要求，磋商小组将予以拒绝，并且不允许</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供应商通过修改或撤销其不符合要求的差异或保留，使之成为具有响应性的磋商。</w:t>
      </w:r>
    </w:p>
    <w:p w14:paraId="5713731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 对明显的文字和计算错误的修正原则</w:t>
      </w:r>
    </w:p>
    <w:p w14:paraId="082F28CD">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19.1磋商响应文件中报价一览表（报价表）内容与磋商响应文件中相应内容不一致的，以报价一览表（报价表）为准；</w:t>
      </w:r>
    </w:p>
    <w:p w14:paraId="3729CFB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19.2大写金额和小写金额不一致的，以大写金额为准；</w:t>
      </w:r>
    </w:p>
    <w:p w14:paraId="678F6A6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19.3单价金额小数点或者百分比有明显错位的，以开标一览表的总价为准，并修改单价；</w:t>
      </w:r>
    </w:p>
    <w:p w14:paraId="5387F2DD">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19.4总价金额与按单价汇总金额不一致的，以单价金额计算结果为准。</w:t>
      </w:r>
    </w:p>
    <w:p w14:paraId="5989443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同时出现两种以上不一致的，按照前款规定的顺序修正。修正后的报价经磋商响应人确认后产生约束力，磋商响应人不确认的，其磋商无效。</w:t>
      </w:r>
    </w:p>
    <w:p w14:paraId="0F394893">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20.磋商响应文件的评审、比较和否决</w:t>
      </w:r>
    </w:p>
    <w:p w14:paraId="72C17DE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20.1磋商小组将对在实质上响应磋商文件要求的磋商响应文件进行评估和比较。</w:t>
      </w:r>
    </w:p>
    <w:p w14:paraId="48D596C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20.2在评审过程中，磋商小组可以书面形式要求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供应商就磋商响应文件含义不明确的内容进行书面说明并提供相关材料。</w:t>
      </w:r>
    </w:p>
    <w:p w14:paraId="30D5E16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20.3在磋商过程中，如发现与磋商文件要求相偏离的，磋商小组应对其偏离情形进行必要的书面核实。</w:t>
      </w:r>
    </w:p>
    <w:p w14:paraId="0BDFC64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20.4在评审过程中，如属于实质性偏离或符合无效响应条件的，应当询问相关</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供应商，并允许其进行陈述申辩，但不允许对偏离条款撤回。</w:t>
      </w:r>
    </w:p>
    <w:p w14:paraId="56605D9E">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20.5比较与评价。磋商小组依据磋商文件规定的评审标准和方法，对磋商响应文件进行商务和技术评估，综合比较与评价。</w:t>
      </w:r>
    </w:p>
    <w:p w14:paraId="5289A8F4">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20.6汇总（商务技术得分情况）。磋商小组各成员应当独立对每个</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供应商的磋商响应文件进行评价，并汇总商务技术得分情况。</w:t>
      </w:r>
    </w:p>
    <w:p w14:paraId="7D554CD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20.7 报价评审 </w:t>
      </w:r>
    </w:p>
    <w:p w14:paraId="0B57ACA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20.7.1根据财政部发布的《政府采购促进中小企业发展管理办法》规定，对于非专门面向中小企业的项目，对小型和微型企业产品的价格给予一定的扣除，用扣除后的价格参与评审。</w:t>
      </w:r>
    </w:p>
    <w:p w14:paraId="5B0E333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20.7.2</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供应商存在以下报价情形的，磋商无效</w:t>
      </w:r>
    </w:p>
    <w:p w14:paraId="1EA93C9E">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1）响应文件未提供“供应商须知前附表” 报价文件中规定的“竞标报价表”的； </w:t>
      </w:r>
    </w:p>
    <w:p w14:paraId="70647FB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2）未采用人民币报价或者未按照磋商文件标明的币种报价的； </w:t>
      </w:r>
    </w:p>
    <w:p w14:paraId="15EF625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3）</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供应商未就所竞标分标进行报价或者存在漏项报价；</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供应商未就所竞标分标的单项内容作唯一报价；</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供应商未就所竞标分标的全部内容作完整唯一总价报价；</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供应商响应文件中存在有选择、有条件报价的（磋商文件允许有备选方案或者其他约定的除外）； </w:t>
      </w:r>
    </w:p>
    <w:p w14:paraId="65EDD75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4）竞标报价（包含首次报价、最后报价）超过所竞标分标规定的采购预算金额或者最高限价的（如本项目公布了最高限价）；竞标报价（包含首次报价、最后报价）超过磋商文件分项采购预算金额或者最高限价的（如本项目有要求并公布了分项采购预算金额或者最高限价）； </w:t>
      </w:r>
    </w:p>
    <w:p w14:paraId="4CD9F393">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5）修正后的报价，供应商不确认的；或者经</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供应商确认修正后的竞标报价（包含首次报价、最后报价）超过所竞标分标规定的采购预算金额或者最高限价（如本项目公布了最高限价）；或者经</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供应商确认修正后竞标报价（包含首次报价、最后报价）超过磋商文件分项分项采购预算金额或者最高限价的（如本项目有要求并公布了分项采购预算金额或者最高限价）。 </w:t>
      </w:r>
    </w:p>
    <w:p w14:paraId="3674B3C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6）在单价合同工程中供应商采用总价优惠或以总价百分比优惠的方式进行竞标报价的； </w:t>
      </w:r>
    </w:p>
    <w:p w14:paraId="0CC8045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7）竞标总报价与已标价工程量清单汇总表不一致的； </w:t>
      </w:r>
    </w:p>
    <w:p w14:paraId="51AC051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8）安全文明施工费和规费、增值税不按广西区费用定额及造价管理相关文件规定报价的（园林绿化及仿古建筑工程除外）；（适用于房屋建筑和市政工程项目） </w:t>
      </w:r>
    </w:p>
    <w:p w14:paraId="206D1D0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9）</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供应商已标价工程量清单的项目编码（12位）、计量单位、工程量任何一处与工程量清单不一致的； </w:t>
      </w:r>
    </w:p>
    <w:p w14:paraId="7B3F5E28">
      <w:pPr>
        <w:pStyle w:val="24"/>
        <w:adjustRightInd w:val="0"/>
        <w:snapToGrid w:val="0"/>
        <w:spacing w:line="360" w:lineRule="auto"/>
        <w:ind w:firstLine="480" w:firstLineChars="200"/>
        <w:rPr>
          <w:rFonts w:hint="eastAsia" w:hAnsi="宋体" w:cs="Times New Roman"/>
          <w:color w:val="auto"/>
          <w:sz w:val="24"/>
          <w:szCs w:val="24"/>
          <w:highlight w:val="none"/>
        </w:rPr>
      </w:pPr>
      <w:r>
        <w:rPr>
          <w:rFonts w:hint="eastAsia" w:hAnsi="宋体" w:cs="Times New Roman"/>
          <w:color w:val="auto"/>
          <w:sz w:val="24"/>
          <w:szCs w:val="24"/>
          <w:highlight w:val="none"/>
        </w:rPr>
        <w:t>10）</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供应商已标价工程量清单的项目名称或项目特征与工程量清单不一致，磋商小组要求澄清、说明或补正，但</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供应商拒绝澄清、说明或补正的；（适用于房屋建筑和市政工程项目） </w:t>
      </w:r>
    </w:p>
    <w:p w14:paraId="22FF45E9">
      <w:pPr>
        <w:rPr>
          <w:rFonts w:hint="default" w:hAnsi="宋体" w:cs="Times New Roman"/>
          <w:color w:val="auto"/>
          <w:sz w:val="24"/>
          <w:szCs w:val="24"/>
          <w:highlight w:val="none"/>
          <w:lang w:val="en-US" w:eastAsia="zh-CN"/>
        </w:rPr>
      </w:pPr>
      <w:r>
        <w:rPr>
          <w:rFonts w:hint="eastAsia" w:hAnsi="宋体" w:cs="Times New Roman"/>
          <w:color w:val="auto"/>
          <w:sz w:val="24"/>
          <w:szCs w:val="24"/>
          <w:highlight w:val="none"/>
          <w:lang w:val="en-US" w:eastAsia="zh-CN"/>
        </w:rPr>
        <w:t xml:space="preserve">    11）安责险未按招标工程量清单中给出的安责险暂估价的具体金额填写的；</w:t>
      </w:r>
    </w:p>
    <w:p w14:paraId="28254519">
      <w:pPr>
        <w:rPr>
          <w:rFonts w:hint="default" w:eastAsia="宋体"/>
          <w:color w:val="auto"/>
          <w:highlight w:val="none"/>
          <w:lang w:val="en-US" w:eastAsia="zh-CN"/>
        </w:rPr>
      </w:pPr>
    </w:p>
    <w:p w14:paraId="4C89F93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2</w:t>
      </w:r>
      <w:r>
        <w:rPr>
          <w:rFonts w:hint="eastAsia" w:hAnsi="宋体" w:cs="Times New Roman"/>
          <w:color w:val="auto"/>
          <w:sz w:val="24"/>
          <w:szCs w:val="24"/>
          <w:highlight w:val="none"/>
        </w:rPr>
        <w:t>）设有</w:t>
      </w:r>
      <w:r>
        <w:rPr>
          <w:rFonts w:hint="eastAsia" w:hAnsi="宋体" w:cs="Times New Roman"/>
          <w:color w:val="auto"/>
          <w:sz w:val="24"/>
          <w:szCs w:val="24"/>
          <w:highlight w:val="none"/>
          <w:lang w:val="en-US" w:eastAsia="zh-CN"/>
        </w:rPr>
        <w:t>暂列金额、专业工程</w:t>
      </w:r>
      <w:r>
        <w:rPr>
          <w:rFonts w:hint="eastAsia" w:hAnsi="宋体" w:cs="Times New Roman"/>
          <w:color w:val="auto"/>
          <w:sz w:val="24"/>
          <w:szCs w:val="24"/>
          <w:highlight w:val="none"/>
        </w:rPr>
        <w:t>暂估价</w:t>
      </w:r>
      <w:r>
        <w:rPr>
          <w:rFonts w:hint="eastAsia" w:hAnsi="宋体" w:cs="Times New Roman"/>
          <w:color w:val="auto"/>
          <w:sz w:val="24"/>
          <w:szCs w:val="24"/>
          <w:highlight w:val="none"/>
          <w:lang w:val="en-US" w:eastAsia="zh-CN"/>
        </w:rPr>
        <w:t>金额的，</w:t>
      </w:r>
      <w:r>
        <w:rPr>
          <w:rFonts w:hint="eastAsia" w:hAnsi="宋体" w:cs="Times New Roman"/>
          <w:color w:val="auto"/>
          <w:sz w:val="24"/>
          <w:szCs w:val="24"/>
          <w:highlight w:val="none"/>
        </w:rPr>
        <w:t>竞标时未按工程量清单给出的</w:t>
      </w:r>
      <w:r>
        <w:rPr>
          <w:rFonts w:hint="eastAsia" w:hAnsi="宋体" w:cs="Times New Roman"/>
          <w:color w:val="auto"/>
          <w:sz w:val="24"/>
          <w:szCs w:val="24"/>
          <w:highlight w:val="none"/>
          <w:lang w:val="en-US" w:eastAsia="zh-CN"/>
        </w:rPr>
        <w:t>暂列金额、专业工程</w:t>
      </w:r>
      <w:r>
        <w:rPr>
          <w:rFonts w:hint="eastAsia" w:hAnsi="宋体" w:cs="Times New Roman"/>
          <w:color w:val="auto"/>
          <w:sz w:val="24"/>
          <w:szCs w:val="24"/>
          <w:highlight w:val="none"/>
        </w:rPr>
        <w:t>暂估价</w:t>
      </w:r>
      <w:r>
        <w:rPr>
          <w:rFonts w:hint="eastAsia" w:hAnsi="宋体" w:cs="Times New Roman"/>
          <w:color w:val="auto"/>
          <w:sz w:val="24"/>
          <w:szCs w:val="24"/>
          <w:highlight w:val="none"/>
          <w:lang w:val="en-US" w:eastAsia="zh-CN"/>
        </w:rPr>
        <w:t>金额准确填报在</w:t>
      </w:r>
      <w:r>
        <w:rPr>
          <w:rFonts w:hint="eastAsia" w:hAnsi="宋体" w:cs="Times New Roman"/>
          <w:color w:val="auto"/>
          <w:sz w:val="24"/>
          <w:szCs w:val="24"/>
          <w:highlight w:val="none"/>
        </w:rPr>
        <w:t xml:space="preserve">竞标总报价中的； </w:t>
      </w:r>
    </w:p>
    <w:p w14:paraId="2CEF4F9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3</w:t>
      </w:r>
      <w:r>
        <w:rPr>
          <w:rFonts w:hint="eastAsia" w:hAnsi="宋体" w:cs="Times New Roman"/>
          <w:color w:val="auto"/>
          <w:sz w:val="24"/>
          <w:szCs w:val="24"/>
          <w:highlight w:val="none"/>
        </w:rPr>
        <w:t>）</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 xml:space="preserve">供应商对工程量清单内容进行增减或对竞标范围进行调整的； </w:t>
      </w:r>
    </w:p>
    <w:p w14:paraId="3AD806F9">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4</w:t>
      </w:r>
      <w:r>
        <w:rPr>
          <w:rFonts w:hint="eastAsia" w:hAnsi="宋体" w:cs="Times New Roman"/>
          <w:color w:val="auto"/>
          <w:sz w:val="24"/>
          <w:szCs w:val="24"/>
          <w:highlight w:val="none"/>
        </w:rPr>
        <w:t xml:space="preserve">）响应文件响应的标的数量及单位与竞争性磋商采购文件要求实质性不一致的； </w:t>
      </w:r>
    </w:p>
    <w:p w14:paraId="3B032AF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1</w:t>
      </w:r>
      <w:r>
        <w:rPr>
          <w:rFonts w:hint="eastAsia" w:hAnsi="宋体" w:cs="Times New Roman"/>
          <w:color w:val="auto"/>
          <w:sz w:val="24"/>
          <w:szCs w:val="24"/>
          <w:highlight w:val="none"/>
          <w:lang w:val="en-US" w:eastAsia="zh-CN"/>
        </w:rPr>
        <w:t>5</w:t>
      </w:r>
      <w:r>
        <w:rPr>
          <w:rFonts w:hint="eastAsia" w:hAnsi="宋体" w:cs="Times New Roman"/>
          <w:color w:val="auto"/>
          <w:sz w:val="24"/>
          <w:szCs w:val="24"/>
          <w:highlight w:val="none"/>
        </w:rPr>
        <w:t xml:space="preserve">）未响应磋商文件实质性要求的。 </w:t>
      </w:r>
    </w:p>
    <w:p w14:paraId="62B9F49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8.8</w:t>
      </w:r>
      <w:r>
        <w:rPr>
          <w:rFonts w:hint="eastAsia" w:hAnsi="宋体" w:cs="Times New Roman"/>
          <w:color w:val="auto"/>
          <w:sz w:val="24"/>
          <w:szCs w:val="24"/>
          <w:highlight w:val="none"/>
          <w:lang w:val="en-US" w:eastAsia="zh-CN"/>
        </w:rPr>
        <w:t>磋商小组</w:t>
      </w:r>
      <w:r>
        <w:rPr>
          <w:rFonts w:hint="eastAsia" w:hAnsi="宋体" w:cs="Times New Roman"/>
          <w:color w:val="auto"/>
          <w:sz w:val="24"/>
          <w:szCs w:val="24"/>
          <w:highlight w:val="none"/>
        </w:rPr>
        <w:t>依据磋商文件规定的评审标准和方法，对磋商响应文件进行评审和比较后，向</w:t>
      </w:r>
      <w:r>
        <w:rPr>
          <w:rFonts w:hint="eastAsia" w:hAnsi="宋体" w:cs="Times New Roman"/>
          <w:color w:val="auto"/>
          <w:sz w:val="24"/>
          <w:szCs w:val="24"/>
          <w:highlight w:val="none"/>
          <w:lang w:val="en-US" w:eastAsia="zh-CN"/>
        </w:rPr>
        <w:t>采购</w:t>
      </w:r>
      <w:r>
        <w:rPr>
          <w:rFonts w:hint="eastAsia" w:hAnsi="宋体" w:cs="Times New Roman"/>
          <w:color w:val="auto"/>
          <w:sz w:val="24"/>
          <w:szCs w:val="24"/>
          <w:highlight w:val="none"/>
        </w:rPr>
        <w:t>代理机构提供书面磋商报告，并按得分高低排序推荐成交候选供应商。</w:t>
      </w:r>
    </w:p>
    <w:p w14:paraId="528A3D4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9.磋商响应文件的澄清</w:t>
      </w:r>
    </w:p>
    <w:p w14:paraId="6F20448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为有利于对磋商响应文件的比较和评议，磋商小组可要求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供应商对磋商响应文件进行澄清，必要时磋商小组可要求</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供应商对澄清的问题作出书面答复。</w:t>
      </w:r>
    </w:p>
    <w:p w14:paraId="3AF3DB8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评审中需要</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供应商对磋商响应文件作出澄清、说明或者补正的，磋商小组和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供应商应当通过广西政府采购云平台交换数据电文。给予</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供应商提交澄清说明或补正的时间不少于半小时，</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供应商已经明确表示澄清说明或补正完毕的除外。</w:t>
      </w:r>
    </w:p>
    <w:p w14:paraId="21A795C1">
      <w:pPr>
        <w:pStyle w:val="24"/>
        <w:adjustRightInd w:val="0"/>
        <w:snapToGrid w:val="0"/>
        <w:spacing w:line="360" w:lineRule="auto"/>
        <w:ind w:firstLine="480" w:firstLineChars="200"/>
        <w:rPr>
          <w:rFonts w:hAnsi="宋体" w:cs="Times New Roman"/>
          <w:color w:val="auto"/>
          <w:sz w:val="24"/>
          <w:szCs w:val="24"/>
          <w:highlight w:val="none"/>
        </w:rPr>
      </w:pP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供应商通过广西政府采购云平台交换的数据电文必须进行电子签章。</w:t>
      </w:r>
    </w:p>
    <w:p w14:paraId="49BE1353">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21．无效磋商的情形</w:t>
      </w:r>
    </w:p>
    <w:p w14:paraId="2F26146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磋商响应文件有下列情形之一的作无效磋商响应处理：</w:t>
      </w:r>
    </w:p>
    <w:p w14:paraId="4149D1E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21.1未按照磋商文件规定要求签署、盖章的；</w:t>
      </w:r>
    </w:p>
    <w:p w14:paraId="4B593B3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21.2单位负责人为同一人或者存在直接控股、管理关系的不同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供应商参加同一合同项下的政府采购活动的（均无效）；</w:t>
      </w:r>
    </w:p>
    <w:p w14:paraId="5AD4749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 xml:space="preserve">21.3为采购项目提供整体设计、规范编制或者项目管理、监理、检测等服务的供应商参加该采购项目的其他采购活动的； </w:t>
      </w:r>
    </w:p>
    <w:p w14:paraId="5D9B90C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21.4</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供应商不具备磋商文件中规定的资格要求的（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供应商未提供有效的资格证明文件的，视为其不具备磋商文件中规定的资格要求）；</w:t>
      </w:r>
    </w:p>
    <w:p w14:paraId="63B761A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w:t>
      </w:r>
      <w:r>
        <w:rPr>
          <w:rFonts w:hAnsi="宋体" w:cs="Times New Roman"/>
          <w:color w:val="auto"/>
          <w:sz w:val="24"/>
          <w:szCs w:val="24"/>
          <w:highlight w:val="none"/>
        </w:rPr>
        <w:t xml:space="preserve">.5 </w:t>
      </w:r>
      <w:r>
        <w:rPr>
          <w:rFonts w:hint="eastAsia" w:hAnsi="宋体" w:cs="Times New Roman"/>
          <w:color w:val="auto"/>
          <w:sz w:val="24"/>
          <w:szCs w:val="24"/>
          <w:highlight w:val="none"/>
        </w:rPr>
        <w:t>《法定代表人身份证明书》与提供的身份证复印件信息不符的；《法定代表人授权委托书》与提供的身份证复印件信息不符的；</w:t>
      </w:r>
    </w:p>
    <w:p w14:paraId="7F100573">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21.6《法定代表人授权委托书》或《法定代表人身份证明书》填写不全、错误、未加盖公章(《法定代表人授权委托书》要求“盖章”和“签字”缺一不可）的；</w:t>
      </w:r>
    </w:p>
    <w:p w14:paraId="7824A75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21.7磋商响应文件中的磋商响应函未加盖</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供应商的企业公章或填写不全的；</w:t>
      </w:r>
    </w:p>
    <w:p w14:paraId="00257B4E">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21.8报价一经涂改，未在涂改处加盖磋商响应单位公章或者未经法定代表人或授权代表签字或盖章的；</w:t>
      </w:r>
    </w:p>
    <w:p w14:paraId="7DC0F35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21.9磋商响应文件中未按磋商文件规定的格式填写，或未详细应答磋商服务（或技术或产品等要求），经磋商后仍无法详细应答或应答不完整有缺失，致使磋商小组无法评审的；</w:t>
      </w:r>
    </w:p>
    <w:p w14:paraId="2313AF1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21.10出现同一标的物或本次磋商产品(服务)内的主要产品(重要组成部分)出现商务技术（资信）文件资料、报价文件资料描述不一致或前后描述不一致，经磋商小组认定后为无法评审的；</w:t>
      </w:r>
    </w:p>
    <w:p w14:paraId="20479D31">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21.11《技术偏离说明表》不真实填写或弄虚作假的；</w:t>
      </w:r>
    </w:p>
    <w:p w14:paraId="0EE04A24">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21.12磋商响应文件有采购人不能接受的条件；</w:t>
      </w:r>
    </w:p>
    <w:p w14:paraId="1859515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21.13最后报价超过预算金额或上限价的；</w:t>
      </w:r>
    </w:p>
    <w:p w14:paraId="09DE520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21.14磋商小组认定有重大偏差或实质性不响应磋商文件要求的；</w:t>
      </w:r>
    </w:p>
    <w:p w14:paraId="116296C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21.15采购人拟采购的产品属于政府强制采购的节能产品品目清单范围的，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供应商未按磋商文件要求提供国家确定的认证机构出具的、处于有效期之内的节能产品认证证书的；</w:t>
      </w:r>
    </w:p>
    <w:p w14:paraId="552293E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21.16《报价一览表》填写不完整或字迹不能辨认或有漏项的；</w:t>
      </w:r>
    </w:p>
    <w:p w14:paraId="14A02D9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21.17</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供应商对根据修正原则修正后的报价不确认的；</w:t>
      </w:r>
    </w:p>
    <w:p w14:paraId="22D1A21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供应商提供虚假材料磋商的（包括但不限于以下情节）；</w:t>
      </w:r>
    </w:p>
    <w:p w14:paraId="3014652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21.18.1使用伪造、变造的许可证件；</w:t>
      </w:r>
    </w:p>
    <w:p w14:paraId="31FC0229">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21.18.2提供虚假的财务状况或者业绩；</w:t>
      </w:r>
    </w:p>
    <w:p w14:paraId="4E2F2B1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21.18.3提供虚假的项目负责人或者主要技术人员简历、劳动关系证明；</w:t>
      </w:r>
    </w:p>
    <w:p w14:paraId="5E0106C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21.18.4提供虚假的信用状况；</w:t>
      </w:r>
    </w:p>
    <w:p w14:paraId="3AFA813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21.18.5其他弄虚作假的行为。</w:t>
      </w:r>
    </w:p>
    <w:p w14:paraId="7DF26D1A">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21.19有下列情形之一的，视为供应商串通磋商，其磋商无效：</w:t>
      </w:r>
    </w:p>
    <w:p w14:paraId="0BADF1FB">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21.19.1不同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供应商的磋商响应文件由同一单位或者个人编制；</w:t>
      </w:r>
    </w:p>
    <w:p w14:paraId="4A9C526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21.19.2不同供应商委托同一单位或者个人办理磋商事宜；</w:t>
      </w:r>
    </w:p>
    <w:p w14:paraId="25BB449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21.19.3不同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供应商的磋商响应文件载明的项目管理成员或者联系人员为同一人；</w:t>
      </w:r>
    </w:p>
    <w:p w14:paraId="0085D115">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21.19.4不同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供应商的磋商响应文件异常一致或者磋商报价呈规律性差异；</w:t>
      </w:r>
    </w:p>
    <w:p w14:paraId="14CC98E6">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21.19.5不同</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供应商的磋商响应文件相互混装；</w:t>
      </w:r>
    </w:p>
    <w:p w14:paraId="6CDACC67">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21.20有下列情形之一的，属于恶意串通，其磋商无效：</w:t>
      </w:r>
    </w:p>
    <w:p w14:paraId="7DFCDFA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21.20.1</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供应商直接或者间接从采购人或者采购机构处获得其他</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供应商的相关情况并修改其磋商文件或者响应文件；</w:t>
      </w:r>
    </w:p>
    <w:p w14:paraId="2D410454">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21.20.2</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供应商按照采购人或者采购机构的授意撤换、修改磋商文件或者响应文件；</w:t>
      </w:r>
    </w:p>
    <w:p w14:paraId="3CC03049">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21.20.3</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供应商之间协商报价、技术方案等磋商文件或者响应文件的实质性内容；</w:t>
      </w:r>
    </w:p>
    <w:p w14:paraId="378830E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21.20.4属于同一集团、协会、商会等组织成员的</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供应商按照该组织要求协同参加政府采购活动；</w:t>
      </w:r>
    </w:p>
    <w:p w14:paraId="7A8B15D8">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21.20.5</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供应商之间事先约定由某一特定供应商成交；</w:t>
      </w:r>
    </w:p>
    <w:p w14:paraId="3F8C1B99">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21.20.6</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供应商之间商定部分</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供应商放弃参加政府采购活动或者放弃成交；</w:t>
      </w:r>
    </w:p>
    <w:p w14:paraId="0FA6A9EC">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21.20.7</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供应商与采购人或者采购机构之间、供应商相互之间，为谋求特定供应商成交或者排斥其他</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供应商的其他串通行为。</w:t>
      </w:r>
    </w:p>
    <w:p w14:paraId="27DEE420">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21.21其他违反法律、法规的情形。</w:t>
      </w:r>
    </w:p>
    <w:p w14:paraId="719DB3CF">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22. 磋商过程保密</w:t>
      </w:r>
    </w:p>
    <w:p w14:paraId="0962A202">
      <w:pPr>
        <w:pStyle w:val="24"/>
        <w:adjustRightInd w:val="0"/>
        <w:snapToGrid w:val="0"/>
        <w:spacing w:line="360" w:lineRule="auto"/>
        <w:ind w:firstLine="480" w:firstLineChars="200"/>
        <w:rPr>
          <w:rFonts w:hAnsi="宋体" w:cs="Times New Roman"/>
          <w:color w:val="auto"/>
          <w:sz w:val="24"/>
          <w:szCs w:val="24"/>
          <w:highlight w:val="none"/>
        </w:rPr>
      </w:pPr>
      <w:r>
        <w:rPr>
          <w:rFonts w:hint="eastAsia" w:hAnsi="宋体" w:cs="Times New Roman"/>
          <w:color w:val="auto"/>
          <w:sz w:val="24"/>
          <w:szCs w:val="24"/>
          <w:highlight w:val="none"/>
        </w:rPr>
        <w:t>22.1磋商活动在严格保密的情况下进行。磋商过程中凡是与磋商响应文件评审和比较、成交供应商推荐等磋商有关的情况和评审文件的，以及涉及国家秘密和商业秘密等信息，磋商小组成员、采购人和采购机构工作人员、相关监督人员等与评审有关的人员应当予以保密。</w:t>
      </w:r>
    </w:p>
    <w:p w14:paraId="66CA7750">
      <w:pPr>
        <w:pStyle w:val="24"/>
        <w:adjustRightInd w:val="0"/>
        <w:snapToGrid w:val="0"/>
        <w:spacing w:line="360" w:lineRule="auto"/>
        <w:ind w:firstLine="480" w:firstLineChars="200"/>
        <w:rPr>
          <w:rFonts w:hAnsi="宋体"/>
          <w:color w:val="auto"/>
          <w:sz w:val="24"/>
          <w:szCs w:val="24"/>
          <w:highlight w:val="none"/>
        </w:rPr>
      </w:pPr>
      <w:r>
        <w:rPr>
          <w:rFonts w:hint="eastAsia" w:hAnsi="宋体" w:cs="Times New Roman"/>
          <w:color w:val="auto"/>
          <w:sz w:val="24"/>
          <w:szCs w:val="24"/>
          <w:highlight w:val="none"/>
        </w:rPr>
        <w:t>22.2 在磋商期间，</w:t>
      </w:r>
      <w:r>
        <w:rPr>
          <w:rFonts w:hint="eastAsia" w:ascii="宋体" w:hAnsi="宋体"/>
          <w:color w:val="auto"/>
          <w:kern w:val="0"/>
          <w:sz w:val="24"/>
          <w:highlight w:val="none"/>
          <w:lang w:val="en-US" w:eastAsia="zh-CN"/>
        </w:rPr>
        <w:t>磋商</w:t>
      </w:r>
      <w:r>
        <w:rPr>
          <w:rFonts w:hint="eastAsia" w:hAnsi="宋体" w:cs="Times New Roman"/>
          <w:color w:val="auto"/>
          <w:sz w:val="24"/>
          <w:szCs w:val="24"/>
          <w:highlight w:val="none"/>
        </w:rPr>
        <w:t>供应商企图影响采购人、集中采购机构或磋商小组的任何活动，都将导致磋商被拒绝，并由其承担相应的法律责任。</w:t>
      </w:r>
    </w:p>
    <w:p w14:paraId="5B0CF31D">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六、确定成交供应商办法</w:t>
      </w:r>
    </w:p>
    <w:p w14:paraId="73FD3F25">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23.1根据以下原则</w:t>
      </w:r>
      <w:r>
        <w:rPr>
          <w:rFonts w:ascii="宋体" w:hAnsi="宋体" w:cs="宋体"/>
          <w:color w:val="auto"/>
          <w:sz w:val="24"/>
          <w:highlight w:val="none"/>
        </w:rPr>
        <w:t>确定成交供应商。采购代理机构应当在评审结束后2个工作日内将评审报告送采购人确认。采购人应当在收到评审报告后</w:t>
      </w:r>
      <w:r>
        <w:rPr>
          <w:rFonts w:hint="eastAsia" w:ascii="宋体" w:hAnsi="宋体" w:cs="宋体"/>
          <w:color w:val="auto"/>
          <w:sz w:val="24"/>
          <w:highlight w:val="none"/>
          <w:lang w:val="en-US" w:eastAsia="zh-CN"/>
        </w:rPr>
        <w:t>5</w:t>
      </w:r>
      <w:r>
        <w:rPr>
          <w:rFonts w:ascii="宋体" w:hAnsi="宋体" w:cs="宋体"/>
          <w:color w:val="auto"/>
          <w:sz w:val="24"/>
          <w:highlight w:val="none"/>
        </w:rPr>
        <w:t>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w:t>
      </w:r>
      <w:r>
        <w:rPr>
          <w:rFonts w:hint="eastAsia" w:ascii="宋体" w:hAnsi="宋体"/>
          <w:color w:val="auto"/>
          <w:kern w:val="0"/>
          <w:sz w:val="24"/>
          <w:highlight w:val="none"/>
          <w:lang w:val="en-US" w:eastAsia="zh-CN"/>
        </w:rPr>
        <w:t>磋商</w:t>
      </w:r>
      <w:r>
        <w:rPr>
          <w:rFonts w:ascii="宋体" w:hAnsi="宋体" w:cs="宋体"/>
          <w:color w:val="auto"/>
          <w:sz w:val="24"/>
          <w:highlight w:val="none"/>
        </w:rPr>
        <w:t>供应商为成交供应商。</w:t>
      </w:r>
    </w:p>
    <w:p w14:paraId="5E7CE539">
      <w:pPr>
        <w:pStyle w:val="24"/>
        <w:adjustRightInd w:val="0"/>
        <w:snapToGrid w:val="0"/>
        <w:spacing w:line="360" w:lineRule="auto"/>
        <w:ind w:firstLine="482" w:firstLineChars="200"/>
        <w:rPr>
          <w:rFonts w:hAnsi="宋体"/>
          <w:b/>
          <w:color w:val="auto"/>
          <w:sz w:val="24"/>
          <w:szCs w:val="24"/>
          <w:highlight w:val="none"/>
        </w:rPr>
      </w:pPr>
      <w:r>
        <w:rPr>
          <w:rFonts w:hint="eastAsia" w:hAnsi="宋体"/>
          <w:b/>
          <w:color w:val="auto"/>
          <w:sz w:val="24"/>
          <w:szCs w:val="24"/>
          <w:highlight w:val="none"/>
        </w:rPr>
        <w:t>七、成交结果公告</w:t>
      </w:r>
    </w:p>
    <w:p w14:paraId="551D5ABA">
      <w:pPr>
        <w:adjustRightInd w:val="0"/>
        <w:spacing w:line="360" w:lineRule="auto"/>
        <w:ind w:firstLine="480" w:firstLineChars="200"/>
        <w:rPr>
          <w:rFonts w:ascii="宋体" w:hAnsi="宋体" w:cs="宋体"/>
          <w:color w:val="auto"/>
          <w:sz w:val="24"/>
          <w:highlight w:val="none"/>
        </w:rPr>
      </w:pPr>
      <w:r>
        <w:rPr>
          <w:rFonts w:hint="eastAsia" w:ascii="宋体" w:hAnsi="宋体"/>
          <w:color w:val="auto"/>
          <w:sz w:val="24"/>
          <w:szCs w:val="21"/>
          <w:highlight w:val="none"/>
        </w:rPr>
        <w:t>24.1自成交人确定之日起2个工作日内，采购代理机构通过电子交易平台向成交人发出成交通知书，</w:t>
      </w:r>
      <w:r>
        <w:rPr>
          <w:rFonts w:hint="eastAsia" w:ascii="宋体" w:hAnsi="宋体" w:cs="宋体"/>
          <w:color w:val="auto"/>
          <w:sz w:val="24"/>
          <w:highlight w:val="none"/>
        </w:rPr>
        <w:t>同时发布采购</w:t>
      </w:r>
      <w:r>
        <w:rPr>
          <w:rFonts w:hint="eastAsia" w:ascii="宋体" w:hAnsi="宋体"/>
          <w:color w:val="auto"/>
          <w:sz w:val="24"/>
          <w:szCs w:val="21"/>
          <w:highlight w:val="none"/>
        </w:rPr>
        <w:t>成交结果公告。</w:t>
      </w:r>
    </w:p>
    <w:p w14:paraId="03BDC589">
      <w:pPr>
        <w:adjustRightInd w:val="0"/>
        <w:spacing w:line="360" w:lineRule="auto"/>
        <w:ind w:firstLine="480" w:firstLineChars="200"/>
        <w:rPr>
          <w:rFonts w:ascii="宋体" w:hAnsi="宋体"/>
          <w:color w:val="auto"/>
          <w:sz w:val="24"/>
          <w:szCs w:val="21"/>
          <w:highlight w:val="none"/>
        </w:rPr>
      </w:pPr>
      <w:r>
        <w:rPr>
          <w:rFonts w:hint="eastAsia" w:ascii="宋体" w:hAnsi="宋体" w:cs="宋体"/>
          <w:color w:val="auto"/>
          <w:sz w:val="24"/>
          <w:highlight w:val="none"/>
        </w:rPr>
        <w:t>24.2</w:t>
      </w:r>
      <w:r>
        <w:rPr>
          <w:rFonts w:hint="eastAsia" w:ascii="宋体" w:hAnsi="宋体"/>
          <w:color w:val="auto"/>
          <w:sz w:val="24"/>
          <w:szCs w:val="21"/>
          <w:highlight w:val="none"/>
        </w:rPr>
        <w:t>成交</w:t>
      </w:r>
      <w:r>
        <w:rPr>
          <w:rFonts w:hint="eastAsia" w:ascii="宋体" w:hAnsi="宋体" w:cs="仿宋_GB2312"/>
          <w:color w:val="auto"/>
          <w:sz w:val="24"/>
          <w:highlight w:val="none"/>
        </w:rPr>
        <w:t>结果公告内容包括</w:t>
      </w:r>
      <w:r>
        <w:rPr>
          <w:rFonts w:hint="eastAsia" w:ascii="宋体" w:hAnsi="宋体" w:cs="宋体"/>
          <w:color w:val="auto"/>
          <w:sz w:val="24"/>
          <w:highlight w:val="none"/>
        </w:rPr>
        <w:t>采购人及其委托的采购代理机构的名称、地址、联系方式，项目名称和项目编号，成交人名称、地址和成交金额，主要成交标的的名称、规格型号、数量、单价、服务要求，</w:t>
      </w:r>
      <w:bookmarkStart w:id="29" w:name="_Hlk101184471"/>
      <w:r>
        <w:rPr>
          <w:rFonts w:hint="eastAsia" w:ascii="宋体" w:hAnsi="宋体" w:cs="宋体"/>
          <w:color w:val="auto"/>
          <w:sz w:val="24"/>
          <w:highlight w:val="none"/>
        </w:rPr>
        <w:t>评审专家</w:t>
      </w:r>
      <w:r>
        <w:rPr>
          <w:rFonts w:hint="eastAsia" w:ascii="宋体" w:hAnsi="宋体" w:cs="宋体"/>
          <w:color w:val="auto"/>
          <w:sz w:val="24"/>
          <w:highlight w:val="none"/>
          <w:lang w:val="en-US" w:eastAsia="zh-CN"/>
        </w:rPr>
        <w:t>名单</w:t>
      </w:r>
      <w:r>
        <w:rPr>
          <w:rFonts w:hint="eastAsia" w:ascii="宋体" w:hAnsi="宋体" w:cs="宋体"/>
          <w:color w:val="auto"/>
          <w:sz w:val="24"/>
          <w:highlight w:val="none"/>
        </w:rPr>
        <w:t>、</w:t>
      </w:r>
      <w:bookmarkEnd w:id="29"/>
      <w:r>
        <w:rPr>
          <w:rFonts w:hint="eastAsia" w:ascii="宋体" w:hAnsi="宋体" w:cs="宋体"/>
          <w:color w:val="auto"/>
          <w:sz w:val="24"/>
          <w:highlight w:val="none"/>
        </w:rPr>
        <w:t>成交公告期限、成交供应商的评审总得分。</w:t>
      </w:r>
    </w:p>
    <w:p w14:paraId="15636D32">
      <w:pPr>
        <w:adjustRightInd w:val="0"/>
        <w:spacing w:line="360" w:lineRule="auto"/>
        <w:ind w:firstLine="480" w:firstLineChars="200"/>
        <w:rPr>
          <w:rFonts w:ascii="宋体" w:hAnsi="宋体"/>
          <w:color w:val="auto"/>
          <w:sz w:val="24"/>
          <w:szCs w:val="21"/>
          <w:highlight w:val="none"/>
        </w:rPr>
      </w:pPr>
      <w:r>
        <w:rPr>
          <w:rFonts w:hint="eastAsia" w:ascii="宋体" w:hAnsi="宋体"/>
          <w:color w:val="auto"/>
          <w:sz w:val="24"/>
          <w:szCs w:val="21"/>
          <w:highlight w:val="none"/>
        </w:rPr>
        <w:t>24.3公告期限为1个工作日。</w:t>
      </w:r>
    </w:p>
    <w:p w14:paraId="3E851A67">
      <w:pPr>
        <w:pStyle w:val="24"/>
        <w:adjustRightInd w:val="0"/>
        <w:snapToGrid w:val="0"/>
        <w:spacing w:line="360" w:lineRule="auto"/>
        <w:ind w:firstLine="482" w:firstLineChars="200"/>
        <w:rPr>
          <w:rFonts w:hint="eastAsia" w:hAnsi="宋体" w:eastAsia="宋体"/>
          <w:b/>
          <w:color w:val="auto"/>
          <w:sz w:val="24"/>
          <w:szCs w:val="24"/>
          <w:highlight w:val="none"/>
          <w:lang w:eastAsia="zh-CN"/>
        </w:rPr>
      </w:pPr>
      <w:r>
        <w:rPr>
          <w:rFonts w:hint="eastAsia" w:hAnsi="宋体"/>
          <w:b/>
          <w:color w:val="auto"/>
          <w:sz w:val="24"/>
          <w:szCs w:val="24"/>
          <w:highlight w:val="none"/>
        </w:rPr>
        <w:t>八、履约保证金</w:t>
      </w:r>
      <w:r>
        <w:rPr>
          <w:rFonts w:hint="eastAsia" w:hAnsi="宋体"/>
          <w:b/>
          <w:color w:val="auto"/>
          <w:sz w:val="24"/>
          <w:szCs w:val="24"/>
          <w:highlight w:val="none"/>
          <w:lang w:eastAsia="zh-CN"/>
        </w:rPr>
        <w:t>（</w:t>
      </w:r>
      <w:r>
        <w:rPr>
          <w:rFonts w:hint="eastAsia" w:hAnsi="宋体"/>
          <w:b/>
          <w:color w:val="auto"/>
          <w:sz w:val="24"/>
          <w:szCs w:val="24"/>
          <w:highlight w:val="none"/>
          <w:lang w:val="en-US" w:eastAsia="zh-CN"/>
        </w:rPr>
        <w:t>本项目无要求</w:t>
      </w:r>
      <w:r>
        <w:rPr>
          <w:rFonts w:hint="eastAsia" w:hAnsi="宋体"/>
          <w:b/>
          <w:color w:val="auto"/>
          <w:sz w:val="24"/>
          <w:szCs w:val="24"/>
          <w:highlight w:val="none"/>
          <w:lang w:eastAsia="zh-CN"/>
        </w:rPr>
        <w:t>）</w:t>
      </w:r>
    </w:p>
    <w:p w14:paraId="28A2E51D">
      <w:pPr>
        <w:tabs>
          <w:tab w:val="left" w:pos="0"/>
        </w:tabs>
        <w:spacing w:line="360" w:lineRule="auto"/>
        <w:ind w:firstLine="482"/>
        <w:rPr>
          <w:rFonts w:hint="eastAsia" w:ascii="宋体" w:hAnsi="宋体" w:cs="宋体"/>
          <w:color w:val="auto"/>
          <w:sz w:val="24"/>
          <w:highlight w:val="none"/>
        </w:rPr>
      </w:pPr>
      <w:r>
        <w:rPr>
          <w:rFonts w:hint="eastAsia" w:ascii="宋体" w:hAnsi="宋体"/>
          <w:color w:val="auto"/>
          <w:sz w:val="24"/>
          <w:highlight w:val="none"/>
        </w:rPr>
        <w:t>25.1</w:t>
      </w:r>
      <w:r>
        <w:rPr>
          <w:rFonts w:hint="eastAsia" w:ascii="宋体" w:hAnsi="宋体" w:cs="宋体"/>
          <w:color w:val="auto"/>
          <w:kern w:val="0"/>
          <w:sz w:val="24"/>
          <w:highlight w:val="none"/>
        </w:rPr>
        <w:t>拟签订的合同文本要求成交供应商提交履约保证金的，</w:t>
      </w:r>
      <w:r>
        <w:rPr>
          <w:rFonts w:hint="eastAsia" w:ascii="宋体" w:hAnsi="宋体"/>
          <w:color w:val="auto"/>
          <w:kern w:val="0"/>
          <w:sz w:val="24"/>
          <w:highlight w:val="none"/>
          <w:lang w:val="en-US" w:eastAsia="zh-CN"/>
        </w:rPr>
        <w:t>磋商</w:t>
      </w:r>
      <w:r>
        <w:rPr>
          <w:rFonts w:hint="eastAsia" w:ascii="宋体" w:hAnsi="宋体" w:cs="宋体"/>
          <w:color w:val="auto"/>
          <w:kern w:val="0"/>
          <w:sz w:val="24"/>
          <w:highlight w:val="none"/>
        </w:rPr>
        <w:t>供应商应当以支票、汇票、本票或者金融机构、担保机构出具的保函等非现金形式提交</w:t>
      </w:r>
      <w:r>
        <w:rPr>
          <w:rFonts w:hint="eastAsia" w:ascii="宋体" w:hAnsi="宋体" w:cs="宋体"/>
          <w:color w:val="auto"/>
          <w:sz w:val="24"/>
          <w:highlight w:val="none"/>
        </w:rPr>
        <w:t>。履约保证金数额不得超过政府采购合同金额的5%；加大对中小企业发展的扶持力度，对中小企业收取的履约保证金数额不得超过政府采购合同金额的2%。</w:t>
      </w:r>
      <w:r>
        <w:rPr>
          <w:rFonts w:hint="eastAsia" w:ascii="宋体" w:hAnsi="宋体" w:cs="宋体"/>
          <w:color w:val="auto"/>
          <w:kern w:val="0"/>
          <w:sz w:val="24"/>
          <w:highlight w:val="none"/>
        </w:rPr>
        <w:t>成交</w:t>
      </w:r>
      <w:r>
        <w:rPr>
          <w:rFonts w:hint="eastAsia" w:ascii="宋体" w:hAnsi="宋体" w:cs="宋体"/>
          <w:color w:val="auto"/>
          <w:sz w:val="24"/>
          <w:highlight w:val="none"/>
        </w:rPr>
        <w:t>供应商的磋商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w:t>
      </w:r>
      <w:r>
        <w:rPr>
          <w:rFonts w:ascii="宋体" w:hAnsi="宋体" w:cs="宋体"/>
          <w:color w:val="auto"/>
          <w:sz w:val="24"/>
          <w:highlight w:val="none"/>
        </w:rPr>
        <w:t>延迟退还的，应当按照合同约定和法律规定承担相应的赔偿责任</w:t>
      </w:r>
      <w:r>
        <w:rPr>
          <w:rFonts w:hint="eastAsia" w:ascii="宋体" w:hAnsi="宋体" w:cs="宋体"/>
          <w:color w:val="auto"/>
          <w:sz w:val="24"/>
          <w:highlight w:val="none"/>
        </w:rPr>
        <w:t>。</w:t>
      </w:r>
    </w:p>
    <w:p w14:paraId="27C08298">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kern w:val="0"/>
          <w:sz w:val="24"/>
          <w:szCs w:val="20"/>
          <w:highlight w:val="none"/>
        </w:rPr>
        <w:t>履约保证金</w:t>
      </w:r>
      <w:r>
        <w:rPr>
          <w:rFonts w:hint="eastAsia" w:ascii="宋体" w:hAnsi="宋体" w:cs="宋体"/>
          <w:color w:val="auto"/>
          <w:sz w:val="24"/>
          <w:highlight w:val="none"/>
        </w:rPr>
        <w:t>收取银行账户</w:t>
      </w:r>
    </w:p>
    <w:p w14:paraId="5438DB6E">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开户名称：</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 xml:space="preserve"> </w:t>
      </w:r>
    </w:p>
    <w:p w14:paraId="3E49A97F">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 xml:space="preserve"> </w:t>
      </w:r>
    </w:p>
    <w:p w14:paraId="42E4A5FD">
      <w:pPr>
        <w:adjustRightInd w:val="0"/>
        <w:snapToGrid w:val="0"/>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银行账号：</w:t>
      </w:r>
      <w:r>
        <w:rPr>
          <w:rFonts w:hint="eastAsia" w:ascii="宋体" w:hAnsi="宋体" w:cs="宋体"/>
          <w:color w:val="auto"/>
          <w:sz w:val="24"/>
          <w:highlight w:val="none"/>
          <w:lang w:val="en-US" w:eastAsia="zh-CN"/>
        </w:rPr>
        <w:t>/</w:t>
      </w:r>
    </w:p>
    <w:p w14:paraId="6E5E7860">
      <w:pPr>
        <w:adjustRightInd w:val="0"/>
        <w:snapToGrid w:val="0"/>
        <w:spacing w:line="360" w:lineRule="auto"/>
        <w:ind w:firstLine="480" w:firstLineChars="200"/>
        <w:jc w:val="left"/>
        <w:rPr>
          <w:rFonts w:ascii="宋体" w:hAnsi="宋体"/>
          <w:snapToGrid w:val="0"/>
          <w:color w:val="auto"/>
          <w:kern w:val="0"/>
          <w:sz w:val="24"/>
          <w:szCs w:val="20"/>
          <w:highlight w:val="none"/>
        </w:rPr>
      </w:pPr>
      <w:r>
        <w:rPr>
          <w:rFonts w:hint="eastAsia" w:ascii="宋体" w:hAnsi="宋体"/>
          <w:snapToGrid w:val="0"/>
          <w:color w:val="auto"/>
          <w:kern w:val="0"/>
          <w:sz w:val="24"/>
          <w:szCs w:val="20"/>
          <w:highlight w:val="none"/>
        </w:rPr>
        <w:t>25.2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2A68704D">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25.3履约保证金的退还。验收合格的政府采购项目，采购人应当按照合同约定的退还方式，在5个工作日内办理履约保证金退还手续。</w:t>
      </w:r>
    </w:p>
    <w:p w14:paraId="5BC0A368">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九、签订合同</w:t>
      </w:r>
    </w:p>
    <w:p w14:paraId="2DB354CE">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26.1成交通知书发出后，采购人不得违法改变成交结果，成交供应商无正当理由不得放弃成交，否则，按政府采购采购相关规定处理。</w:t>
      </w:r>
    </w:p>
    <w:p w14:paraId="1AC4868D">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26.2成交供应商拒绝与采购人签订合同或因不可抗力或者自身原因不能履行采购合同的，采购人可以与成交供应商之后排名第一的成交候选供应商签订采购合同，以此类推,也可以重新采购。成交供应商放弃成交项目，拒绝与采购人签订合同的，给采购人造成损失的，应当赔偿损失，并作为不良行为记录在案。</w:t>
      </w:r>
    </w:p>
    <w:p w14:paraId="66C30C3C">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26.3采购人应当自成交通知书发出之日起25日内，按照磋商采购文件和成交供应商磋商响应文件的规定，与成交供应商签订书面合同。所签订的合同不得对磋商采购文件确定的事项和成交供应商磋商响应文件作实质性修改。采购人不得向成交供应商提出任何不合理的要求作为签订合同的条件。</w:t>
      </w:r>
    </w:p>
    <w:p w14:paraId="6130F5A9">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26.4政府采购合同应当包括采购人与成交供应商的名称和住所、标的、数量、质量、价款或者报酬、履行期限及地点和方式、验收要求、违约责任、解决争议的方法等内容。政府采购合同签订当日，将政府采购合同送本代理机构备案。</w:t>
      </w:r>
    </w:p>
    <w:p w14:paraId="6A51C687">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26.5采购人与成交供应商应当根据合同的约定依法履行合同义务。政府采购合同的履行、违约责任和解决争议的方法等适用《中华人民共和国民法典》。</w:t>
      </w:r>
    </w:p>
    <w:p w14:paraId="6C084A78">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26.6采购人应当及时对采购项目进行验收。采购人可以邀请参加本项目的其他供应商或者第三方机构参与验收。参与验收的供应商或者第三方机构的意见作为验收书的参考资料一并存档。</w:t>
      </w:r>
    </w:p>
    <w:p w14:paraId="45DED506">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26.7采购人应当加强对成交供应商的履约管理，并按照采购合同约定，及时向成交供应商支付采购资金。对于成交供应商违反采购合同约定的行为，采购人应当及时处理，依法追究其违约责任。</w:t>
      </w:r>
    </w:p>
    <w:p w14:paraId="02C9AEFC">
      <w:pPr>
        <w:pStyle w:val="90"/>
        <w:snapToGrid w:val="0"/>
        <w:spacing w:before="0"/>
        <w:ind w:firstLine="480"/>
        <w:rPr>
          <w:rFonts w:ascii="宋体" w:hAnsi="宋体" w:cs="宋体"/>
          <w:color w:val="auto"/>
          <w:highlight w:val="none"/>
        </w:rPr>
      </w:pPr>
      <w:r>
        <w:rPr>
          <w:rFonts w:hint="eastAsia" w:ascii="宋体" w:hAnsi="宋体"/>
          <w:bCs/>
          <w:color w:val="auto"/>
          <w:szCs w:val="24"/>
          <w:highlight w:val="none"/>
        </w:rPr>
        <w:t>26.</w:t>
      </w:r>
      <w:r>
        <w:rPr>
          <w:rFonts w:hint="eastAsia" w:ascii="宋体" w:hAnsi="宋体" w:cs="宋体"/>
          <w:color w:val="auto"/>
          <w:szCs w:val="24"/>
          <w:highlight w:val="none"/>
        </w:rPr>
        <w:t>8</w:t>
      </w:r>
      <w:r>
        <w:rPr>
          <w:rFonts w:hint="eastAsia" w:ascii="宋体" w:hAnsi="宋体" w:cs="宋体"/>
          <w:color w:val="auto"/>
          <w:highlight w:val="none"/>
        </w:rPr>
        <w:t>政采贷</w:t>
      </w:r>
    </w:p>
    <w:p w14:paraId="16EA495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6E3AE40A">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0A0C03D1">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3B06B408">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6C01B95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（四）贷款发放。贷款金融机构根据贷款协议向供应商发放贷款。</w:t>
      </w:r>
    </w:p>
    <w:p w14:paraId="4C8517E7">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（五）按期还款。供应商获得贷款后应自觉履行政府采购合同，合同履行完毕后，采购单位根据合同约定时间和账户信息，严格按照财政资金管理的相关规定，及时将资金支付到采购合同收款账户。</w:t>
      </w:r>
    </w:p>
    <w:p w14:paraId="274EB2F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（六）业务终止。贷款偿清后，贷款金融机构或北海市小微企业融资担保有限公司及时办理应收账款质押注销登记，业务终止。</w:t>
      </w:r>
    </w:p>
    <w:p w14:paraId="2A0612C6">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注：相关合作银行的具体操作流程详见北海市政府采购中心首页“政采贷”板块。</w:t>
      </w:r>
    </w:p>
    <w:p w14:paraId="7A2FF274">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对于列入《政府采购信用白名单》的供应商，在获取“政采贷”流水贷产品时给予更高的授信额度，在申请“政采贷”合同贷产品时，可享受较低的贷款利率，同时信用白名单供应商获得信贷时长进一步缩短。</w:t>
      </w:r>
    </w:p>
    <w:p w14:paraId="101A3D23">
      <w:pPr>
        <w:adjustRightInd w:val="0"/>
        <w:snapToGrid w:val="0"/>
        <w:spacing w:line="360" w:lineRule="auto"/>
        <w:ind w:firstLine="480" w:firstLineChars="200"/>
        <w:rPr>
          <w:rFonts w:ascii="宋体" w:hAnsi="宋体" w:cs="宋体"/>
          <w:color w:val="auto"/>
          <w:sz w:val="24"/>
          <w:szCs w:val="20"/>
          <w:highlight w:val="none"/>
        </w:rPr>
      </w:pPr>
      <w:r>
        <w:rPr>
          <w:rFonts w:hint="eastAsia" w:ascii="宋体" w:hAnsi="宋体" w:cs="宋体"/>
          <w:color w:val="auto"/>
          <w:sz w:val="24"/>
          <w:szCs w:val="20"/>
          <w:highlight w:val="none"/>
        </w:rPr>
        <w:t>供应商成交后可在“广西政府采购云”平台申请政采贷：操作路径：登录广西政府采购云平台-金融服务中心-【融资服务】，可在热门申请中选择产品直接申请。详见如下：</w:t>
      </w:r>
    </w:p>
    <w:p w14:paraId="2328EFF7">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1.有贷款需求的供应商可以访问“广西政府采购云平台-金融服务-融资服务”栏目办理有关业务（链接：</w:t>
      </w:r>
      <w:r>
        <w:rPr>
          <w:color w:val="auto"/>
          <w:highlight w:val="none"/>
        </w:rPr>
        <w:fldChar w:fldCharType="begin"/>
      </w:r>
      <w:r>
        <w:rPr>
          <w:color w:val="auto"/>
          <w:highlight w:val="none"/>
        </w:rPr>
        <w:instrText xml:space="preserve"> HYPERLINK "https://jinrong.gcy.zfcg.gxzf.gov.cn/finance/loan/gx" </w:instrText>
      </w:r>
      <w:r>
        <w:rPr>
          <w:color w:val="auto"/>
          <w:highlight w:val="none"/>
        </w:rPr>
        <w:fldChar w:fldCharType="separate"/>
      </w:r>
      <w:r>
        <w:rPr>
          <w:rFonts w:ascii="宋体" w:hAnsi="宋体"/>
          <w:color w:val="auto"/>
          <w:kern w:val="0"/>
          <w:sz w:val="24"/>
          <w:szCs w:val="20"/>
          <w:highlight w:val="none"/>
        </w:rPr>
        <w:t>https://jinrong.gcy.zfcg.gxzf.gov.cn/finance/loan/gx</w:t>
      </w:r>
      <w:r>
        <w:rPr>
          <w:rFonts w:ascii="宋体" w:hAnsi="宋体"/>
          <w:color w:val="auto"/>
          <w:kern w:val="0"/>
          <w:sz w:val="24"/>
          <w:szCs w:val="20"/>
          <w:highlight w:val="none"/>
        </w:rPr>
        <w:fldChar w:fldCharType="end"/>
      </w:r>
      <w:r>
        <w:rPr>
          <w:rFonts w:hint="eastAsia" w:ascii="宋体" w:hAnsi="宋体"/>
          <w:color w:val="auto"/>
          <w:kern w:val="0"/>
          <w:sz w:val="24"/>
          <w:szCs w:val="20"/>
          <w:highlight w:val="none"/>
        </w:rPr>
        <w:t>）</w:t>
      </w:r>
    </w:p>
    <w:p w14:paraId="3D43ECB6">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2.合作银行咨询办理</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7179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F8FE64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银行名称</w:t>
            </w:r>
          </w:p>
        </w:tc>
        <w:tc>
          <w:tcPr>
            <w:tcW w:w="1134" w:type="dxa"/>
            <w:shd w:val="clear" w:color="auto" w:fill="auto"/>
            <w:vAlign w:val="center"/>
          </w:tcPr>
          <w:p w14:paraId="766643A1">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联系电话</w:t>
            </w:r>
          </w:p>
        </w:tc>
        <w:tc>
          <w:tcPr>
            <w:tcW w:w="1701" w:type="dxa"/>
            <w:shd w:val="clear" w:color="auto" w:fill="auto"/>
            <w:vAlign w:val="center"/>
          </w:tcPr>
          <w:p w14:paraId="653BCFD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最高授信金额</w:t>
            </w:r>
          </w:p>
        </w:tc>
        <w:tc>
          <w:tcPr>
            <w:tcW w:w="993" w:type="dxa"/>
            <w:shd w:val="clear" w:color="auto" w:fill="auto"/>
            <w:vAlign w:val="center"/>
          </w:tcPr>
          <w:p w14:paraId="46A550DC">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最长授信期限</w:t>
            </w:r>
          </w:p>
        </w:tc>
        <w:tc>
          <w:tcPr>
            <w:tcW w:w="850" w:type="dxa"/>
            <w:shd w:val="clear" w:color="auto" w:fill="auto"/>
            <w:vAlign w:val="center"/>
          </w:tcPr>
          <w:p w14:paraId="18D6A2F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最低利率</w:t>
            </w:r>
          </w:p>
        </w:tc>
        <w:tc>
          <w:tcPr>
            <w:tcW w:w="3366" w:type="dxa"/>
            <w:shd w:val="clear" w:color="auto" w:fill="auto"/>
            <w:vAlign w:val="center"/>
          </w:tcPr>
          <w:p w14:paraId="4DD0024A">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流程简介</w:t>
            </w:r>
          </w:p>
        </w:tc>
      </w:tr>
      <w:tr w14:paraId="3CC1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FABDF3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建设银行</w:t>
            </w:r>
          </w:p>
        </w:tc>
        <w:tc>
          <w:tcPr>
            <w:tcW w:w="1134" w:type="dxa"/>
            <w:shd w:val="clear" w:color="auto" w:fill="auto"/>
            <w:vAlign w:val="center"/>
          </w:tcPr>
          <w:p w14:paraId="13A3492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13077729988</w:t>
            </w:r>
          </w:p>
        </w:tc>
        <w:tc>
          <w:tcPr>
            <w:tcW w:w="1701" w:type="dxa"/>
            <w:shd w:val="clear" w:color="auto" w:fill="auto"/>
            <w:vAlign w:val="center"/>
          </w:tcPr>
          <w:p w14:paraId="6019240C">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最高3千万</w:t>
            </w:r>
          </w:p>
        </w:tc>
        <w:tc>
          <w:tcPr>
            <w:tcW w:w="993" w:type="dxa"/>
            <w:shd w:val="clear" w:color="auto" w:fill="auto"/>
            <w:vAlign w:val="center"/>
          </w:tcPr>
          <w:p w14:paraId="3464635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4371B2C2">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4%</w:t>
            </w:r>
          </w:p>
        </w:tc>
        <w:tc>
          <w:tcPr>
            <w:tcW w:w="3366" w:type="dxa"/>
            <w:shd w:val="clear" w:color="auto" w:fill="auto"/>
            <w:vAlign w:val="center"/>
          </w:tcPr>
          <w:p w14:paraId="164EC793">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开设账号，线下提供申请材料，进入贷款审批流程，贷款审批通过后可自主用款，银行官方网银可自主还款。</w:t>
            </w:r>
          </w:p>
        </w:tc>
      </w:tr>
      <w:tr w14:paraId="7842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3F3077D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中国银行</w:t>
            </w:r>
          </w:p>
        </w:tc>
        <w:tc>
          <w:tcPr>
            <w:tcW w:w="1134" w:type="dxa"/>
            <w:shd w:val="clear" w:color="auto" w:fill="auto"/>
            <w:vAlign w:val="center"/>
          </w:tcPr>
          <w:p w14:paraId="47AABA6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0779-3997084</w:t>
            </w:r>
          </w:p>
        </w:tc>
        <w:tc>
          <w:tcPr>
            <w:tcW w:w="1701" w:type="dxa"/>
            <w:shd w:val="clear" w:color="auto" w:fill="auto"/>
            <w:vAlign w:val="center"/>
          </w:tcPr>
          <w:p w14:paraId="1CBC1228">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shd w:val="clear" w:color="auto" w:fill="auto"/>
            <w:vAlign w:val="center"/>
          </w:tcPr>
          <w:p w14:paraId="05F2028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3年</w:t>
            </w:r>
          </w:p>
        </w:tc>
        <w:tc>
          <w:tcPr>
            <w:tcW w:w="850" w:type="dxa"/>
            <w:shd w:val="clear" w:color="auto" w:fill="auto"/>
            <w:vAlign w:val="center"/>
          </w:tcPr>
          <w:p w14:paraId="323E5BF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1.93%</w:t>
            </w:r>
          </w:p>
        </w:tc>
        <w:tc>
          <w:tcPr>
            <w:tcW w:w="3366" w:type="dxa"/>
            <w:shd w:val="clear" w:color="auto" w:fill="auto"/>
            <w:vAlign w:val="center"/>
          </w:tcPr>
          <w:p w14:paraId="2589A970">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在银行开户，线上申请，上传所需材料，等待审批，审批通过后可直接在手机银行提款。</w:t>
            </w:r>
          </w:p>
        </w:tc>
      </w:tr>
      <w:tr w14:paraId="6605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347101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兴业银行</w:t>
            </w:r>
          </w:p>
        </w:tc>
        <w:tc>
          <w:tcPr>
            <w:tcW w:w="1134" w:type="dxa"/>
            <w:shd w:val="clear" w:color="auto" w:fill="auto"/>
            <w:vAlign w:val="center"/>
          </w:tcPr>
          <w:p w14:paraId="5F12A08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0779-3158330</w:t>
            </w:r>
          </w:p>
        </w:tc>
        <w:tc>
          <w:tcPr>
            <w:tcW w:w="1701" w:type="dxa"/>
            <w:shd w:val="clear" w:color="auto" w:fill="auto"/>
            <w:vAlign w:val="center"/>
          </w:tcPr>
          <w:p w14:paraId="27CF938A">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最高1千万（单笔提款金额达合同金额70%）</w:t>
            </w:r>
          </w:p>
        </w:tc>
        <w:tc>
          <w:tcPr>
            <w:tcW w:w="993" w:type="dxa"/>
            <w:shd w:val="clear" w:color="auto" w:fill="auto"/>
            <w:vAlign w:val="center"/>
          </w:tcPr>
          <w:p w14:paraId="4052937C">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70D5DAF3">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3.70%</w:t>
            </w:r>
          </w:p>
        </w:tc>
        <w:tc>
          <w:tcPr>
            <w:tcW w:w="3366" w:type="dxa"/>
            <w:shd w:val="clear" w:color="auto" w:fill="auto"/>
            <w:vAlign w:val="center"/>
          </w:tcPr>
          <w:p w14:paraId="3913E6EF">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全流程线上，初次申请开立账户，提供营业执照、采购合同、信用材料等，申请复审，签订合同，提交单笔贷款使用需求，贷款到账后受托使用。</w:t>
            </w:r>
          </w:p>
        </w:tc>
      </w:tr>
      <w:tr w14:paraId="73FA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28874C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工商银行</w:t>
            </w:r>
          </w:p>
        </w:tc>
        <w:tc>
          <w:tcPr>
            <w:tcW w:w="1134" w:type="dxa"/>
            <w:shd w:val="clear" w:color="auto" w:fill="auto"/>
            <w:vAlign w:val="center"/>
          </w:tcPr>
          <w:p w14:paraId="722651F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0779-3050645</w:t>
            </w:r>
          </w:p>
        </w:tc>
        <w:tc>
          <w:tcPr>
            <w:tcW w:w="1701" w:type="dxa"/>
            <w:shd w:val="clear" w:color="auto" w:fill="auto"/>
            <w:vAlign w:val="center"/>
          </w:tcPr>
          <w:p w14:paraId="04F85E6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最高1千万且不超过合同金额70%</w:t>
            </w:r>
          </w:p>
        </w:tc>
        <w:tc>
          <w:tcPr>
            <w:tcW w:w="993" w:type="dxa"/>
            <w:shd w:val="clear" w:color="auto" w:fill="auto"/>
            <w:vAlign w:val="center"/>
          </w:tcPr>
          <w:p w14:paraId="3593382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货物类1年</w:t>
            </w:r>
          </w:p>
          <w:p w14:paraId="7148496E">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服务类3年</w:t>
            </w:r>
          </w:p>
          <w:p w14:paraId="6963B959">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工程类5年</w:t>
            </w:r>
          </w:p>
        </w:tc>
        <w:tc>
          <w:tcPr>
            <w:tcW w:w="850" w:type="dxa"/>
            <w:shd w:val="clear" w:color="auto" w:fill="auto"/>
            <w:vAlign w:val="center"/>
          </w:tcPr>
          <w:p w14:paraId="3BC57027">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shd w:val="clear" w:color="auto" w:fill="auto"/>
            <w:vAlign w:val="center"/>
          </w:tcPr>
          <w:p w14:paraId="319E549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为中征系统白名单企业，提供相关要求材料，内部审批后放款自主借还。</w:t>
            </w:r>
          </w:p>
        </w:tc>
      </w:tr>
      <w:tr w14:paraId="3A9D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28036FDD">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国民村镇银行</w:t>
            </w:r>
          </w:p>
        </w:tc>
        <w:tc>
          <w:tcPr>
            <w:tcW w:w="1134" w:type="dxa"/>
            <w:shd w:val="clear" w:color="auto" w:fill="auto"/>
            <w:vAlign w:val="center"/>
          </w:tcPr>
          <w:p w14:paraId="072AA4A3">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0779-2668801</w:t>
            </w:r>
          </w:p>
        </w:tc>
        <w:tc>
          <w:tcPr>
            <w:tcW w:w="1701" w:type="dxa"/>
            <w:shd w:val="clear" w:color="auto" w:fill="auto"/>
            <w:vAlign w:val="center"/>
          </w:tcPr>
          <w:p w14:paraId="2C61BFE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最高500万</w:t>
            </w:r>
          </w:p>
        </w:tc>
        <w:tc>
          <w:tcPr>
            <w:tcW w:w="993" w:type="dxa"/>
            <w:shd w:val="clear" w:color="auto" w:fill="auto"/>
            <w:vAlign w:val="center"/>
          </w:tcPr>
          <w:p w14:paraId="77E75F4C">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5年</w:t>
            </w:r>
          </w:p>
        </w:tc>
        <w:tc>
          <w:tcPr>
            <w:tcW w:w="850" w:type="dxa"/>
            <w:shd w:val="clear" w:color="auto" w:fill="auto"/>
            <w:vAlign w:val="center"/>
          </w:tcPr>
          <w:p w14:paraId="13E14AD0">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2.80%</w:t>
            </w:r>
          </w:p>
        </w:tc>
        <w:tc>
          <w:tcPr>
            <w:tcW w:w="3366" w:type="dxa"/>
            <w:shd w:val="clear" w:color="auto" w:fill="auto"/>
            <w:vAlign w:val="center"/>
          </w:tcPr>
          <w:p w14:paraId="752F970C">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银行开户，线下申请并提供材料，信用良好企业最快1天获批即可提款</w:t>
            </w:r>
          </w:p>
        </w:tc>
      </w:tr>
      <w:tr w14:paraId="6DD7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2294B4E4">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桂林银行</w:t>
            </w:r>
          </w:p>
        </w:tc>
        <w:tc>
          <w:tcPr>
            <w:tcW w:w="1134" w:type="dxa"/>
            <w:shd w:val="clear" w:color="auto" w:fill="auto"/>
            <w:vAlign w:val="center"/>
          </w:tcPr>
          <w:p w14:paraId="48C717D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18577993959</w:t>
            </w:r>
          </w:p>
        </w:tc>
        <w:tc>
          <w:tcPr>
            <w:tcW w:w="1701" w:type="dxa"/>
            <w:shd w:val="clear" w:color="auto" w:fill="auto"/>
            <w:vAlign w:val="center"/>
          </w:tcPr>
          <w:p w14:paraId="6A879722">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最高1千万</w:t>
            </w:r>
          </w:p>
        </w:tc>
        <w:tc>
          <w:tcPr>
            <w:tcW w:w="993" w:type="dxa"/>
            <w:shd w:val="clear" w:color="auto" w:fill="auto"/>
            <w:vAlign w:val="center"/>
          </w:tcPr>
          <w:p w14:paraId="7379590B">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1年</w:t>
            </w:r>
          </w:p>
        </w:tc>
        <w:tc>
          <w:tcPr>
            <w:tcW w:w="850" w:type="dxa"/>
            <w:shd w:val="clear" w:color="auto" w:fill="auto"/>
            <w:vAlign w:val="center"/>
          </w:tcPr>
          <w:p w14:paraId="3DA72E76">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3.45%</w:t>
            </w:r>
          </w:p>
        </w:tc>
        <w:tc>
          <w:tcPr>
            <w:tcW w:w="3366" w:type="dxa"/>
            <w:shd w:val="clear" w:color="auto" w:fill="auto"/>
            <w:vAlign w:val="center"/>
          </w:tcPr>
          <w:p w14:paraId="0C4D9DB6">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线下申请，材料齐全最快1周内即可放款。</w:t>
            </w:r>
          </w:p>
        </w:tc>
      </w:tr>
      <w:tr w14:paraId="102A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2F538B8">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中小微商务服务公司</w:t>
            </w:r>
          </w:p>
        </w:tc>
        <w:tc>
          <w:tcPr>
            <w:tcW w:w="1134" w:type="dxa"/>
            <w:shd w:val="clear" w:color="auto" w:fill="auto"/>
            <w:vAlign w:val="center"/>
          </w:tcPr>
          <w:p w14:paraId="28F30C8F">
            <w:pPr>
              <w:adjustRightInd w:val="0"/>
              <w:snapToGrid w:val="0"/>
              <w:spacing w:line="360" w:lineRule="auto"/>
              <w:jc w:val="center"/>
              <w:rPr>
                <w:rFonts w:ascii="宋体" w:hAnsi="宋体"/>
                <w:color w:val="auto"/>
                <w:kern w:val="0"/>
                <w:sz w:val="24"/>
                <w:szCs w:val="20"/>
                <w:highlight w:val="none"/>
              </w:rPr>
            </w:pPr>
            <w:r>
              <w:rPr>
                <w:rFonts w:hint="eastAsia" w:ascii="宋体" w:hAnsi="宋体"/>
                <w:color w:val="auto"/>
                <w:kern w:val="0"/>
                <w:sz w:val="24"/>
                <w:szCs w:val="20"/>
                <w:highlight w:val="none"/>
              </w:rPr>
              <w:t>19907799988</w:t>
            </w:r>
          </w:p>
        </w:tc>
        <w:tc>
          <w:tcPr>
            <w:tcW w:w="1701" w:type="dxa"/>
            <w:shd w:val="clear" w:color="auto" w:fill="auto"/>
            <w:vAlign w:val="center"/>
          </w:tcPr>
          <w:p w14:paraId="2696765F">
            <w:pPr>
              <w:adjustRightInd w:val="0"/>
              <w:snapToGrid w:val="0"/>
              <w:spacing w:line="360" w:lineRule="auto"/>
              <w:jc w:val="left"/>
              <w:rPr>
                <w:rFonts w:ascii="宋体" w:hAnsi="宋体"/>
                <w:color w:val="auto"/>
                <w:kern w:val="0"/>
                <w:sz w:val="24"/>
                <w:szCs w:val="20"/>
                <w:highlight w:val="none"/>
              </w:rPr>
            </w:pPr>
          </w:p>
        </w:tc>
        <w:tc>
          <w:tcPr>
            <w:tcW w:w="993" w:type="dxa"/>
            <w:shd w:val="clear" w:color="auto" w:fill="auto"/>
            <w:vAlign w:val="center"/>
          </w:tcPr>
          <w:p w14:paraId="28FA756B">
            <w:pPr>
              <w:adjustRightInd w:val="0"/>
              <w:snapToGrid w:val="0"/>
              <w:spacing w:line="360" w:lineRule="auto"/>
              <w:jc w:val="center"/>
              <w:rPr>
                <w:rFonts w:ascii="宋体" w:hAnsi="宋体"/>
                <w:color w:val="auto"/>
                <w:kern w:val="0"/>
                <w:sz w:val="24"/>
                <w:szCs w:val="20"/>
                <w:highlight w:val="none"/>
              </w:rPr>
            </w:pPr>
          </w:p>
        </w:tc>
        <w:tc>
          <w:tcPr>
            <w:tcW w:w="850" w:type="dxa"/>
            <w:shd w:val="clear" w:color="auto" w:fill="auto"/>
            <w:vAlign w:val="center"/>
          </w:tcPr>
          <w:p w14:paraId="4D36A767">
            <w:pPr>
              <w:adjustRightInd w:val="0"/>
              <w:snapToGrid w:val="0"/>
              <w:spacing w:line="360" w:lineRule="auto"/>
              <w:jc w:val="center"/>
              <w:rPr>
                <w:rFonts w:ascii="宋体" w:hAnsi="宋体"/>
                <w:color w:val="auto"/>
                <w:kern w:val="0"/>
                <w:sz w:val="24"/>
                <w:szCs w:val="20"/>
                <w:highlight w:val="none"/>
              </w:rPr>
            </w:pPr>
          </w:p>
        </w:tc>
        <w:tc>
          <w:tcPr>
            <w:tcW w:w="3366" w:type="dxa"/>
            <w:shd w:val="clear" w:color="auto" w:fill="auto"/>
            <w:vAlign w:val="center"/>
          </w:tcPr>
          <w:p w14:paraId="154F5777">
            <w:pPr>
              <w:adjustRightInd w:val="0"/>
              <w:snapToGrid w:val="0"/>
              <w:spacing w:line="360" w:lineRule="auto"/>
              <w:jc w:val="left"/>
              <w:rPr>
                <w:rFonts w:ascii="宋体" w:hAnsi="宋体"/>
                <w:color w:val="auto"/>
                <w:kern w:val="0"/>
                <w:sz w:val="24"/>
                <w:szCs w:val="20"/>
                <w:highlight w:val="none"/>
              </w:rPr>
            </w:pPr>
            <w:r>
              <w:rPr>
                <w:rFonts w:hint="eastAsia" w:ascii="宋体" w:hAnsi="宋体"/>
                <w:color w:val="auto"/>
                <w:kern w:val="0"/>
                <w:sz w:val="24"/>
                <w:szCs w:val="20"/>
                <w:highlight w:val="none"/>
              </w:rPr>
              <w:t>具体业务可电话咨询。</w:t>
            </w:r>
          </w:p>
        </w:tc>
      </w:tr>
    </w:tbl>
    <w:p w14:paraId="6B73F6A3">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注：表中联系电话\授信金额、授信期限、最低利率等信息可能动态更新，仅供参考，具体以办理时相关银行公布的为准。</w:t>
      </w:r>
    </w:p>
    <w:p w14:paraId="36560C98">
      <w:pPr>
        <w:adjustRightInd w:val="0"/>
        <w:snapToGrid w:val="0"/>
        <w:spacing w:line="360" w:lineRule="auto"/>
        <w:ind w:firstLine="482"/>
        <w:jc w:val="left"/>
        <w:rPr>
          <w:rFonts w:ascii="宋体" w:hAnsi="宋体"/>
          <w:color w:val="auto"/>
          <w:kern w:val="0"/>
          <w:sz w:val="24"/>
          <w:szCs w:val="20"/>
          <w:highlight w:val="none"/>
        </w:rPr>
      </w:pPr>
      <w:r>
        <w:rPr>
          <w:rFonts w:hint="eastAsia" w:ascii="宋体" w:hAnsi="宋体"/>
          <w:color w:val="auto"/>
          <w:kern w:val="0"/>
          <w:sz w:val="24"/>
          <w:szCs w:val="20"/>
          <w:highlight w:val="none"/>
        </w:rPr>
        <w:t>26.9预付款</w:t>
      </w:r>
    </w:p>
    <w:p w14:paraId="6B61089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采购单位应当在政府采购合同中约定预付款，对中小企业合同预付款比例原则上不低于合同金额的3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0%；项目分年安排预算的，每年预付款比例</w:t>
      </w:r>
      <w:r>
        <w:rPr>
          <w:rFonts w:hint="eastAsia" w:ascii="宋体" w:hAnsi="宋体"/>
          <w:color w:val="auto"/>
          <w:sz w:val="24"/>
          <w:highlight w:val="none"/>
        </w:rPr>
        <w:t>不低于</w:t>
      </w:r>
      <w:r>
        <w:rPr>
          <w:rFonts w:ascii="宋体" w:hAnsi="宋体"/>
          <w:color w:val="auto"/>
          <w:sz w:val="24"/>
          <w:highlight w:val="none"/>
        </w:rPr>
        <w:t>项目年度计划支付资金额的</w:t>
      </w:r>
      <w:r>
        <w:rPr>
          <w:rFonts w:hint="eastAsia" w:ascii="宋体" w:hAnsi="宋体"/>
          <w:color w:val="auto"/>
          <w:sz w:val="24"/>
          <w:highlight w:val="none"/>
        </w:rPr>
        <w:t>3</w:t>
      </w:r>
      <w:r>
        <w:rPr>
          <w:rFonts w:ascii="宋体" w:hAnsi="宋体"/>
          <w:color w:val="auto"/>
          <w:sz w:val="24"/>
          <w:highlight w:val="none"/>
        </w:rPr>
        <w:t>0％</w:t>
      </w:r>
      <w:r>
        <w:rPr>
          <w:rFonts w:hint="eastAsia" w:ascii="宋体" w:hAnsi="宋体"/>
          <w:color w:val="auto"/>
          <w:sz w:val="24"/>
          <w:highlight w:val="none"/>
        </w:rPr>
        <w:t>，不高于合同金额的5</w:t>
      </w:r>
      <w:r>
        <w:rPr>
          <w:rFonts w:ascii="宋体" w:hAnsi="宋体"/>
          <w:color w:val="auto"/>
          <w:sz w:val="24"/>
          <w:highlight w:val="none"/>
        </w:rPr>
        <w:t>0%；采购项目实施以人工投入为主的，</w:t>
      </w:r>
      <w:r>
        <w:rPr>
          <w:rFonts w:hint="eastAsia" w:ascii="宋体" w:hAnsi="宋体"/>
          <w:color w:val="auto"/>
          <w:sz w:val="24"/>
          <w:highlight w:val="none"/>
        </w:rPr>
        <w:t>可适当降低预付款比例，但不得低于1</w:t>
      </w:r>
      <w:r>
        <w:rPr>
          <w:rFonts w:ascii="宋体" w:hAnsi="宋体"/>
          <w:color w:val="auto"/>
          <w:sz w:val="24"/>
          <w:highlight w:val="none"/>
        </w:rPr>
        <w:t>0%。对供应商为大型企业的项目或者以人工投入为主且实行按月定期结算支付款项的项目，预付款可低于上述比例或者不约定预付款。在签订合同时，</w:t>
      </w:r>
      <w:r>
        <w:rPr>
          <w:rFonts w:hint="eastAsia" w:ascii="宋体" w:hAnsi="宋体"/>
          <w:color w:val="auto"/>
          <w:sz w:val="24"/>
          <w:highlight w:val="none"/>
        </w:rPr>
        <w:t>供应商</w:t>
      </w:r>
      <w:r>
        <w:rPr>
          <w:rFonts w:ascii="宋体" w:hAnsi="宋体"/>
          <w:color w:val="auto"/>
          <w:sz w:val="24"/>
          <w:highlight w:val="none"/>
        </w:rPr>
        <w:t>明确表示无需预付款或者主动要求降低预付款比例的，</w:t>
      </w:r>
      <w:r>
        <w:rPr>
          <w:rFonts w:hint="eastAsia" w:ascii="宋体" w:hAnsi="宋体"/>
          <w:color w:val="auto"/>
          <w:sz w:val="24"/>
          <w:highlight w:val="none"/>
        </w:rPr>
        <w:t>采购单位</w:t>
      </w:r>
      <w:r>
        <w:rPr>
          <w:rFonts w:ascii="宋体" w:hAnsi="宋体"/>
          <w:color w:val="auto"/>
          <w:sz w:val="24"/>
          <w:highlight w:val="none"/>
        </w:rPr>
        <w:t>可不适用前述规定。</w:t>
      </w:r>
      <w:r>
        <w:rPr>
          <w:rFonts w:hint="eastAsia" w:ascii="宋体" w:hAnsi="宋体"/>
          <w:color w:val="auto"/>
          <w:sz w:val="24"/>
          <w:highlight w:val="none"/>
        </w:rPr>
        <w:t>采购单位</w:t>
      </w:r>
      <w:r>
        <w:rPr>
          <w:rFonts w:ascii="宋体" w:hAnsi="宋体"/>
          <w:color w:val="auto"/>
          <w:sz w:val="24"/>
          <w:highlight w:val="none"/>
        </w:rPr>
        <w:t>根据项目特点、供应商诚信等因素，可以要求</w:t>
      </w:r>
      <w:r>
        <w:rPr>
          <w:rFonts w:hint="eastAsia" w:ascii="宋体" w:hAnsi="宋体"/>
          <w:color w:val="auto"/>
          <w:sz w:val="24"/>
          <w:highlight w:val="none"/>
        </w:rPr>
        <w:t>供应商</w:t>
      </w:r>
      <w:r>
        <w:rPr>
          <w:rFonts w:ascii="宋体" w:hAnsi="宋体"/>
          <w:color w:val="auto"/>
          <w:sz w:val="24"/>
          <w:highlight w:val="none"/>
        </w:rPr>
        <w:t>提交银行、保险公司等金融机构出具的预付款保函或其他担保措施。政府采购预付款应在合同生效以及具备实施条件后</w:t>
      </w:r>
      <w:r>
        <w:rPr>
          <w:rFonts w:hint="eastAsia" w:ascii="宋体" w:hAnsi="宋体"/>
          <w:color w:val="auto"/>
          <w:sz w:val="24"/>
          <w:highlight w:val="none"/>
        </w:rPr>
        <w:t>5</w:t>
      </w:r>
      <w:r>
        <w:rPr>
          <w:rFonts w:ascii="宋体" w:hAnsi="宋体"/>
          <w:color w:val="auto"/>
          <w:sz w:val="24"/>
          <w:highlight w:val="none"/>
        </w:rPr>
        <w:t>个工作日内支付。</w:t>
      </w:r>
      <w:r>
        <w:rPr>
          <w:rFonts w:hint="eastAsia" w:ascii="宋体" w:hAnsi="宋体"/>
          <w:color w:val="auto"/>
          <w:sz w:val="24"/>
          <w:highlight w:val="none"/>
        </w:rPr>
        <w:t>政府采购工程以及与工程建设有关的货物、服务，采用招标方式采购的，预付款从其相关规定。</w:t>
      </w:r>
    </w:p>
    <w:p w14:paraId="77B89D15">
      <w:pPr>
        <w:tabs>
          <w:tab w:val="left" w:pos="0"/>
        </w:tabs>
        <w:adjustRightInd w:val="0"/>
        <w:spacing w:line="360" w:lineRule="auto"/>
        <w:ind w:firstLine="480" w:firstLineChars="200"/>
        <w:rPr>
          <w:rFonts w:ascii="宋体" w:hAnsi="宋体" w:cs="宋体"/>
          <w:snapToGrid w:val="0"/>
          <w:color w:val="auto"/>
          <w:kern w:val="28"/>
          <w:sz w:val="24"/>
          <w:highlight w:val="none"/>
        </w:rPr>
      </w:pPr>
      <w:r>
        <w:rPr>
          <w:rFonts w:hint="eastAsia" w:ascii="宋体" w:hAnsi="宋体"/>
          <w:color w:val="auto"/>
          <w:sz w:val="24"/>
          <w:highlight w:val="none"/>
        </w:rPr>
        <w:t>供应商可登录广西政府采购云平台前台大厅选择金融服务</w:t>
      </w:r>
      <w:r>
        <w:rPr>
          <w:rFonts w:ascii="宋体" w:hAnsi="宋体"/>
          <w:color w:val="auto"/>
          <w:sz w:val="24"/>
          <w:highlight w:val="none"/>
        </w:rPr>
        <w:t xml:space="preserve"> - </w:t>
      </w:r>
      <w:r>
        <w:rPr>
          <w:rFonts w:hint="eastAsia" w:ascii="宋体" w:hAnsi="宋体"/>
          <w:color w:val="auto"/>
          <w:sz w:val="24"/>
          <w:highlight w:val="none"/>
        </w:rPr>
        <w:t>【保函保险服务】出具预付款保函，具体步骤：选择产品—填写供应商信息—选择中标项目—确认信息—等待保险</w:t>
      </w:r>
      <w:r>
        <w:rPr>
          <w:rFonts w:ascii="宋体" w:hAnsi="宋体"/>
          <w:color w:val="auto"/>
          <w:sz w:val="24"/>
          <w:highlight w:val="none"/>
        </w:rPr>
        <w:t>/保函受理—确认保单—支付保费—成功出单。广西政府采购云平台</w:t>
      </w:r>
      <w:r>
        <w:rPr>
          <w:rFonts w:hint="eastAsia" w:ascii="宋体" w:hAnsi="宋体"/>
          <w:color w:val="auto"/>
          <w:sz w:val="24"/>
          <w:highlight w:val="none"/>
        </w:rPr>
        <w:t>金融专线</w:t>
      </w:r>
      <w:r>
        <w:rPr>
          <w:rFonts w:ascii="宋体" w:hAnsi="宋体"/>
          <w:color w:val="auto"/>
          <w:sz w:val="24"/>
          <w:highlight w:val="none"/>
        </w:rPr>
        <w:t>400-903-9583。</w:t>
      </w:r>
    </w:p>
    <w:p w14:paraId="3D98077B">
      <w:pPr>
        <w:numPr>
          <w:ilvl w:val="0"/>
          <w:numId w:val="4"/>
        </w:num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转包与分包</w:t>
      </w:r>
    </w:p>
    <w:p w14:paraId="36CDF36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27.1本项目不允许转包。</w:t>
      </w:r>
    </w:p>
    <w:p w14:paraId="6DC8013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27.2本项目是否允许分包详见“供应商须知前附表”，本项目不允许违法分包。允许分包的非主体、非关键性工作，根据法律法规规定承担该工作需要资质或者行政许可的，如该工作由供 应商自行承担，供应商应具备相应的资质或者行政许可，如供应商不具备相应的资质或者行政许可必须采用分包的方式，但分包供应商应具备相应资质或者行政许可。</w:t>
      </w:r>
    </w:p>
    <w:p w14:paraId="03843B35">
      <w:pPr>
        <w:widowControl/>
        <w:kinsoku w:val="0"/>
        <w:autoSpaceDE w:val="0"/>
        <w:autoSpaceDN w:val="0"/>
        <w:adjustRightInd w:val="0"/>
        <w:snapToGrid w:val="0"/>
        <w:spacing w:line="360" w:lineRule="auto"/>
        <w:ind w:firstLine="480" w:firstLineChars="200"/>
        <w:textAlignment w:val="baseline"/>
        <w:rPr>
          <w:rFonts w:ascii="宋体" w:hAnsi="宋体"/>
          <w:color w:val="auto"/>
          <w:sz w:val="24"/>
          <w:highlight w:val="none"/>
        </w:rPr>
      </w:pPr>
      <w:r>
        <w:rPr>
          <w:rFonts w:hint="eastAsia" w:ascii="宋体" w:hAnsi="宋体" w:cs="宋体"/>
          <w:color w:val="auto"/>
          <w:sz w:val="24"/>
          <w:highlight w:val="none"/>
        </w:rPr>
        <w:t>27.3供应商根据磋商文件的规定和采购项目的实际情况，拟在成交后将成交项目的非主体、非关键性工作分包的，应当在响应文件中载明分包承担主体，分包承担主体应当具备相应资质条件且不得再次分包。</w:t>
      </w:r>
    </w:p>
    <w:p w14:paraId="43321C5F">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十一、补充合同</w:t>
      </w:r>
    </w:p>
    <w:p w14:paraId="16BBA290">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28.1政府采购采购合同履行过程中，采购人需要追加与合同标的相同的货物或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称、价格、履约方式、验收标准等必须与原政府采购合同一致。</w:t>
      </w:r>
    </w:p>
    <w:p w14:paraId="6BF5AC56">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十二、合同公告</w:t>
      </w:r>
    </w:p>
    <w:p w14:paraId="456C598A">
      <w:pPr>
        <w:adjustRightInd w:val="0"/>
        <w:snapToGrid w:val="0"/>
        <w:spacing w:line="360" w:lineRule="auto"/>
        <w:ind w:firstLine="480" w:firstLineChars="200"/>
        <w:rPr>
          <w:rFonts w:ascii="宋体" w:hAnsi="宋体" w:cs="Courier New"/>
          <w:bCs/>
          <w:color w:val="auto"/>
          <w:sz w:val="24"/>
          <w:highlight w:val="none"/>
        </w:rPr>
      </w:pPr>
      <w:r>
        <w:rPr>
          <w:rFonts w:hint="eastAsia" w:ascii="宋体" w:hAnsi="宋体" w:cs="Courier New"/>
          <w:bCs/>
          <w:color w:val="auto"/>
          <w:sz w:val="24"/>
          <w:highlight w:val="none"/>
        </w:rPr>
        <w:t>29.1采购人应当自政府采购合同签订（双方当事人均已签字盖章）之日起1个工作日内，将政府采购合同在省级以上人民政府财政部门指定的媒体上公告（广西政府采购网），但政府采购合同中涉及国家秘密、商业秘密的内容除外。</w:t>
      </w:r>
    </w:p>
    <w:p w14:paraId="0189DE67">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十三、适用法律</w:t>
      </w:r>
    </w:p>
    <w:p w14:paraId="4BEF5CD1">
      <w:pPr>
        <w:adjustRightInd w:val="0"/>
        <w:snapToGri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30.1采购当事人的一切活动均适用于《中华人民共和国政府采购法》及相关规定。最终磋商结束后，磋商小组不得再与供应商进行任何形式的磋商。</w:t>
      </w:r>
    </w:p>
    <w:p w14:paraId="671A6142">
      <w:pPr>
        <w:pStyle w:val="24"/>
        <w:snapToGrid w:val="0"/>
        <w:spacing w:line="360" w:lineRule="auto"/>
        <w:ind w:firstLine="482" w:firstLineChars="200"/>
        <w:rPr>
          <w:rFonts w:hAnsi="宋体" w:cs="宋体"/>
          <w:b/>
          <w:bCs/>
          <w:color w:val="auto"/>
          <w:kern w:val="0"/>
          <w:sz w:val="24"/>
          <w:szCs w:val="24"/>
          <w:highlight w:val="none"/>
        </w:rPr>
      </w:pPr>
      <w:r>
        <w:rPr>
          <w:rFonts w:hAnsi="宋体"/>
          <w:b/>
          <w:color w:val="auto"/>
          <w:kern w:val="0"/>
          <w:sz w:val="24"/>
          <w:szCs w:val="24"/>
          <w:highlight w:val="none"/>
        </w:rPr>
        <w:t>十</w:t>
      </w:r>
      <w:r>
        <w:rPr>
          <w:rFonts w:hint="eastAsia" w:hAnsi="宋体"/>
          <w:b/>
          <w:color w:val="auto"/>
          <w:kern w:val="0"/>
          <w:sz w:val="24"/>
          <w:szCs w:val="24"/>
          <w:highlight w:val="none"/>
        </w:rPr>
        <w:t>四</w:t>
      </w:r>
      <w:r>
        <w:rPr>
          <w:rFonts w:hAnsi="宋体"/>
          <w:b/>
          <w:color w:val="auto"/>
          <w:kern w:val="0"/>
          <w:sz w:val="24"/>
          <w:szCs w:val="24"/>
          <w:highlight w:val="none"/>
        </w:rPr>
        <w:t>、</w:t>
      </w:r>
      <w:r>
        <w:rPr>
          <w:rFonts w:hint="eastAsia" w:hAnsi="宋体" w:cs="宋体"/>
          <w:b/>
          <w:color w:val="auto"/>
          <w:kern w:val="0"/>
          <w:sz w:val="24"/>
          <w:szCs w:val="24"/>
          <w:highlight w:val="none"/>
        </w:rPr>
        <w:t>询问、质疑和投诉</w:t>
      </w:r>
    </w:p>
    <w:p w14:paraId="448F1A1A">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.1</w:t>
      </w:r>
      <w:r>
        <w:rPr>
          <w:rFonts w:hint="eastAsia" w:ascii="宋体" w:hAnsi="宋体"/>
          <w:color w:val="auto"/>
          <w:sz w:val="24"/>
          <w:highlight w:val="none"/>
        </w:rPr>
        <w:t>供应商</w:t>
      </w:r>
      <w:r>
        <w:rPr>
          <w:rFonts w:hint="eastAsia" w:ascii="宋体" w:hAnsi="宋体" w:cs="宋体"/>
          <w:color w:val="auto"/>
          <w:kern w:val="0"/>
          <w:sz w:val="24"/>
          <w:highlight w:val="none"/>
        </w:rPr>
        <w:t>对政府采购活动事项有疑问的，可以向采购人、采购代理机构提出询问。</w:t>
      </w:r>
    </w:p>
    <w:p w14:paraId="20707368">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w:t>
      </w:r>
      <w:r>
        <w:rPr>
          <w:rFonts w:hint="eastAsia" w:ascii="宋体" w:hAnsi="宋体" w:cs="宋体"/>
          <w:color w:val="auto"/>
          <w:kern w:val="0"/>
          <w:sz w:val="24"/>
          <w:highlight w:val="none"/>
        </w:rPr>
        <w:t>2供应商认为采购文件、采购过程或成交结果使自己的合法权益受到损害的，应当在知道或者应知其权益受到损害之日起七个工作日内，以书面形式向采购人、采购代理机构提出质疑。具体计算时间如下：</w:t>
      </w:r>
    </w:p>
    <w:p w14:paraId="3A28C704">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（1）对可以质疑的采购文件提出质疑的，为收到采购文件之日；</w:t>
      </w:r>
    </w:p>
    <w:p w14:paraId="3FA6A93C">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（2）对采购过程提出质疑的，为各采购程序环节结束之日；</w:t>
      </w:r>
    </w:p>
    <w:p w14:paraId="0EF54039">
      <w:pPr>
        <w:snapToGrid w:val="0"/>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（3）对成交结果提出质疑的，为成交结果公告期限届满之日。供应商对采购单位的质疑答复不满意或者采购单位未在规定时间内作出答复的，可以在答复期满后十五个工作日内向同级采购监管部门投诉。</w:t>
      </w:r>
    </w:p>
    <w:p w14:paraId="0741667A">
      <w:pPr>
        <w:snapToGrid w:val="0"/>
        <w:spacing w:line="360" w:lineRule="auto"/>
        <w:ind w:firstLine="480" w:firstLineChars="200"/>
        <w:rPr>
          <w:rFonts w:ascii="宋体" w:hAnsi="宋体" w:cs="宋体"/>
          <w:color w:val="auto"/>
          <w:kern w:val="0"/>
          <w:sz w:val="24"/>
          <w:highlight w:val="none"/>
        </w:rPr>
      </w:pPr>
      <w:r>
        <w:rPr>
          <w:rFonts w:hint="eastAsia" w:ascii="宋体" w:hAnsi="宋体"/>
          <w:color w:val="auto"/>
          <w:sz w:val="24"/>
          <w:highlight w:val="none"/>
        </w:rPr>
        <w:t>31</w:t>
      </w:r>
      <w:r>
        <w:rPr>
          <w:rFonts w:ascii="宋体" w:hAnsi="宋体"/>
          <w:color w:val="auto"/>
          <w:sz w:val="24"/>
          <w:highlight w:val="none"/>
        </w:rPr>
        <w:t>.</w:t>
      </w:r>
      <w:r>
        <w:rPr>
          <w:rFonts w:hint="eastAsia" w:ascii="宋体" w:hAnsi="宋体" w:cs="宋体"/>
          <w:color w:val="auto"/>
          <w:kern w:val="0"/>
          <w:sz w:val="24"/>
          <w:highlight w:val="none"/>
        </w:rPr>
        <w:t>3质疑、投诉应当采用书面形式，质疑书、投诉书均应明确阐述采购文件、采购过程、成交结果中使自己合法权益受到损害的实质性内容，提供相关事实、明确的请求、必要的证明材料，便于有关单位调查、答复和处理。</w:t>
      </w:r>
    </w:p>
    <w:p w14:paraId="11218FFC">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31.4对同一采购程序环节的质疑，供应商须一次性提出。</w:t>
      </w:r>
    </w:p>
    <w:p w14:paraId="2D7B61D4">
      <w:pPr>
        <w:adjustRightInd w:val="0"/>
        <w:spacing w:line="360" w:lineRule="auto"/>
        <w:ind w:firstLine="482" w:firstLineChars="200"/>
        <w:rPr>
          <w:rFonts w:ascii="宋体" w:hAnsi="宋体"/>
          <w:color w:val="auto"/>
          <w:sz w:val="24"/>
          <w:szCs w:val="20"/>
          <w:highlight w:val="none"/>
        </w:rPr>
      </w:pPr>
      <w:r>
        <w:rPr>
          <w:rFonts w:hint="eastAsia" w:ascii="宋体" w:hAnsi="宋体"/>
          <w:b/>
          <w:color w:val="auto"/>
          <w:sz w:val="24"/>
          <w:szCs w:val="20"/>
          <w:highlight w:val="none"/>
        </w:rPr>
        <w:t>31.5质疑答复</w:t>
      </w:r>
    </w:p>
    <w:p w14:paraId="6EC41442">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31.5.1根据采购人与采购代理机构签订采购委托协议的规定，质疑答复责任主体如下：</w:t>
      </w:r>
    </w:p>
    <w:p w14:paraId="409F7A68">
      <w:pPr>
        <w:widowControl/>
        <w:jc w:val="center"/>
        <w:rPr>
          <w:rFonts w:ascii="宋体" w:hAnsi="宋体"/>
          <w:b/>
          <w:color w:val="auto"/>
          <w:sz w:val="28"/>
          <w:szCs w:val="28"/>
          <w:highlight w:val="none"/>
        </w:rPr>
      </w:pPr>
      <w:r>
        <w:rPr>
          <w:rFonts w:hint="eastAsia" w:ascii="宋体" w:hAnsi="宋体"/>
          <w:b/>
          <w:color w:val="auto"/>
          <w:sz w:val="28"/>
          <w:szCs w:val="28"/>
          <w:highlight w:val="none"/>
        </w:rPr>
        <w:t>质疑答复责任主体一览表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4BE3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shd w:val="clear" w:color="auto" w:fill="auto"/>
            <w:vAlign w:val="center"/>
          </w:tcPr>
          <w:p w14:paraId="7952EA9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质疑内容</w:t>
            </w:r>
          </w:p>
        </w:tc>
        <w:tc>
          <w:tcPr>
            <w:tcW w:w="2232" w:type="dxa"/>
            <w:shd w:val="clear" w:color="auto" w:fill="auto"/>
            <w:vAlign w:val="center"/>
          </w:tcPr>
          <w:p w14:paraId="13A923AB">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质疑答复责任主体</w:t>
            </w:r>
          </w:p>
        </w:tc>
      </w:tr>
      <w:tr w14:paraId="50C6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66BE92B0">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对采购文件提出质疑</w:t>
            </w:r>
          </w:p>
        </w:tc>
        <w:tc>
          <w:tcPr>
            <w:tcW w:w="4536" w:type="dxa"/>
            <w:shd w:val="clear" w:color="auto" w:fill="auto"/>
            <w:vAlign w:val="center"/>
          </w:tcPr>
          <w:p w14:paraId="447354F3">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对采购文件中特定资格条件、采购需求、评审办法、评审标准提出的质疑</w:t>
            </w:r>
          </w:p>
        </w:tc>
        <w:tc>
          <w:tcPr>
            <w:tcW w:w="2232" w:type="dxa"/>
            <w:shd w:val="clear" w:color="auto" w:fill="auto"/>
            <w:vAlign w:val="center"/>
          </w:tcPr>
          <w:p w14:paraId="1068E37C">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采购人</w:t>
            </w:r>
          </w:p>
        </w:tc>
      </w:tr>
      <w:tr w14:paraId="63C8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527BEB0D">
            <w:pPr>
              <w:adjustRightInd w:val="0"/>
              <w:spacing w:line="360" w:lineRule="auto"/>
              <w:jc w:val="center"/>
              <w:rPr>
                <w:rFonts w:ascii="宋体" w:hAnsi="宋体"/>
                <w:color w:val="auto"/>
                <w:sz w:val="24"/>
                <w:szCs w:val="20"/>
                <w:highlight w:val="none"/>
              </w:rPr>
            </w:pPr>
          </w:p>
        </w:tc>
        <w:tc>
          <w:tcPr>
            <w:tcW w:w="4536" w:type="dxa"/>
            <w:shd w:val="clear" w:color="auto" w:fill="auto"/>
            <w:vAlign w:val="center"/>
          </w:tcPr>
          <w:p w14:paraId="3549C75B">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对采购文件中其他内容提出的质疑</w:t>
            </w:r>
          </w:p>
        </w:tc>
        <w:tc>
          <w:tcPr>
            <w:tcW w:w="2232" w:type="dxa"/>
            <w:shd w:val="clear" w:color="auto" w:fill="auto"/>
            <w:vAlign w:val="center"/>
          </w:tcPr>
          <w:p w14:paraId="2C72D003">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r w14:paraId="7F71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4DD154B8">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对采购过程提出质疑</w:t>
            </w:r>
          </w:p>
        </w:tc>
        <w:tc>
          <w:tcPr>
            <w:tcW w:w="4536" w:type="dxa"/>
            <w:shd w:val="clear" w:color="auto" w:fill="auto"/>
            <w:vAlign w:val="center"/>
          </w:tcPr>
          <w:p w14:paraId="66172209">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有关现场考察或开启响应文件前答疑会事项提出的质疑</w:t>
            </w:r>
          </w:p>
        </w:tc>
        <w:tc>
          <w:tcPr>
            <w:tcW w:w="2232" w:type="dxa"/>
            <w:shd w:val="clear" w:color="auto" w:fill="auto"/>
            <w:vAlign w:val="center"/>
          </w:tcPr>
          <w:p w14:paraId="2466B330">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采购人</w:t>
            </w:r>
          </w:p>
        </w:tc>
      </w:tr>
      <w:tr w14:paraId="73A2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774FEF24">
            <w:pPr>
              <w:adjustRightInd w:val="0"/>
              <w:spacing w:line="360" w:lineRule="auto"/>
              <w:jc w:val="center"/>
              <w:rPr>
                <w:rFonts w:ascii="宋体" w:hAnsi="宋体"/>
                <w:color w:val="auto"/>
                <w:sz w:val="24"/>
                <w:szCs w:val="20"/>
                <w:highlight w:val="none"/>
              </w:rPr>
            </w:pPr>
          </w:p>
        </w:tc>
        <w:tc>
          <w:tcPr>
            <w:tcW w:w="4536" w:type="dxa"/>
            <w:shd w:val="clear" w:color="auto" w:fill="auto"/>
            <w:vAlign w:val="center"/>
          </w:tcPr>
          <w:p w14:paraId="50B1D490">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对采购过程中其它事项提出的质疑</w:t>
            </w:r>
          </w:p>
        </w:tc>
        <w:tc>
          <w:tcPr>
            <w:tcW w:w="2232" w:type="dxa"/>
            <w:shd w:val="clear" w:color="auto" w:fill="auto"/>
            <w:vAlign w:val="center"/>
          </w:tcPr>
          <w:p w14:paraId="145CFAEA">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r w14:paraId="2F84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1E6446A9">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对采购结果提出质疑</w:t>
            </w:r>
          </w:p>
        </w:tc>
        <w:tc>
          <w:tcPr>
            <w:tcW w:w="4536" w:type="dxa"/>
            <w:shd w:val="clear" w:color="auto" w:fill="auto"/>
            <w:vAlign w:val="center"/>
          </w:tcPr>
          <w:p w14:paraId="264C9E39">
            <w:pPr>
              <w:adjustRightInd w:val="0"/>
              <w:spacing w:line="360" w:lineRule="auto"/>
              <w:jc w:val="left"/>
              <w:rPr>
                <w:rFonts w:ascii="宋体" w:hAnsi="宋体"/>
                <w:color w:val="auto"/>
                <w:sz w:val="24"/>
                <w:szCs w:val="20"/>
                <w:highlight w:val="none"/>
              </w:rPr>
            </w:pPr>
            <w:r>
              <w:rPr>
                <w:rFonts w:hint="eastAsia" w:ascii="宋体" w:hAnsi="宋体"/>
                <w:color w:val="auto"/>
                <w:sz w:val="24"/>
                <w:szCs w:val="20"/>
                <w:highlight w:val="none"/>
              </w:rPr>
              <w:t>对采购结果提出的质疑</w:t>
            </w:r>
          </w:p>
        </w:tc>
        <w:tc>
          <w:tcPr>
            <w:tcW w:w="2232" w:type="dxa"/>
            <w:shd w:val="clear" w:color="auto" w:fill="auto"/>
            <w:vAlign w:val="center"/>
          </w:tcPr>
          <w:p w14:paraId="17C7DF38">
            <w:pPr>
              <w:adjustRightInd w:val="0"/>
              <w:spacing w:line="360" w:lineRule="auto"/>
              <w:jc w:val="center"/>
              <w:rPr>
                <w:rFonts w:ascii="宋体" w:hAnsi="宋体"/>
                <w:color w:val="auto"/>
                <w:sz w:val="24"/>
                <w:szCs w:val="20"/>
                <w:highlight w:val="none"/>
              </w:rPr>
            </w:pPr>
            <w:r>
              <w:rPr>
                <w:rFonts w:hint="eastAsia" w:ascii="宋体" w:hAnsi="宋体"/>
                <w:color w:val="auto"/>
                <w:sz w:val="24"/>
                <w:szCs w:val="20"/>
                <w:highlight w:val="none"/>
              </w:rPr>
              <w:t>采购代理机构</w:t>
            </w:r>
          </w:p>
        </w:tc>
      </w:tr>
    </w:tbl>
    <w:p w14:paraId="6C68846E">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注：采购人或代理机构应当协助质疑答复责任主体及时答复供应商的书面质疑。</w:t>
      </w:r>
    </w:p>
    <w:p w14:paraId="0E2B7B39">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31.5.2采购人或者采购代理机构应当在收到供应商的书面质疑后七个工作日内作出答复，并以书面形式通知质疑供应商和其他与质疑处理结果有利害关系的政府采购当事人，但答复的内容不得涉及商业秘密。</w:t>
      </w:r>
    </w:p>
    <w:p w14:paraId="35AF77B9">
      <w:pPr>
        <w:adjustRightInd w:val="0"/>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31.5.3询问或者质疑事项可能影响采购结果的，采购人应当暂停签订合同，已经签订合同的，应当中止履行合同。</w:t>
      </w:r>
    </w:p>
    <w:p w14:paraId="349C6F40">
      <w:pPr>
        <w:spacing w:line="360" w:lineRule="auto"/>
        <w:ind w:firstLine="480" w:firstLineChars="200"/>
        <w:rPr>
          <w:rFonts w:ascii="宋体" w:hAnsi="宋体"/>
          <w:color w:val="auto"/>
          <w:sz w:val="24"/>
          <w:highlight w:val="none"/>
          <w:lang w:val="zh-CN"/>
        </w:rPr>
      </w:pPr>
      <w:r>
        <w:rPr>
          <w:rFonts w:hint="eastAsia" w:ascii="宋体" w:hAnsi="宋体"/>
          <w:color w:val="auto"/>
          <w:sz w:val="24"/>
          <w:szCs w:val="20"/>
          <w:highlight w:val="none"/>
        </w:rPr>
        <w:t>31.5.4</w:t>
      </w:r>
      <w:r>
        <w:rPr>
          <w:rFonts w:hint="eastAsia" w:ascii="宋体" w:hAnsi="宋体"/>
          <w:color w:val="auto"/>
          <w:sz w:val="24"/>
          <w:highlight w:val="none"/>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70FF7FC5">
      <w:pPr>
        <w:pStyle w:val="95"/>
        <w:rPr>
          <w:rFonts w:hint="eastAsia"/>
          <w:color w:val="auto"/>
          <w:highlight w:val="none"/>
          <w:lang w:val="en-US" w:eastAsia="zh-CN"/>
        </w:rPr>
      </w:pPr>
      <w:r>
        <w:rPr>
          <w:rFonts w:hint="eastAsia"/>
          <w:color w:val="auto"/>
          <w:highlight w:val="none"/>
        </w:rPr>
        <w:t>询问联系部门：</w:t>
      </w:r>
      <w:r>
        <w:rPr>
          <w:rFonts w:hint="eastAsia"/>
          <w:color w:val="auto"/>
          <w:highlight w:val="none"/>
          <w:lang w:val="en-US" w:eastAsia="zh-CN"/>
        </w:rPr>
        <w:t xml:space="preserve">广西北部湾宏亚建设管理有限公司   </w:t>
      </w:r>
      <w:r>
        <w:rPr>
          <w:rFonts w:hint="eastAsia"/>
          <w:color w:val="auto"/>
          <w:highlight w:val="none"/>
        </w:rPr>
        <w:t>联系电话</w:t>
      </w:r>
      <w:r>
        <w:rPr>
          <w:rFonts w:hint="eastAsia"/>
          <w:color w:val="auto"/>
          <w:highlight w:val="none"/>
          <w:lang w:val="en-US" w:eastAsia="zh-CN"/>
        </w:rPr>
        <w:t>0779-3928925</w:t>
      </w:r>
    </w:p>
    <w:p w14:paraId="27A8C438">
      <w:pPr>
        <w:pStyle w:val="95"/>
        <w:ind w:left="0" w:leftChars="0" w:firstLine="0" w:firstLineChars="0"/>
        <w:rPr>
          <w:rFonts w:hint="eastAsia" w:eastAsia="宋体"/>
          <w:color w:val="auto"/>
          <w:highlight w:val="none"/>
          <w:lang w:eastAsia="zh-CN"/>
        </w:rPr>
      </w:pPr>
      <w:r>
        <w:rPr>
          <w:rFonts w:hint="eastAsia"/>
          <w:color w:val="auto"/>
          <w:highlight w:val="none"/>
        </w:rPr>
        <w:t>联系人：</w:t>
      </w:r>
      <w:r>
        <w:rPr>
          <w:rFonts w:hint="eastAsia"/>
          <w:color w:val="auto"/>
          <w:highlight w:val="none"/>
          <w:lang w:val="en-US" w:eastAsia="zh-CN"/>
        </w:rPr>
        <w:t xml:space="preserve">韦丽丹   </w:t>
      </w:r>
      <w:r>
        <w:rPr>
          <w:rFonts w:hint="eastAsia"/>
          <w:color w:val="auto"/>
          <w:highlight w:val="none"/>
        </w:rPr>
        <w:t>地址：</w:t>
      </w:r>
      <w:r>
        <w:rPr>
          <w:rFonts w:hint="eastAsia" w:cs="Times New Roman"/>
          <w:b w:val="0"/>
          <w:bCs w:val="0"/>
          <w:color w:val="auto"/>
          <w:sz w:val="24"/>
          <w:szCs w:val="20"/>
          <w:highlight w:val="none"/>
          <w:lang w:eastAsia="zh-CN"/>
        </w:rPr>
        <w:t>广西壮族自治区北海市海城区银河城市科技产业城2栋0101号</w:t>
      </w:r>
    </w:p>
    <w:p w14:paraId="627EA50E">
      <w:pPr>
        <w:pStyle w:val="95"/>
        <w:rPr>
          <w:rFonts w:hint="eastAsia"/>
          <w:color w:val="auto"/>
          <w:highlight w:val="none"/>
          <w:lang w:val="en-US" w:eastAsia="zh-CN"/>
        </w:rPr>
      </w:pPr>
      <w:r>
        <w:rPr>
          <w:rFonts w:hint="eastAsia"/>
          <w:color w:val="auto"/>
          <w:highlight w:val="none"/>
        </w:rPr>
        <w:t>质疑联系部门：</w:t>
      </w:r>
      <w:r>
        <w:rPr>
          <w:rFonts w:hint="eastAsia"/>
          <w:color w:val="auto"/>
          <w:highlight w:val="none"/>
          <w:lang w:val="en-US" w:eastAsia="zh-CN"/>
        </w:rPr>
        <w:t xml:space="preserve">广西北部湾宏亚建设管理有限公司   </w:t>
      </w:r>
      <w:r>
        <w:rPr>
          <w:rFonts w:hint="eastAsia"/>
          <w:color w:val="auto"/>
          <w:highlight w:val="none"/>
        </w:rPr>
        <w:t>联系电话</w:t>
      </w:r>
      <w:r>
        <w:rPr>
          <w:rFonts w:hint="eastAsia"/>
          <w:color w:val="auto"/>
          <w:highlight w:val="none"/>
          <w:lang w:val="en-US" w:eastAsia="zh-CN"/>
        </w:rPr>
        <w:t>0779-3928925</w:t>
      </w:r>
    </w:p>
    <w:p w14:paraId="00808AA3">
      <w:pPr>
        <w:pStyle w:val="95"/>
        <w:ind w:left="0" w:leftChars="0" w:firstLine="0" w:firstLineChars="0"/>
        <w:rPr>
          <w:rFonts w:hint="eastAsia" w:eastAsia="宋体"/>
          <w:color w:val="auto"/>
          <w:highlight w:val="none"/>
          <w:lang w:eastAsia="zh-CN"/>
        </w:rPr>
      </w:pPr>
      <w:r>
        <w:rPr>
          <w:rFonts w:hint="eastAsia"/>
          <w:color w:val="auto"/>
          <w:highlight w:val="none"/>
        </w:rPr>
        <w:t>联系人：</w:t>
      </w:r>
      <w:r>
        <w:rPr>
          <w:rFonts w:hint="eastAsia"/>
          <w:color w:val="auto"/>
          <w:highlight w:val="none"/>
          <w:lang w:val="en-US" w:eastAsia="zh-CN"/>
        </w:rPr>
        <w:t xml:space="preserve">韦丽丹   </w:t>
      </w:r>
      <w:r>
        <w:rPr>
          <w:rFonts w:hint="eastAsia"/>
          <w:color w:val="auto"/>
          <w:highlight w:val="none"/>
        </w:rPr>
        <w:t>地址：</w:t>
      </w:r>
      <w:r>
        <w:rPr>
          <w:rFonts w:hint="eastAsia" w:cs="Times New Roman"/>
          <w:b w:val="0"/>
          <w:bCs w:val="0"/>
          <w:color w:val="auto"/>
          <w:sz w:val="24"/>
          <w:szCs w:val="20"/>
          <w:highlight w:val="none"/>
          <w:lang w:eastAsia="zh-CN"/>
        </w:rPr>
        <w:t>广西壮族自治区北海市海城区银河城市科技产业城2栋0101号</w:t>
      </w:r>
    </w:p>
    <w:p w14:paraId="60AFF27E">
      <w:pPr>
        <w:pStyle w:val="95"/>
        <w:ind w:left="0" w:leftChars="0" w:firstLine="480" w:firstLineChars="200"/>
        <w:rPr>
          <w:rFonts w:hint="eastAsia" w:ascii="宋体" w:hAnsi="宋体" w:eastAsia="宋体" w:cs="Times New Roman"/>
          <w:b w:val="0"/>
          <w:bCs w:val="0"/>
          <w:color w:val="auto"/>
          <w:sz w:val="24"/>
          <w:szCs w:val="20"/>
          <w:highlight w:val="none"/>
        </w:rPr>
      </w:pPr>
      <w:r>
        <w:rPr>
          <w:rFonts w:hint="eastAsia" w:ascii="宋体" w:hAnsi="宋体" w:eastAsia="宋体" w:cs="Times New Roman"/>
          <w:b w:val="0"/>
          <w:bCs w:val="0"/>
          <w:color w:val="auto"/>
          <w:sz w:val="24"/>
          <w:szCs w:val="20"/>
          <w:highlight w:val="none"/>
        </w:rPr>
        <w:t>投诉联系部门：</w:t>
      </w:r>
      <w:r>
        <w:rPr>
          <w:rFonts w:hint="eastAsia" w:ascii="宋体" w:hAnsi="宋体" w:eastAsia="宋体" w:cs="Times New Roman"/>
          <w:b w:val="0"/>
          <w:bCs w:val="0"/>
          <w:color w:val="auto"/>
          <w:sz w:val="24"/>
          <w:szCs w:val="20"/>
          <w:highlight w:val="none"/>
          <w:lang w:eastAsia="zh-CN"/>
        </w:rPr>
        <w:t>北海市</w:t>
      </w:r>
      <w:r>
        <w:rPr>
          <w:rFonts w:hint="eastAsia" w:ascii="宋体" w:hAnsi="宋体" w:eastAsia="宋体" w:cs="Times New Roman"/>
          <w:b w:val="0"/>
          <w:bCs w:val="0"/>
          <w:color w:val="auto"/>
          <w:sz w:val="24"/>
          <w:szCs w:val="20"/>
          <w:highlight w:val="none"/>
          <w:lang w:val="en-US" w:eastAsia="zh-CN"/>
        </w:rPr>
        <w:t>海城区</w:t>
      </w:r>
      <w:r>
        <w:rPr>
          <w:rFonts w:hint="eastAsia" w:ascii="宋体" w:hAnsi="宋体" w:eastAsia="宋体" w:cs="Times New Roman"/>
          <w:b w:val="0"/>
          <w:bCs w:val="0"/>
          <w:color w:val="auto"/>
          <w:sz w:val="24"/>
          <w:szCs w:val="20"/>
          <w:highlight w:val="none"/>
          <w:lang w:eastAsia="zh-CN"/>
        </w:rPr>
        <w:t>财政局</w:t>
      </w:r>
      <w:r>
        <w:rPr>
          <w:rFonts w:hint="eastAsia" w:ascii="宋体" w:hAnsi="宋体" w:eastAsia="宋体" w:cs="Times New Roman"/>
          <w:b w:val="0"/>
          <w:bCs w:val="0"/>
          <w:color w:val="auto"/>
          <w:sz w:val="24"/>
          <w:szCs w:val="20"/>
          <w:highlight w:val="none"/>
        </w:rPr>
        <w:t>（财政监督部门）    联系电话：</w:t>
      </w:r>
      <w:r>
        <w:rPr>
          <w:rFonts w:hint="eastAsia" w:ascii="宋体" w:hAnsi="宋体" w:eastAsia="宋体" w:cs="Times New Roman"/>
          <w:b w:val="0"/>
          <w:bCs w:val="0"/>
          <w:color w:val="auto"/>
          <w:sz w:val="24"/>
          <w:szCs w:val="20"/>
          <w:highlight w:val="none"/>
          <w:lang w:eastAsia="zh-CN"/>
        </w:rPr>
        <w:t>0779-3032655</w:t>
      </w:r>
      <w:r>
        <w:rPr>
          <w:rFonts w:hint="eastAsia" w:ascii="宋体" w:hAnsi="宋体" w:eastAsia="宋体" w:cs="Times New Roman"/>
          <w:b w:val="0"/>
          <w:bCs w:val="0"/>
          <w:color w:val="auto"/>
          <w:sz w:val="24"/>
          <w:szCs w:val="20"/>
          <w:highlight w:val="none"/>
        </w:rPr>
        <w:t xml:space="preserve">       联系人：</w:t>
      </w:r>
      <w:r>
        <w:rPr>
          <w:rFonts w:hint="eastAsia" w:ascii="宋体" w:hAnsi="宋体" w:eastAsia="宋体" w:cs="Times New Roman"/>
          <w:b w:val="0"/>
          <w:bCs w:val="0"/>
          <w:color w:val="auto"/>
          <w:sz w:val="24"/>
          <w:szCs w:val="20"/>
          <w:highlight w:val="none"/>
          <w:lang w:val="en-US" w:eastAsia="zh-CN"/>
        </w:rPr>
        <w:t>陈主任</w:t>
      </w:r>
      <w:r>
        <w:rPr>
          <w:rFonts w:hint="eastAsia" w:ascii="宋体" w:hAnsi="宋体" w:eastAsia="宋体" w:cs="Times New Roman"/>
          <w:b w:val="0"/>
          <w:bCs w:val="0"/>
          <w:color w:val="auto"/>
          <w:sz w:val="24"/>
          <w:szCs w:val="20"/>
          <w:highlight w:val="none"/>
        </w:rPr>
        <w:t xml:space="preserve">     地址：北海市海城区长青北路15号海城区政府小礼堂二楼</w:t>
      </w:r>
    </w:p>
    <w:p w14:paraId="575E609B">
      <w:pPr>
        <w:adjustRightInd w:val="0"/>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十五、其他事项</w:t>
      </w:r>
    </w:p>
    <w:p w14:paraId="5946F2FF">
      <w:pPr>
        <w:spacing w:line="360" w:lineRule="auto"/>
        <w:ind w:firstLine="482" w:firstLineChars="200"/>
        <w:rPr>
          <w:rFonts w:ascii="宋体" w:hAnsi="宋体" w:cs="宋体"/>
          <w:b/>
          <w:color w:val="auto"/>
          <w:sz w:val="24"/>
          <w:highlight w:val="none"/>
        </w:rPr>
      </w:pPr>
      <w:r>
        <w:rPr>
          <w:rFonts w:hint="eastAsia" w:ascii="宋体" w:hAnsi="宋体"/>
          <w:b/>
          <w:color w:val="auto"/>
          <w:sz w:val="24"/>
          <w:highlight w:val="none"/>
        </w:rPr>
        <w:t>32</w:t>
      </w:r>
      <w:r>
        <w:rPr>
          <w:rFonts w:hint="eastAsia" w:ascii="宋体" w:hAnsi="宋体" w:cs="宋体"/>
          <w:b/>
          <w:color w:val="auto"/>
          <w:sz w:val="24"/>
          <w:highlight w:val="none"/>
        </w:rPr>
        <w:t>代理费用的收取标准和方式（适用于有权收取代理费用的采购代理机构）</w:t>
      </w:r>
    </w:p>
    <w:p w14:paraId="444170DE">
      <w:pPr>
        <w:adjustRightInd w:val="0"/>
        <w:snapToGrid w:val="0"/>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32.1采购代理费支付方式：</w:t>
      </w:r>
    </w:p>
    <w:p w14:paraId="307B82EE">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本项目代理服务费由成交供应商一次性向采购代理机构支付。</w:t>
      </w:r>
    </w:p>
    <w:p w14:paraId="52EC700B">
      <w:pPr>
        <w:spacing w:line="360" w:lineRule="auto"/>
        <w:ind w:firstLine="482" w:firstLineChars="200"/>
        <w:rPr>
          <w:rFonts w:hint="eastAsia" w:ascii="宋体" w:hAnsi="宋体" w:cs="Times New Roman"/>
          <w:b/>
          <w:color w:val="auto"/>
          <w:sz w:val="24"/>
          <w:highlight w:val="none"/>
        </w:rPr>
      </w:pPr>
      <w:r>
        <w:rPr>
          <w:rFonts w:hint="eastAsia" w:ascii="宋体" w:hAnsi="宋体" w:cs="Times New Roman"/>
          <w:b/>
          <w:color w:val="auto"/>
          <w:sz w:val="24"/>
          <w:highlight w:val="none"/>
        </w:rPr>
        <w:t>32.2采购代理费收取标准：</w:t>
      </w:r>
    </w:p>
    <w:p w14:paraId="69ED2BDB">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本项目的代理服务费以成交金额作为计算依据，</w:t>
      </w:r>
      <w:r>
        <w:rPr>
          <w:rFonts w:hint="eastAsia" w:ascii="宋体" w:hAnsi="宋体" w:cs="宋体"/>
          <w:color w:val="auto"/>
          <w:sz w:val="24"/>
          <w:highlight w:val="none"/>
          <w:lang w:val="en-US" w:eastAsia="zh-CN"/>
        </w:rPr>
        <w:t>参照</w:t>
      </w:r>
      <w:r>
        <w:rPr>
          <w:rFonts w:hint="eastAsia" w:ascii="宋体" w:hAnsi="宋体" w:cs="宋体"/>
          <w:color w:val="auto"/>
          <w:sz w:val="24"/>
          <w:highlight w:val="none"/>
        </w:rPr>
        <w:t>《北海市海城区人民政府办公室关于印发海城区政府性投资项目服务性收费指导意见（暂行）的通知》（北城政办〔2021〕22号）执行收费。</w:t>
      </w:r>
    </w:p>
    <w:p w14:paraId="0E2EBFD1">
      <w:pPr>
        <w:spacing w:line="360" w:lineRule="auto"/>
        <w:ind w:firstLine="482" w:firstLineChars="200"/>
        <w:rPr>
          <w:rFonts w:hint="eastAsia" w:ascii="宋体" w:hAnsi="宋体" w:cs="Times New Roman"/>
          <w:b/>
          <w:color w:val="auto"/>
          <w:sz w:val="24"/>
          <w:highlight w:val="none"/>
        </w:rPr>
      </w:pPr>
      <w:r>
        <w:rPr>
          <w:rFonts w:hint="eastAsia" w:ascii="宋体" w:hAnsi="宋体" w:cs="Times New Roman"/>
          <w:b/>
          <w:color w:val="auto"/>
          <w:sz w:val="24"/>
          <w:highlight w:val="none"/>
        </w:rPr>
        <w:t>32.3采购代理费收取银行账户</w:t>
      </w:r>
    </w:p>
    <w:p w14:paraId="13DFCA2D">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开户名称：广西北部湾宏亚建设管理有限公司北海分公司</w:t>
      </w:r>
    </w:p>
    <w:p w14:paraId="6711C0F3">
      <w:pPr>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开户银行：北海工行江苏路支行 </w:t>
      </w:r>
    </w:p>
    <w:p w14:paraId="12F81AB8">
      <w:pPr>
        <w:adjustRightInd w:val="0"/>
        <w:snapToGrid w:val="0"/>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银行账号：2107 5309 0930 0049 767</w:t>
      </w:r>
    </w:p>
    <w:p w14:paraId="2573A4CE">
      <w:pPr>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33</w:t>
      </w:r>
      <w:r>
        <w:rPr>
          <w:rFonts w:ascii="宋体" w:hAnsi="宋体"/>
          <w:b/>
          <w:color w:val="auto"/>
          <w:sz w:val="24"/>
          <w:highlight w:val="none"/>
        </w:rPr>
        <w:t>解释权</w:t>
      </w:r>
    </w:p>
    <w:p w14:paraId="7C484B98">
      <w:pPr>
        <w:pStyle w:val="24"/>
        <w:adjustRightInd w:val="0"/>
        <w:snapToGrid w:val="0"/>
        <w:spacing w:line="360" w:lineRule="auto"/>
        <w:ind w:firstLine="464" w:firstLineChars="200"/>
        <w:rPr>
          <w:rFonts w:hAnsi="宋体"/>
          <w:color w:val="auto"/>
          <w:spacing w:val="-4"/>
          <w:sz w:val="24"/>
          <w:szCs w:val="24"/>
          <w:highlight w:val="none"/>
        </w:rPr>
      </w:pPr>
      <w:r>
        <w:rPr>
          <w:rFonts w:hint="eastAsia" w:hAnsi="宋体"/>
          <w:color w:val="auto"/>
          <w:spacing w:val="-4"/>
          <w:sz w:val="24"/>
          <w:szCs w:val="24"/>
          <w:highlight w:val="none"/>
        </w:rPr>
        <w:t>本竞争性磋商文件解释权属采购人及本代理机构。</w:t>
      </w:r>
    </w:p>
    <w:p w14:paraId="27DCE314">
      <w:pPr>
        <w:pStyle w:val="24"/>
        <w:spacing w:line="360" w:lineRule="auto"/>
        <w:ind w:firstLine="482" w:firstLineChars="200"/>
        <w:rPr>
          <w:rFonts w:hAnsi="宋体" w:cs="Times New Roman"/>
          <w:b/>
          <w:color w:val="auto"/>
          <w:sz w:val="24"/>
          <w:szCs w:val="24"/>
          <w:highlight w:val="none"/>
        </w:rPr>
      </w:pPr>
      <w:r>
        <w:rPr>
          <w:rFonts w:hint="eastAsia" w:hAnsi="宋体" w:cs="Times New Roman"/>
          <w:b/>
          <w:color w:val="auto"/>
          <w:sz w:val="24"/>
          <w:szCs w:val="24"/>
          <w:highlight w:val="none"/>
        </w:rPr>
        <w:t>34</w:t>
      </w:r>
      <w:r>
        <w:rPr>
          <w:rFonts w:hAnsi="宋体" w:cs="Times New Roman"/>
          <w:b/>
          <w:color w:val="auto"/>
          <w:sz w:val="24"/>
          <w:szCs w:val="24"/>
          <w:highlight w:val="none"/>
        </w:rPr>
        <w:t>有关事宜</w:t>
      </w:r>
    </w:p>
    <w:p w14:paraId="562C6D83">
      <w:pPr>
        <w:pStyle w:val="24"/>
        <w:spacing w:line="360" w:lineRule="auto"/>
        <w:ind w:firstLine="480" w:firstLineChars="200"/>
        <w:rPr>
          <w:rFonts w:hAnsi="宋体" w:cs="Times New Roman"/>
          <w:color w:val="auto"/>
          <w:kern w:val="0"/>
          <w:sz w:val="24"/>
          <w:szCs w:val="24"/>
          <w:highlight w:val="none"/>
        </w:rPr>
      </w:pPr>
      <w:r>
        <w:rPr>
          <w:rFonts w:hAnsi="宋体" w:cs="Times New Roman"/>
          <w:color w:val="auto"/>
          <w:kern w:val="0"/>
          <w:sz w:val="24"/>
          <w:szCs w:val="24"/>
          <w:highlight w:val="none"/>
        </w:rPr>
        <w:t>所有与本</w:t>
      </w:r>
      <w:r>
        <w:rPr>
          <w:rFonts w:hint="eastAsia" w:hAnsi="宋体" w:cs="Times New Roman"/>
          <w:color w:val="auto"/>
          <w:kern w:val="0"/>
          <w:sz w:val="24"/>
          <w:szCs w:val="24"/>
          <w:highlight w:val="none"/>
        </w:rPr>
        <w:t>磋商</w:t>
      </w:r>
      <w:r>
        <w:rPr>
          <w:rFonts w:hAnsi="宋体" w:cs="Times New Roman"/>
          <w:color w:val="auto"/>
          <w:kern w:val="0"/>
          <w:sz w:val="24"/>
          <w:szCs w:val="24"/>
          <w:highlight w:val="none"/>
        </w:rPr>
        <w:t>文件有关的函件请按下列通讯地址联系：</w:t>
      </w:r>
    </w:p>
    <w:p w14:paraId="7AC52415">
      <w:pPr>
        <w:pStyle w:val="24"/>
        <w:spacing w:line="360" w:lineRule="auto"/>
        <w:ind w:firstLine="480" w:firstLineChars="200"/>
        <w:rPr>
          <w:rFonts w:hAnsi="宋体" w:cs="Times New Roman"/>
          <w:color w:val="auto"/>
          <w:kern w:val="0"/>
          <w:sz w:val="24"/>
          <w:szCs w:val="24"/>
          <w:highlight w:val="none"/>
        </w:rPr>
      </w:pPr>
      <w:bookmarkStart w:id="30" w:name="_Toc3994506"/>
      <w:r>
        <w:rPr>
          <w:rFonts w:hAnsi="宋体" w:cs="Times New Roman"/>
          <w:color w:val="auto"/>
          <w:kern w:val="0"/>
          <w:sz w:val="24"/>
          <w:szCs w:val="24"/>
          <w:highlight w:val="none"/>
        </w:rPr>
        <w:t>单位全称：</w:t>
      </w:r>
      <w:r>
        <w:rPr>
          <w:rFonts w:hint="eastAsia" w:ascii="宋体" w:hAnsi="宋体" w:cs="宋体"/>
          <w:color w:val="auto"/>
          <w:sz w:val="24"/>
          <w:highlight w:val="none"/>
        </w:rPr>
        <w:t>广西北部湾宏亚建设管理有限公司</w:t>
      </w:r>
    </w:p>
    <w:p w14:paraId="2E20ACAB">
      <w:pPr>
        <w:pStyle w:val="24"/>
        <w:spacing w:line="360" w:lineRule="auto"/>
        <w:ind w:firstLine="480" w:firstLineChars="200"/>
        <w:rPr>
          <w:rFonts w:hint="eastAsia" w:hAnsi="宋体" w:eastAsia="宋体" w:cs="Times New Roman"/>
          <w:color w:val="auto"/>
          <w:kern w:val="0"/>
          <w:sz w:val="24"/>
          <w:szCs w:val="24"/>
          <w:highlight w:val="none"/>
          <w:lang w:eastAsia="zh-CN"/>
        </w:rPr>
      </w:pPr>
      <w:r>
        <w:rPr>
          <w:rFonts w:hAnsi="宋体" w:cs="Times New Roman"/>
          <w:color w:val="auto"/>
          <w:kern w:val="0"/>
          <w:sz w:val="24"/>
          <w:szCs w:val="24"/>
          <w:highlight w:val="none"/>
        </w:rPr>
        <w:t>通讯地址：</w:t>
      </w:r>
      <w:r>
        <w:rPr>
          <w:rFonts w:hint="eastAsia" w:hAnsi="宋体" w:cs="Times New Roman"/>
          <w:b w:val="0"/>
          <w:bCs w:val="0"/>
          <w:color w:val="auto"/>
          <w:sz w:val="24"/>
          <w:szCs w:val="20"/>
          <w:highlight w:val="none"/>
          <w:lang w:eastAsia="zh-CN"/>
        </w:rPr>
        <w:t>广西壮族自治区北海市海城区银河城市科技产业城2栋0101号</w:t>
      </w:r>
    </w:p>
    <w:p w14:paraId="0AE42E01">
      <w:pPr>
        <w:pStyle w:val="24"/>
        <w:spacing w:line="360" w:lineRule="auto"/>
        <w:ind w:firstLine="480" w:firstLineChars="200"/>
        <w:rPr>
          <w:rFonts w:hAnsi="宋体"/>
          <w:color w:val="auto"/>
          <w:sz w:val="24"/>
          <w:szCs w:val="24"/>
          <w:highlight w:val="none"/>
        </w:rPr>
      </w:pPr>
      <w:r>
        <w:rPr>
          <w:rFonts w:hAnsi="宋体" w:cs="Times New Roman"/>
          <w:color w:val="auto"/>
          <w:kern w:val="0"/>
          <w:sz w:val="24"/>
          <w:szCs w:val="24"/>
          <w:highlight w:val="none"/>
        </w:rPr>
        <w:t>电    话：</w:t>
      </w:r>
      <w:r>
        <w:rPr>
          <w:rFonts w:hint="eastAsia" w:hAnsi="宋体" w:cs="Times New Roman"/>
          <w:color w:val="auto"/>
          <w:kern w:val="0"/>
          <w:sz w:val="24"/>
          <w:szCs w:val="24"/>
          <w:highlight w:val="none"/>
          <w:lang w:val="en-US" w:eastAsia="zh-CN"/>
        </w:rPr>
        <w:t>0779-3928925</w:t>
      </w:r>
    </w:p>
    <w:p w14:paraId="26B8BE3E">
      <w:pPr>
        <w:pStyle w:val="24"/>
        <w:spacing w:line="360" w:lineRule="auto"/>
        <w:ind w:firstLine="480" w:firstLineChars="200"/>
        <w:rPr>
          <w:rFonts w:hint="default" w:hAnsi="宋体" w:eastAsia="宋体"/>
          <w:b/>
          <w:color w:val="auto"/>
          <w:sz w:val="24"/>
          <w:szCs w:val="24"/>
          <w:highlight w:val="none"/>
          <w:lang w:val="en-US" w:eastAsia="zh-CN"/>
        </w:rPr>
      </w:pPr>
      <w:r>
        <w:rPr>
          <w:rFonts w:hAnsi="宋体" w:cs="Times New Roman"/>
          <w:color w:val="auto"/>
          <w:kern w:val="0"/>
          <w:sz w:val="24"/>
          <w:szCs w:val="24"/>
          <w:highlight w:val="none"/>
        </w:rPr>
        <w:t>联 系 人</w:t>
      </w:r>
      <w:r>
        <w:rPr>
          <w:rFonts w:hint="eastAsia" w:hAnsi="宋体" w:cs="Times New Roman"/>
          <w:color w:val="auto"/>
          <w:kern w:val="0"/>
          <w:sz w:val="24"/>
          <w:szCs w:val="24"/>
          <w:highlight w:val="none"/>
        </w:rPr>
        <w:t>:</w:t>
      </w:r>
      <w:r>
        <w:rPr>
          <w:rFonts w:hint="eastAsia" w:hAnsi="宋体" w:cs="Times New Roman"/>
          <w:color w:val="auto"/>
          <w:kern w:val="0"/>
          <w:sz w:val="24"/>
          <w:szCs w:val="24"/>
          <w:highlight w:val="none"/>
          <w:lang w:val="en-US" w:eastAsia="zh-CN"/>
        </w:rPr>
        <w:t xml:space="preserve"> 韦丽丹</w:t>
      </w:r>
    </w:p>
    <w:p w14:paraId="3969AE10">
      <w:pPr>
        <w:spacing w:line="620" w:lineRule="exact"/>
        <w:rPr>
          <w:rFonts w:ascii="宋体" w:hAnsi="宋体"/>
          <w:b/>
          <w:color w:val="auto"/>
          <w:sz w:val="44"/>
          <w:szCs w:val="44"/>
          <w:highlight w:val="none"/>
        </w:rPr>
      </w:pPr>
    </w:p>
    <w:p w14:paraId="46E68514">
      <w:pPr>
        <w:spacing w:line="620" w:lineRule="exact"/>
        <w:rPr>
          <w:rFonts w:ascii="宋体" w:hAnsi="宋体"/>
          <w:b/>
          <w:color w:val="auto"/>
          <w:sz w:val="44"/>
          <w:szCs w:val="44"/>
          <w:highlight w:val="none"/>
        </w:rPr>
      </w:pPr>
    </w:p>
    <w:p w14:paraId="1AB33035">
      <w:pPr>
        <w:pStyle w:val="24"/>
        <w:rPr>
          <w:color w:val="auto"/>
          <w:highlight w:val="none"/>
        </w:rPr>
      </w:pPr>
      <w:bookmarkStart w:id="31" w:name="_Toc23819"/>
      <w:r>
        <w:rPr>
          <w:color w:val="auto"/>
          <w:highlight w:val="none"/>
        </w:rPr>
        <w:br w:type="page"/>
      </w:r>
    </w:p>
    <w:p w14:paraId="61A6F621">
      <w:pPr>
        <w:spacing w:line="620" w:lineRule="exact"/>
        <w:jc w:val="center"/>
        <w:outlineLvl w:val="0"/>
        <w:rPr>
          <w:rFonts w:ascii="宋体" w:hAnsi="宋体"/>
          <w:b/>
          <w:color w:val="auto"/>
          <w:sz w:val="36"/>
          <w:szCs w:val="36"/>
          <w:highlight w:val="none"/>
        </w:rPr>
      </w:pPr>
      <w:bookmarkStart w:id="32" w:name="_Toc176861408"/>
      <w:r>
        <w:rPr>
          <w:rFonts w:hint="eastAsia" w:ascii="宋体" w:hAnsi="宋体"/>
          <w:b/>
          <w:color w:val="auto"/>
          <w:sz w:val="36"/>
          <w:szCs w:val="36"/>
          <w:highlight w:val="none"/>
        </w:rPr>
        <w:t>第三章  竞争性磋商响应文件格式</w:t>
      </w:r>
      <w:bookmarkEnd w:id="30"/>
      <w:bookmarkEnd w:id="31"/>
      <w:bookmarkEnd w:id="32"/>
    </w:p>
    <w:p w14:paraId="05F80A44">
      <w:pPr>
        <w:spacing w:line="360" w:lineRule="auto"/>
        <w:rPr>
          <w:rFonts w:ascii="宋体" w:hAnsi="宋体"/>
          <w:b/>
          <w:color w:val="auto"/>
          <w:sz w:val="28"/>
          <w:szCs w:val="28"/>
          <w:highlight w:val="none"/>
        </w:rPr>
      </w:pPr>
      <w:r>
        <w:rPr>
          <w:rFonts w:hint="eastAsia" w:ascii="宋体" w:hAnsi="宋体"/>
          <w:b/>
          <w:color w:val="auto"/>
          <w:sz w:val="28"/>
          <w:szCs w:val="28"/>
          <w:highlight w:val="none"/>
        </w:rPr>
        <w:t>一、竞争性磋商响应文件封面</w:t>
      </w:r>
      <w:r>
        <w:rPr>
          <w:rFonts w:hint="eastAsia" w:ascii="宋体" w:hAnsi="宋体"/>
          <w:b/>
          <w:bCs/>
          <w:color w:val="auto"/>
          <w:sz w:val="28"/>
          <w:szCs w:val="28"/>
          <w:highlight w:val="none"/>
        </w:rPr>
        <w:t>格式</w:t>
      </w:r>
    </w:p>
    <w:p w14:paraId="13E0B070">
      <w:pPr>
        <w:snapToGrid w:val="0"/>
        <w:spacing w:line="360" w:lineRule="auto"/>
        <w:rPr>
          <w:rFonts w:ascii="宋体" w:hAnsi="宋体"/>
          <w:b/>
          <w:color w:val="auto"/>
          <w:szCs w:val="21"/>
          <w:highlight w:val="none"/>
        </w:rPr>
      </w:pPr>
    </w:p>
    <w:p w14:paraId="770D4F15">
      <w:pPr>
        <w:snapToGrid w:val="0"/>
        <w:spacing w:line="360" w:lineRule="auto"/>
        <w:ind w:left="7200" w:hanging="7200" w:hangingChars="3000"/>
        <w:rPr>
          <w:rFonts w:hint="default" w:ascii="宋体" w:hAnsi="宋体" w:eastAsia="宋体"/>
          <w:bCs/>
          <w:color w:val="auto"/>
          <w:sz w:val="24"/>
          <w:highlight w:val="none"/>
          <w:lang w:val="en-US" w:eastAsia="zh-CN"/>
        </w:rPr>
      </w:pPr>
      <w:r>
        <w:rPr>
          <w:rFonts w:hint="eastAsia" w:ascii="宋体" w:hAnsi="宋体"/>
          <w:color w:val="auto"/>
          <w:sz w:val="24"/>
          <w:highlight w:val="none"/>
        </w:rPr>
        <w:t xml:space="preserve">                                                                                             </w:t>
      </w:r>
      <w:r>
        <w:rPr>
          <w:rFonts w:hint="eastAsia" w:ascii="宋体" w:hAnsi="宋体"/>
          <w:b/>
          <w:bCs/>
          <w:color w:val="auto"/>
          <w:szCs w:val="21"/>
          <w:highlight w:val="none"/>
          <w:lang w:val="en-US" w:eastAsia="zh-CN"/>
        </w:rPr>
        <w:t>电子响应文件</w:t>
      </w:r>
    </w:p>
    <w:p w14:paraId="404B23D0">
      <w:pPr>
        <w:snapToGrid w:val="0"/>
        <w:spacing w:line="360" w:lineRule="auto"/>
        <w:ind w:firstLine="1915" w:firstLineChars="795"/>
        <w:rPr>
          <w:rFonts w:hint="eastAsia" w:ascii="宋体" w:hAnsi="宋体"/>
          <w:b/>
          <w:color w:val="auto"/>
          <w:sz w:val="24"/>
          <w:highlight w:val="none"/>
        </w:rPr>
      </w:pPr>
    </w:p>
    <w:p w14:paraId="05484B6F">
      <w:pPr>
        <w:snapToGrid w:val="0"/>
        <w:spacing w:line="360" w:lineRule="auto"/>
        <w:ind w:firstLine="1915" w:firstLineChars="795"/>
        <w:rPr>
          <w:rFonts w:hint="eastAsia" w:ascii="宋体" w:hAnsi="宋体"/>
          <w:b/>
          <w:color w:val="auto"/>
          <w:sz w:val="24"/>
          <w:highlight w:val="none"/>
        </w:rPr>
      </w:pPr>
    </w:p>
    <w:p w14:paraId="5F03F646">
      <w:pPr>
        <w:snapToGrid w:val="0"/>
        <w:spacing w:line="360" w:lineRule="auto"/>
        <w:ind w:firstLine="1915" w:firstLineChars="795"/>
        <w:rPr>
          <w:rFonts w:hint="eastAsia" w:ascii="宋体" w:hAnsi="宋体"/>
          <w:b/>
          <w:color w:val="auto"/>
          <w:sz w:val="24"/>
          <w:highlight w:val="none"/>
        </w:rPr>
      </w:pPr>
    </w:p>
    <w:p w14:paraId="55F22FF6">
      <w:pPr>
        <w:snapToGrid w:val="0"/>
        <w:spacing w:line="360" w:lineRule="auto"/>
        <w:ind w:firstLine="1915" w:firstLineChars="795"/>
        <w:rPr>
          <w:rFonts w:hint="eastAsia" w:ascii="宋体" w:hAnsi="宋体"/>
          <w:b/>
          <w:color w:val="auto"/>
          <w:sz w:val="24"/>
          <w:highlight w:val="none"/>
        </w:rPr>
      </w:pPr>
    </w:p>
    <w:p w14:paraId="49E57CC1">
      <w:pPr>
        <w:snapToGrid w:val="0"/>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竞争性磋商响应文件</w:t>
      </w:r>
    </w:p>
    <w:p w14:paraId="7F4D7047">
      <w:pPr>
        <w:pStyle w:val="4"/>
        <w:jc w:val="center"/>
        <w:rPr>
          <w:color w:val="auto"/>
          <w:highlight w:val="none"/>
        </w:rPr>
      </w:pPr>
      <w:r>
        <w:rPr>
          <w:rFonts w:hint="eastAsia" w:ascii="宋体" w:hAnsi="宋体"/>
          <w:color w:val="auto"/>
          <w:sz w:val="24"/>
          <w:highlight w:val="none"/>
        </w:rPr>
        <w:t>资格文件</w:t>
      </w:r>
      <w:r>
        <w:rPr>
          <w:rFonts w:hint="eastAsia" w:ascii="宋体" w:hAnsi="宋体"/>
          <w:color w:val="auto"/>
          <w:sz w:val="24"/>
          <w:highlight w:val="none"/>
          <w:lang w:val="en-US" w:eastAsia="zh-CN"/>
        </w:rPr>
        <w:t>/</w:t>
      </w:r>
      <w:r>
        <w:rPr>
          <w:rFonts w:hint="eastAsia" w:ascii="宋体" w:hAnsi="宋体"/>
          <w:color w:val="auto"/>
          <w:sz w:val="24"/>
          <w:highlight w:val="none"/>
        </w:rPr>
        <w:t>价格文件</w:t>
      </w:r>
      <w:r>
        <w:rPr>
          <w:rFonts w:hint="eastAsia" w:ascii="宋体" w:hAnsi="宋体"/>
          <w:color w:val="auto"/>
          <w:sz w:val="24"/>
          <w:highlight w:val="none"/>
          <w:lang w:val="en-US" w:eastAsia="zh-CN"/>
        </w:rPr>
        <w:t>/</w:t>
      </w:r>
      <w:r>
        <w:rPr>
          <w:rFonts w:hint="eastAsia" w:ascii="宋体" w:hAnsi="宋体"/>
          <w:color w:val="auto"/>
          <w:sz w:val="24"/>
          <w:highlight w:val="none"/>
        </w:rPr>
        <w:t>商务技术文件</w:t>
      </w:r>
    </w:p>
    <w:p w14:paraId="10D52301">
      <w:pPr>
        <w:spacing w:line="360" w:lineRule="auto"/>
        <w:ind w:firstLine="480" w:firstLineChars="200"/>
        <w:rPr>
          <w:rFonts w:ascii="宋体" w:hAnsi="宋体"/>
          <w:color w:val="auto"/>
          <w:sz w:val="24"/>
          <w:highlight w:val="none"/>
        </w:rPr>
      </w:pPr>
    </w:p>
    <w:p w14:paraId="6324AB99">
      <w:pPr>
        <w:spacing w:line="360" w:lineRule="auto"/>
        <w:ind w:firstLine="480" w:firstLineChars="200"/>
        <w:rPr>
          <w:rFonts w:hint="eastAsia" w:ascii="宋体" w:hAnsi="宋体"/>
          <w:color w:val="auto"/>
          <w:sz w:val="24"/>
          <w:highlight w:val="none"/>
        </w:rPr>
      </w:pPr>
    </w:p>
    <w:p w14:paraId="483A86BF">
      <w:pPr>
        <w:spacing w:line="360" w:lineRule="auto"/>
        <w:ind w:firstLine="480" w:firstLineChars="200"/>
        <w:rPr>
          <w:rFonts w:hint="eastAsia" w:ascii="宋体" w:hAnsi="宋体"/>
          <w:color w:val="auto"/>
          <w:sz w:val="24"/>
          <w:highlight w:val="none"/>
        </w:rPr>
      </w:pPr>
    </w:p>
    <w:p w14:paraId="07E4A53F">
      <w:pPr>
        <w:spacing w:line="360" w:lineRule="auto"/>
        <w:ind w:firstLine="480" w:firstLineChars="200"/>
        <w:rPr>
          <w:rFonts w:hint="eastAsia" w:ascii="宋体" w:hAnsi="宋体"/>
          <w:color w:val="auto"/>
          <w:sz w:val="24"/>
          <w:highlight w:val="none"/>
        </w:rPr>
      </w:pPr>
    </w:p>
    <w:p w14:paraId="4C537D83">
      <w:pPr>
        <w:spacing w:line="360" w:lineRule="auto"/>
        <w:ind w:firstLine="480" w:firstLineChars="200"/>
        <w:rPr>
          <w:rFonts w:hint="eastAsia" w:ascii="宋体" w:hAnsi="宋体"/>
          <w:color w:val="auto"/>
          <w:sz w:val="24"/>
          <w:highlight w:val="none"/>
        </w:rPr>
      </w:pPr>
    </w:p>
    <w:p w14:paraId="2E0EA454">
      <w:pPr>
        <w:spacing w:line="360" w:lineRule="auto"/>
        <w:ind w:firstLine="480" w:firstLineChars="200"/>
        <w:rPr>
          <w:rFonts w:hint="eastAsia" w:ascii="宋体" w:hAnsi="宋体"/>
          <w:color w:val="auto"/>
          <w:sz w:val="24"/>
          <w:highlight w:val="none"/>
        </w:rPr>
      </w:pPr>
    </w:p>
    <w:p w14:paraId="17A2F5C6">
      <w:pPr>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p>
    <w:p w14:paraId="52DF670C">
      <w:pPr>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项目编号</w:t>
      </w:r>
      <w:r>
        <w:rPr>
          <w:rFonts w:hint="eastAsia" w:ascii="宋体" w:hAnsi="宋体"/>
          <w:bCs/>
          <w:color w:val="auto"/>
          <w:sz w:val="24"/>
          <w:highlight w:val="none"/>
        </w:rPr>
        <w:t>：</w:t>
      </w:r>
      <w:r>
        <w:rPr>
          <w:rFonts w:hint="eastAsia" w:ascii="宋体" w:hAnsi="宋体"/>
          <w:color w:val="auto"/>
          <w:sz w:val="24"/>
          <w:highlight w:val="none"/>
          <w:u w:val="single"/>
        </w:rPr>
        <w:t xml:space="preserve">                       </w:t>
      </w:r>
    </w:p>
    <w:p w14:paraId="7103D880">
      <w:pPr>
        <w:snapToGrid w:val="0"/>
        <w:spacing w:line="360" w:lineRule="auto"/>
        <w:ind w:firstLine="480" w:firstLineChars="200"/>
        <w:rPr>
          <w:rFonts w:ascii="宋体" w:hAnsi="宋体"/>
          <w:bCs/>
          <w:color w:val="auto"/>
          <w:sz w:val="24"/>
          <w:highlight w:val="none"/>
        </w:rPr>
      </w:pPr>
      <w:r>
        <w:rPr>
          <w:rFonts w:hint="eastAsia" w:ascii="宋体" w:hAnsi="宋体"/>
          <w:color w:val="auto"/>
          <w:kern w:val="0"/>
          <w:sz w:val="24"/>
          <w:highlight w:val="none"/>
          <w:lang w:val="en-US" w:eastAsia="zh-CN"/>
        </w:rPr>
        <w:t>磋商</w:t>
      </w:r>
      <w:r>
        <w:rPr>
          <w:rFonts w:hint="eastAsia" w:ascii="宋体" w:hAnsi="宋体"/>
          <w:color w:val="auto"/>
          <w:sz w:val="24"/>
          <w:highlight w:val="none"/>
        </w:rPr>
        <w:t>供应商名称</w:t>
      </w:r>
      <w:r>
        <w:rPr>
          <w:rFonts w:hint="eastAsia" w:ascii="宋体" w:hAnsi="宋体"/>
          <w:bCs/>
          <w:color w:val="auto"/>
          <w:sz w:val="24"/>
          <w:highlight w:val="none"/>
        </w:rPr>
        <w:t>：</w:t>
      </w:r>
      <w:r>
        <w:rPr>
          <w:rFonts w:hint="eastAsia" w:ascii="宋体" w:hAnsi="宋体"/>
          <w:color w:val="auto"/>
          <w:sz w:val="24"/>
          <w:highlight w:val="none"/>
          <w:u w:val="single"/>
        </w:rPr>
        <w:t xml:space="preserve">                      </w:t>
      </w:r>
    </w:p>
    <w:p w14:paraId="384C92C0">
      <w:pPr>
        <w:spacing w:line="360" w:lineRule="auto"/>
        <w:jc w:val="center"/>
        <w:rPr>
          <w:rFonts w:ascii="宋体" w:hAnsi="宋体"/>
          <w:color w:val="auto"/>
          <w:sz w:val="24"/>
          <w:highlight w:val="none"/>
        </w:rPr>
      </w:pPr>
      <w:r>
        <w:rPr>
          <w:rFonts w:hint="eastAsia" w:ascii="宋体" w:hAnsi="宋体"/>
          <w:color w:val="auto"/>
          <w:sz w:val="24"/>
          <w:highlight w:val="none"/>
        </w:rPr>
        <w:t xml:space="preserve">                      </w:t>
      </w:r>
    </w:p>
    <w:p w14:paraId="595B57F7">
      <w:pPr>
        <w:snapToGrid w:val="0"/>
        <w:spacing w:line="360" w:lineRule="auto"/>
        <w:jc w:val="center"/>
        <w:rPr>
          <w:rFonts w:ascii="宋体" w:hAnsi="宋体"/>
          <w:color w:val="auto"/>
          <w:sz w:val="24"/>
          <w:highlight w:val="none"/>
        </w:rPr>
      </w:pPr>
      <w:r>
        <w:rPr>
          <w:rFonts w:hint="eastAsia" w:ascii="宋体" w:hAnsi="宋体"/>
          <w:color w:val="auto"/>
          <w:sz w:val="24"/>
          <w:highlight w:val="none"/>
        </w:rPr>
        <w:t xml:space="preserve">                                       年</w:t>
      </w:r>
      <w:r>
        <w:rPr>
          <w:rFonts w:hint="eastAsia" w:ascii="宋体" w:hAnsi="宋体" w:cs="宋体"/>
          <w:color w:val="auto"/>
          <w:sz w:val="24"/>
          <w:highlight w:val="none"/>
        </w:rPr>
        <w:t xml:space="preserve">    </w:t>
      </w:r>
      <w:r>
        <w:rPr>
          <w:rFonts w:hint="eastAsia" w:ascii="宋体" w:hAnsi="宋体"/>
          <w:color w:val="auto"/>
          <w:sz w:val="24"/>
          <w:highlight w:val="none"/>
        </w:rPr>
        <w:t>月    日</w:t>
      </w:r>
    </w:p>
    <w:p w14:paraId="09E8E41B">
      <w:pPr>
        <w:spacing w:line="360" w:lineRule="auto"/>
        <w:ind w:firstLine="3229" w:firstLineChars="1340"/>
        <w:rPr>
          <w:rFonts w:ascii="宋体" w:hAnsi="宋体"/>
          <w:b/>
          <w:color w:val="auto"/>
          <w:sz w:val="24"/>
          <w:highlight w:val="none"/>
        </w:rPr>
      </w:pPr>
    </w:p>
    <w:p w14:paraId="79343A8F">
      <w:pPr>
        <w:spacing w:line="360" w:lineRule="auto"/>
        <w:rPr>
          <w:rFonts w:ascii="宋体" w:hAnsi="宋体"/>
          <w:b/>
          <w:color w:val="auto"/>
          <w:sz w:val="24"/>
          <w:highlight w:val="none"/>
        </w:rPr>
      </w:pPr>
    </w:p>
    <w:p w14:paraId="7D531F69">
      <w:pPr>
        <w:spacing w:line="360" w:lineRule="auto"/>
        <w:rPr>
          <w:rFonts w:ascii="宋体" w:hAnsi="宋体"/>
          <w:b/>
          <w:color w:val="auto"/>
          <w:sz w:val="24"/>
          <w:highlight w:val="none"/>
        </w:rPr>
      </w:pPr>
    </w:p>
    <w:p w14:paraId="08F75803">
      <w:pPr>
        <w:spacing w:line="360" w:lineRule="auto"/>
        <w:rPr>
          <w:rFonts w:ascii="宋体" w:hAnsi="宋体"/>
          <w:b/>
          <w:color w:val="auto"/>
          <w:sz w:val="24"/>
          <w:highlight w:val="none"/>
        </w:rPr>
      </w:pPr>
    </w:p>
    <w:p w14:paraId="661BFA6E">
      <w:pPr>
        <w:spacing w:line="360" w:lineRule="auto"/>
        <w:rPr>
          <w:rFonts w:ascii="宋体" w:hAnsi="宋体"/>
          <w:b/>
          <w:color w:val="auto"/>
          <w:sz w:val="28"/>
          <w:szCs w:val="28"/>
          <w:highlight w:val="none"/>
        </w:rPr>
      </w:pPr>
    </w:p>
    <w:p w14:paraId="40A4D699">
      <w:pPr>
        <w:spacing w:line="360" w:lineRule="auto"/>
        <w:rPr>
          <w:rFonts w:ascii="宋体" w:hAnsi="宋体"/>
          <w:b/>
          <w:color w:val="auto"/>
          <w:sz w:val="28"/>
          <w:szCs w:val="28"/>
          <w:highlight w:val="none"/>
        </w:rPr>
      </w:pPr>
    </w:p>
    <w:p w14:paraId="4D3B1AD1">
      <w:pPr>
        <w:spacing w:line="360" w:lineRule="auto"/>
        <w:rPr>
          <w:rFonts w:ascii="宋体" w:hAnsi="宋体"/>
          <w:b/>
          <w:color w:val="auto"/>
          <w:sz w:val="28"/>
          <w:szCs w:val="28"/>
          <w:highlight w:val="none"/>
        </w:rPr>
      </w:pPr>
      <w:r>
        <w:rPr>
          <w:rFonts w:hint="eastAsia" w:ascii="宋体" w:hAnsi="宋体"/>
          <w:b/>
          <w:color w:val="auto"/>
          <w:sz w:val="28"/>
          <w:szCs w:val="28"/>
          <w:highlight w:val="none"/>
        </w:rPr>
        <w:t>二、附  件</w:t>
      </w:r>
    </w:p>
    <w:p w14:paraId="6F7C4F0E">
      <w:pPr>
        <w:spacing w:line="360" w:lineRule="auto"/>
        <w:rPr>
          <w:rFonts w:ascii="宋体" w:hAnsi="宋体"/>
          <w:color w:val="auto"/>
          <w:szCs w:val="21"/>
          <w:highlight w:val="none"/>
        </w:rPr>
      </w:pPr>
    </w:p>
    <w:p w14:paraId="04628B85">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附件1</w:t>
      </w:r>
    </w:p>
    <w:p w14:paraId="3D02F984">
      <w:pPr>
        <w:adjustRightInd w:val="0"/>
        <w:snapToGrid w:val="0"/>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北海市政府采购供应商信用承诺函（格式）</w:t>
      </w:r>
    </w:p>
    <w:p w14:paraId="7327ECF0">
      <w:pPr>
        <w:widowControl/>
        <w:spacing w:line="360" w:lineRule="auto"/>
        <w:ind w:firstLine="480" w:firstLineChars="200"/>
        <w:jc w:val="left"/>
        <w:rPr>
          <w:rFonts w:ascii="宋体" w:hAnsi="宋体" w:cs="宋体"/>
          <w:color w:val="auto"/>
          <w:kern w:val="0"/>
          <w:sz w:val="24"/>
          <w:highlight w:val="none"/>
        </w:rPr>
      </w:pPr>
    </w:p>
    <w:p w14:paraId="4C177C65">
      <w:pPr>
        <w:widowControl/>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（采购人）、（采购代理机构）：</w:t>
      </w:r>
    </w:p>
    <w:p w14:paraId="4EA432B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olor w:val="auto"/>
          <w:kern w:val="0"/>
          <w:sz w:val="24"/>
          <w:highlight w:val="none"/>
          <w:lang w:val="en-US" w:eastAsia="zh-CN"/>
        </w:rPr>
        <w:t>磋商</w:t>
      </w:r>
      <w:r>
        <w:rPr>
          <w:rFonts w:hint="eastAsia" w:ascii="宋体" w:hAnsi="宋体" w:cs="宋体"/>
          <w:color w:val="auto"/>
          <w:kern w:val="0"/>
          <w:sz w:val="24"/>
          <w:highlight w:val="none"/>
        </w:rPr>
        <w:t>供应商名称：</w:t>
      </w:r>
    </w:p>
    <w:p w14:paraId="4F1A597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统一社会信用代码：</w:t>
      </w:r>
    </w:p>
    <w:p w14:paraId="5EA1919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供应商地址：</w:t>
      </w:r>
    </w:p>
    <w:p w14:paraId="568A56A0">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2F17FB3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1.我单位具有符合采购文件资格要求独立承担民事责任的能力。</w:t>
      </w:r>
    </w:p>
    <w:p w14:paraId="658F450C">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2.我单位具有符合采购文件资格要求的财务状况报告。</w:t>
      </w:r>
    </w:p>
    <w:p w14:paraId="5540134A">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3.我单位具有符合采购文件资格要求的依法缴纳税收和社会保障记录的良好记录。</w:t>
      </w:r>
    </w:p>
    <w:p w14:paraId="361CBD83">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4.我单位具有符合采购文件资格要求履行合同所必需的设备和专业技术能力。</w:t>
      </w:r>
    </w:p>
    <w:p w14:paraId="57CF0B51">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5.参加政府采购活动前三年内，在经营活动中没有重大违法记录。</w:t>
      </w:r>
    </w:p>
    <w:p w14:paraId="5E60DADA">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若我单位承诺不实，自愿承担提供虚假材料谋取成交的法律责任。</w:t>
      </w:r>
    </w:p>
    <w:p w14:paraId="7C2DB543">
      <w:pPr>
        <w:widowControl/>
        <w:spacing w:line="360" w:lineRule="auto"/>
        <w:ind w:firstLine="480" w:firstLineChars="200"/>
        <w:jc w:val="left"/>
        <w:rPr>
          <w:rFonts w:ascii="宋体" w:hAnsi="宋体" w:cs="宋体"/>
          <w:color w:val="auto"/>
          <w:kern w:val="0"/>
          <w:sz w:val="24"/>
          <w:highlight w:val="none"/>
        </w:rPr>
      </w:pPr>
    </w:p>
    <w:p w14:paraId="17D96E29">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96ED1C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AE1DBA0">
      <w:pPr>
        <w:adjustRightInd w:val="0"/>
        <w:snapToGrid w:val="0"/>
        <w:spacing w:line="360" w:lineRule="auto"/>
        <w:ind w:firstLine="360" w:firstLineChars="150"/>
        <w:jc w:val="left"/>
        <w:rPr>
          <w:rFonts w:ascii="宋体" w:hAnsi="宋体"/>
          <w:color w:val="auto"/>
          <w:szCs w:val="21"/>
          <w:highlight w:val="none"/>
          <w:u w:val="single"/>
        </w:rPr>
      </w:pPr>
      <w:r>
        <w:rPr>
          <w:rFonts w:hint="eastAsia" w:ascii="宋体" w:hAnsi="宋体"/>
          <w:color w:val="auto"/>
          <w:sz w:val="24"/>
          <w:highlight w:val="none"/>
        </w:rPr>
        <w:t xml:space="preserve">     日期：  年   月   日</w:t>
      </w:r>
      <w:r>
        <w:rPr>
          <w:rFonts w:hint="eastAsia" w:ascii="宋体" w:hAnsi="宋体"/>
          <w:color w:val="auto"/>
          <w:sz w:val="24"/>
          <w:highlight w:val="none"/>
          <w:u w:val="single"/>
        </w:rPr>
        <w:t xml:space="preserve">                           </w:t>
      </w:r>
      <w:r>
        <w:rPr>
          <w:rFonts w:hint="eastAsia" w:ascii="宋体" w:hAnsi="宋体"/>
          <w:color w:val="auto"/>
          <w:szCs w:val="21"/>
          <w:highlight w:val="none"/>
          <w:u w:val="single"/>
        </w:rPr>
        <w:t xml:space="preserve">    </w:t>
      </w:r>
    </w:p>
    <w:p w14:paraId="0C602619">
      <w:pPr>
        <w:adjustRightInd w:val="0"/>
        <w:snapToGrid w:val="0"/>
        <w:spacing w:line="360" w:lineRule="auto"/>
        <w:ind w:firstLine="315" w:firstLineChars="150"/>
        <w:jc w:val="left"/>
        <w:rPr>
          <w:rFonts w:ascii="宋体" w:hAnsi="宋体"/>
          <w:color w:val="auto"/>
          <w:szCs w:val="21"/>
          <w:highlight w:val="none"/>
          <w:u w:val="single"/>
        </w:rPr>
      </w:pPr>
    </w:p>
    <w:p w14:paraId="19260591">
      <w:pPr>
        <w:adjustRightInd w:val="0"/>
        <w:snapToGrid w:val="0"/>
        <w:spacing w:line="360" w:lineRule="auto"/>
        <w:ind w:firstLine="360" w:firstLineChars="150"/>
        <w:jc w:val="left"/>
        <w:rPr>
          <w:rFonts w:ascii="宋体" w:hAnsi="宋体"/>
          <w:color w:val="auto"/>
          <w:szCs w:val="21"/>
          <w:highlight w:val="none"/>
        </w:rPr>
      </w:pPr>
      <w:r>
        <w:rPr>
          <w:rFonts w:hint="eastAsia" w:ascii="宋体" w:hAnsi="宋体" w:cs="宋体"/>
          <w:color w:val="auto"/>
          <w:kern w:val="0"/>
          <w:sz w:val="24"/>
          <w:highlight w:val="none"/>
        </w:rPr>
        <w:t>注：供应商须在响应文件中按此模板提供承诺函，未提供视为未实质性响应采购文件要求，按无效响应处理。</w:t>
      </w:r>
    </w:p>
    <w:p w14:paraId="31828AEF">
      <w:pPr>
        <w:spacing w:line="360" w:lineRule="auto"/>
        <w:ind w:left="420" w:hanging="420"/>
        <w:rPr>
          <w:rFonts w:ascii="宋体" w:hAnsi="宋体"/>
          <w:b/>
          <w:color w:val="auto"/>
          <w:highlight w:val="none"/>
        </w:rPr>
        <w:sectPr>
          <w:footerReference r:id="rId5" w:type="default"/>
          <w:pgSz w:w="11907" w:h="16839"/>
          <w:pgMar w:top="1431" w:right="1272" w:bottom="1364" w:left="1418" w:header="850" w:footer="1204" w:gutter="0"/>
          <w:pgBorders>
            <w:top w:val="none" w:sz="0" w:space="0"/>
            <w:left w:val="none" w:sz="0" w:space="0"/>
            <w:bottom w:val="none" w:sz="0" w:space="0"/>
            <w:right w:val="none" w:sz="0" w:space="0"/>
          </w:pgBorders>
          <w:pgNumType w:fmt="decimal" w:start="1"/>
          <w:cols w:space="720" w:num="1"/>
          <w:docGrid w:linePitch="286" w:charSpace="0"/>
        </w:sectPr>
      </w:pPr>
    </w:p>
    <w:p w14:paraId="4097E81B">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附件2</w:t>
      </w:r>
    </w:p>
    <w:p w14:paraId="4EA501C7">
      <w:pPr>
        <w:pStyle w:val="28"/>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竞标函及竞标函附录</w:t>
      </w:r>
    </w:p>
    <w:p w14:paraId="3E05A0BB">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auto"/>
          <w:sz w:val="28"/>
          <w:szCs w:val="28"/>
          <w:highlight w:val="none"/>
        </w:rPr>
      </w:pPr>
    </w:p>
    <w:p w14:paraId="1ADC5133">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auto"/>
          <w:sz w:val="28"/>
          <w:szCs w:val="28"/>
          <w:highlight w:val="none"/>
        </w:rPr>
      </w:pPr>
      <w:r>
        <w:rPr>
          <w:rFonts w:hint="eastAsia" w:ascii="宋体" w:hAnsi="宋体" w:cs="宋体"/>
          <w:b/>
          <w:bCs/>
          <w:color w:val="auto"/>
          <w:sz w:val="28"/>
          <w:szCs w:val="28"/>
          <w:highlight w:val="none"/>
        </w:rPr>
        <w:t>（一）竞标函</w:t>
      </w:r>
    </w:p>
    <w:p w14:paraId="0B86544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567C53E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（采购人）、（采购代理机构）：</w:t>
      </w:r>
    </w:p>
    <w:p w14:paraId="7EF4AB5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1.我方已仔细研究了</w:t>
      </w:r>
      <w:r>
        <w:rPr>
          <w:rFonts w:hint="eastAsia" w:ascii="宋体" w:hAnsi="宋体" w:cs="宋体"/>
          <w:color w:val="auto"/>
          <w:sz w:val="24"/>
          <w:highlight w:val="none"/>
          <w:u w:val="single"/>
        </w:rPr>
        <w:t xml:space="preserve">          （项目名称、项目编号：）          </w:t>
      </w:r>
      <w:r>
        <w:rPr>
          <w:rFonts w:hint="eastAsia" w:ascii="宋体" w:hAnsi="宋体" w:cs="宋体"/>
          <w:color w:val="auto"/>
          <w:sz w:val="24"/>
          <w:highlight w:val="none"/>
        </w:rPr>
        <w:t>磋商文件的全部内容，愿意以人民币（大写）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的竞标总报价，工期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，按合同约定实施和完成承包工程，修补工程中的任何缺陷，工程质量达到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716A6D9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2.我方承认竞标函附录是我方竞标函的组成部分。</w:t>
      </w:r>
    </w:p>
    <w:p w14:paraId="6B4A322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3.如我方成交：</w:t>
      </w:r>
    </w:p>
    <w:p w14:paraId="31C5FEC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（1）我方承诺在收到成交通知书后，在成交通知书规定的期限内与你方签订合同。</w:t>
      </w:r>
    </w:p>
    <w:p w14:paraId="5D4A04C2">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（2）在签订合同时不向你方提出附加条件。</w:t>
      </w:r>
    </w:p>
    <w:p w14:paraId="50CCFB1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（3）我方承诺按照磋商文件规定向你方递交履约担保。</w:t>
      </w:r>
    </w:p>
    <w:p w14:paraId="5D0CD15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（4）我方承诺在合同约定的期限内完成并移交全部合同工程。</w:t>
      </w:r>
    </w:p>
    <w:p w14:paraId="41E9690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4.在合同协议书正式签署生效之前，本竞标函连同你方的成交通知书将构成我们双方之间共同遵守的文件，对双方具有约束力。</w:t>
      </w:r>
    </w:p>
    <w:p w14:paraId="3C3C2BC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5.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（其他补充说明）。                                                                                           </w:t>
      </w:r>
    </w:p>
    <w:p w14:paraId="23AFF73E">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7DB81230">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7D646171">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4194EAA7">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609A09A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EE43B60">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36AAB62">
      <w:pPr>
        <w:spacing w:line="360" w:lineRule="auto"/>
        <w:ind w:left="3222"/>
        <w:rPr>
          <w:rFonts w:ascii="宋体" w:hAnsi="宋体"/>
          <w:color w:val="auto"/>
          <w:sz w:val="24"/>
          <w:highlight w:val="none"/>
        </w:rPr>
      </w:pPr>
    </w:p>
    <w:p w14:paraId="50CBE2F8">
      <w:pPr>
        <w:spacing w:line="360" w:lineRule="auto"/>
        <w:ind w:left="3222"/>
        <w:rPr>
          <w:rFonts w:ascii="宋体" w:hAnsi="宋体"/>
          <w:color w:val="auto"/>
          <w:sz w:val="24"/>
          <w:highlight w:val="none"/>
        </w:rPr>
      </w:pPr>
    </w:p>
    <w:p w14:paraId="18050C0F">
      <w:pPr>
        <w:spacing w:line="360" w:lineRule="auto"/>
        <w:ind w:left="3222"/>
        <w:rPr>
          <w:rFonts w:ascii="宋体" w:hAnsi="宋体"/>
          <w:color w:val="auto"/>
          <w:sz w:val="24"/>
          <w:highlight w:val="none"/>
        </w:rPr>
      </w:pPr>
    </w:p>
    <w:p w14:paraId="72F97DCD">
      <w:pPr>
        <w:pStyle w:val="19"/>
        <w:rPr>
          <w:color w:val="auto"/>
          <w:highlight w:val="none"/>
        </w:rPr>
      </w:pPr>
    </w:p>
    <w:p w14:paraId="5619E374">
      <w:pPr>
        <w:spacing w:line="360" w:lineRule="auto"/>
        <w:ind w:left="3222"/>
        <w:rPr>
          <w:rFonts w:ascii="宋体" w:hAnsi="宋体" w:cs="宋体"/>
          <w:b/>
          <w:bCs/>
          <w:color w:val="auto"/>
          <w:sz w:val="31"/>
          <w:szCs w:val="31"/>
          <w:highlight w:val="none"/>
        </w:rPr>
      </w:pPr>
      <w:r>
        <w:rPr>
          <w:rFonts w:hint="eastAsia" w:ascii="宋体" w:hAnsi="宋体" w:cs="宋体"/>
          <w:b/>
          <w:bCs/>
          <w:color w:val="auto"/>
          <w:spacing w:val="-12"/>
          <w:sz w:val="31"/>
          <w:szCs w:val="31"/>
          <w:highlight w:val="none"/>
        </w:rPr>
        <w:t>（二） 竞标函附录</w:t>
      </w:r>
    </w:p>
    <w:tbl>
      <w:tblPr>
        <w:tblStyle w:val="38"/>
        <w:tblpPr w:leftFromText="180" w:rightFromText="180" w:vertAnchor="text" w:horzAnchor="page" w:tblpX="1516" w:tblpY="271"/>
        <w:tblOverlap w:val="never"/>
        <w:tblW w:w="89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2386"/>
        <w:gridCol w:w="1395"/>
        <w:gridCol w:w="2966"/>
        <w:gridCol w:w="1516"/>
      </w:tblGrid>
      <w:tr w14:paraId="45CB0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95" w:type="dxa"/>
            <w:shd w:val="clear" w:color="auto" w:fill="auto"/>
            <w:vAlign w:val="center"/>
          </w:tcPr>
          <w:p w14:paraId="4361CB3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序号</w:t>
            </w:r>
          </w:p>
        </w:tc>
        <w:tc>
          <w:tcPr>
            <w:tcW w:w="2386" w:type="dxa"/>
            <w:shd w:val="clear" w:color="auto" w:fill="auto"/>
            <w:vAlign w:val="center"/>
          </w:tcPr>
          <w:p w14:paraId="5135424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条款内容</w:t>
            </w:r>
          </w:p>
        </w:tc>
        <w:tc>
          <w:tcPr>
            <w:tcW w:w="1395" w:type="dxa"/>
            <w:shd w:val="clear" w:color="auto" w:fill="auto"/>
            <w:vAlign w:val="center"/>
          </w:tcPr>
          <w:p w14:paraId="21E7FAA1">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合同条款号</w:t>
            </w:r>
          </w:p>
        </w:tc>
        <w:tc>
          <w:tcPr>
            <w:tcW w:w="2966" w:type="dxa"/>
            <w:shd w:val="clear" w:color="auto" w:fill="auto"/>
            <w:vAlign w:val="center"/>
          </w:tcPr>
          <w:p w14:paraId="4E34875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约定内容</w:t>
            </w:r>
          </w:p>
        </w:tc>
        <w:tc>
          <w:tcPr>
            <w:tcW w:w="1516" w:type="dxa"/>
            <w:shd w:val="clear" w:color="auto" w:fill="auto"/>
            <w:vAlign w:val="center"/>
          </w:tcPr>
          <w:p w14:paraId="26C226B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供应商承诺</w:t>
            </w:r>
          </w:p>
        </w:tc>
      </w:tr>
      <w:tr w14:paraId="0D112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2BA9E7B3">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w:t>
            </w:r>
          </w:p>
        </w:tc>
        <w:tc>
          <w:tcPr>
            <w:tcW w:w="2386" w:type="dxa"/>
            <w:shd w:val="clear" w:color="auto" w:fill="auto"/>
            <w:vAlign w:val="center"/>
          </w:tcPr>
          <w:p w14:paraId="5C968EA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项目经理</w:t>
            </w:r>
          </w:p>
        </w:tc>
        <w:tc>
          <w:tcPr>
            <w:tcW w:w="1395" w:type="dxa"/>
            <w:shd w:val="clear" w:color="auto" w:fill="auto"/>
            <w:vAlign w:val="center"/>
          </w:tcPr>
          <w:p w14:paraId="637AF9F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E523F81">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姓名：</w:t>
            </w:r>
          </w:p>
        </w:tc>
        <w:tc>
          <w:tcPr>
            <w:tcW w:w="1516" w:type="dxa"/>
            <w:shd w:val="clear" w:color="auto" w:fill="auto"/>
            <w:vAlign w:val="center"/>
          </w:tcPr>
          <w:p w14:paraId="794F3EF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6E509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73CF991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2</w:t>
            </w:r>
          </w:p>
        </w:tc>
        <w:tc>
          <w:tcPr>
            <w:tcW w:w="2386" w:type="dxa"/>
            <w:shd w:val="clear" w:color="auto" w:fill="auto"/>
            <w:vAlign w:val="center"/>
          </w:tcPr>
          <w:p w14:paraId="62497E3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竞标有效期</w:t>
            </w:r>
          </w:p>
        </w:tc>
        <w:tc>
          <w:tcPr>
            <w:tcW w:w="1395" w:type="dxa"/>
            <w:shd w:val="clear" w:color="auto" w:fill="auto"/>
            <w:vAlign w:val="center"/>
          </w:tcPr>
          <w:p w14:paraId="2044745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tc>
        <w:tc>
          <w:tcPr>
            <w:tcW w:w="2966" w:type="dxa"/>
            <w:shd w:val="clear" w:color="auto" w:fill="auto"/>
            <w:vAlign w:val="center"/>
          </w:tcPr>
          <w:p w14:paraId="4A2B5E32">
            <w:pPr>
              <w:widowControl/>
              <w:kinsoku w:val="0"/>
              <w:autoSpaceDE w:val="0"/>
              <w:autoSpaceDN w:val="0"/>
              <w:adjustRightInd w:val="0"/>
              <w:snapToGrid w:val="0"/>
              <w:spacing w:line="360" w:lineRule="auto"/>
              <w:ind w:firstLine="1920" w:firstLineChars="8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日历天</w:t>
            </w:r>
          </w:p>
        </w:tc>
        <w:tc>
          <w:tcPr>
            <w:tcW w:w="1516" w:type="dxa"/>
            <w:shd w:val="clear" w:color="auto" w:fill="auto"/>
            <w:vAlign w:val="center"/>
          </w:tcPr>
          <w:p w14:paraId="0EAEA8F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54210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1F63EB8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3</w:t>
            </w:r>
          </w:p>
        </w:tc>
        <w:tc>
          <w:tcPr>
            <w:tcW w:w="2386" w:type="dxa"/>
            <w:shd w:val="clear" w:color="auto" w:fill="auto"/>
            <w:vAlign w:val="center"/>
          </w:tcPr>
          <w:p w14:paraId="3E804ADC">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工期</w:t>
            </w:r>
          </w:p>
        </w:tc>
        <w:tc>
          <w:tcPr>
            <w:tcW w:w="1395" w:type="dxa"/>
            <w:shd w:val="clear" w:color="auto" w:fill="auto"/>
            <w:vAlign w:val="center"/>
          </w:tcPr>
          <w:p w14:paraId="0AB1332F">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66E53B4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7107712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3B1D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95" w:type="dxa"/>
            <w:shd w:val="clear" w:color="auto" w:fill="auto"/>
            <w:vAlign w:val="center"/>
          </w:tcPr>
          <w:p w14:paraId="4BFBF7F6">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4</w:t>
            </w:r>
          </w:p>
        </w:tc>
        <w:tc>
          <w:tcPr>
            <w:tcW w:w="2386" w:type="dxa"/>
            <w:shd w:val="clear" w:color="auto" w:fill="auto"/>
            <w:vAlign w:val="center"/>
          </w:tcPr>
          <w:p w14:paraId="68EC589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缺陷责任期</w:t>
            </w:r>
          </w:p>
        </w:tc>
        <w:tc>
          <w:tcPr>
            <w:tcW w:w="1395" w:type="dxa"/>
            <w:shd w:val="clear" w:color="auto" w:fill="auto"/>
            <w:vAlign w:val="center"/>
          </w:tcPr>
          <w:p w14:paraId="7F74CEA2">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222557C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674D181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A64E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48854190">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5</w:t>
            </w:r>
          </w:p>
        </w:tc>
        <w:tc>
          <w:tcPr>
            <w:tcW w:w="2386" w:type="dxa"/>
            <w:shd w:val="clear" w:color="auto" w:fill="auto"/>
            <w:vAlign w:val="center"/>
          </w:tcPr>
          <w:p w14:paraId="38EB889E">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发包人支付担保</w:t>
            </w:r>
          </w:p>
        </w:tc>
        <w:tc>
          <w:tcPr>
            <w:tcW w:w="1395" w:type="dxa"/>
            <w:shd w:val="clear" w:color="auto" w:fill="auto"/>
            <w:vAlign w:val="center"/>
          </w:tcPr>
          <w:p w14:paraId="5C9D4D2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18F648B2">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6FCFD25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9920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95" w:type="dxa"/>
            <w:shd w:val="clear" w:color="auto" w:fill="auto"/>
            <w:vAlign w:val="center"/>
          </w:tcPr>
          <w:p w14:paraId="766E964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6</w:t>
            </w:r>
          </w:p>
        </w:tc>
        <w:tc>
          <w:tcPr>
            <w:tcW w:w="2386" w:type="dxa"/>
            <w:shd w:val="clear" w:color="auto" w:fill="auto"/>
            <w:vAlign w:val="center"/>
          </w:tcPr>
          <w:p w14:paraId="59C6057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承包人履约担保金额</w:t>
            </w:r>
          </w:p>
        </w:tc>
        <w:tc>
          <w:tcPr>
            <w:tcW w:w="1395" w:type="dxa"/>
            <w:shd w:val="clear" w:color="auto" w:fill="auto"/>
            <w:vAlign w:val="center"/>
          </w:tcPr>
          <w:p w14:paraId="3C78C65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38A3D73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200D21E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1C031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14A7A36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7</w:t>
            </w:r>
          </w:p>
        </w:tc>
        <w:tc>
          <w:tcPr>
            <w:tcW w:w="2386" w:type="dxa"/>
            <w:shd w:val="clear" w:color="auto" w:fill="auto"/>
            <w:vAlign w:val="center"/>
          </w:tcPr>
          <w:p w14:paraId="608BE43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分包</w:t>
            </w:r>
          </w:p>
        </w:tc>
        <w:tc>
          <w:tcPr>
            <w:tcW w:w="1395" w:type="dxa"/>
            <w:shd w:val="clear" w:color="auto" w:fill="auto"/>
            <w:vAlign w:val="center"/>
          </w:tcPr>
          <w:p w14:paraId="180AC28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BED4B78">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不允许</w:t>
            </w:r>
          </w:p>
        </w:tc>
        <w:tc>
          <w:tcPr>
            <w:tcW w:w="1516" w:type="dxa"/>
            <w:shd w:val="clear" w:color="auto" w:fill="auto"/>
            <w:vAlign w:val="center"/>
          </w:tcPr>
          <w:p w14:paraId="24F49D7B">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05AE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48CA2E01">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8</w:t>
            </w:r>
          </w:p>
        </w:tc>
        <w:tc>
          <w:tcPr>
            <w:tcW w:w="2386" w:type="dxa"/>
            <w:shd w:val="clear" w:color="auto" w:fill="auto"/>
            <w:vAlign w:val="center"/>
          </w:tcPr>
          <w:p w14:paraId="1A5F08A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逾期竣工违约金</w:t>
            </w:r>
          </w:p>
        </w:tc>
        <w:tc>
          <w:tcPr>
            <w:tcW w:w="1395" w:type="dxa"/>
            <w:shd w:val="clear" w:color="auto" w:fill="auto"/>
            <w:vAlign w:val="center"/>
          </w:tcPr>
          <w:p w14:paraId="4F963BA2">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50D8C0B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B0A10A1">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271E0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95" w:type="dxa"/>
            <w:shd w:val="clear" w:color="auto" w:fill="auto"/>
            <w:vAlign w:val="center"/>
          </w:tcPr>
          <w:p w14:paraId="3BC9052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9</w:t>
            </w:r>
          </w:p>
        </w:tc>
        <w:tc>
          <w:tcPr>
            <w:tcW w:w="2386" w:type="dxa"/>
            <w:shd w:val="clear" w:color="auto" w:fill="auto"/>
            <w:vAlign w:val="center"/>
          </w:tcPr>
          <w:p w14:paraId="13E32F8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逾期竣工违约金的上限</w:t>
            </w:r>
          </w:p>
        </w:tc>
        <w:tc>
          <w:tcPr>
            <w:tcW w:w="1395" w:type="dxa"/>
            <w:shd w:val="clear" w:color="auto" w:fill="auto"/>
            <w:vAlign w:val="center"/>
          </w:tcPr>
          <w:p w14:paraId="38E6B4D3">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4AF8E4F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581299B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374BB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2AA9BBCA">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10</w:t>
            </w:r>
          </w:p>
        </w:tc>
        <w:tc>
          <w:tcPr>
            <w:tcW w:w="2386" w:type="dxa"/>
            <w:shd w:val="clear" w:color="auto" w:fill="auto"/>
            <w:vAlign w:val="center"/>
          </w:tcPr>
          <w:p w14:paraId="5042A9EB">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质量标准</w:t>
            </w:r>
          </w:p>
        </w:tc>
        <w:tc>
          <w:tcPr>
            <w:tcW w:w="1395" w:type="dxa"/>
            <w:shd w:val="clear" w:color="auto" w:fill="auto"/>
            <w:vAlign w:val="center"/>
          </w:tcPr>
          <w:p w14:paraId="267A0380">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7F1E6CE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62E0679">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64597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689337B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11</w:t>
            </w:r>
          </w:p>
        </w:tc>
        <w:tc>
          <w:tcPr>
            <w:tcW w:w="2386" w:type="dxa"/>
            <w:shd w:val="clear" w:color="auto" w:fill="auto"/>
            <w:vAlign w:val="center"/>
          </w:tcPr>
          <w:p w14:paraId="6581FB8F">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预付款额度</w:t>
            </w:r>
          </w:p>
        </w:tc>
        <w:tc>
          <w:tcPr>
            <w:tcW w:w="1395" w:type="dxa"/>
            <w:shd w:val="clear" w:color="auto" w:fill="auto"/>
            <w:vAlign w:val="center"/>
          </w:tcPr>
          <w:p w14:paraId="21ED4836">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2016DCC8">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48D97CB4">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93E5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76FAC63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12</w:t>
            </w:r>
          </w:p>
        </w:tc>
        <w:tc>
          <w:tcPr>
            <w:tcW w:w="2386" w:type="dxa"/>
            <w:shd w:val="clear" w:color="auto" w:fill="auto"/>
            <w:vAlign w:val="center"/>
          </w:tcPr>
          <w:p w14:paraId="1512FDB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预付款保函金额</w:t>
            </w:r>
          </w:p>
        </w:tc>
        <w:tc>
          <w:tcPr>
            <w:tcW w:w="1395" w:type="dxa"/>
            <w:shd w:val="clear" w:color="auto" w:fill="auto"/>
            <w:vAlign w:val="center"/>
          </w:tcPr>
          <w:p w14:paraId="27E74C48">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1DAC847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mc:AlternateContent>
                <mc:Choice Requires="wps">
                  <w:drawing>
                    <wp:anchor distT="0" distB="0" distL="114300" distR="114300" simplePos="0" relativeHeight="251660288" behindDoc="0" locked="0" layoutInCell="1" allowOverlap="1">
                      <wp:simplePos x="0" y="0"/>
                      <wp:positionH relativeFrom="page">
                        <wp:posOffset>4598670</wp:posOffset>
                      </wp:positionH>
                      <wp:positionV relativeFrom="page">
                        <wp:posOffset>6225540</wp:posOffset>
                      </wp:positionV>
                      <wp:extent cx="67310" cy="6350"/>
                      <wp:effectExtent l="0" t="0" r="0" b="0"/>
                      <wp:wrapNone/>
                      <wp:docPr id="6" name="矩形 6"/>
                      <wp:cNvGraphicFramePr/>
                      <a:graphic xmlns:a="http://schemas.openxmlformats.org/drawingml/2006/main">
                        <a:graphicData uri="http://schemas.microsoft.com/office/word/2010/wordprocessingShape">
                          <wps:wsp>
                            <wps:cNvSpPr/>
                            <wps:spPr>
                              <a:xfrm>
                                <a:off x="0" y="0"/>
                                <a:ext cx="6731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62.1pt;margin-top:490.2pt;height:0.5pt;width:5.3pt;mso-position-horizontal-relative:page;mso-position-vertical-relative:page;z-index:251660288;mso-width-relative:page;mso-height-relative:page;" fillcolor="#000000" filled="t" stroked="f" coordsize="21600,21600" o:gfxdata="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zxk&#10;INoAAAALAQAADwAAAAAAAAABACAAAAAiAAAAZHJzL2Rvd25yZXYueG1sUEsBAhQAFAAAAAgAh07i&#10;QKbwq1OuAQAAWwMAAA4AAAAAAAAAAQAgAAAAKQEAAGRycy9lMm9Eb2MueG1sUEsFBgAAAAAGAAYA&#10;WQEAAEkFAAAAAA==&#10;">
                      <v:fill on="t" focussize="0,0"/>
                      <v:stroke on="f"/>
                      <v:imagedata o:title=""/>
                      <o:lock v:ext="edit" aspectratio="f"/>
                    </v:rect>
                  </w:pict>
                </mc:Fallback>
              </mc:AlternateContent>
            </w:r>
          </w:p>
        </w:tc>
        <w:tc>
          <w:tcPr>
            <w:tcW w:w="1516" w:type="dxa"/>
            <w:shd w:val="clear" w:color="auto" w:fill="auto"/>
            <w:vAlign w:val="center"/>
          </w:tcPr>
          <w:p w14:paraId="228F9A73">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378B1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27E2434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13</w:t>
            </w:r>
          </w:p>
        </w:tc>
        <w:tc>
          <w:tcPr>
            <w:tcW w:w="2386" w:type="dxa"/>
            <w:shd w:val="clear" w:color="auto" w:fill="auto"/>
            <w:vAlign w:val="center"/>
          </w:tcPr>
          <w:p w14:paraId="7FD7EE63">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质量保证金额度</w:t>
            </w:r>
          </w:p>
        </w:tc>
        <w:tc>
          <w:tcPr>
            <w:tcW w:w="1395" w:type="dxa"/>
            <w:shd w:val="clear" w:color="auto" w:fill="auto"/>
            <w:vAlign w:val="center"/>
          </w:tcPr>
          <w:p w14:paraId="5A292849">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276BA82D">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5CAE313F">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0D8C9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1809BC1D">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p w14:paraId="53A9E2AF">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w:t>
            </w:r>
          </w:p>
        </w:tc>
        <w:tc>
          <w:tcPr>
            <w:tcW w:w="2386" w:type="dxa"/>
            <w:shd w:val="clear" w:color="auto" w:fill="auto"/>
            <w:vAlign w:val="center"/>
          </w:tcPr>
          <w:p w14:paraId="7DF501D7">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p w14:paraId="12584AE5">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w:t>
            </w:r>
          </w:p>
        </w:tc>
        <w:tc>
          <w:tcPr>
            <w:tcW w:w="1395" w:type="dxa"/>
            <w:shd w:val="clear" w:color="auto" w:fill="auto"/>
            <w:vAlign w:val="center"/>
          </w:tcPr>
          <w:p w14:paraId="76D8F33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p>
        </w:tc>
        <w:tc>
          <w:tcPr>
            <w:tcW w:w="2966" w:type="dxa"/>
            <w:shd w:val="clear" w:color="auto" w:fill="auto"/>
            <w:vAlign w:val="center"/>
          </w:tcPr>
          <w:p w14:paraId="2735B78C">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c>
          <w:tcPr>
            <w:tcW w:w="1516" w:type="dxa"/>
            <w:shd w:val="clear" w:color="auto" w:fill="auto"/>
            <w:vAlign w:val="center"/>
          </w:tcPr>
          <w:p w14:paraId="13993F77">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tc>
      </w:tr>
      <w:tr w14:paraId="5E487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958" w:type="dxa"/>
            <w:gridSpan w:val="5"/>
            <w:shd w:val="clear" w:color="auto" w:fill="auto"/>
            <w:vAlign w:val="center"/>
          </w:tcPr>
          <w:p w14:paraId="564594A5">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说明： 供应商在响应磋商文件中规定的实质性要求和条件的基础上，可做出其他有利于采购人的承诺。此类承诺可在本表中予以补充填写。</w:t>
            </w:r>
          </w:p>
        </w:tc>
      </w:tr>
    </w:tbl>
    <w:p w14:paraId="35F6DADA">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p>
    <w:p w14:paraId="6CBF692E">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590F980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018488B">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2D21B89B">
      <w:pPr>
        <w:spacing w:line="360" w:lineRule="auto"/>
        <w:jc w:val="left"/>
        <w:rPr>
          <w:rFonts w:ascii="宋体" w:hAnsi="宋体" w:cs="宋体"/>
          <w:b/>
          <w:bCs/>
          <w:color w:val="auto"/>
          <w:spacing w:val="7"/>
          <w:sz w:val="24"/>
          <w:highlight w:val="none"/>
        </w:rPr>
      </w:pPr>
    </w:p>
    <w:p w14:paraId="16AFA6B2">
      <w:pPr>
        <w:rPr>
          <w:rFonts w:hint="eastAsia" w:ascii="宋体" w:hAnsi="宋体" w:cs="宋体"/>
          <w:b/>
          <w:bCs/>
          <w:color w:val="auto"/>
          <w:spacing w:val="7"/>
          <w:sz w:val="24"/>
          <w:highlight w:val="none"/>
        </w:rPr>
      </w:pPr>
      <w:r>
        <w:rPr>
          <w:rFonts w:hint="eastAsia" w:ascii="宋体" w:hAnsi="宋体" w:cs="宋体"/>
          <w:b/>
          <w:bCs/>
          <w:color w:val="auto"/>
          <w:spacing w:val="7"/>
          <w:sz w:val="24"/>
          <w:highlight w:val="none"/>
        </w:rPr>
        <w:br w:type="page"/>
      </w:r>
    </w:p>
    <w:p w14:paraId="49B4B8B3">
      <w:pPr>
        <w:spacing w:line="360" w:lineRule="auto"/>
        <w:jc w:val="left"/>
        <w:rPr>
          <w:rFonts w:ascii="宋体" w:hAnsi="宋体" w:cs="宋体"/>
          <w:b/>
          <w:bCs/>
          <w:color w:val="auto"/>
          <w:spacing w:val="7"/>
          <w:sz w:val="24"/>
          <w:highlight w:val="none"/>
        </w:rPr>
      </w:pPr>
      <w:r>
        <w:rPr>
          <w:rFonts w:hint="eastAsia" w:ascii="宋体" w:hAnsi="宋体" w:cs="宋体"/>
          <w:b/>
          <w:bCs/>
          <w:color w:val="auto"/>
          <w:spacing w:val="7"/>
          <w:sz w:val="24"/>
          <w:highlight w:val="none"/>
        </w:rPr>
        <w:t>附件3</w:t>
      </w:r>
    </w:p>
    <w:p w14:paraId="6BFE10F0">
      <w:pPr>
        <w:spacing w:line="360" w:lineRule="auto"/>
        <w:ind w:left="3643"/>
        <w:rPr>
          <w:rFonts w:ascii="宋体" w:hAnsi="宋体" w:cs="宋体"/>
          <w:b/>
          <w:bCs/>
          <w:color w:val="auto"/>
          <w:sz w:val="31"/>
          <w:szCs w:val="31"/>
          <w:highlight w:val="none"/>
        </w:rPr>
      </w:pPr>
      <w:r>
        <w:rPr>
          <w:rFonts w:hint="eastAsia" w:ascii="宋体" w:hAnsi="宋体" w:cs="宋体"/>
          <w:b/>
          <w:bCs/>
          <w:color w:val="auto"/>
          <w:spacing w:val="7"/>
          <w:sz w:val="31"/>
          <w:szCs w:val="31"/>
          <w:highlight w:val="none"/>
        </w:rPr>
        <w:t>竞标报价表</w:t>
      </w:r>
    </w:p>
    <w:p w14:paraId="03A397C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项目名称：                  项目编号：                    </w:t>
      </w:r>
    </w:p>
    <w:p w14:paraId="5E270B1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 xml:space="preserve">供应商名称：                                            </w:t>
      </w:r>
    </w:p>
    <w:p w14:paraId="64ACF28F">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单位：元</w:t>
      </w:r>
    </w:p>
    <w:tbl>
      <w:tblPr>
        <w:tblStyle w:val="38"/>
        <w:tblW w:w="8803"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3121"/>
        <w:gridCol w:w="1984"/>
        <w:gridCol w:w="1710"/>
      </w:tblGrid>
      <w:tr w14:paraId="6DC1F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109" w:type="dxa"/>
            <w:gridSpan w:val="2"/>
            <w:shd w:val="clear" w:color="auto" w:fill="auto"/>
            <w:vAlign w:val="center"/>
          </w:tcPr>
          <w:p w14:paraId="45CC549D">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磋商报价</w:t>
            </w:r>
          </w:p>
        </w:tc>
        <w:tc>
          <w:tcPr>
            <w:tcW w:w="1984" w:type="dxa"/>
            <w:shd w:val="clear" w:color="auto" w:fill="auto"/>
            <w:vAlign w:val="center"/>
          </w:tcPr>
          <w:p w14:paraId="1200102E">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3A193D62">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备注</w:t>
            </w:r>
          </w:p>
        </w:tc>
      </w:tr>
      <w:tr w14:paraId="0D635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988" w:type="dxa"/>
            <w:vMerge w:val="restart"/>
            <w:tcBorders>
              <w:bottom w:val="nil"/>
            </w:tcBorders>
            <w:shd w:val="clear" w:color="auto" w:fill="auto"/>
            <w:vAlign w:val="center"/>
          </w:tcPr>
          <w:p w14:paraId="73D6830A">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p>
          <w:p w14:paraId="6DEAB852">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其中</w:t>
            </w:r>
          </w:p>
        </w:tc>
        <w:tc>
          <w:tcPr>
            <w:tcW w:w="3121" w:type="dxa"/>
            <w:shd w:val="clear" w:color="auto" w:fill="auto"/>
            <w:vAlign w:val="center"/>
          </w:tcPr>
          <w:p w14:paraId="73DE9129">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安全文明施工费</w:t>
            </w:r>
          </w:p>
        </w:tc>
        <w:tc>
          <w:tcPr>
            <w:tcW w:w="1984" w:type="dxa"/>
            <w:shd w:val="clear" w:color="auto" w:fill="auto"/>
            <w:vAlign w:val="center"/>
          </w:tcPr>
          <w:p w14:paraId="0713908C">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48FB94EA">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79BCE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736A978C">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402DEDAF">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发包人提供材料（如有）</w:t>
            </w:r>
          </w:p>
        </w:tc>
        <w:tc>
          <w:tcPr>
            <w:tcW w:w="1984" w:type="dxa"/>
            <w:shd w:val="clear" w:color="auto" w:fill="auto"/>
            <w:vAlign w:val="center"/>
          </w:tcPr>
          <w:p w14:paraId="187E80C5">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6D5A4E52">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3FB84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988" w:type="dxa"/>
            <w:vMerge w:val="continue"/>
            <w:tcBorders>
              <w:top w:val="nil"/>
              <w:bottom w:val="nil"/>
            </w:tcBorders>
            <w:shd w:val="clear" w:color="auto" w:fill="auto"/>
            <w:vAlign w:val="center"/>
          </w:tcPr>
          <w:p w14:paraId="6A2667F9">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6322BFBE">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rPr>
              <w:t>承包人提供材料（设备）暂估价</w:t>
            </w:r>
            <w:r>
              <w:rPr>
                <w:rFonts w:hint="eastAsia" w:ascii="宋体" w:hAnsi="宋体" w:cs="宋体"/>
                <w:color w:val="auto"/>
                <w:sz w:val="24"/>
                <w:highlight w:val="none"/>
                <w:lang w:eastAsia="en-US"/>
              </w:rPr>
              <w:t>（如有）</w:t>
            </w:r>
          </w:p>
        </w:tc>
        <w:tc>
          <w:tcPr>
            <w:tcW w:w="1984" w:type="dxa"/>
            <w:shd w:val="clear" w:color="auto" w:fill="auto"/>
            <w:vAlign w:val="center"/>
          </w:tcPr>
          <w:p w14:paraId="04AAAB39">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75FE1677">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075C1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13901E0A">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2C77174A">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rPr>
            </w:pPr>
            <w:r>
              <w:rPr>
                <w:rFonts w:hint="eastAsia" w:ascii="宋体" w:hAnsi="宋体" w:cs="宋体"/>
                <w:color w:val="auto"/>
                <w:sz w:val="24"/>
                <w:highlight w:val="none"/>
              </w:rPr>
              <w:t>暂估专业工程（如有）</w:t>
            </w:r>
          </w:p>
        </w:tc>
        <w:tc>
          <w:tcPr>
            <w:tcW w:w="1984" w:type="dxa"/>
            <w:shd w:val="clear" w:color="auto" w:fill="auto"/>
            <w:vAlign w:val="center"/>
          </w:tcPr>
          <w:p w14:paraId="0969A964">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76191FCE">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r w14:paraId="42AAE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988" w:type="dxa"/>
            <w:vMerge w:val="continue"/>
            <w:tcBorders>
              <w:top w:val="nil"/>
            </w:tcBorders>
            <w:shd w:val="clear" w:color="auto" w:fill="auto"/>
            <w:vAlign w:val="center"/>
          </w:tcPr>
          <w:p w14:paraId="6A083675">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c>
          <w:tcPr>
            <w:tcW w:w="3121" w:type="dxa"/>
            <w:shd w:val="clear" w:color="auto" w:fill="auto"/>
            <w:vAlign w:val="center"/>
          </w:tcPr>
          <w:p w14:paraId="20EF0BF9">
            <w:pPr>
              <w:widowControl/>
              <w:kinsoku w:val="0"/>
              <w:autoSpaceDE w:val="0"/>
              <w:autoSpaceDN w:val="0"/>
              <w:adjustRightInd w:val="0"/>
              <w:snapToGrid w:val="0"/>
              <w:spacing w:line="360" w:lineRule="auto"/>
              <w:ind w:firstLine="480" w:firstLineChars="200"/>
              <w:jc w:val="left"/>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暂列金额（如有）</w:t>
            </w:r>
          </w:p>
        </w:tc>
        <w:tc>
          <w:tcPr>
            <w:tcW w:w="1984" w:type="dxa"/>
            <w:shd w:val="clear" w:color="auto" w:fill="auto"/>
            <w:vAlign w:val="center"/>
          </w:tcPr>
          <w:p w14:paraId="568B3627">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元</w:t>
            </w:r>
          </w:p>
        </w:tc>
        <w:tc>
          <w:tcPr>
            <w:tcW w:w="1710" w:type="dxa"/>
            <w:shd w:val="clear" w:color="auto" w:fill="auto"/>
            <w:vAlign w:val="center"/>
          </w:tcPr>
          <w:p w14:paraId="5950EEE8">
            <w:pPr>
              <w:widowControl/>
              <w:kinsoku w:val="0"/>
              <w:autoSpaceDE w:val="0"/>
              <w:autoSpaceDN w:val="0"/>
              <w:adjustRightInd w:val="0"/>
              <w:snapToGrid w:val="0"/>
              <w:spacing w:line="360" w:lineRule="auto"/>
              <w:ind w:firstLine="480" w:firstLineChars="200"/>
              <w:jc w:val="center"/>
              <w:textAlignment w:val="baseline"/>
              <w:rPr>
                <w:rFonts w:ascii="宋体" w:hAnsi="宋体" w:cs="宋体"/>
                <w:color w:val="auto"/>
                <w:sz w:val="24"/>
                <w:highlight w:val="none"/>
              </w:rPr>
            </w:pPr>
          </w:p>
        </w:tc>
      </w:tr>
    </w:tbl>
    <w:p w14:paraId="4CB0F94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注:</w:t>
      </w:r>
    </w:p>
    <w:p w14:paraId="1A4B6CE6">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 供应商的报价表使用电子签名，否则其响应文件按无效处理。</w:t>
      </w:r>
    </w:p>
    <w:p w14:paraId="5CC3163D">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 报价一经涂改，应在涂改处使用电子签名，或由法定代表人或者授权委托人签字，否则其响应文件按无效处理。</w:t>
      </w:r>
    </w:p>
    <w:p w14:paraId="78522B2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3.如为联合体竞标，“供应商名称”处必须列明联合体各方名称，标注联合体牵头人名称，否则其响应文件按无效处理。</w:t>
      </w:r>
    </w:p>
    <w:p w14:paraId="78DDA2E3">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4. 如为联合体竞标，须使用联合体牵头人电子签名，否则其响应文件按无效处理。</w:t>
      </w:r>
    </w:p>
    <w:p w14:paraId="7B8C6557">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5.如有多分标，分别列明各分标的报价表，否则其响应文件按无效处理。</w:t>
      </w:r>
    </w:p>
    <w:p w14:paraId="703DC55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08A81B57">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57155A70">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DD88090">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262A8AB">
      <w:pPr>
        <w:spacing w:line="360" w:lineRule="auto"/>
        <w:rPr>
          <w:rFonts w:ascii="宋体" w:hAnsi="宋体"/>
          <w:b/>
          <w:bCs/>
          <w:color w:val="auto"/>
          <w:sz w:val="24"/>
          <w:highlight w:val="none"/>
        </w:rPr>
      </w:pPr>
    </w:p>
    <w:p w14:paraId="42234E62">
      <w:pPr>
        <w:spacing w:line="360" w:lineRule="auto"/>
        <w:rPr>
          <w:rFonts w:ascii="宋体" w:hAnsi="宋体"/>
          <w:b/>
          <w:bCs/>
          <w:color w:val="auto"/>
          <w:sz w:val="24"/>
          <w:highlight w:val="none"/>
        </w:rPr>
      </w:pPr>
    </w:p>
    <w:p w14:paraId="45B35CF7">
      <w:pPr>
        <w:spacing w:line="360" w:lineRule="auto"/>
        <w:rPr>
          <w:rFonts w:hint="eastAsia" w:ascii="宋体" w:hAnsi="宋体"/>
          <w:b/>
          <w:bCs/>
          <w:color w:val="auto"/>
          <w:sz w:val="24"/>
          <w:highlight w:val="none"/>
        </w:rPr>
      </w:pPr>
    </w:p>
    <w:p w14:paraId="0AF9EC0D">
      <w:pPr>
        <w:spacing w:line="360" w:lineRule="auto"/>
        <w:rPr>
          <w:rFonts w:hint="eastAsia" w:ascii="宋体" w:hAnsi="宋体"/>
          <w:b/>
          <w:bCs/>
          <w:color w:val="auto"/>
          <w:sz w:val="24"/>
          <w:highlight w:val="none"/>
        </w:rPr>
      </w:pPr>
    </w:p>
    <w:p w14:paraId="5AE22027">
      <w:pPr>
        <w:spacing w:line="360" w:lineRule="auto"/>
        <w:rPr>
          <w:rFonts w:ascii="宋体" w:hAnsi="宋体"/>
          <w:b/>
          <w:bCs/>
          <w:color w:val="auto"/>
          <w:sz w:val="24"/>
          <w:highlight w:val="none"/>
        </w:rPr>
      </w:pPr>
      <w:r>
        <w:rPr>
          <w:rFonts w:hint="eastAsia" w:ascii="宋体" w:hAnsi="宋体"/>
          <w:b/>
          <w:bCs/>
          <w:color w:val="auto"/>
          <w:sz w:val="24"/>
          <w:highlight w:val="none"/>
        </w:rPr>
        <w:t>附件4</w:t>
      </w:r>
    </w:p>
    <w:p w14:paraId="1139F201">
      <w:pPr>
        <w:widowControl/>
        <w:kinsoku w:val="0"/>
        <w:autoSpaceDE w:val="0"/>
        <w:autoSpaceDN w:val="0"/>
        <w:adjustRightInd w:val="0"/>
        <w:snapToGrid w:val="0"/>
        <w:spacing w:line="360" w:lineRule="auto"/>
        <w:ind w:firstLine="562" w:firstLineChars="200"/>
        <w:jc w:val="center"/>
        <w:textAlignment w:val="baseline"/>
        <w:rPr>
          <w:rFonts w:ascii="宋体" w:hAnsi="宋体" w:cs="宋体"/>
          <w:b/>
          <w:bCs/>
          <w:color w:val="auto"/>
          <w:sz w:val="28"/>
          <w:szCs w:val="28"/>
          <w:highlight w:val="none"/>
        </w:rPr>
      </w:pPr>
    </w:p>
    <w:p w14:paraId="4E391EFC">
      <w:pPr>
        <w:widowControl/>
        <w:kinsoku w:val="0"/>
        <w:autoSpaceDE w:val="0"/>
        <w:autoSpaceDN w:val="0"/>
        <w:adjustRightInd w:val="0"/>
        <w:snapToGrid w:val="0"/>
        <w:spacing w:line="360" w:lineRule="auto"/>
        <w:ind w:firstLine="482" w:firstLineChars="200"/>
        <w:jc w:val="center"/>
        <w:textAlignment w:val="baseline"/>
        <w:rPr>
          <w:rFonts w:ascii="宋体" w:hAnsi="宋体" w:cs="宋体"/>
          <w:b/>
          <w:bCs/>
          <w:color w:val="auto"/>
          <w:sz w:val="24"/>
          <w:highlight w:val="none"/>
        </w:rPr>
      </w:pPr>
      <w:r>
        <w:rPr>
          <w:rFonts w:hint="eastAsia" w:ascii="宋体" w:hAnsi="宋体" w:cs="宋体"/>
          <w:b/>
          <w:bCs/>
          <w:color w:val="auto"/>
          <w:sz w:val="24"/>
          <w:highlight w:val="none"/>
        </w:rPr>
        <w:t>已标价工程量清单</w:t>
      </w:r>
    </w:p>
    <w:p w14:paraId="3CC1E76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1.已标价工程量清单应按第四章“工程量清单及图纸”中的相关表格及竞标报价说明填写。构成合同文件的已标价工程量清单包括第四章“工程量清单及图纸”有关工程量清单、竞标报价以及其他说明的内容。</w:t>
      </w:r>
    </w:p>
    <w:p w14:paraId="697188B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2.一般计税法建设工程已标价工程量清单表格按《关于建筑业实施营业税改征增值税后广西壮族自治区建设工程计价依据调整的通知》（桂建标〔2016〕17 号）附件“增值税一般计税方法工程计价表”要求提供，简易计税法表格按《&lt;建设工程工程量清单计价规范&gt;（</w:t>
      </w:r>
      <w:r>
        <w:rPr>
          <w:rFonts w:ascii="宋体" w:hAnsi="宋体" w:eastAsia="宋体" w:cs="宋体"/>
          <w:color w:val="auto"/>
          <w:sz w:val="24"/>
          <w:szCs w:val="24"/>
          <w:highlight w:val="none"/>
        </w:rPr>
        <w:t>GB/T50500-2024</w:t>
      </w:r>
      <w:r>
        <w:rPr>
          <w:rFonts w:hint="eastAsia" w:ascii="宋体" w:hAnsi="宋体" w:cs="宋体"/>
          <w:color w:val="auto"/>
          <w:sz w:val="24"/>
          <w:highlight w:val="none"/>
        </w:rPr>
        <w:t>）广西壮族自治区实施细则》要求的表格提供，但规费和税费按照《关于建筑业实施营业税改征增值税后广西壮族自治区建设工程计价依据调整的通知》（桂建标〔2016〕17 号）、《自治区住房城乡建设厅关于调整建设工程计价增值税税率的通知》（桂建标〔2018〕14 号）、《自治区住房城乡建设厅关于调整建设工程计价增值税税率的通知》（桂建标〔2019〕12 号）调整，具体内容以工程量清单为准。</w:t>
      </w:r>
    </w:p>
    <w:p w14:paraId="0D1929A5">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5157D1DF">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p>
    <w:p w14:paraId="441F1C6D">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p>
    <w:p w14:paraId="045BCC74">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r>
        <w:rPr>
          <w:rFonts w:hint="eastAsia" w:ascii="宋体" w:hAnsi="宋体" w:cs="宋体"/>
          <w:b/>
          <w:bCs/>
          <w:color w:val="auto"/>
          <w:sz w:val="24"/>
          <w:highlight w:val="none"/>
        </w:rPr>
        <w:t>备注：</w:t>
      </w:r>
    </w:p>
    <w:p w14:paraId="0394FCDF">
      <w:pPr>
        <w:widowControl/>
        <w:kinsoku w:val="0"/>
        <w:autoSpaceDE w:val="0"/>
        <w:autoSpaceDN w:val="0"/>
        <w:adjustRightInd w:val="0"/>
        <w:snapToGrid w:val="0"/>
        <w:spacing w:line="360" w:lineRule="auto"/>
        <w:ind w:firstLine="482" w:firstLineChars="200"/>
        <w:textAlignment w:val="baseline"/>
        <w:rPr>
          <w:rFonts w:ascii="宋体" w:hAnsi="宋体" w:cs="宋体"/>
          <w:b/>
          <w:bCs/>
          <w:color w:val="auto"/>
          <w:sz w:val="24"/>
          <w:highlight w:val="none"/>
        </w:rPr>
      </w:pPr>
      <w:r>
        <w:rPr>
          <w:rFonts w:hint="eastAsia" w:ascii="宋体" w:hAnsi="宋体" w:cs="宋体"/>
          <w:b/>
          <w:bCs/>
          <w:color w:val="auto"/>
          <w:sz w:val="24"/>
          <w:highlight w:val="none"/>
        </w:rPr>
        <w:t>（1）供应商在上传竞标报价文件时应上传纸质竞标总价封面的原件扫描件。报标总价封面必须经供应商盖章，并由法定代表人（或其授权人）签字（或盖章），同时由编制人签字盖专用章，否则按无效磋商处理。</w:t>
      </w:r>
    </w:p>
    <w:p w14:paraId="35444255">
      <w:pPr>
        <w:spacing w:line="360" w:lineRule="auto"/>
        <w:ind w:firstLine="482" w:firstLineChars="200"/>
        <w:rPr>
          <w:rFonts w:ascii="宋体" w:hAnsi="宋体"/>
          <w:b/>
          <w:color w:val="auto"/>
          <w:sz w:val="24"/>
          <w:highlight w:val="none"/>
        </w:rPr>
        <w:sectPr>
          <w:pgSz w:w="11907" w:h="16839"/>
          <w:pgMar w:top="1431" w:right="1272" w:bottom="1364" w:left="1418" w:header="850" w:footer="1204" w:gutter="0"/>
          <w:pgBorders>
            <w:top w:val="none" w:sz="0" w:space="0"/>
            <w:left w:val="none" w:sz="0" w:space="0"/>
            <w:bottom w:val="none" w:sz="0" w:space="0"/>
            <w:right w:val="none" w:sz="0" w:space="0"/>
          </w:pgBorders>
          <w:pgNumType w:fmt="decimal"/>
          <w:cols w:space="720" w:num="1"/>
          <w:docGrid w:linePitch="286" w:charSpace="0"/>
        </w:sectPr>
      </w:pPr>
      <w:r>
        <w:rPr>
          <w:rFonts w:hint="eastAsia" w:ascii="宋体" w:hAnsi="宋体" w:cs="宋体"/>
          <w:b/>
          <w:bCs/>
          <w:color w:val="auto"/>
          <w:sz w:val="24"/>
          <w:highlight w:val="none"/>
        </w:rPr>
        <w:t>（2）已标价工程量清单表格要严格按照工程量清单给出的表格要求和内容填报，否则按无效磋商处理。</w:t>
      </w:r>
    </w:p>
    <w:p w14:paraId="43005C96">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附件5</w:t>
      </w:r>
    </w:p>
    <w:p w14:paraId="6D1F3D31">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磋 商 书</w:t>
      </w:r>
    </w:p>
    <w:p w14:paraId="3945B472">
      <w:pPr>
        <w:spacing w:line="360" w:lineRule="auto"/>
        <w:jc w:val="center"/>
        <w:rPr>
          <w:rFonts w:ascii="宋体" w:hAnsi="宋体"/>
          <w:b/>
          <w:color w:val="auto"/>
          <w:sz w:val="24"/>
          <w:highlight w:val="none"/>
        </w:rPr>
      </w:pPr>
    </w:p>
    <w:p w14:paraId="0A71B844">
      <w:pPr>
        <w:pStyle w:val="24"/>
        <w:spacing w:line="360" w:lineRule="auto"/>
        <w:rPr>
          <w:rFonts w:hAnsi="宋体"/>
          <w:color w:val="auto"/>
          <w:sz w:val="24"/>
          <w:szCs w:val="24"/>
          <w:highlight w:val="none"/>
        </w:rPr>
      </w:pPr>
      <w:r>
        <w:rPr>
          <w:rFonts w:hint="eastAsia" w:hAnsi="宋体"/>
          <w:color w:val="auto"/>
          <w:sz w:val="24"/>
          <w:szCs w:val="24"/>
          <w:highlight w:val="none"/>
        </w:rPr>
        <w:t>（采购人）、（采购代理机构）：</w:t>
      </w:r>
    </w:p>
    <w:p w14:paraId="64CD0304">
      <w:pPr>
        <w:pStyle w:val="24"/>
        <w:spacing w:line="360" w:lineRule="auto"/>
        <w:ind w:firstLine="480"/>
        <w:rPr>
          <w:rFonts w:hAnsi="宋体"/>
          <w:color w:val="auto"/>
          <w:sz w:val="24"/>
          <w:szCs w:val="24"/>
          <w:highlight w:val="none"/>
        </w:rPr>
      </w:pPr>
      <w:r>
        <w:rPr>
          <w:rFonts w:hint="eastAsia" w:hAnsi="宋体"/>
          <w:color w:val="auto"/>
          <w:sz w:val="24"/>
          <w:szCs w:val="24"/>
          <w:highlight w:val="none"/>
        </w:rPr>
        <w:t>依据贵方</w:t>
      </w:r>
      <w:r>
        <w:rPr>
          <w:rFonts w:hint="eastAsia" w:hAnsi="宋体"/>
          <w:color w:val="auto"/>
          <w:sz w:val="24"/>
          <w:szCs w:val="24"/>
          <w:highlight w:val="none"/>
          <w:u w:val="single"/>
        </w:rPr>
        <w:t>（项目名称/项目编号）</w:t>
      </w:r>
      <w:r>
        <w:rPr>
          <w:rFonts w:hint="eastAsia" w:hAnsi="宋体"/>
          <w:color w:val="auto"/>
          <w:sz w:val="24"/>
          <w:szCs w:val="24"/>
          <w:highlight w:val="none"/>
        </w:rPr>
        <w:t>项目政府采购的磋商邀请，我方</w:t>
      </w:r>
      <w:r>
        <w:rPr>
          <w:rFonts w:hint="eastAsia" w:hAnsi="宋体"/>
          <w:color w:val="auto"/>
          <w:sz w:val="24"/>
          <w:szCs w:val="24"/>
          <w:highlight w:val="none"/>
          <w:u w:val="single"/>
        </w:rPr>
        <w:t>（姓名和职务）</w:t>
      </w:r>
      <w:r>
        <w:rPr>
          <w:rFonts w:hint="eastAsia" w:hAnsi="宋体"/>
          <w:color w:val="auto"/>
          <w:sz w:val="24"/>
          <w:szCs w:val="24"/>
          <w:highlight w:val="none"/>
        </w:rPr>
        <w:t>经正式授权并代表本单位</w:t>
      </w:r>
      <w:r>
        <w:rPr>
          <w:rFonts w:hint="eastAsia" w:hAnsi="宋体"/>
          <w:color w:val="auto"/>
          <w:sz w:val="24"/>
          <w:szCs w:val="24"/>
          <w:highlight w:val="none"/>
          <w:u w:val="single"/>
        </w:rPr>
        <w:t>（供应商名称、地址）</w:t>
      </w:r>
      <w:r>
        <w:rPr>
          <w:rFonts w:hint="eastAsia" w:hAnsi="宋体"/>
          <w:color w:val="auto"/>
          <w:sz w:val="24"/>
          <w:szCs w:val="24"/>
          <w:highlight w:val="none"/>
        </w:rPr>
        <w:t>提交下述竞争性磋商响应文件</w:t>
      </w:r>
      <w:r>
        <w:rPr>
          <w:rFonts w:hint="eastAsia" w:hAnsi="宋体"/>
          <w:b/>
          <w:color w:val="auto"/>
          <w:sz w:val="24"/>
          <w:szCs w:val="24"/>
          <w:highlight w:val="none"/>
        </w:rPr>
        <w:t>（资格文件、价格文件、商务技术文件）</w:t>
      </w:r>
      <w:r>
        <w:rPr>
          <w:rFonts w:hint="eastAsia" w:hAnsi="宋体"/>
          <w:color w:val="auto"/>
          <w:sz w:val="24"/>
          <w:szCs w:val="24"/>
          <w:highlight w:val="none"/>
        </w:rPr>
        <w:t>。</w:t>
      </w:r>
    </w:p>
    <w:p w14:paraId="7C1CBE38">
      <w:pPr>
        <w:pStyle w:val="24"/>
        <w:spacing w:line="360" w:lineRule="auto"/>
        <w:ind w:firstLine="480"/>
        <w:rPr>
          <w:rFonts w:hAnsi="宋体"/>
          <w:color w:val="auto"/>
          <w:sz w:val="24"/>
          <w:szCs w:val="24"/>
          <w:highlight w:val="none"/>
        </w:rPr>
      </w:pPr>
      <w:r>
        <w:rPr>
          <w:rFonts w:hint="eastAsia" w:hAnsi="宋体"/>
          <w:color w:val="auto"/>
          <w:sz w:val="24"/>
          <w:szCs w:val="24"/>
          <w:highlight w:val="none"/>
        </w:rPr>
        <w:t>1. 报价表；</w:t>
      </w:r>
    </w:p>
    <w:p w14:paraId="1D71B45D">
      <w:pPr>
        <w:pStyle w:val="24"/>
        <w:spacing w:line="360" w:lineRule="auto"/>
        <w:ind w:firstLine="480"/>
        <w:rPr>
          <w:rFonts w:hAnsi="宋体"/>
          <w:color w:val="auto"/>
          <w:sz w:val="24"/>
          <w:szCs w:val="24"/>
          <w:highlight w:val="none"/>
        </w:rPr>
      </w:pPr>
      <w:r>
        <w:rPr>
          <w:rFonts w:hint="eastAsia" w:hAnsi="宋体"/>
          <w:color w:val="auto"/>
          <w:sz w:val="24"/>
          <w:szCs w:val="24"/>
          <w:highlight w:val="none"/>
        </w:rPr>
        <w:t xml:space="preserve">2. 资格证明文件； </w:t>
      </w:r>
    </w:p>
    <w:p w14:paraId="63F205D0">
      <w:pPr>
        <w:pStyle w:val="24"/>
        <w:spacing w:line="360" w:lineRule="auto"/>
        <w:ind w:firstLine="480"/>
        <w:rPr>
          <w:rFonts w:hAnsi="宋体"/>
          <w:color w:val="auto"/>
          <w:sz w:val="24"/>
          <w:szCs w:val="24"/>
          <w:highlight w:val="none"/>
        </w:rPr>
      </w:pPr>
      <w:r>
        <w:rPr>
          <w:rFonts w:hint="eastAsia" w:hAnsi="宋体"/>
          <w:color w:val="auto"/>
          <w:sz w:val="24"/>
          <w:szCs w:val="24"/>
          <w:highlight w:val="none"/>
        </w:rPr>
        <w:t>3. 按竞争性磋商文件供应商须知和采购需求提供的有关文件。</w:t>
      </w:r>
    </w:p>
    <w:p w14:paraId="28850E38">
      <w:pPr>
        <w:pStyle w:val="24"/>
        <w:spacing w:line="360" w:lineRule="auto"/>
        <w:ind w:firstLine="360" w:firstLineChars="150"/>
        <w:rPr>
          <w:rFonts w:hAnsi="宋体"/>
          <w:color w:val="auto"/>
          <w:sz w:val="24"/>
          <w:szCs w:val="24"/>
          <w:highlight w:val="none"/>
        </w:rPr>
      </w:pPr>
      <w:r>
        <w:rPr>
          <w:rFonts w:hint="eastAsia" w:hAnsi="宋体"/>
          <w:color w:val="auto"/>
          <w:sz w:val="24"/>
          <w:szCs w:val="24"/>
          <w:highlight w:val="none"/>
        </w:rPr>
        <w:t>在此，授权代表宣布同意如下：</w:t>
      </w:r>
    </w:p>
    <w:p w14:paraId="1C425240">
      <w:pPr>
        <w:pStyle w:val="24"/>
        <w:spacing w:line="360" w:lineRule="auto"/>
        <w:ind w:firstLine="480" w:firstLineChars="200"/>
        <w:rPr>
          <w:rFonts w:hAnsi="宋体"/>
          <w:color w:val="auto"/>
          <w:sz w:val="24"/>
          <w:szCs w:val="24"/>
          <w:highlight w:val="none"/>
        </w:rPr>
      </w:pPr>
      <w:r>
        <w:rPr>
          <w:rFonts w:hint="eastAsia" w:hAnsi="宋体"/>
          <w:color w:val="auto"/>
          <w:sz w:val="24"/>
          <w:szCs w:val="24"/>
          <w:highlight w:val="none"/>
        </w:rPr>
        <w:t>1. 将按竞争性磋商文件的约定履行合同责任和义务；</w:t>
      </w:r>
    </w:p>
    <w:p w14:paraId="19E80476">
      <w:pPr>
        <w:pStyle w:val="24"/>
        <w:spacing w:line="360" w:lineRule="auto"/>
        <w:ind w:firstLine="480" w:firstLineChars="200"/>
        <w:rPr>
          <w:rFonts w:hAnsi="宋体"/>
          <w:color w:val="auto"/>
          <w:sz w:val="24"/>
          <w:szCs w:val="24"/>
          <w:highlight w:val="none"/>
        </w:rPr>
      </w:pPr>
      <w:r>
        <w:rPr>
          <w:rFonts w:hint="eastAsia" w:hAnsi="宋体"/>
          <w:color w:val="auto"/>
          <w:sz w:val="24"/>
          <w:szCs w:val="24"/>
          <w:highlight w:val="none"/>
        </w:rPr>
        <w:t>2. 已详细审查全部竞争性磋商文件，包括</w:t>
      </w:r>
      <w:r>
        <w:rPr>
          <w:rFonts w:hint="eastAsia" w:hAnsi="宋体"/>
          <w:color w:val="auto"/>
          <w:sz w:val="24"/>
          <w:szCs w:val="24"/>
          <w:highlight w:val="none"/>
          <w:u w:val="single"/>
        </w:rPr>
        <w:t>（补遗文件）（如果有的话）</w:t>
      </w:r>
      <w:r>
        <w:rPr>
          <w:rFonts w:hint="eastAsia" w:hAnsi="宋体"/>
          <w:color w:val="auto"/>
          <w:sz w:val="24"/>
          <w:szCs w:val="24"/>
          <w:highlight w:val="none"/>
        </w:rPr>
        <w:t>；</w:t>
      </w:r>
    </w:p>
    <w:p w14:paraId="3DAB6533">
      <w:pPr>
        <w:pStyle w:val="24"/>
        <w:spacing w:line="360" w:lineRule="auto"/>
        <w:ind w:firstLine="480" w:firstLineChars="200"/>
        <w:rPr>
          <w:rFonts w:hAnsi="宋体"/>
          <w:color w:val="auto"/>
          <w:sz w:val="24"/>
          <w:szCs w:val="24"/>
          <w:highlight w:val="none"/>
        </w:rPr>
      </w:pPr>
      <w:r>
        <w:rPr>
          <w:rFonts w:hint="eastAsia" w:hAnsi="宋体"/>
          <w:color w:val="auto"/>
          <w:sz w:val="24"/>
          <w:szCs w:val="24"/>
          <w:highlight w:val="none"/>
        </w:rPr>
        <w:t>3. 同意提供按照贵方可能要求的与其磋商有关的一切数据或资料；</w:t>
      </w:r>
    </w:p>
    <w:p w14:paraId="4F8CE85D">
      <w:pPr>
        <w:pStyle w:val="24"/>
        <w:spacing w:line="360" w:lineRule="auto"/>
        <w:ind w:firstLine="480" w:firstLineChars="200"/>
        <w:rPr>
          <w:rFonts w:hAnsi="宋体"/>
          <w:color w:val="auto"/>
          <w:sz w:val="24"/>
          <w:szCs w:val="24"/>
          <w:highlight w:val="none"/>
          <w:u w:val="single"/>
        </w:rPr>
      </w:pPr>
      <w:r>
        <w:rPr>
          <w:rFonts w:hint="eastAsia" w:hAnsi="宋体"/>
          <w:color w:val="auto"/>
          <w:sz w:val="24"/>
          <w:szCs w:val="24"/>
          <w:highlight w:val="none"/>
        </w:rPr>
        <w:t>4. 与本磋商有关的一切正式往来信函请寄：</w:t>
      </w:r>
      <w:r>
        <w:rPr>
          <w:rFonts w:hint="eastAsia" w:hAnsi="宋体"/>
          <w:color w:val="auto"/>
          <w:sz w:val="24"/>
          <w:szCs w:val="24"/>
          <w:highlight w:val="none"/>
          <w:u w:val="single"/>
        </w:rPr>
        <w:t xml:space="preserve">                       </w:t>
      </w:r>
    </w:p>
    <w:p w14:paraId="54826F56">
      <w:pPr>
        <w:pStyle w:val="24"/>
        <w:spacing w:line="360" w:lineRule="auto"/>
        <w:ind w:firstLine="840"/>
        <w:rPr>
          <w:rFonts w:hAnsi="宋体"/>
          <w:color w:val="auto"/>
          <w:sz w:val="24"/>
          <w:szCs w:val="24"/>
          <w:highlight w:val="none"/>
          <w:u w:val="single"/>
        </w:rPr>
      </w:pPr>
      <w:r>
        <w:rPr>
          <w:rFonts w:hint="eastAsia" w:hAnsi="宋体"/>
          <w:color w:val="auto"/>
          <w:sz w:val="24"/>
          <w:szCs w:val="24"/>
          <w:highlight w:val="none"/>
        </w:rPr>
        <w:t>开户银行：</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帐号/行号：</w:t>
      </w:r>
      <w:r>
        <w:rPr>
          <w:rFonts w:hint="eastAsia" w:hAnsi="宋体"/>
          <w:color w:val="auto"/>
          <w:sz w:val="24"/>
          <w:szCs w:val="24"/>
          <w:highlight w:val="none"/>
          <w:u w:val="single"/>
        </w:rPr>
        <w:t xml:space="preserve">          </w:t>
      </w:r>
    </w:p>
    <w:p w14:paraId="286E5031">
      <w:pPr>
        <w:pStyle w:val="24"/>
        <w:spacing w:line="360" w:lineRule="auto"/>
        <w:ind w:firstLine="840"/>
        <w:rPr>
          <w:rFonts w:hAnsi="宋体"/>
          <w:color w:val="auto"/>
          <w:sz w:val="24"/>
          <w:szCs w:val="24"/>
          <w:highlight w:val="none"/>
        </w:rPr>
      </w:pPr>
      <w:r>
        <w:rPr>
          <w:rFonts w:hint="eastAsia" w:hAnsi="宋体"/>
          <w:color w:val="auto"/>
          <w:sz w:val="24"/>
          <w:szCs w:val="24"/>
          <w:highlight w:val="none"/>
        </w:rPr>
        <w:t>电话/传真：</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电子函件：</w:t>
      </w:r>
      <w:r>
        <w:rPr>
          <w:rFonts w:hint="eastAsia" w:hAnsi="宋体"/>
          <w:color w:val="auto"/>
          <w:sz w:val="24"/>
          <w:szCs w:val="24"/>
          <w:highlight w:val="none"/>
          <w:u w:val="single"/>
        </w:rPr>
        <w:t xml:space="preserve">             </w:t>
      </w:r>
      <w:r>
        <w:rPr>
          <w:rFonts w:hint="eastAsia" w:hAnsi="宋体"/>
          <w:color w:val="auto"/>
          <w:sz w:val="24"/>
          <w:szCs w:val="24"/>
          <w:highlight w:val="none"/>
        </w:rPr>
        <w:t xml:space="preserve">              </w:t>
      </w:r>
    </w:p>
    <w:p w14:paraId="4ECC40EE">
      <w:pPr>
        <w:pStyle w:val="24"/>
        <w:spacing w:line="360" w:lineRule="auto"/>
        <w:ind w:firstLine="840"/>
        <w:rPr>
          <w:rFonts w:hAnsi="宋体"/>
          <w:color w:val="auto"/>
          <w:sz w:val="24"/>
          <w:szCs w:val="24"/>
          <w:highlight w:val="none"/>
          <w:u w:val="single"/>
        </w:rPr>
      </w:pPr>
      <w:r>
        <w:rPr>
          <w:rFonts w:hint="eastAsia" w:hAnsi="宋体"/>
          <w:color w:val="auto"/>
          <w:sz w:val="24"/>
          <w:szCs w:val="24"/>
          <w:highlight w:val="none"/>
        </w:rPr>
        <w:t>日期：</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p>
    <w:p w14:paraId="6CA519D4">
      <w:pPr>
        <w:adjustRightInd w:val="0"/>
        <w:snapToGrid w:val="0"/>
        <w:spacing w:line="360" w:lineRule="auto"/>
        <w:ind w:firstLine="1440" w:firstLineChars="600"/>
        <w:jc w:val="left"/>
        <w:rPr>
          <w:rFonts w:ascii="宋体" w:hAnsi="宋体"/>
          <w:color w:val="auto"/>
          <w:sz w:val="24"/>
          <w:highlight w:val="none"/>
        </w:rPr>
      </w:pPr>
    </w:p>
    <w:p w14:paraId="654F57C5">
      <w:pPr>
        <w:adjustRightInd w:val="0"/>
        <w:snapToGrid w:val="0"/>
        <w:spacing w:line="360" w:lineRule="auto"/>
        <w:ind w:firstLine="1440" w:firstLineChars="600"/>
        <w:jc w:val="left"/>
        <w:rPr>
          <w:rFonts w:ascii="宋体" w:hAnsi="宋体"/>
          <w:color w:val="auto"/>
          <w:sz w:val="24"/>
          <w:highlight w:val="none"/>
        </w:rPr>
      </w:pPr>
    </w:p>
    <w:p w14:paraId="042CB739">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429B059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3F389F57">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FD996AA">
      <w:pPr>
        <w:pStyle w:val="24"/>
        <w:spacing w:line="360" w:lineRule="auto"/>
        <w:ind w:firstLine="840"/>
        <w:rPr>
          <w:rFonts w:hAnsi="宋体"/>
          <w:color w:val="auto"/>
          <w:sz w:val="24"/>
          <w:szCs w:val="24"/>
          <w:highlight w:val="none"/>
        </w:rPr>
      </w:pPr>
      <w:r>
        <w:rPr>
          <w:rFonts w:hint="eastAsia" w:hAnsi="宋体"/>
          <w:color w:val="auto"/>
          <w:sz w:val="24"/>
          <w:szCs w:val="24"/>
          <w:highlight w:val="none"/>
        </w:rPr>
        <w:t xml:space="preserve">                         </w:t>
      </w:r>
    </w:p>
    <w:p w14:paraId="20667F2E">
      <w:pPr>
        <w:spacing w:line="360" w:lineRule="auto"/>
        <w:rPr>
          <w:rFonts w:ascii="宋体" w:hAnsi="宋体"/>
          <w:color w:val="auto"/>
          <w:sz w:val="24"/>
          <w:highlight w:val="none"/>
        </w:rPr>
      </w:pPr>
    </w:p>
    <w:p w14:paraId="4A78C074">
      <w:pPr>
        <w:spacing w:line="360" w:lineRule="auto"/>
        <w:rPr>
          <w:rFonts w:ascii="宋体" w:hAnsi="宋体"/>
          <w:color w:val="auto"/>
          <w:highlight w:val="none"/>
        </w:rPr>
      </w:pPr>
    </w:p>
    <w:p w14:paraId="51B0DCE6">
      <w:pPr>
        <w:spacing w:line="360" w:lineRule="auto"/>
        <w:rPr>
          <w:rFonts w:ascii="宋体" w:hAnsi="宋体"/>
          <w:color w:val="auto"/>
          <w:highlight w:val="none"/>
        </w:rPr>
      </w:pPr>
    </w:p>
    <w:p w14:paraId="58DCADA9">
      <w:pPr>
        <w:spacing w:line="360" w:lineRule="auto"/>
        <w:ind w:left="420" w:hanging="420"/>
        <w:rPr>
          <w:rFonts w:ascii="宋体" w:hAnsi="宋体"/>
          <w:color w:val="auto"/>
          <w:highlight w:val="none"/>
        </w:rPr>
      </w:pPr>
    </w:p>
    <w:p w14:paraId="2A41588C">
      <w:pPr>
        <w:spacing w:line="360" w:lineRule="auto"/>
        <w:ind w:left="420" w:hanging="420"/>
        <w:rPr>
          <w:rFonts w:ascii="宋体" w:hAnsi="宋体"/>
          <w:b/>
          <w:color w:val="auto"/>
          <w:highlight w:val="none"/>
        </w:rPr>
      </w:pPr>
      <w:r>
        <w:rPr>
          <w:rFonts w:hint="eastAsia" w:ascii="宋体" w:hAnsi="宋体"/>
          <w:color w:val="auto"/>
          <w:highlight w:val="none"/>
        </w:rPr>
        <w:br w:type="page"/>
      </w:r>
    </w:p>
    <w:p w14:paraId="38586DA3">
      <w:pPr>
        <w:spacing w:line="360" w:lineRule="auto"/>
        <w:ind w:left="420" w:hanging="420"/>
        <w:rPr>
          <w:rFonts w:ascii="宋体" w:hAnsi="宋体"/>
          <w:b/>
          <w:color w:val="auto"/>
          <w:highlight w:val="none"/>
        </w:rPr>
      </w:pPr>
    </w:p>
    <w:p w14:paraId="22899FD2">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附件6</w:t>
      </w:r>
    </w:p>
    <w:p w14:paraId="0E1E7A69">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法定代表人（负责人）授权委托书</w:t>
      </w:r>
    </w:p>
    <w:p w14:paraId="3FD29638">
      <w:pPr>
        <w:adjustRightInd w:val="0"/>
        <w:snapToGrid w:val="0"/>
        <w:spacing w:line="360" w:lineRule="auto"/>
        <w:rPr>
          <w:rFonts w:ascii="宋体" w:hAnsi="宋体"/>
          <w:color w:val="auto"/>
          <w:szCs w:val="21"/>
          <w:highlight w:val="none"/>
        </w:rPr>
      </w:pPr>
    </w:p>
    <w:p w14:paraId="18E97790">
      <w:pPr>
        <w:spacing w:line="360" w:lineRule="auto"/>
        <w:rPr>
          <w:rFonts w:ascii="宋体" w:hAnsi="宋体"/>
          <w:color w:val="auto"/>
          <w:sz w:val="24"/>
          <w:highlight w:val="none"/>
        </w:rPr>
      </w:pPr>
      <w:r>
        <w:rPr>
          <w:rFonts w:hint="eastAsia" w:hAnsi="宋体"/>
          <w:color w:val="auto"/>
          <w:sz w:val="24"/>
          <w:highlight w:val="none"/>
        </w:rPr>
        <w:t>（采购人）、（采购代理机构）</w:t>
      </w:r>
      <w:r>
        <w:rPr>
          <w:rFonts w:hint="eastAsia" w:ascii="宋体" w:hAnsi="宋体"/>
          <w:color w:val="auto"/>
          <w:sz w:val="24"/>
          <w:highlight w:val="none"/>
        </w:rPr>
        <w:t>：</w:t>
      </w:r>
    </w:p>
    <w:p w14:paraId="58B8A632">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兹授权</w:t>
      </w:r>
      <w:r>
        <w:rPr>
          <w:rFonts w:hint="eastAsia" w:ascii="宋体" w:hAnsi="宋体"/>
          <w:color w:val="auto"/>
          <w:sz w:val="24"/>
          <w:highlight w:val="none"/>
          <w:u w:val="single"/>
        </w:rPr>
        <w:t xml:space="preserve">      </w:t>
      </w:r>
      <w:r>
        <w:rPr>
          <w:rFonts w:hint="eastAsia" w:ascii="宋体" w:hAnsi="宋体"/>
          <w:color w:val="auto"/>
          <w:sz w:val="24"/>
          <w:highlight w:val="none"/>
        </w:rPr>
        <w:t>同志为我公司参加贵单位组织的</w:t>
      </w:r>
      <w:r>
        <w:rPr>
          <w:rFonts w:hint="eastAsia" w:ascii="宋体" w:hAnsi="宋体"/>
          <w:color w:val="auto"/>
          <w:sz w:val="24"/>
          <w:highlight w:val="none"/>
          <w:u w:val="single"/>
        </w:rPr>
        <w:t xml:space="preserve">                     项目</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hint="eastAsia" w:ascii="宋体" w:hAnsi="宋体"/>
          <w:color w:val="auto"/>
          <w:sz w:val="24"/>
          <w:highlight w:val="none"/>
        </w:rPr>
        <w:t>）竞争性磋商采购活动的委托代理人，全权代表我公司处理在该项目活动中的一切事宜。代理期限从</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日起至</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日止。 </w:t>
      </w:r>
    </w:p>
    <w:p w14:paraId="2E7E7A3E">
      <w:pPr>
        <w:spacing w:line="360" w:lineRule="auto"/>
        <w:rPr>
          <w:rFonts w:ascii="宋体" w:hAnsi="宋体"/>
          <w:color w:val="auto"/>
          <w:sz w:val="24"/>
          <w:highlight w:val="none"/>
        </w:rPr>
      </w:pPr>
    </w:p>
    <w:p w14:paraId="3D2C8A28">
      <w:pPr>
        <w:spacing w:line="360" w:lineRule="auto"/>
        <w:rPr>
          <w:rFonts w:ascii="宋体" w:hAnsi="宋体"/>
          <w:color w:val="auto"/>
          <w:sz w:val="24"/>
          <w:highlight w:val="none"/>
        </w:rPr>
      </w:pPr>
      <w:r>
        <w:rPr>
          <w:rFonts w:hint="eastAsia" w:ascii="宋体" w:hAnsi="宋体"/>
          <w:color w:val="auto"/>
          <w:sz w:val="24"/>
          <w:highlight w:val="none"/>
        </w:rPr>
        <w:t>磋商供应商</w:t>
      </w:r>
      <w:r>
        <w:rPr>
          <w:rFonts w:hint="eastAsia" w:ascii="宋体" w:hAnsi="宋体"/>
          <w:color w:val="auto"/>
          <w:sz w:val="24"/>
          <w:highlight w:val="none"/>
          <w:lang w:val="en-US" w:eastAsia="zh-CN"/>
        </w:rPr>
        <w:t>名称</w:t>
      </w:r>
      <w:r>
        <w:rPr>
          <w:rFonts w:hint="eastAsia" w:ascii="宋体" w:hAnsi="宋体"/>
          <w:color w:val="auto"/>
          <w:sz w:val="24"/>
          <w:highlight w:val="none"/>
        </w:rPr>
        <w:t>（公章）：</w:t>
      </w:r>
      <w:r>
        <w:rPr>
          <w:rFonts w:hint="eastAsia" w:ascii="宋体" w:hAnsi="宋体"/>
          <w:color w:val="auto"/>
          <w:sz w:val="24"/>
          <w:highlight w:val="none"/>
          <w:u w:val="single"/>
        </w:rPr>
        <w:t xml:space="preserve">               </w:t>
      </w:r>
    </w:p>
    <w:p w14:paraId="4480E83E">
      <w:pPr>
        <w:spacing w:line="360" w:lineRule="auto"/>
        <w:rPr>
          <w:rFonts w:ascii="宋体" w:hAnsi="宋体"/>
          <w:color w:val="auto"/>
          <w:sz w:val="24"/>
          <w:highlight w:val="none"/>
        </w:rPr>
      </w:pPr>
      <w:r>
        <w:rPr>
          <w:rFonts w:hint="eastAsia" w:ascii="宋体" w:hAnsi="宋体"/>
          <w:color w:val="auto"/>
          <w:sz w:val="24"/>
          <w:highlight w:val="none"/>
        </w:rPr>
        <w:t>法定代表人（负责人）（签名）：</w:t>
      </w:r>
      <w:r>
        <w:rPr>
          <w:rFonts w:hint="eastAsia" w:ascii="宋体" w:hAnsi="宋体"/>
          <w:color w:val="auto"/>
          <w:sz w:val="24"/>
          <w:highlight w:val="none"/>
          <w:u w:val="single"/>
        </w:rPr>
        <w:t xml:space="preserve">       </w:t>
      </w:r>
    </w:p>
    <w:p w14:paraId="6430F635">
      <w:pPr>
        <w:spacing w:line="360" w:lineRule="auto"/>
        <w:rPr>
          <w:rFonts w:ascii="宋体" w:hAnsi="宋体"/>
          <w:color w:val="auto"/>
          <w:sz w:val="24"/>
          <w:highlight w:val="none"/>
        </w:rPr>
      </w:pPr>
      <w:r>
        <w:rPr>
          <w:rFonts w:hint="eastAsia" w:ascii="宋体" w:hAnsi="宋体"/>
          <w:color w:val="auto"/>
          <w:sz w:val="24"/>
          <w:highlight w:val="none"/>
        </w:rPr>
        <w:t>签发日期：</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6AB3BB71">
      <w:pPr>
        <w:spacing w:line="360" w:lineRule="auto"/>
        <w:rPr>
          <w:rFonts w:ascii="宋体" w:hAnsi="宋体"/>
          <w:color w:val="auto"/>
          <w:sz w:val="24"/>
          <w:highlight w:val="none"/>
        </w:rPr>
      </w:pPr>
    </w:p>
    <w:p w14:paraId="7DA415BD">
      <w:pPr>
        <w:spacing w:line="360" w:lineRule="auto"/>
        <w:rPr>
          <w:rFonts w:ascii="宋体" w:hAnsi="宋体"/>
          <w:color w:val="auto"/>
          <w:sz w:val="24"/>
          <w:highlight w:val="none"/>
        </w:rPr>
      </w:pPr>
      <w:r>
        <w:rPr>
          <w:rFonts w:hint="eastAsia" w:ascii="宋体" w:hAnsi="宋体"/>
          <w:color w:val="auto"/>
          <w:sz w:val="24"/>
          <w:highlight w:val="none"/>
        </w:rPr>
        <w:t>附：委托代理人工作单位</w:t>
      </w:r>
      <w:r>
        <w:rPr>
          <w:rFonts w:hint="eastAsia" w:ascii="宋体" w:hAnsi="宋体"/>
          <w:color w:val="auto"/>
          <w:sz w:val="24"/>
          <w:highlight w:val="none"/>
          <w:u w:val="single"/>
        </w:rPr>
        <w:t xml:space="preserve">               </w:t>
      </w:r>
    </w:p>
    <w:p w14:paraId="7BE259E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性别：</w:t>
      </w:r>
      <w:r>
        <w:rPr>
          <w:rFonts w:hint="eastAsia" w:ascii="宋体" w:hAnsi="宋体"/>
          <w:color w:val="auto"/>
          <w:sz w:val="24"/>
          <w:highlight w:val="none"/>
          <w:u w:val="single"/>
        </w:rPr>
        <w:t xml:space="preserve">    </w:t>
      </w:r>
    </w:p>
    <w:p w14:paraId="51FE79B2">
      <w:pPr>
        <w:adjustRightInd w:val="0"/>
        <w:snapToGrid w:val="0"/>
        <w:spacing w:line="360" w:lineRule="auto"/>
        <w:ind w:firstLine="480" w:firstLineChars="200"/>
        <w:rPr>
          <w:rFonts w:ascii="宋体" w:hAnsi="宋体"/>
          <w:color w:val="auto"/>
          <w:sz w:val="24"/>
          <w:highlight w:val="none"/>
          <w:u w:val="single"/>
        </w:rPr>
      </w:pPr>
      <w:r>
        <w:rPr>
          <w:rFonts w:hint="eastAsia" w:ascii="宋体" w:hAnsi="宋体"/>
          <w:color w:val="auto"/>
          <w:sz w:val="24"/>
          <w:highlight w:val="none"/>
        </w:rPr>
        <w:t>身份证号码：</w:t>
      </w:r>
      <w:r>
        <w:rPr>
          <w:rFonts w:hint="eastAsia" w:ascii="宋体" w:hAnsi="宋体"/>
          <w:color w:val="auto"/>
          <w:sz w:val="24"/>
          <w:highlight w:val="none"/>
          <w:u w:val="single"/>
        </w:rPr>
        <w:t xml:space="preserve">                              </w:t>
      </w:r>
    </w:p>
    <w:tbl>
      <w:tblPr>
        <w:tblStyle w:val="38"/>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14:paraId="28BC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657" w:type="dxa"/>
          </w:tcPr>
          <w:p w14:paraId="51A02BF1">
            <w:pPr>
              <w:spacing w:line="360" w:lineRule="auto"/>
              <w:rPr>
                <w:rFonts w:ascii="宋体" w:hAnsi="宋体"/>
                <w:color w:val="auto"/>
                <w:sz w:val="24"/>
                <w:highlight w:val="none"/>
              </w:rPr>
            </w:pPr>
            <w:r>
              <w:rPr>
                <w:rFonts w:hint="eastAsia" w:ascii="宋体" w:hAnsi="宋体"/>
                <w:color w:val="auto"/>
                <w:sz w:val="24"/>
                <w:highlight w:val="none"/>
              </w:rPr>
              <w:t>粘贴委托代理人的正面及反面身份证复印件</w:t>
            </w:r>
          </w:p>
        </w:tc>
      </w:tr>
    </w:tbl>
    <w:p w14:paraId="5D2AA119">
      <w:pPr>
        <w:autoSpaceDE w:val="0"/>
        <w:autoSpaceDN w:val="0"/>
        <w:spacing w:line="360" w:lineRule="auto"/>
        <w:ind w:left="480" w:hanging="480"/>
        <w:rPr>
          <w:rFonts w:ascii="宋体" w:hAnsi="宋体"/>
          <w:color w:val="auto"/>
          <w:sz w:val="24"/>
          <w:highlight w:val="none"/>
        </w:rPr>
      </w:pPr>
    </w:p>
    <w:p w14:paraId="13777625">
      <w:pPr>
        <w:pStyle w:val="24"/>
        <w:spacing w:line="360" w:lineRule="auto"/>
        <w:rPr>
          <w:rFonts w:hAnsi="宋体"/>
          <w:color w:val="auto"/>
          <w:sz w:val="24"/>
          <w:szCs w:val="24"/>
          <w:highlight w:val="none"/>
        </w:rPr>
      </w:pPr>
    </w:p>
    <w:p w14:paraId="5F90E61D">
      <w:pPr>
        <w:pStyle w:val="24"/>
        <w:spacing w:line="360" w:lineRule="auto"/>
        <w:rPr>
          <w:rFonts w:hAnsi="宋体"/>
          <w:color w:val="auto"/>
          <w:sz w:val="24"/>
          <w:szCs w:val="24"/>
          <w:highlight w:val="none"/>
        </w:rPr>
      </w:pPr>
      <w:r>
        <w:rPr>
          <w:rFonts w:hAnsi="宋体"/>
          <w:color w:val="auto"/>
          <w:sz w:val="24"/>
          <w:szCs w:val="24"/>
          <w:highlight w:val="none"/>
        </w:rPr>
        <w:br w:type="page"/>
      </w:r>
    </w:p>
    <w:p w14:paraId="765D2BF8">
      <w:pPr>
        <w:pStyle w:val="24"/>
        <w:spacing w:line="360" w:lineRule="auto"/>
        <w:rPr>
          <w:rFonts w:hAnsi="宋体"/>
          <w:color w:val="auto"/>
          <w:highlight w:val="none"/>
        </w:rPr>
      </w:pPr>
    </w:p>
    <w:p w14:paraId="61C5D925">
      <w:pPr>
        <w:spacing w:line="360" w:lineRule="auto"/>
        <w:ind w:left="420" w:hanging="420"/>
        <w:rPr>
          <w:rFonts w:ascii="宋体" w:hAnsi="宋体"/>
          <w:b/>
          <w:color w:val="auto"/>
          <w:sz w:val="24"/>
          <w:highlight w:val="none"/>
        </w:rPr>
      </w:pPr>
      <w:r>
        <w:rPr>
          <w:rFonts w:hint="eastAsia" w:ascii="宋体" w:hAnsi="宋体"/>
          <w:b/>
          <w:color w:val="auto"/>
          <w:sz w:val="24"/>
          <w:highlight w:val="none"/>
        </w:rPr>
        <w:t>附件7</w:t>
      </w:r>
    </w:p>
    <w:p w14:paraId="5F811732">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法定代表人（负责人）身份证明书</w:t>
      </w:r>
    </w:p>
    <w:p w14:paraId="1B37EC96">
      <w:pPr>
        <w:adjustRightInd w:val="0"/>
        <w:snapToGrid w:val="0"/>
        <w:spacing w:line="360" w:lineRule="auto"/>
        <w:ind w:firstLine="960" w:firstLineChars="400"/>
        <w:rPr>
          <w:rFonts w:ascii="宋体" w:hAnsi="宋体"/>
          <w:color w:val="auto"/>
          <w:sz w:val="24"/>
          <w:highlight w:val="none"/>
          <w:u w:val="single"/>
        </w:rPr>
      </w:pPr>
    </w:p>
    <w:p w14:paraId="1F77B499">
      <w:pPr>
        <w:adjustRightInd w:val="0"/>
        <w:snapToGrid w:val="0"/>
        <w:spacing w:line="360" w:lineRule="auto"/>
        <w:ind w:firstLine="960" w:firstLineChars="400"/>
        <w:rPr>
          <w:rFonts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 xml:space="preserve"> 在我</w:t>
      </w:r>
      <w:r>
        <w:rPr>
          <w:rFonts w:hint="eastAsia" w:ascii="宋体" w:hAnsi="宋体"/>
          <w:color w:val="auto"/>
          <w:sz w:val="24"/>
          <w:highlight w:val="none"/>
          <w:u w:val="single"/>
        </w:rPr>
        <w:t xml:space="preserve">       </w:t>
      </w:r>
      <w:r>
        <w:rPr>
          <w:rFonts w:hint="eastAsia" w:ascii="宋体" w:hAnsi="宋体"/>
          <w:color w:val="auto"/>
          <w:sz w:val="24"/>
          <w:highlight w:val="none"/>
        </w:rPr>
        <w:t>任</w:t>
      </w:r>
      <w:r>
        <w:rPr>
          <w:rFonts w:hint="eastAsia" w:ascii="宋体" w:hAnsi="宋体"/>
          <w:color w:val="auto"/>
          <w:sz w:val="24"/>
          <w:highlight w:val="none"/>
          <w:u w:val="single"/>
        </w:rPr>
        <w:t xml:space="preserve">          </w:t>
      </w:r>
      <w:r>
        <w:rPr>
          <w:rFonts w:hint="eastAsia" w:ascii="宋体" w:hAnsi="宋体"/>
          <w:color w:val="auto"/>
          <w:sz w:val="24"/>
          <w:highlight w:val="none"/>
        </w:rPr>
        <w:t>职务，是我</w:t>
      </w:r>
      <w:r>
        <w:rPr>
          <w:rFonts w:hint="eastAsia" w:ascii="宋体" w:hAnsi="宋体"/>
          <w:color w:val="auto"/>
          <w:sz w:val="24"/>
          <w:highlight w:val="none"/>
          <w:u w:val="single"/>
        </w:rPr>
        <w:t xml:space="preserve">                 </w:t>
      </w:r>
      <w:r>
        <w:rPr>
          <w:rFonts w:hint="eastAsia" w:ascii="宋体" w:hAnsi="宋体"/>
          <w:color w:val="auto"/>
          <w:sz w:val="24"/>
          <w:highlight w:val="none"/>
        </w:rPr>
        <w:t>的法定代表人（负责人）。</w:t>
      </w:r>
    </w:p>
    <w:p w14:paraId="230714C1">
      <w:pPr>
        <w:adjustRightInd w:val="0"/>
        <w:snapToGrid w:val="0"/>
        <w:spacing w:line="360" w:lineRule="auto"/>
        <w:ind w:firstLine="840" w:firstLineChars="350"/>
        <w:rPr>
          <w:rFonts w:ascii="宋体" w:hAnsi="宋体"/>
          <w:color w:val="auto"/>
          <w:sz w:val="24"/>
          <w:highlight w:val="none"/>
        </w:rPr>
      </w:pPr>
      <w:r>
        <w:rPr>
          <w:rFonts w:hint="eastAsia" w:ascii="宋体" w:hAnsi="宋体"/>
          <w:color w:val="auto"/>
          <w:sz w:val="24"/>
          <w:highlight w:val="none"/>
        </w:rPr>
        <w:t>特此证明。</w:t>
      </w:r>
    </w:p>
    <w:p w14:paraId="00C94E10">
      <w:pPr>
        <w:adjustRightInd w:val="0"/>
        <w:snapToGrid w:val="0"/>
        <w:spacing w:line="360" w:lineRule="auto"/>
        <w:rPr>
          <w:rFonts w:ascii="宋体" w:hAnsi="宋体"/>
          <w:color w:val="auto"/>
          <w:sz w:val="24"/>
          <w:highlight w:val="none"/>
        </w:rPr>
      </w:pPr>
    </w:p>
    <w:p w14:paraId="5502FA0C">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w:t>
      </w:r>
    </w:p>
    <w:p w14:paraId="4C07788A">
      <w:pPr>
        <w:adjustRightInd w:val="0"/>
        <w:snapToGrid w:val="0"/>
        <w:spacing w:line="360" w:lineRule="auto"/>
        <w:rPr>
          <w:rFonts w:ascii="宋体" w:hAnsi="宋体"/>
          <w:color w:val="auto"/>
          <w:sz w:val="24"/>
          <w:highlight w:val="none"/>
        </w:rPr>
      </w:pPr>
    </w:p>
    <w:p w14:paraId="785C87BA">
      <w:pPr>
        <w:adjustRightInd w:val="0"/>
        <w:snapToGrid w:val="0"/>
        <w:spacing w:line="360" w:lineRule="auto"/>
        <w:ind w:firstLine="3360" w:firstLineChars="1400"/>
        <w:rPr>
          <w:rFonts w:ascii="宋体" w:hAnsi="宋体"/>
          <w:color w:val="auto"/>
          <w:sz w:val="24"/>
          <w:highlight w:val="none"/>
          <w:u w:val="single"/>
        </w:rPr>
      </w:pPr>
      <w:r>
        <w:rPr>
          <w:rFonts w:hint="eastAsia" w:ascii="宋体" w:hAnsi="宋体"/>
          <w:color w:val="auto"/>
          <w:sz w:val="24"/>
          <w:highlight w:val="none"/>
        </w:rPr>
        <w:t>单位名称：</w:t>
      </w:r>
      <w:r>
        <w:rPr>
          <w:rFonts w:hint="eastAsia" w:ascii="宋体" w:hAnsi="宋体"/>
          <w:color w:val="auto"/>
          <w:sz w:val="24"/>
          <w:highlight w:val="none"/>
          <w:u w:val="single"/>
        </w:rPr>
        <w:t xml:space="preserve">                              </w:t>
      </w:r>
    </w:p>
    <w:p w14:paraId="33426367">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（单位公章）</w:t>
      </w:r>
    </w:p>
    <w:p w14:paraId="6FA64702">
      <w:pPr>
        <w:adjustRightInd w:val="0"/>
        <w:snapToGrid w:val="0"/>
        <w:spacing w:line="360" w:lineRule="auto"/>
        <w:rPr>
          <w:rFonts w:ascii="宋体" w:hAnsi="宋体"/>
          <w:color w:val="auto"/>
          <w:sz w:val="24"/>
          <w:highlight w:val="none"/>
        </w:rPr>
      </w:pPr>
    </w:p>
    <w:p w14:paraId="31945995">
      <w:pPr>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年     月    日</w:t>
      </w:r>
    </w:p>
    <w:p w14:paraId="07D620B1">
      <w:pPr>
        <w:adjustRightInd w:val="0"/>
        <w:snapToGrid w:val="0"/>
        <w:spacing w:line="360" w:lineRule="auto"/>
        <w:rPr>
          <w:rFonts w:ascii="宋体" w:hAnsi="宋体"/>
          <w:color w:val="auto"/>
          <w:sz w:val="24"/>
          <w:highlight w:val="none"/>
        </w:rPr>
      </w:pPr>
    </w:p>
    <w:p w14:paraId="1BEF0CFE">
      <w:pPr>
        <w:adjustRightInd w:val="0"/>
        <w:snapToGrid w:val="0"/>
        <w:spacing w:line="360" w:lineRule="auto"/>
        <w:ind w:firstLine="360" w:firstLineChars="150"/>
        <w:rPr>
          <w:rFonts w:ascii="宋体" w:hAnsi="宋体"/>
          <w:color w:val="auto"/>
          <w:sz w:val="24"/>
          <w:highlight w:val="none"/>
        </w:rPr>
      </w:pPr>
      <w:r>
        <w:rPr>
          <w:rFonts w:hint="eastAsia" w:ascii="宋体" w:hAnsi="宋体"/>
          <w:color w:val="auto"/>
          <w:sz w:val="24"/>
          <w:highlight w:val="none"/>
        </w:rPr>
        <w:t>住    址：</w:t>
      </w:r>
    </w:p>
    <w:p w14:paraId="64E1319C">
      <w:pPr>
        <w:adjustRightInd w:val="0"/>
        <w:snapToGrid w:val="0"/>
        <w:spacing w:line="360" w:lineRule="auto"/>
        <w:ind w:firstLine="360" w:firstLineChars="150"/>
        <w:rPr>
          <w:rFonts w:ascii="宋体" w:hAnsi="宋体"/>
          <w:color w:val="auto"/>
          <w:sz w:val="24"/>
          <w:highlight w:val="none"/>
        </w:rPr>
      </w:pPr>
    </w:p>
    <w:p w14:paraId="0EF74C99">
      <w:pPr>
        <w:pStyle w:val="24"/>
        <w:adjustRightInd w:val="0"/>
        <w:snapToGrid w:val="0"/>
        <w:spacing w:line="360" w:lineRule="auto"/>
        <w:ind w:firstLine="360" w:firstLineChars="150"/>
        <w:rPr>
          <w:rFonts w:hAnsi="宋体"/>
          <w:color w:val="auto"/>
          <w:sz w:val="24"/>
          <w:szCs w:val="24"/>
          <w:highlight w:val="none"/>
        </w:rPr>
      </w:pPr>
      <w:r>
        <w:rPr>
          <w:rFonts w:hint="eastAsia" w:hAnsi="宋体"/>
          <w:color w:val="auto"/>
          <w:sz w:val="24"/>
          <w:szCs w:val="24"/>
          <w:highlight w:val="none"/>
        </w:rPr>
        <w:t>联系电话：</w:t>
      </w:r>
    </w:p>
    <w:p w14:paraId="0239F848">
      <w:pPr>
        <w:pStyle w:val="24"/>
        <w:adjustRightInd w:val="0"/>
        <w:snapToGrid w:val="0"/>
        <w:spacing w:line="360" w:lineRule="auto"/>
        <w:ind w:firstLine="360" w:firstLineChars="150"/>
        <w:rPr>
          <w:rFonts w:hAnsi="宋体"/>
          <w:color w:val="auto"/>
          <w:sz w:val="24"/>
          <w:szCs w:val="24"/>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4"/>
      </w:tblGrid>
      <w:tr w14:paraId="3FD8B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4" w:type="dxa"/>
          </w:tcPr>
          <w:p w14:paraId="1E7F57E9">
            <w:pPr>
              <w:snapToGrid w:val="0"/>
              <w:spacing w:line="360" w:lineRule="auto"/>
              <w:rPr>
                <w:rFonts w:ascii="宋体" w:hAnsi="宋体"/>
                <w:color w:val="auto"/>
                <w:sz w:val="24"/>
                <w:highlight w:val="none"/>
              </w:rPr>
            </w:pPr>
            <w:r>
              <w:rPr>
                <w:rFonts w:hint="eastAsia" w:ascii="宋体" w:hAnsi="宋体"/>
                <w:color w:val="auto"/>
                <w:sz w:val="24"/>
                <w:highlight w:val="none"/>
              </w:rPr>
              <w:t>贴附“身份证复印件”（正反两面）</w:t>
            </w:r>
          </w:p>
        </w:tc>
      </w:tr>
      <w:tr w14:paraId="30F1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trPr>
        <w:tc>
          <w:tcPr>
            <w:tcW w:w="9124" w:type="dxa"/>
          </w:tcPr>
          <w:p w14:paraId="38CC991F">
            <w:pPr>
              <w:snapToGrid w:val="0"/>
              <w:spacing w:line="360" w:lineRule="auto"/>
              <w:rPr>
                <w:rFonts w:ascii="宋体" w:hAnsi="宋体"/>
                <w:color w:val="auto"/>
                <w:szCs w:val="21"/>
                <w:highlight w:val="none"/>
              </w:rPr>
            </w:pPr>
          </w:p>
        </w:tc>
      </w:tr>
    </w:tbl>
    <w:p w14:paraId="35493352">
      <w:pPr>
        <w:pStyle w:val="24"/>
        <w:spacing w:line="360" w:lineRule="auto"/>
        <w:rPr>
          <w:rFonts w:hAnsi="宋体"/>
          <w:color w:val="auto"/>
          <w:highlight w:val="none"/>
        </w:rPr>
      </w:pPr>
    </w:p>
    <w:p w14:paraId="7504759C">
      <w:pPr>
        <w:rPr>
          <w:rFonts w:hint="eastAsia" w:ascii="宋体" w:hAnsi="宋体"/>
          <w:b/>
          <w:color w:val="auto"/>
          <w:sz w:val="24"/>
          <w:highlight w:val="none"/>
        </w:rPr>
      </w:pPr>
      <w:r>
        <w:rPr>
          <w:rFonts w:hint="eastAsia" w:ascii="宋体" w:hAnsi="宋体"/>
          <w:b/>
          <w:color w:val="auto"/>
          <w:sz w:val="24"/>
          <w:highlight w:val="none"/>
        </w:rPr>
        <w:br w:type="page"/>
      </w:r>
    </w:p>
    <w:p w14:paraId="1FECFA12">
      <w:pPr>
        <w:keepNext w:val="0"/>
        <w:keepLines w:val="0"/>
        <w:pageBreakBefore w:val="0"/>
        <w:widowControl w:val="0"/>
        <w:kinsoku/>
        <w:wordWrap/>
        <w:overflowPunct/>
        <w:topLinePunct w:val="0"/>
        <w:autoSpaceDE w:val="0"/>
        <w:autoSpaceDN w:val="0"/>
        <w:bidi w:val="0"/>
        <w:adjustRightInd w:val="0"/>
        <w:snapToGrid w:val="0"/>
        <w:spacing w:line="240" w:lineRule="auto"/>
        <w:textAlignment w:val="auto"/>
        <w:rPr>
          <w:rFonts w:ascii="宋体" w:hAnsi="宋体"/>
          <w:b/>
          <w:color w:val="auto"/>
          <w:kern w:val="0"/>
          <w:sz w:val="24"/>
          <w:highlight w:val="none"/>
        </w:rPr>
      </w:pPr>
      <w:r>
        <w:rPr>
          <w:rFonts w:hint="eastAsia" w:ascii="宋体" w:hAnsi="宋体"/>
          <w:b/>
          <w:color w:val="auto"/>
          <w:sz w:val="24"/>
          <w:highlight w:val="none"/>
        </w:rPr>
        <w:t>附件8</w:t>
      </w:r>
    </w:p>
    <w:p w14:paraId="56FA16F8">
      <w:pPr>
        <w:keepNext w:val="0"/>
        <w:keepLines w:val="0"/>
        <w:pageBreakBefore w:val="0"/>
        <w:widowControl w:val="0"/>
        <w:kinsoku/>
        <w:wordWrap/>
        <w:overflowPunct/>
        <w:topLinePunct w:val="0"/>
        <w:autoSpaceDE w:val="0"/>
        <w:autoSpaceDN w:val="0"/>
        <w:bidi w:val="0"/>
        <w:adjustRightInd w:val="0"/>
        <w:snapToGrid w:val="0"/>
        <w:spacing w:line="240" w:lineRule="auto"/>
        <w:ind w:firstLine="14753" w:firstLineChars="3340"/>
        <w:textAlignment w:val="auto"/>
        <w:rPr>
          <w:rFonts w:ascii="宋体" w:hAnsi="宋体"/>
          <w:b/>
          <w:color w:val="auto"/>
          <w:kern w:val="0"/>
          <w:sz w:val="44"/>
          <w:szCs w:val="44"/>
          <w:highlight w:val="none"/>
        </w:rPr>
      </w:pPr>
    </w:p>
    <w:p w14:paraId="31C579A8">
      <w:pPr>
        <w:keepNext w:val="0"/>
        <w:keepLines w:val="0"/>
        <w:pageBreakBefore w:val="0"/>
        <w:widowControl w:val="0"/>
        <w:kinsoku/>
        <w:wordWrap/>
        <w:overflowPunct/>
        <w:topLinePunct w:val="0"/>
        <w:bidi w:val="0"/>
        <w:spacing w:line="240" w:lineRule="auto"/>
        <w:ind w:firstLine="643" w:firstLineChars="200"/>
        <w:jc w:val="center"/>
        <w:textAlignment w:val="auto"/>
        <w:rPr>
          <w:rFonts w:ascii="宋体" w:hAnsi="宋体"/>
          <w:b/>
          <w:bCs/>
          <w:color w:val="auto"/>
          <w:kern w:val="0"/>
          <w:sz w:val="32"/>
          <w:szCs w:val="21"/>
          <w:highlight w:val="none"/>
        </w:rPr>
      </w:pPr>
      <w:r>
        <w:rPr>
          <w:rFonts w:hint="eastAsia" w:ascii="宋体" w:hAnsi="宋体"/>
          <w:b/>
          <w:bCs/>
          <w:color w:val="auto"/>
          <w:kern w:val="0"/>
          <w:sz w:val="32"/>
          <w:szCs w:val="21"/>
          <w:highlight w:val="none"/>
        </w:rPr>
        <w:t>承诺函（格式）</w:t>
      </w:r>
    </w:p>
    <w:p w14:paraId="27BA11D9">
      <w:pPr>
        <w:widowControl/>
        <w:spacing w:line="360" w:lineRule="auto"/>
        <w:ind w:firstLine="480" w:firstLineChars="200"/>
        <w:jc w:val="left"/>
        <w:rPr>
          <w:rFonts w:ascii="宋体" w:hAnsi="宋体"/>
          <w:color w:val="auto"/>
          <w:kern w:val="0"/>
          <w:sz w:val="24"/>
          <w:highlight w:val="none"/>
        </w:rPr>
      </w:pPr>
    </w:p>
    <w:p w14:paraId="59F78F63">
      <w:pPr>
        <w:widowControl/>
        <w:spacing w:line="360" w:lineRule="auto"/>
        <w:jc w:val="left"/>
        <w:rPr>
          <w:rFonts w:ascii="宋体" w:hAnsi="宋体"/>
          <w:color w:val="auto"/>
          <w:kern w:val="0"/>
          <w:sz w:val="24"/>
          <w:highlight w:val="none"/>
        </w:rPr>
      </w:pPr>
      <w:r>
        <w:rPr>
          <w:rFonts w:hint="eastAsia" w:ascii="宋体" w:hAnsi="宋体"/>
          <w:color w:val="auto"/>
          <w:kern w:val="0"/>
          <w:sz w:val="24"/>
          <w:highlight w:val="none"/>
          <w:u w:val="single"/>
        </w:rPr>
        <w:t>（采购人）、（采购代理机构）</w:t>
      </w:r>
      <w:r>
        <w:rPr>
          <w:rFonts w:hint="eastAsia" w:ascii="宋体" w:hAnsi="宋体"/>
          <w:color w:val="auto"/>
          <w:kern w:val="0"/>
          <w:sz w:val="24"/>
          <w:highlight w:val="none"/>
        </w:rPr>
        <w:t>：</w:t>
      </w:r>
    </w:p>
    <w:p w14:paraId="3B7C16B7">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我方作为本次采购项目的磋商供应商，根据磋商文件要求，现郑重承诺如下：</w:t>
      </w:r>
    </w:p>
    <w:p w14:paraId="51C1848E">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654B5CD8">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二、参加本次采购活动，不存在与单位负责人为同一人或者存在直接控股、管理关系的其他供应商参与同一合同项下的政府采购活动的行为。</w:t>
      </w:r>
    </w:p>
    <w:p w14:paraId="15F0489A">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三、为采购项目提供整体设计、规范编制或者项目管理、监理、检测等服务的供应商，不得再参加该采购项目的其他采购活动，我方承诺不属于此类禁止参加本项目的供应商。</w:t>
      </w:r>
    </w:p>
    <w:p w14:paraId="07D71CCC">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四、参加本次采购活动，不存在和其他供应商在同一合同项下的采购项目中，同时委托同一个自然人、同一家庭的人员、同一单位的人员作为代理人的行为。</w:t>
      </w:r>
    </w:p>
    <w:p w14:paraId="0ECD78A5">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五、响应文件中提供的能够给予我方带来优惠、好处的任何材料资料和技术、服务、商务、响应产品等响应承诺情况都是真实的、有效的、合法的。</w:t>
      </w:r>
    </w:p>
    <w:p w14:paraId="19C2DF26">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六、参加本次采购活动，我方完全同意磋商文件第二章关于“成交费用”、 “履约保证金”的实质性要求，并承诺严格按照磋商文件要求履行。</w:t>
      </w:r>
    </w:p>
    <w:p w14:paraId="6EFA04A8">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七、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磋商报价中已包括合法获取该知识产权的相关费用。</w:t>
      </w:r>
    </w:p>
    <w:p w14:paraId="063EA4F8">
      <w:pPr>
        <w:widowControl/>
        <w:spacing w:line="360" w:lineRule="auto"/>
        <w:ind w:firstLine="480" w:firstLineChars="200"/>
        <w:jc w:val="left"/>
        <w:rPr>
          <w:rFonts w:ascii="宋体" w:hAnsi="宋体"/>
          <w:color w:val="auto"/>
          <w:kern w:val="0"/>
          <w:sz w:val="24"/>
          <w:highlight w:val="none"/>
        </w:rPr>
      </w:pPr>
      <w:r>
        <w:rPr>
          <w:rFonts w:hint="eastAsia" w:ascii="宋体" w:hAnsi="宋体"/>
          <w:color w:val="auto"/>
          <w:kern w:val="0"/>
          <w:sz w:val="24"/>
          <w:highlight w:val="none"/>
        </w:rPr>
        <w:t>我方对上述承诺的内容事项真实性负责。如经查实上述承诺的内容事项存在虚假，我方愿意接受以提供虚假材料谋取成交追究法律责任。</w:t>
      </w:r>
    </w:p>
    <w:p w14:paraId="41AAEB89">
      <w:pPr>
        <w:adjustRightInd w:val="0"/>
        <w:snapToGrid w:val="0"/>
        <w:spacing w:line="360" w:lineRule="auto"/>
        <w:ind w:right="1470" w:rightChars="700"/>
        <w:rPr>
          <w:rFonts w:ascii="宋体" w:hAnsi="宋体"/>
          <w:color w:val="auto"/>
          <w:kern w:val="0"/>
          <w:sz w:val="24"/>
          <w:highlight w:val="none"/>
        </w:rPr>
      </w:pPr>
    </w:p>
    <w:p w14:paraId="1782A38B">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1C2AD39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508D01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518FF46">
      <w:pPr>
        <w:pStyle w:val="89"/>
        <w:spacing w:before="0" w:after="0" w:line="360" w:lineRule="auto"/>
        <w:rPr>
          <w:rFonts w:ascii="宋体" w:hAnsi="宋体" w:eastAsia="宋体"/>
          <w:color w:val="auto"/>
          <w:highlight w:val="none"/>
        </w:rPr>
      </w:pPr>
    </w:p>
    <w:p w14:paraId="04895518">
      <w:pPr>
        <w:rPr>
          <w:rFonts w:hint="eastAsia" w:ascii="宋体" w:hAnsi="宋体"/>
          <w:b/>
          <w:color w:val="auto"/>
          <w:sz w:val="24"/>
          <w:highlight w:val="none"/>
        </w:rPr>
      </w:pPr>
      <w:r>
        <w:rPr>
          <w:rFonts w:hint="eastAsia" w:ascii="宋体" w:hAnsi="宋体"/>
          <w:b/>
          <w:color w:val="auto"/>
          <w:sz w:val="24"/>
          <w:highlight w:val="none"/>
        </w:rPr>
        <w:br w:type="page"/>
      </w:r>
    </w:p>
    <w:p w14:paraId="27F81503">
      <w:pPr>
        <w:spacing w:line="360" w:lineRule="auto"/>
        <w:rPr>
          <w:rFonts w:ascii="宋体" w:hAnsi="宋体"/>
          <w:b/>
          <w:color w:val="auto"/>
          <w:sz w:val="24"/>
          <w:highlight w:val="none"/>
        </w:rPr>
      </w:pPr>
      <w:r>
        <w:rPr>
          <w:rFonts w:hint="eastAsia" w:ascii="宋体" w:hAnsi="宋体"/>
          <w:b/>
          <w:color w:val="auto"/>
          <w:sz w:val="24"/>
          <w:highlight w:val="none"/>
        </w:rPr>
        <w:t>附件9</w:t>
      </w:r>
    </w:p>
    <w:p w14:paraId="6AAAEE27">
      <w:pPr>
        <w:tabs>
          <w:tab w:val="left" w:pos="5387"/>
        </w:tabs>
        <w:spacing w:line="360" w:lineRule="auto"/>
        <w:jc w:val="center"/>
        <w:rPr>
          <w:rFonts w:ascii="宋体" w:hAnsi="宋体" w:cs="宋体"/>
          <w:color w:val="auto"/>
          <w:sz w:val="24"/>
          <w:highlight w:val="none"/>
        </w:rPr>
      </w:pPr>
      <w:r>
        <w:rPr>
          <w:rFonts w:hint="eastAsia" w:ascii="宋体" w:hAnsi="宋体"/>
          <w:b/>
          <w:color w:val="auto"/>
          <w:sz w:val="24"/>
          <w:highlight w:val="none"/>
        </w:rPr>
        <w:t>施工组织设计</w:t>
      </w:r>
    </w:p>
    <w:p w14:paraId="30CFE45B">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rPr>
        <w:t>、磋商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1186694">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．施工组织设计除采用文字表述外可附下列图表，图表及格式要求附后。</w:t>
      </w:r>
    </w:p>
    <w:p w14:paraId="276C921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附表一</w:t>
      </w:r>
      <w:r>
        <w:rPr>
          <w:rFonts w:ascii="宋体" w:hAnsi="宋体" w:cs="宋体"/>
          <w:color w:val="auto"/>
          <w:sz w:val="24"/>
          <w:highlight w:val="none"/>
        </w:rPr>
        <w:t xml:space="preserve">  </w:t>
      </w:r>
      <w:r>
        <w:rPr>
          <w:rFonts w:hint="eastAsia" w:ascii="宋体" w:hAnsi="宋体" w:cs="宋体"/>
          <w:color w:val="auto"/>
          <w:sz w:val="24"/>
          <w:highlight w:val="none"/>
        </w:rPr>
        <w:t>拟投入本工程的主要施工设备表</w:t>
      </w:r>
    </w:p>
    <w:p w14:paraId="3AAE08A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附表二</w:t>
      </w:r>
      <w:r>
        <w:rPr>
          <w:rFonts w:ascii="宋体" w:hAnsi="宋体" w:cs="宋体"/>
          <w:color w:val="auto"/>
          <w:sz w:val="24"/>
          <w:highlight w:val="none"/>
        </w:rPr>
        <w:t xml:space="preserve">  </w:t>
      </w:r>
      <w:r>
        <w:rPr>
          <w:rFonts w:hint="eastAsia" w:ascii="宋体" w:hAnsi="宋体" w:cs="宋体"/>
          <w:color w:val="auto"/>
          <w:sz w:val="24"/>
          <w:highlight w:val="none"/>
        </w:rPr>
        <w:t>拟配备本工程的试验和检测仪器设备表</w:t>
      </w:r>
    </w:p>
    <w:p w14:paraId="054D8FF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附表三</w:t>
      </w:r>
      <w:r>
        <w:rPr>
          <w:rFonts w:ascii="宋体" w:hAnsi="宋体" w:cs="宋体"/>
          <w:color w:val="auto"/>
          <w:sz w:val="24"/>
          <w:highlight w:val="none"/>
        </w:rPr>
        <w:t xml:space="preserve">  </w:t>
      </w:r>
      <w:r>
        <w:rPr>
          <w:rFonts w:hint="eastAsia" w:ascii="宋体" w:hAnsi="宋体" w:cs="宋体"/>
          <w:color w:val="auto"/>
          <w:sz w:val="24"/>
          <w:highlight w:val="none"/>
        </w:rPr>
        <w:t>劳动力计划表</w:t>
      </w:r>
    </w:p>
    <w:p w14:paraId="23C4ED0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附表四</w:t>
      </w:r>
      <w:r>
        <w:rPr>
          <w:rFonts w:ascii="宋体" w:hAnsi="宋体" w:cs="宋体"/>
          <w:color w:val="auto"/>
          <w:sz w:val="24"/>
          <w:highlight w:val="none"/>
        </w:rPr>
        <w:t xml:space="preserve">  </w:t>
      </w:r>
      <w:r>
        <w:rPr>
          <w:rFonts w:hint="eastAsia" w:ascii="宋体" w:hAnsi="宋体" w:cs="宋体"/>
          <w:color w:val="auto"/>
          <w:sz w:val="24"/>
          <w:highlight w:val="none"/>
        </w:rPr>
        <w:t>计划开、竣工日期和施工进度网络图</w:t>
      </w:r>
    </w:p>
    <w:p w14:paraId="40E19A6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附表五</w:t>
      </w:r>
      <w:r>
        <w:rPr>
          <w:rFonts w:ascii="宋体" w:hAnsi="宋体" w:cs="宋体"/>
          <w:color w:val="auto"/>
          <w:sz w:val="24"/>
          <w:highlight w:val="none"/>
        </w:rPr>
        <w:t xml:space="preserve">  </w:t>
      </w:r>
      <w:r>
        <w:rPr>
          <w:rFonts w:hint="eastAsia" w:ascii="宋体" w:hAnsi="宋体" w:cs="宋体"/>
          <w:color w:val="auto"/>
          <w:sz w:val="24"/>
          <w:highlight w:val="none"/>
        </w:rPr>
        <w:t>施工总平面图</w:t>
      </w:r>
    </w:p>
    <w:p w14:paraId="3594C8D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附表六</w:t>
      </w:r>
      <w:r>
        <w:rPr>
          <w:rFonts w:ascii="宋体" w:hAnsi="宋体" w:cs="宋体"/>
          <w:color w:val="auto"/>
          <w:sz w:val="24"/>
          <w:highlight w:val="none"/>
        </w:rPr>
        <w:t xml:space="preserve">  </w:t>
      </w:r>
      <w:r>
        <w:rPr>
          <w:rFonts w:hint="eastAsia" w:ascii="宋体" w:hAnsi="宋体" w:cs="宋体"/>
          <w:color w:val="auto"/>
          <w:sz w:val="24"/>
          <w:highlight w:val="none"/>
        </w:rPr>
        <w:t>临时用地表</w:t>
      </w:r>
    </w:p>
    <w:p w14:paraId="07B279C8">
      <w:pPr>
        <w:spacing w:line="360" w:lineRule="auto"/>
        <w:ind w:firstLine="480" w:firstLineChars="200"/>
        <w:rPr>
          <w:rFonts w:ascii="宋体" w:hAnsi="宋体" w:cs="宋体"/>
          <w:color w:val="auto"/>
          <w:sz w:val="24"/>
          <w:highlight w:val="none"/>
        </w:rPr>
      </w:pPr>
    </w:p>
    <w:p w14:paraId="4ADC74A7">
      <w:pPr>
        <w:spacing w:line="360" w:lineRule="auto"/>
        <w:rPr>
          <w:rFonts w:ascii="宋体" w:hAnsi="宋体" w:cs="宋体"/>
          <w:color w:val="auto"/>
          <w:sz w:val="24"/>
          <w:highlight w:val="none"/>
        </w:rPr>
      </w:pPr>
      <w:r>
        <w:rPr>
          <w:rFonts w:hint="eastAsia" w:ascii="宋体" w:hAnsi="宋体" w:cs="宋体"/>
          <w:color w:val="auto"/>
          <w:sz w:val="24"/>
          <w:highlight w:val="none"/>
        </w:rPr>
        <w:t>附表一：拟投入本工程的主要施工设备表</w:t>
      </w:r>
    </w:p>
    <w:tbl>
      <w:tblPr>
        <w:tblStyle w:val="38"/>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244"/>
        <w:gridCol w:w="864"/>
        <w:gridCol w:w="719"/>
        <w:gridCol w:w="720"/>
        <w:gridCol w:w="864"/>
        <w:gridCol w:w="1151"/>
        <w:gridCol w:w="1007"/>
        <w:gridCol w:w="1151"/>
        <w:gridCol w:w="1007"/>
      </w:tblGrid>
      <w:tr w14:paraId="5C59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3476466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44" w:type="dxa"/>
            <w:tcBorders>
              <w:top w:val="single" w:color="auto" w:sz="4" w:space="0"/>
              <w:left w:val="single" w:color="auto" w:sz="4" w:space="0"/>
              <w:bottom w:val="single" w:color="auto" w:sz="4" w:space="0"/>
              <w:right w:val="single" w:color="auto" w:sz="4" w:space="0"/>
            </w:tcBorders>
            <w:vAlign w:val="center"/>
          </w:tcPr>
          <w:p w14:paraId="7459D41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设备名称</w:t>
            </w:r>
          </w:p>
        </w:tc>
        <w:tc>
          <w:tcPr>
            <w:tcW w:w="864" w:type="dxa"/>
            <w:tcBorders>
              <w:top w:val="single" w:color="auto" w:sz="4" w:space="0"/>
              <w:left w:val="single" w:color="auto" w:sz="4" w:space="0"/>
              <w:bottom w:val="single" w:color="auto" w:sz="4" w:space="0"/>
              <w:right w:val="single" w:color="auto" w:sz="4" w:space="0"/>
            </w:tcBorders>
            <w:vAlign w:val="center"/>
          </w:tcPr>
          <w:p w14:paraId="6120E8C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型号</w:t>
            </w:r>
          </w:p>
          <w:p w14:paraId="46E1A9D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规格</w:t>
            </w:r>
          </w:p>
        </w:tc>
        <w:tc>
          <w:tcPr>
            <w:tcW w:w="719" w:type="dxa"/>
            <w:tcBorders>
              <w:top w:val="single" w:color="auto" w:sz="4" w:space="0"/>
              <w:left w:val="single" w:color="auto" w:sz="4" w:space="0"/>
              <w:bottom w:val="single" w:color="auto" w:sz="4" w:space="0"/>
              <w:right w:val="single" w:color="auto" w:sz="4" w:space="0"/>
            </w:tcBorders>
            <w:vAlign w:val="center"/>
          </w:tcPr>
          <w:p w14:paraId="3248863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720" w:type="dxa"/>
            <w:tcBorders>
              <w:top w:val="single" w:color="auto" w:sz="4" w:space="0"/>
              <w:left w:val="single" w:color="auto" w:sz="4" w:space="0"/>
              <w:bottom w:val="single" w:color="auto" w:sz="4" w:space="0"/>
              <w:right w:val="single" w:color="auto" w:sz="4" w:space="0"/>
            </w:tcBorders>
            <w:vAlign w:val="center"/>
          </w:tcPr>
          <w:p w14:paraId="73E9680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国别</w:t>
            </w:r>
          </w:p>
          <w:p w14:paraId="68FFF7A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产地</w:t>
            </w:r>
          </w:p>
        </w:tc>
        <w:tc>
          <w:tcPr>
            <w:tcW w:w="864" w:type="dxa"/>
            <w:tcBorders>
              <w:top w:val="single" w:color="auto" w:sz="4" w:space="0"/>
              <w:left w:val="single" w:color="auto" w:sz="4" w:space="0"/>
              <w:bottom w:val="single" w:color="auto" w:sz="4" w:space="0"/>
              <w:right w:val="single" w:color="auto" w:sz="4" w:space="0"/>
            </w:tcBorders>
            <w:vAlign w:val="center"/>
          </w:tcPr>
          <w:p w14:paraId="4044C4F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制造</w:t>
            </w:r>
          </w:p>
          <w:p w14:paraId="5B324A8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年份</w:t>
            </w:r>
          </w:p>
        </w:tc>
        <w:tc>
          <w:tcPr>
            <w:tcW w:w="1151" w:type="dxa"/>
            <w:tcBorders>
              <w:top w:val="single" w:color="auto" w:sz="4" w:space="0"/>
              <w:left w:val="single" w:color="auto" w:sz="4" w:space="0"/>
              <w:bottom w:val="single" w:color="auto" w:sz="4" w:space="0"/>
              <w:right w:val="single" w:color="auto" w:sz="4" w:space="0"/>
            </w:tcBorders>
            <w:vAlign w:val="center"/>
          </w:tcPr>
          <w:p w14:paraId="198A9FD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额定功率</w:t>
            </w:r>
          </w:p>
          <w:p w14:paraId="7E40EC9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KW</w:t>
            </w:r>
            <w:r>
              <w:rPr>
                <w:rFonts w:hint="eastAsia" w:ascii="宋体" w:hAnsi="宋体" w:cs="宋体"/>
                <w:color w:val="auto"/>
                <w:sz w:val="24"/>
                <w:highlight w:val="none"/>
              </w:rPr>
              <w:t>）</w:t>
            </w:r>
          </w:p>
        </w:tc>
        <w:tc>
          <w:tcPr>
            <w:tcW w:w="1007" w:type="dxa"/>
            <w:tcBorders>
              <w:top w:val="single" w:color="auto" w:sz="4" w:space="0"/>
              <w:left w:val="single" w:color="auto" w:sz="4" w:space="0"/>
              <w:bottom w:val="single" w:color="auto" w:sz="4" w:space="0"/>
              <w:right w:val="single" w:color="auto" w:sz="4" w:space="0"/>
            </w:tcBorders>
            <w:vAlign w:val="center"/>
          </w:tcPr>
          <w:p w14:paraId="353FBB2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生产</w:t>
            </w:r>
          </w:p>
          <w:p w14:paraId="4ECD989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能力</w:t>
            </w:r>
          </w:p>
        </w:tc>
        <w:tc>
          <w:tcPr>
            <w:tcW w:w="1151" w:type="dxa"/>
            <w:tcBorders>
              <w:top w:val="single" w:color="auto" w:sz="4" w:space="0"/>
              <w:left w:val="single" w:color="auto" w:sz="4" w:space="0"/>
              <w:bottom w:val="single" w:color="auto" w:sz="4" w:space="0"/>
              <w:right w:val="single" w:color="auto" w:sz="4" w:space="0"/>
            </w:tcBorders>
            <w:vAlign w:val="center"/>
          </w:tcPr>
          <w:p w14:paraId="6D63894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用于施</w:t>
            </w:r>
          </w:p>
          <w:p w14:paraId="54E2DFF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工部位</w:t>
            </w:r>
          </w:p>
        </w:tc>
        <w:tc>
          <w:tcPr>
            <w:tcW w:w="1007" w:type="dxa"/>
            <w:tcBorders>
              <w:top w:val="single" w:color="auto" w:sz="4" w:space="0"/>
              <w:left w:val="single" w:color="auto" w:sz="4" w:space="0"/>
              <w:bottom w:val="single" w:color="auto" w:sz="4" w:space="0"/>
              <w:right w:val="single" w:color="auto" w:sz="4" w:space="0"/>
            </w:tcBorders>
            <w:vAlign w:val="center"/>
          </w:tcPr>
          <w:p w14:paraId="2274327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14:paraId="5480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3BC13F0C">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013F85E2">
            <w:pPr>
              <w:spacing w:line="360" w:lineRule="auto"/>
              <w:ind w:firstLine="480" w:firstLineChars="200"/>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6ADA97D1">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4A3A5FFE">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1BBECF9F">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1ED8FDF5">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7A4F4035">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61997EFA">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6A48C292">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38DE4377">
            <w:pPr>
              <w:spacing w:line="360" w:lineRule="auto"/>
              <w:rPr>
                <w:rFonts w:ascii="宋体" w:hAnsi="宋体" w:cs="宋体"/>
                <w:color w:val="auto"/>
                <w:sz w:val="24"/>
                <w:highlight w:val="none"/>
              </w:rPr>
            </w:pPr>
          </w:p>
        </w:tc>
      </w:tr>
      <w:tr w14:paraId="0FA7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43CC2282">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2DB32135">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6E89CFA4">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0BBD6B0A">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265290FD">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0DC41219">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33DCD91B">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4B2556C7">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4929AE9D">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6BB4FDFC">
            <w:pPr>
              <w:spacing w:line="360" w:lineRule="auto"/>
              <w:rPr>
                <w:rFonts w:ascii="宋体" w:hAnsi="宋体" w:cs="宋体"/>
                <w:color w:val="auto"/>
                <w:sz w:val="24"/>
                <w:highlight w:val="none"/>
              </w:rPr>
            </w:pPr>
          </w:p>
        </w:tc>
      </w:tr>
      <w:tr w14:paraId="0BA1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3F7FE179">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6B1A0CC8">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408840FF">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28DB1B51">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774C3F15">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4C4BC06F">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172FDFAD">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637C89D8">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19FE250F">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4FBE6EEC">
            <w:pPr>
              <w:spacing w:line="360" w:lineRule="auto"/>
              <w:rPr>
                <w:rFonts w:ascii="宋体" w:hAnsi="宋体" w:cs="宋体"/>
                <w:color w:val="auto"/>
                <w:sz w:val="24"/>
                <w:highlight w:val="none"/>
              </w:rPr>
            </w:pPr>
          </w:p>
        </w:tc>
      </w:tr>
      <w:tr w14:paraId="19F57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41DB123A">
            <w:pPr>
              <w:spacing w:line="360" w:lineRule="auto"/>
              <w:rPr>
                <w:rFonts w:ascii="宋体" w:hAnsi="宋体" w:cs="宋体"/>
                <w:color w:val="auto"/>
                <w:sz w:val="24"/>
                <w:highlight w:val="none"/>
              </w:rPr>
            </w:pPr>
          </w:p>
        </w:tc>
        <w:tc>
          <w:tcPr>
            <w:tcW w:w="1244" w:type="dxa"/>
            <w:tcBorders>
              <w:top w:val="single" w:color="auto" w:sz="4" w:space="0"/>
              <w:left w:val="single" w:color="auto" w:sz="4" w:space="0"/>
              <w:bottom w:val="single" w:color="auto" w:sz="4" w:space="0"/>
              <w:right w:val="single" w:color="auto" w:sz="4" w:space="0"/>
            </w:tcBorders>
          </w:tcPr>
          <w:p w14:paraId="3E7C585C">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15E2C67D">
            <w:pPr>
              <w:spacing w:line="360" w:lineRule="auto"/>
              <w:rPr>
                <w:rFonts w:ascii="宋体" w:hAnsi="宋体" w:cs="宋体"/>
                <w:color w:val="auto"/>
                <w:sz w:val="24"/>
                <w:highlight w:val="none"/>
              </w:rPr>
            </w:pPr>
          </w:p>
        </w:tc>
        <w:tc>
          <w:tcPr>
            <w:tcW w:w="719" w:type="dxa"/>
            <w:tcBorders>
              <w:top w:val="single" w:color="auto" w:sz="4" w:space="0"/>
              <w:left w:val="single" w:color="auto" w:sz="4" w:space="0"/>
              <w:bottom w:val="single" w:color="auto" w:sz="4" w:space="0"/>
              <w:right w:val="single" w:color="auto" w:sz="4" w:space="0"/>
            </w:tcBorders>
          </w:tcPr>
          <w:p w14:paraId="25943076">
            <w:pPr>
              <w:spacing w:line="360" w:lineRule="auto"/>
              <w:rPr>
                <w:rFonts w:ascii="宋体" w:hAnsi="宋体" w:cs="宋体"/>
                <w:color w:val="auto"/>
                <w:sz w:val="24"/>
                <w:highlight w:val="none"/>
              </w:rPr>
            </w:pPr>
          </w:p>
        </w:tc>
        <w:tc>
          <w:tcPr>
            <w:tcW w:w="720" w:type="dxa"/>
            <w:tcBorders>
              <w:top w:val="single" w:color="auto" w:sz="4" w:space="0"/>
              <w:left w:val="single" w:color="auto" w:sz="4" w:space="0"/>
              <w:bottom w:val="single" w:color="auto" w:sz="4" w:space="0"/>
              <w:right w:val="single" w:color="auto" w:sz="4" w:space="0"/>
            </w:tcBorders>
          </w:tcPr>
          <w:p w14:paraId="6264813C">
            <w:pPr>
              <w:spacing w:line="360" w:lineRule="auto"/>
              <w:rPr>
                <w:rFonts w:ascii="宋体" w:hAnsi="宋体" w:cs="宋体"/>
                <w:color w:val="auto"/>
                <w:sz w:val="24"/>
                <w:highlight w:val="none"/>
              </w:rPr>
            </w:pPr>
          </w:p>
        </w:tc>
        <w:tc>
          <w:tcPr>
            <w:tcW w:w="864" w:type="dxa"/>
            <w:tcBorders>
              <w:top w:val="single" w:color="auto" w:sz="4" w:space="0"/>
              <w:left w:val="single" w:color="auto" w:sz="4" w:space="0"/>
              <w:bottom w:val="single" w:color="auto" w:sz="4" w:space="0"/>
              <w:right w:val="single" w:color="auto" w:sz="4" w:space="0"/>
            </w:tcBorders>
          </w:tcPr>
          <w:p w14:paraId="1D457228">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45A265E0">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6C2390AB">
            <w:pPr>
              <w:spacing w:line="360" w:lineRule="auto"/>
              <w:rPr>
                <w:rFonts w:ascii="宋体" w:hAnsi="宋体" w:cs="宋体"/>
                <w:color w:val="auto"/>
                <w:sz w:val="24"/>
                <w:highlight w:val="none"/>
              </w:rPr>
            </w:pPr>
          </w:p>
        </w:tc>
        <w:tc>
          <w:tcPr>
            <w:tcW w:w="1151" w:type="dxa"/>
            <w:tcBorders>
              <w:top w:val="single" w:color="auto" w:sz="4" w:space="0"/>
              <w:left w:val="single" w:color="auto" w:sz="4" w:space="0"/>
              <w:bottom w:val="single" w:color="auto" w:sz="4" w:space="0"/>
              <w:right w:val="single" w:color="auto" w:sz="4" w:space="0"/>
            </w:tcBorders>
          </w:tcPr>
          <w:p w14:paraId="5E07FB2E">
            <w:pPr>
              <w:spacing w:line="360" w:lineRule="auto"/>
              <w:rPr>
                <w:rFonts w:ascii="宋体" w:hAnsi="宋体" w:cs="宋体"/>
                <w:color w:val="auto"/>
                <w:sz w:val="24"/>
                <w:highlight w:val="none"/>
              </w:rPr>
            </w:pPr>
          </w:p>
        </w:tc>
        <w:tc>
          <w:tcPr>
            <w:tcW w:w="1007" w:type="dxa"/>
            <w:tcBorders>
              <w:top w:val="single" w:color="auto" w:sz="4" w:space="0"/>
              <w:left w:val="single" w:color="auto" w:sz="4" w:space="0"/>
              <w:bottom w:val="single" w:color="auto" w:sz="4" w:space="0"/>
              <w:right w:val="single" w:color="auto" w:sz="4" w:space="0"/>
            </w:tcBorders>
          </w:tcPr>
          <w:p w14:paraId="46A198FD">
            <w:pPr>
              <w:spacing w:line="360" w:lineRule="auto"/>
              <w:rPr>
                <w:rFonts w:ascii="宋体" w:hAnsi="宋体" w:cs="宋体"/>
                <w:color w:val="auto"/>
                <w:sz w:val="24"/>
                <w:highlight w:val="none"/>
              </w:rPr>
            </w:pPr>
          </w:p>
        </w:tc>
      </w:tr>
    </w:tbl>
    <w:p w14:paraId="1EC0BC28">
      <w:pPr>
        <w:spacing w:line="360" w:lineRule="auto"/>
        <w:rPr>
          <w:rFonts w:ascii="宋体" w:hAnsi="宋体" w:cs="宋体"/>
          <w:color w:val="auto"/>
          <w:sz w:val="24"/>
          <w:highlight w:val="none"/>
        </w:rPr>
      </w:pPr>
    </w:p>
    <w:p w14:paraId="2222BDDA">
      <w:pPr>
        <w:spacing w:line="360" w:lineRule="auto"/>
        <w:rPr>
          <w:rFonts w:ascii="宋体" w:hAnsi="宋体" w:cs="宋体"/>
          <w:color w:val="auto"/>
          <w:sz w:val="24"/>
          <w:highlight w:val="none"/>
        </w:rPr>
      </w:pPr>
    </w:p>
    <w:p w14:paraId="2497EB76">
      <w:pPr>
        <w:spacing w:line="360" w:lineRule="auto"/>
        <w:rPr>
          <w:rFonts w:ascii="宋体" w:hAnsi="宋体" w:cs="宋体"/>
          <w:color w:val="auto"/>
          <w:sz w:val="24"/>
          <w:highlight w:val="none"/>
        </w:rPr>
      </w:pPr>
      <w:r>
        <w:rPr>
          <w:rFonts w:hint="eastAsia" w:ascii="宋体" w:hAnsi="宋体" w:cs="宋体"/>
          <w:color w:val="auto"/>
          <w:sz w:val="24"/>
          <w:highlight w:val="none"/>
        </w:rPr>
        <w:t>附表二：拟配备本工程的试验和检测仪器设备表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35"/>
        <w:gridCol w:w="857"/>
        <w:gridCol w:w="713"/>
        <w:gridCol w:w="714"/>
        <w:gridCol w:w="1142"/>
        <w:gridCol w:w="1285"/>
        <w:gridCol w:w="1142"/>
        <w:gridCol w:w="1570"/>
      </w:tblGrid>
      <w:tr w14:paraId="1B3E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5932BC5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序号</w:t>
            </w:r>
          </w:p>
        </w:tc>
        <w:tc>
          <w:tcPr>
            <w:tcW w:w="1235" w:type="dxa"/>
            <w:tcBorders>
              <w:top w:val="single" w:color="auto" w:sz="4" w:space="0"/>
              <w:left w:val="single" w:color="auto" w:sz="4" w:space="0"/>
              <w:bottom w:val="single" w:color="auto" w:sz="4" w:space="0"/>
              <w:right w:val="single" w:color="auto" w:sz="4" w:space="0"/>
            </w:tcBorders>
            <w:vAlign w:val="center"/>
          </w:tcPr>
          <w:p w14:paraId="5AB0927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仪器设备名称</w:t>
            </w:r>
          </w:p>
        </w:tc>
        <w:tc>
          <w:tcPr>
            <w:tcW w:w="857" w:type="dxa"/>
            <w:tcBorders>
              <w:top w:val="single" w:color="auto" w:sz="4" w:space="0"/>
              <w:left w:val="single" w:color="auto" w:sz="4" w:space="0"/>
              <w:bottom w:val="single" w:color="auto" w:sz="4" w:space="0"/>
              <w:right w:val="single" w:color="auto" w:sz="4" w:space="0"/>
            </w:tcBorders>
            <w:vAlign w:val="center"/>
          </w:tcPr>
          <w:p w14:paraId="4DE7EDD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型号</w:t>
            </w:r>
          </w:p>
          <w:p w14:paraId="6B20270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规格</w:t>
            </w:r>
          </w:p>
        </w:tc>
        <w:tc>
          <w:tcPr>
            <w:tcW w:w="713" w:type="dxa"/>
            <w:tcBorders>
              <w:top w:val="single" w:color="auto" w:sz="4" w:space="0"/>
              <w:left w:val="single" w:color="auto" w:sz="4" w:space="0"/>
              <w:bottom w:val="single" w:color="auto" w:sz="4" w:space="0"/>
              <w:right w:val="single" w:color="auto" w:sz="4" w:space="0"/>
            </w:tcBorders>
            <w:vAlign w:val="center"/>
          </w:tcPr>
          <w:p w14:paraId="3E38925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数量</w:t>
            </w:r>
          </w:p>
        </w:tc>
        <w:tc>
          <w:tcPr>
            <w:tcW w:w="714" w:type="dxa"/>
            <w:tcBorders>
              <w:top w:val="single" w:color="auto" w:sz="4" w:space="0"/>
              <w:left w:val="single" w:color="auto" w:sz="4" w:space="0"/>
              <w:bottom w:val="single" w:color="auto" w:sz="4" w:space="0"/>
              <w:right w:val="single" w:color="auto" w:sz="4" w:space="0"/>
            </w:tcBorders>
            <w:vAlign w:val="center"/>
          </w:tcPr>
          <w:p w14:paraId="1B84378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国别</w:t>
            </w:r>
          </w:p>
          <w:p w14:paraId="01B8103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产地</w:t>
            </w:r>
          </w:p>
        </w:tc>
        <w:tc>
          <w:tcPr>
            <w:tcW w:w="1142" w:type="dxa"/>
            <w:tcBorders>
              <w:top w:val="single" w:color="auto" w:sz="4" w:space="0"/>
              <w:left w:val="single" w:color="auto" w:sz="4" w:space="0"/>
              <w:bottom w:val="single" w:color="auto" w:sz="4" w:space="0"/>
              <w:right w:val="single" w:color="auto" w:sz="4" w:space="0"/>
            </w:tcBorders>
            <w:vAlign w:val="center"/>
          </w:tcPr>
          <w:p w14:paraId="49172CC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制造年份</w:t>
            </w:r>
          </w:p>
        </w:tc>
        <w:tc>
          <w:tcPr>
            <w:tcW w:w="1285" w:type="dxa"/>
            <w:tcBorders>
              <w:top w:val="single" w:color="auto" w:sz="4" w:space="0"/>
              <w:left w:val="single" w:color="auto" w:sz="4" w:space="0"/>
              <w:bottom w:val="single" w:color="auto" w:sz="4" w:space="0"/>
              <w:right w:val="single" w:color="auto" w:sz="4" w:space="0"/>
            </w:tcBorders>
            <w:vAlign w:val="center"/>
          </w:tcPr>
          <w:p w14:paraId="5D655F2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已使用</w:t>
            </w:r>
          </w:p>
          <w:p w14:paraId="6CF32DB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台时数</w:t>
            </w:r>
          </w:p>
        </w:tc>
        <w:tc>
          <w:tcPr>
            <w:tcW w:w="1142" w:type="dxa"/>
            <w:tcBorders>
              <w:top w:val="single" w:color="auto" w:sz="4" w:space="0"/>
              <w:left w:val="single" w:color="auto" w:sz="4" w:space="0"/>
              <w:bottom w:val="single" w:color="auto" w:sz="4" w:space="0"/>
              <w:right w:val="single" w:color="auto" w:sz="4" w:space="0"/>
            </w:tcBorders>
            <w:vAlign w:val="center"/>
          </w:tcPr>
          <w:p w14:paraId="2783591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用途</w:t>
            </w:r>
          </w:p>
        </w:tc>
        <w:tc>
          <w:tcPr>
            <w:tcW w:w="1570" w:type="dxa"/>
            <w:tcBorders>
              <w:top w:val="single" w:color="auto" w:sz="4" w:space="0"/>
              <w:left w:val="single" w:color="auto" w:sz="4" w:space="0"/>
              <w:bottom w:val="single" w:color="auto" w:sz="4" w:space="0"/>
              <w:right w:val="single" w:color="auto" w:sz="4" w:space="0"/>
            </w:tcBorders>
            <w:vAlign w:val="center"/>
          </w:tcPr>
          <w:p w14:paraId="7104D7F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备注</w:t>
            </w:r>
          </w:p>
        </w:tc>
      </w:tr>
      <w:tr w14:paraId="066C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00F28BBA">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6D445699">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550CDC56">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2BC68945">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26FA8033">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37E15C07">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3D231346">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237C8113">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4B75E8BF">
            <w:pPr>
              <w:spacing w:line="360" w:lineRule="auto"/>
              <w:ind w:firstLine="480" w:firstLineChars="200"/>
              <w:rPr>
                <w:rFonts w:ascii="宋体" w:hAnsi="宋体" w:cs="宋体"/>
                <w:color w:val="auto"/>
                <w:sz w:val="24"/>
                <w:highlight w:val="none"/>
              </w:rPr>
            </w:pPr>
          </w:p>
        </w:tc>
      </w:tr>
      <w:tr w14:paraId="264A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630FEB9">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2EF03370">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2A00F9AE">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68AD7152">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1D326076">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54B51608">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511EBC01">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6E1CF84">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4A05D6BE">
            <w:pPr>
              <w:spacing w:line="360" w:lineRule="auto"/>
              <w:ind w:firstLine="480" w:firstLineChars="200"/>
              <w:rPr>
                <w:rFonts w:ascii="宋体" w:hAnsi="宋体" w:cs="宋体"/>
                <w:color w:val="auto"/>
                <w:sz w:val="24"/>
                <w:highlight w:val="none"/>
              </w:rPr>
            </w:pPr>
          </w:p>
        </w:tc>
      </w:tr>
      <w:tr w14:paraId="00AB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B940C17">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1D002E49">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3558F525">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6AF6F44E">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27BA9849">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6CB75ABA">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3A3A6C71">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09594A2">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56745327">
            <w:pPr>
              <w:spacing w:line="360" w:lineRule="auto"/>
              <w:ind w:firstLine="480" w:firstLineChars="200"/>
              <w:rPr>
                <w:rFonts w:ascii="宋体" w:hAnsi="宋体" w:cs="宋体"/>
                <w:color w:val="auto"/>
                <w:sz w:val="24"/>
                <w:highlight w:val="none"/>
              </w:rPr>
            </w:pPr>
          </w:p>
        </w:tc>
      </w:tr>
      <w:tr w14:paraId="2066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42C3E37A">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7B8C08E3">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54783783">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5F805DE4">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005767E1">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9C7E6AA">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50FCE123">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183B83A4">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6AF1BD7F">
            <w:pPr>
              <w:spacing w:line="360" w:lineRule="auto"/>
              <w:ind w:firstLine="480" w:firstLineChars="200"/>
              <w:rPr>
                <w:rFonts w:ascii="宋体" w:hAnsi="宋体" w:cs="宋体"/>
                <w:color w:val="auto"/>
                <w:sz w:val="24"/>
                <w:highlight w:val="none"/>
              </w:rPr>
            </w:pPr>
          </w:p>
        </w:tc>
      </w:tr>
      <w:tr w14:paraId="36A3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9514300">
            <w:pPr>
              <w:spacing w:line="360" w:lineRule="auto"/>
              <w:ind w:firstLine="480" w:firstLineChars="200"/>
              <w:rPr>
                <w:rFonts w:ascii="宋体" w:hAnsi="宋体" w:cs="宋体"/>
                <w:color w:val="auto"/>
                <w:sz w:val="24"/>
                <w:highlight w:val="none"/>
              </w:rPr>
            </w:pPr>
          </w:p>
        </w:tc>
        <w:tc>
          <w:tcPr>
            <w:tcW w:w="1235" w:type="dxa"/>
            <w:tcBorders>
              <w:top w:val="single" w:color="auto" w:sz="4" w:space="0"/>
              <w:left w:val="single" w:color="auto" w:sz="4" w:space="0"/>
              <w:bottom w:val="single" w:color="auto" w:sz="4" w:space="0"/>
              <w:right w:val="single" w:color="auto" w:sz="4" w:space="0"/>
            </w:tcBorders>
            <w:vAlign w:val="center"/>
          </w:tcPr>
          <w:p w14:paraId="00ABFDB8">
            <w:pPr>
              <w:spacing w:line="360" w:lineRule="auto"/>
              <w:ind w:firstLine="480" w:firstLineChars="200"/>
              <w:rPr>
                <w:rFonts w:ascii="宋体" w:hAnsi="宋体" w:cs="宋体"/>
                <w:color w:val="auto"/>
                <w:sz w:val="24"/>
                <w:highlight w:val="none"/>
              </w:rPr>
            </w:pPr>
          </w:p>
        </w:tc>
        <w:tc>
          <w:tcPr>
            <w:tcW w:w="857" w:type="dxa"/>
            <w:tcBorders>
              <w:top w:val="single" w:color="auto" w:sz="4" w:space="0"/>
              <w:left w:val="single" w:color="auto" w:sz="4" w:space="0"/>
              <w:bottom w:val="single" w:color="auto" w:sz="4" w:space="0"/>
              <w:right w:val="single" w:color="auto" w:sz="4" w:space="0"/>
            </w:tcBorders>
            <w:vAlign w:val="center"/>
          </w:tcPr>
          <w:p w14:paraId="620C9C18">
            <w:pPr>
              <w:spacing w:line="360" w:lineRule="auto"/>
              <w:ind w:firstLine="480" w:firstLineChars="200"/>
              <w:rPr>
                <w:rFonts w:ascii="宋体" w:hAnsi="宋体" w:cs="宋体"/>
                <w:color w:val="auto"/>
                <w:sz w:val="24"/>
                <w:highlight w:val="none"/>
              </w:rPr>
            </w:pPr>
          </w:p>
        </w:tc>
        <w:tc>
          <w:tcPr>
            <w:tcW w:w="713" w:type="dxa"/>
            <w:tcBorders>
              <w:top w:val="single" w:color="auto" w:sz="4" w:space="0"/>
              <w:left w:val="single" w:color="auto" w:sz="4" w:space="0"/>
              <w:bottom w:val="single" w:color="auto" w:sz="4" w:space="0"/>
              <w:right w:val="single" w:color="auto" w:sz="4" w:space="0"/>
            </w:tcBorders>
            <w:vAlign w:val="center"/>
          </w:tcPr>
          <w:p w14:paraId="223D21C8">
            <w:pPr>
              <w:spacing w:line="360" w:lineRule="auto"/>
              <w:ind w:firstLine="480" w:firstLineChars="200"/>
              <w:rPr>
                <w:rFonts w:ascii="宋体" w:hAnsi="宋体" w:cs="宋体"/>
                <w:color w:val="auto"/>
                <w:sz w:val="24"/>
                <w:highlight w:val="none"/>
              </w:rPr>
            </w:pPr>
          </w:p>
        </w:tc>
        <w:tc>
          <w:tcPr>
            <w:tcW w:w="714" w:type="dxa"/>
            <w:tcBorders>
              <w:top w:val="single" w:color="auto" w:sz="4" w:space="0"/>
              <w:left w:val="single" w:color="auto" w:sz="4" w:space="0"/>
              <w:bottom w:val="single" w:color="auto" w:sz="4" w:space="0"/>
              <w:right w:val="single" w:color="auto" w:sz="4" w:space="0"/>
            </w:tcBorders>
            <w:vAlign w:val="center"/>
          </w:tcPr>
          <w:p w14:paraId="61D4D71F">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4258E28B">
            <w:pPr>
              <w:spacing w:line="360" w:lineRule="auto"/>
              <w:ind w:firstLine="480" w:firstLineChars="200"/>
              <w:rPr>
                <w:rFonts w:ascii="宋体" w:hAnsi="宋体" w:cs="宋体"/>
                <w:color w:val="auto"/>
                <w:sz w:val="24"/>
                <w:highlight w:val="none"/>
              </w:rPr>
            </w:pPr>
          </w:p>
        </w:tc>
        <w:tc>
          <w:tcPr>
            <w:tcW w:w="1285" w:type="dxa"/>
            <w:tcBorders>
              <w:top w:val="single" w:color="auto" w:sz="4" w:space="0"/>
              <w:left w:val="single" w:color="auto" w:sz="4" w:space="0"/>
              <w:bottom w:val="single" w:color="auto" w:sz="4" w:space="0"/>
              <w:right w:val="single" w:color="auto" w:sz="4" w:space="0"/>
            </w:tcBorders>
            <w:vAlign w:val="center"/>
          </w:tcPr>
          <w:p w14:paraId="0C6C08DC">
            <w:pPr>
              <w:spacing w:line="360" w:lineRule="auto"/>
              <w:ind w:firstLine="480" w:firstLineChars="200"/>
              <w:rPr>
                <w:rFonts w:ascii="宋体" w:hAnsi="宋体" w:cs="宋体"/>
                <w:color w:val="auto"/>
                <w:sz w:val="24"/>
                <w:highlight w:val="none"/>
              </w:rPr>
            </w:pPr>
          </w:p>
        </w:tc>
        <w:tc>
          <w:tcPr>
            <w:tcW w:w="1142" w:type="dxa"/>
            <w:tcBorders>
              <w:top w:val="single" w:color="auto" w:sz="4" w:space="0"/>
              <w:left w:val="single" w:color="auto" w:sz="4" w:space="0"/>
              <w:bottom w:val="single" w:color="auto" w:sz="4" w:space="0"/>
              <w:right w:val="single" w:color="auto" w:sz="4" w:space="0"/>
            </w:tcBorders>
            <w:vAlign w:val="center"/>
          </w:tcPr>
          <w:p w14:paraId="4F73E259">
            <w:pPr>
              <w:spacing w:line="360" w:lineRule="auto"/>
              <w:ind w:firstLine="480" w:firstLineChars="200"/>
              <w:rPr>
                <w:rFonts w:ascii="宋体" w:hAnsi="宋体" w:cs="宋体"/>
                <w:color w:val="auto"/>
                <w:sz w:val="24"/>
                <w:highlight w:val="none"/>
              </w:rPr>
            </w:pPr>
          </w:p>
        </w:tc>
        <w:tc>
          <w:tcPr>
            <w:tcW w:w="1570" w:type="dxa"/>
            <w:tcBorders>
              <w:top w:val="single" w:color="auto" w:sz="4" w:space="0"/>
              <w:left w:val="single" w:color="auto" w:sz="4" w:space="0"/>
              <w:bottom w:val="single" w:color="auto" w:sz="4" w:space="0"/>
              <w:right w:val="single" w:color="auto" w:sz="4" w:space="0"/>
            </w:tcBorders>
            <w:vAlign w:val="center"/>
          </w:tcPr>
          <w:p w14:paraId="1F0A73B9">
            <w:pPr>
              <w:spacing w:line="360" w:lineRule="auto"/>
              <w:ind w:firstLine="480" w:firstLineChars="200"/>
              <w:rPr>
                <w:rFonts w:ascii="宋体" w:hAnsi="宋体" w:cs="宋体"/>
                <w:color w:val="auto"/>
                <w:sz w:val="24"/>
                <w:highlight w:val="none"/>
              </w:rPr>
            </w:pPr>
          </w:p>
        </w:tc>
      </w:tr>
    </w:tbl>
    <w:p w14:paraId="230013C8">
      <w:pPr>
        <w:spacing w:line="360" w:lineRule="auto"/>
        <w:rPr>
          <w:rFonts w:ascii="宋体" w:hAnsi="宋体" w:cs="宋体"/>
          <w:color w:val="auto"/>
          <w:sz w:val="24"/>
          <w:highlight w:val="none"/>
        </w:rPr>
      </w:pPr>
    </w:p>
    <w:p w14:paraId="3E39116D">
      <w:pPr>
        <w:spacing w:line="360" w:lineRule="auto"/>
        <w:rPr>
          <w:rFonts w:ascii="宋体" w:hAnsi="宋体" w:cs="宋体"/>
          <w:color w:val="auto"/>
          <w:sz w:val="24"/>
          <w:highlight w:val="none"/>
        </w:rPr>
      </w:pPr>
      <w:r>
        <w:rPr>
          <w:rFonts w:hint="eastAsia" w:ascii="宋体" w:hAnsi="宋体" w:cs="宋体"/>
          <w:color w:val="auto"/>
          <w:sz w:val="24"/>
          <w:highlight w:val="none"/>
        </w:rPr>
        <w:t>附表三：劳动力计划表</w:t>
      </w:r>
    </w:p>
    <w:p w14:paraId="474CE7AE">
      <w:pPr>
        <w:spacing w:line="360" w:lineRule="auto"/>
        <w:rPr>
          <w:rFonts w:ascii="宋体" w:hAnsi="宋体" w:cs="宋体"/>
          <w:color w:val="auto"/>
          <w:sz w:val="24"/>
          <w:highlight w:val="none"/>
        </w:rPr>
      </w:pPr>
      <w:r>
        <w:rPr>
          <w:rFonts w:hint="eastAsia" w:ascii="宋体" w:hAnsi="宋体" w:cs="宋体"/>
          <w:color w:val="auto"/>
          <w:sz w:val="24"/>
          <w:highlight w:val="none"/>
        </w:rPr>
        <w:t>单位：人</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964"/>
        <w:gridCol w:w="1261"/>
        <w:gridCol w:w="1262"/>
        <w:gridCol w:w="1261"/>
        <w:gridCol w:w="1262"/>
        <w:gridCol w:w="1261"/>
        <w:gridCol w:w="1265"/>
      </w:tblGrid>
      <w:tr w14:paraId="0C73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26782AE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工种</w:t>
            </w:r>
          </w:p>
        </w:tc>
        <w:tc>
          <w:tcPr>
            <w:tcW w:w="8536" w:type="dxa"/>
            <w:gridSpan w:val="7"/>
            <w:tcBorders>
              <w:top w:val="single" w:color="auto" w:sz="4" w:space="0"/>
              <w:left w:val="single" w:color="auto" w:sz="4" w:space="0"/>
              <w:bottom w:val="single" w:color="auto" w:sz="4" w:space="0"/>
              <w:right w:val="single" w:color="auto" w:sz="4" w:space="0"/>
            </w:tcBorders>
            <w:vAlign w:val="center"/>
          </w:tcPr>
          <w:p w14:paraId="177FD34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按工程施工阶段投入劳动力情况</w:t>
            </w:r>
          </w:p>
        </w:tc>
      </w:tr>
      <w:tr w14:paraId="00CB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46053C09">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2C559857">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0F2BF5E">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4766EEA4">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FBDA392">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6E4FAEA2">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0D7B8F47">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4F0963BC">
            <w:pPr>
              <w:spacing w:line="360" w:lineRule="auto"/>
              <w:jc w:val="center"/>
              <w:rPr>
                <w:rFonts w:ascii="宋体" w:hAnsi="宋体" w:cs="宋体"/>
                <w:color w:val="auto"/>
                <w:sz w:val="24"/>
                <w:highlight w:val="none"/>
              </w:rPr>
            </w:pPr>
          </w:p>
        </w:tc>
      </w:tr>
      <w:tr w14:paraId="2808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535AC22A">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7F2587FA">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38727FE">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7521EADD">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E2C8435">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AF8457A">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369FC01A">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7CB8B62B">
            <w:pPr>
              <w:spacing w:line="360" w:lineRule="auto"/>
              <w:jc w:val="center"/>
              <w:rPr>
                <w:rFonts w:ascii="宋体" w:hAnsi="宋体" w:cs="宋体"/>
                <w:color w:val="auto"/>
                <w:sz w:val="24"/>
                <w:highlight w:val="none"/>
              </w:rPr>
            </w:pPr>
          </w:p>
        </w:tc>
      </w:tr>
      <w:tr w14:paraId="4AEF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0AA5DBCB">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531DB35C">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3BF6683">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0332C915">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0D028942">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9E312D8">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5EEB5180">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2205B275">
            <w:pPr>
              <w:spacing w:line="360" w:lineRule="auto"/>
              <w:jc w:val="center"/>
              <w:rPr>
                <w:rFonts w:ascii="宋体" w:hAnsi="宋体" w:cs="宋体"/>
                <w:color w:val="auto"/>
                <w:sz w:val="24"/>
                <w:highlight w:val="none"/>
              </w:rPr>
            </w:pPr>
          </w:p>
        </w:tc>
      </w:tr>
      <w:tr w14:paraId="2E31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178F3ED2">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1022AC32">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A2D47D2">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0A43E9C6">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4D5289D1">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4805AFC8">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6D3EFEF7">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0B0C223C">
            <w:pPr>
              <w:spacing w:line="360" w:lineRule="auto"/>
              <w:jc w:val="center"/>
              <w:rPr>
                <w:rFonts w:ascii="宋体" w:hAnsi="宋体" w:cs="宋体"/>
                <w:color w:val="auto"/>
                <w:sz w:val="24"/>
                <w:highlight w:val="none"/>
              </w:rPr>
            </w:pPr>
          </w:p>
        </w:tc>
      </w:tr>
      <w:tr w14:paraId="1A2B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3C0F7DAE">
            <w:pPr>
              <w:spacing w:line="360" w:lineRule="auto"/>
              <w:jc w:val="center"/>
              <w:rPr>
                <w:rFonts w:ascii="宋体" w:hAnsi="宋体" w:cs="宋体"/>
                <w:color w:val="auto"/>
                <w:sz w:val="24"/>
                <w:highlight w:val="none"/>
              </w:rPr>
            </w:pPr>
          </w:p>
        </w:tc>
        <w:tc>
          <w:tcPr>
            <w:tcW w:w="964" w:type="dxa"/>
            <w:tcBorders>
              <w:top w:val="single" w:color="auto" w:sz="4" w:space="0"/>
              <w:left w:val="single" w:color="auto" w:sz="4" w:space="0"/>
              <w:bottom w:val="single" w:color="auto" w:sz="4" w:space="0"/>
              <w:right w:val="single" w:color="auto" w:sz="4" w:space="0"/>
            </w:tcBorders>
            <w:vAlign w:val="center"/>
          </w:tcPr>
          <w:p w14:paraId="023D2E70">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716FD947">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53561026">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39F8C356">
            <w:pPr>
              <w:spacing w:line="360" w:lineRule="auto"/>
              <w:jc w:val="center"/>
              <w:rPr>
                <w:rFonts w:ascii="宋体" w:hAnsi="宋体" w:cs="宋体"/>
                <w:color w:val="auto"/>
                <w:sz w:val="24"/>
                <w:highlight w:val="none"/>
              </w:rPr>
            </w:pPr>
          </w:p>
        </w:tc>
        <w:tc>
          <w:tcPr>
            <w:tcW w:w="1262" w:type="dxa"/>
            <w:tcBorders>
              <w:top w:val="single" w:color="auto" w:sz="4" w:space="0"/>
              <w:left w:val="single" w:color="auto" w:sz="4" w:space="0"/>
              <w:bottom w:val="single" w:color="auto" w:sz="4" w:space="0"/>
              <w:right w:val="single" w:color="auto" w:sz="4" w:space="0"/>
            </w:tcBorders>
            <w:vAlign w:val="center"/>
          </w:tcPr>
          <w:p w14:paraId="1618EC8F">
            <w:pPr>
              <w:spacing w:line="360" w:lineRule="auto"/>
              <w:jc w:val="center"/>
              <w:rPr>
                <w:rFonts w:ascii="宋体" w:hAnsi="宋体" w:cs="宋体"/>
                <w:color w:val="auto"/>
                <w:sz w:val="24"/>
                <w:highlight w:val="none"/>
              </w:rPr>
            </w:pPr>
          </w:p>
        </w:tc>
        <w:tc>
          <w:tcPr>
            <w:tcW w:w="1261" w:type="dxa"/>
            <w:tcBorders>
              <w:top w:val="single" w:color="auto" w:sz="4" w:space="0"/>
              <w:left w:val="single" w:color="auto" w:sz="4" w:space="0"/>
              <w:bottom w:val="single" w:color="auto" w:sz="4" w:space="0"/>
              <w:right w:val="single" w:color="auto" w:sz="4" w:space="0"/>
            </w:tcBorders>
            <w:vAlign w:val="center"/>
          </w:tcPr>
          <w:p w14:paraId="2ED9ED1B">
            <w:pPr>
              <w:spacing w:line="360" w:lineRule="auto"/>
              <w:jc w:val="center"/>
              <w:rPr>
                <w:rFonts w:ascii="宋体" w:hAnsi="宋体" w:cs="宋体"/>
                <w:color w:val="auto"/>
                <w:sz w:val="24"/>
                <w:highlight w:val="none"/>
              </w:rPr>
            </w:pPr>
          </w:p>
        </w:tc>
        <w:tc>
          <w:tcPr>
            <w:tcW w:w="1265" w:type="dxa"/>
            <w:tcBorders>
              <w:top w:val="single" w:color="auto" w:sz="4" w:space="0"/>
              <w:left w:val="single" w:color="auto" w:sz="4" w:space="0"/>
              <w:bottom w:val="single" w:color="auto" w:sz="4" w:space="0"/>
              <w:right w:val="single" w:color="auto" w:sz="4" w:space="0"/>
            </w:tcBorders>
            <w:vAlign w:val="center"/>
          </w:tcPr>
          <w:p w14:paraId="551D7E3A">
            <w:pPr>
              <w:spacing w:line="360" w:lineRule="auto"/>
              <w:jc w:val="center"/>
              <w:rPr>
                <w:rFonts w:ascii="宋体" w:hAnsi="宋体" w:cs="宋体"/>
                <w:color w:val="auto"/>
                <w:sz w:val="24"/>
                <w:highlight w:val="none"/>
              </w:rPr>
            </w:pPr>
          </w:p>
        </w:tc>
      </w:tr>
    </w:tbl>
    <w:p w14:paraId="67794463">
      <w:pPr>
        <w:spacing w:line="360" w:lineRule="auto"/>
        <w:rPr>
          <w:rFonts w:ascii="宋体" w:hAnsi="宋体" w:cs="宋体"/>
          <w:color w:val="auto"/>
          <w:sz w:val="24"/>
          <w:highlight w:val="none"/>
        </w:rPr>
      </w:pPr>
    </w:p>
    <w:p w14:paraId="40CD190C">
      <w:pPr>
        <w:spacing w:line="360" w:lineRule="auto"/>
        <w:rPr>
          <w:rFonts w:ascii="宋体" w:hAnsi="宋体" w:cs="宋体"/>
          <w:color w:val="auto"/>
          <w:sz w:val="24"/>
          <w:highlight w:val="none"/>
        </w:rPr>
      </w:pPr>
    </w:p>
    <w:p w14:paraId="6A452504">
      <w:pPr>
        <w:spacing w:line="360" w:lineRule="auto"/>
        <w:rPr>
          <w:rFonts w:ascii="宋体" w:hAnsi="宋体" w:cs="宋体"/>
          <w:color w:val="auto"/>
          <w:sz w:val="24"/>
          <w:highlight w:val="none"/>
        </w:rPr>
      </w:pPr>
      <w:r>
        <w:rPr>
          <w:rFonts w:hint="eastAsia" w:ascii="宋体" w:hAnsi="宋体" w:cs="宋体"/>
          <w:color w:val="auto"/>
          <w:sz w:val="24"/>
          <w:highlight w:val="none"/>
        </w:rPr>
        <w:t>附表四：计划开、竣工日期和施工进度计划（网络图或横道图）</w:t>
      </w:r>
    </w:p>
    <w:p w14:paraId="0D8F425C">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1. </w:t>
      </w:r>
      <w:r>
        <w:rPr>
          <w:rFonts w:hint="eastAsia" w:ascii="宋体" w:hAnsi="宋体" w:cs="宋体"/>
          <w:color w:val="auto"/>
          <w:sz w:val="24"/>
          <w:highlight w:val="none"/>
        </w:rPr>
        <w:t>磋商供应商应提交施工进度计划，说明按磋商文件要求的工期进行施工的各个关键日期。成交的磋商供应商还应按合同条件有关条款的要求提交详细的施工进度计划。</w:t>
      </w:r>
    </w:p>
    <w:p w14:paraId="329E8C62">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2. </w:t>
      </w:r>
      <w:r>
        <w:rPr>
          <w:rFonts w:hint="eastAsia" w:ascii="宋体" w:hAnsi="宋体" w:cs="宋体"/>
          <w:color w:val="auto"/>
          <w:sz w:val="24"/>
          <w:highlight w:val="none"/>
        </w:rPr>
        <w:t>施工进度计划可采用网络图（或横道图）表示，说明计划开工日期和各分项工程各阶段的完工日期和分包合同签订的日期。</w:t>
      </w:r>
    </w:p>
    <w:p w14:paraId="4024C6FF">
      <w:pPr>
        <w:spacing w:line="360" w:lineRule="auto"/>
        <w:ind w:left="-6" w:firstLine="420"/>
        <w:rPr>
          <w:rFonts w:ascii="宋体" w:hAnsi="宋体" w:cs="宋体"/>
          <w:color w:val="auto"/>
          <w:sz w:val="24"/>
          <w:highlight w:val="none"/>
        </w:rPr>
      </w:pPr>
      <w:r>
        <w:rPr>
          <w:rFonts w:ascii="宋体" w:hAnsi="宋体" w:cs="宋体"/>
          <w:color w:val="auto"/>
          <w:sz w:val="24"/>
          <w:highlight w:val="none"/>
        </w:rPr>
        <w:t xml:space="preserve">3. </w:t>
      </w:r>
      <w:r>
        <w:rPr>
          <w:rFonts w:hint="eastAsia" w:ascii="宋体" w:hAnsi="宋体" w:cs="宋体"/>
          <w:color w:val="auto"/>
          <w:sz w:val="24"/>
          <w:highlight w:val="none"/>
        </w:rPr>
        <w:t>施工进度计划应与施工组织设计相适应。</w:t>
      </w:r>
    </w:p>
    <w:p w14:paraId="3F85ACA7">
      <w:pPr>
        <w:spacing w:line="360" w:lineRule="auto"/>
        <w:rPr>
          <w:rFonts w:ascii="宋体" w:hAnsi="宋体" w:cs="宋体"/>
          <w:color w:val="auto"/>
          <w:sz w:val="24"/>
          <w:highlight w:val="none"/>
        </w:rPr>
      </w:pPr>
    </w:p>
    <w:p w14:paraId="0CCE2E33">
      <w:pPr>
        <w:spacing w:line="360" w:lineRule="auto"/>
        <w:rPr>
          <w:rFonts w:ascii="宋体" w:hAnsi="宋体" w:cs="宋体"/>
          <w:color w:val="auto"/>
          <w:sz w:val="24"/>
          <w:highlight w:val="none"/>
        </w:rPr>
      </w:pPr>
    </w:p>
    <w:p w14:paraId="05158EC0">
      <w:pPr>
        <w:spacing w:line="360" w:lineRule="auto"/>
        <w:rPr>
          <w:rFonts w:ascii="宋体" w:hAnsi="宋体" w:cs="宋体"/>
          <w:color w:val="auto"/>
          <w:sz w:val="24"/>
          <w:highlight w:val="none"/>
        </w:rPr>
      </w:pPr>
      <w:r>
        <w:rPr>
          <w:rFonts w:hint="eastAsia" w:ascii="宋体" w:hAnsi="宋体" w:cs="宋体"/>
          <w:color w:val="auto"/>
          <w:sz w:val="24"/>
          <w:highlight w:val="none"/>
        </w:rPr>
        <w:t>附表五：施工总平面图</w:t>
      </w:r>
    </w:p>
    <w:p w14:paraId="265B436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磋商供应商应递交一份施工总平面图，绘出现场临时设施布置图表并附文字说明，说明临时设施、加工车间、现场办公、设备及仓储、供电、供水、卫生、生活、道路、消防等设施的情况和布置。</w:t>
      </w:r>
    </w:p>
    <w:p w14:paraId="1DB5A7C9">
      <w:pPr>
        <w:spacing w:line="360" w:lineRule="auto"/>
        <w:rPr>
          <w:rFonts w:ascii="宋体" w:hAnsi="宋体" w:cs="宋体"/>
          <w:color w:val="auto"/>
          <w:sz w:val="24"/>
          <w:highlight w:val="none"/>
        </w:rPr>
      </w:pPr>
    </w:p>
    <w:p w14:paraId="6F9C7744">
      <w:pPr>
        <w:spacing w:line="360" w:lineRule="auto"/>
        <w:rPr>
          <w:rFonts w:ascii="宋体" w:hAnsi="宋体" w:cs="宋体"/>
          <w:color w:val="auto"/>
          <w:sz w:val="24"/>
          <w:highlight w:val="none"/>
        </w:rPr>
      </w:pPr>
    </w:p>
    <w:p w14:paraId="76E0E50B">
      <w:pPr>
        <w:spacing w:line="360" w:lineRule="auto"/>
        <w:rPr>
          <w:rFonts w:ascii="宋体" w:hAnsi="宋体" w:cs="宋体"/>
          <w:color w:val="auto"/>
          <w:sz w:val="24"/>
          <w:highlight w:val="none"/>
        </w:rPr>
      </w:pPr>
      <w:r>
        <w:rPr>
          <w:rFonts w:hint="eastAsia" w:ascii="宋体" w:hAnsi="宋体" w:cs="宋体"/>
          <w:color w:val="auto"/>
          <w:sz w:val="24"/>
          <w:highlight w:val="none"/>
        </w:rPr>
        <w:t>附表六：临时用地表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366"/>
        <w:gridCol w:w="2365"/>
        <w:gridCol w:w="2366"/>
      </w:tblGrid>
      <w:tr w14:paraId="2B6F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65" w:type="dxa"/>
            <w:tcBorders>
              <w:top w:val="single" w:color="auto" w:sz="4" w:space="0"/>
              <w:left w:val="single" w:color="auto" w:sz="4" w:space="0"/>
              <w:bottom w:val="single" w:color="auto" w:sz="4" w:space="0"/>
              <w:right w:val="single" w:color="auto" w:sz="4" w:space="0"/>
            </w:tcBorders>
            <w:vAlign w:val="center"/>
          </w:tcPr>
          <w:p w14:paraId="132A946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用途</w:t>
            </w:r>
          </w:p>
        </w:tc>
        <w:tc>
          <w:tcPr>
            <w:tcW w:w="2366" w:type="dxa"/>
            <w:tcBorders>
              <w:top w:val="single" w:color="auto" w:sz="4" w:space="0"/>
              <w:left w:val="single" w:color="auto" w:sz="4" w:space="0"/>
              <w:bottom w:val="single" w:color="auto" w:sz="4" w:space="0"/>
              <w:right w:val="single" w:color="auto" w:sz="4" w:space="0"/>
            </w:tcBorders>
            <w:vAlign w:val="center"/>
          </w:tcPr>
          <w:p w14:paraId="5E96324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面积（平方米）</w:t>
            </w:r>
          </w:p>
        </w:tc>
        <w:tc>
          <w:tcPr>
            <w:tcW w:w="2365" w:type="dxa"/>
            <w:tcBorders>
              <w:top w:val="single" w:color="auto" w:sz="4" w:space="0"/>
              <w:left w:val="single" w:color="auto" w:sz="4" w:space="0"/>
              <w:bottom w:val="single" w:color="auto" w:sz="4" w:space="0"/>
              <w:right w:val="single" w:color="auto" w:sz="4" w:space="0"/>
            </w:tcBorders>
            <w:vAlign w:val="center"/>
          </w:tcPr>
          <w:p w14:paraId="486C737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位置</w:t>
            </w:r>
          </w:p>
        </w:tc>
        <w:tc>
          <w:tcPr>
            <w:tcW w:w="2366" w:type="dxa"/>
            <w:tcBorders>
              <w:top w:val="single" w:color="auto" w:sz="4" w:space="0"/>
              <w:left w:val="single" w:color="auto" w:sz="4" w:space="0"/>
              <w:bottom w:val="single" w:color="auto" w:sz="4" w:space="0"/>
              <w:right w:val="single" w:color="auto" w:sz="4" w:space="0"/>
            </w:tcBorders>
            <w:vAlign w:val="center"/>
          </w:tcPr>
          <w:p w14:paraId="5040763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需用时间</w:t>
            </w:r>
          </w:p>
        </w:tc>
      </w:tr>
      <w:tr w14:paraId="46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2297006F">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72593056">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21096443">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5B88004">
            <w:pPr>
              <w:spacing w:line="360" w:lineRule="auto"/>
              <w:rPr>
                <w:rFonts w:ascii="宋体" w:hAnsi="宋体" w:cs="宋体"/>
                <w:color w:val="auto"/>
                <w:sz w:val="24"/>
                <w:highlight w:val="none"/>
              </w:rPr>
            </w:pPr>
          </w:p>
        </w:tc>
      </w:tr>
      <w:tr w14:paraId="66D1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5AFB95F5">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7E1DB6CF">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108FEAB4">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6674E4D">
            <w:pPr>
              <w:spacing w:line="360" w:lineRule="auto"/>
              <w:rPr>
                <w:rFonts w:ascii="宋体" w:hAnsi="宋体" w:cs="宋体"/>
                <w:color w:val="auto"/>
                <w:sz w:val="24"/>
                <w:highlight w:val="none"/>
              </w:rPr>
            </w:pPr>
          </w:p>
        </w:tc>
      </w:tr>
      <w:tr w14:paraId="09B2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365" w:type="dxa"/>
            <w:tcBorders>
              <w:top w:val="single" w:color="auto" w:sz="4" w:space="0"/>
              <w:left w:val="single" w:color="auto" w:sz="4" w:space="0"/>
              <w:bottom w:val="single" w:color="auto" w:sz="4" w:space="0"/>
              <w:right w:val="single" w:color="auto" w:sz="4" w:space="0"/>
            </w:tcBorders>
          </w:tcPr>
          <w:p w14:paraId="2516EDDC">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206899C">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1864B13D">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3EEC63C">
            <w:pPr>
              <w:spacing w:line="360" w:lineRule="auto"/>
              <w:rPr>
                <w:rFonts w:ascii="宋体" w:hAnsi="宋体" w:cs="宋体"/>
                <w:color w:val="auto"/>
                <w:sz w:val="24"/>
                <w:highlight w:val="none"/>
              </w:rPr>
            </w:pPr>
          </w:p>
        </w:tc>
      </w:tr>
      <w:tr w14:paraId="4521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3359206C">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29EB2650">
            <w:pPr>
              <w:spacing w:line="360" w:lineRule="auto"/>
              <w:rPr>
                <w:rFonts w:ascii="宋体" w:hAnsi="宋体" w:cs="宋体"/>
                <w:color w:val="auto"/>
                <w:sz w:val="24"/>
                <w:highlight w:val="none"/>
              </w:rPr>
            </w:pPr>
          </w:p>
        </w:tc>
        <w:tc>
          <w:tcPr>
            <w:tcW w:w="2365" w:type="dxa"/>
            <w:tcBorders>
              <w:top w:val="single" w:color="auto" w:sz="4" w:space="0"/>
              <w:left w:val="single" w:color="auto" w:sz="4" w:space="0"/>
              <w:bottom w:val="single" w:color="auto" w:sz="4" w:space="0"/>
              <w:right w:val="single" w:color="auto" w:sz="4" w:space="0"/>
            </w:tcBorders>
          </w:tcPr>
          <w:p w14:paraId="6B2C23CE">
            <w:pPr>
              <w:spacing w:line="360" w:lineRule="auto"/>
              <w:rPr>
                <w:rFonts w:ascii="宋体" w:hAnsi="宋体" w:cs="宋体"/>
                <w:color w:val="auto"/>
                <w:sz w:val="24"/>
                <w:highlight w:val="none"/>
              </w:rPr>
            </w:pPr>
          </w:p>
        </w:tc>
        <w:tc>
          <w:tcPr>
            <w:tcW w:w="2366" w:type="dxa"/>
            <w:tcBorders>
              <w:top w:val="single" w:color="auto" w:sz="4" w:space="0"/>
              <w:left w:val="single" w:color="auto" w:sz="4" w:space="0"/>
              <w:bottom w:val="single" w:color="auto" w:sz="4" w:space="0"/>
              <w:right w:val="single" w:color="auto" w:sz="4" w:space="0"/>
            </w:tcBorders>
          </w:tcPr>
          <w:p w14:paraId="33FFA2E5">
            <w:pPr>
              <w:spacing w:line="360" w:lineRule="auto"/>
              <w:rPr>
                <w:rFonts w:ascii="宋体" w:hAnsi="宋体" w:cs="宋体"/>
                <w:color w:val="auto"/>
                <w:sz w:val="24"/>
                <w:highlight w:val="none"/>
              </w:rPr>
            </w:pPr>
          </w:p>
        </w:tc>
      </w:tr>
    </w:tbl>
    <w:p w14:paraId="38BEF730">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lang w:eastAsia="en-US"/>
        </w:rPr>
      </w:pPr>
    </w:p>
    <w:p w14:paraId="3B42D853">
      <w:pPr>
        <w:spacing w:line="360" w:lineRule="auto"/>
        <w:rPr>
          <w:rFonts w:ascii="宋体" w:hAnsi="宋体" w:cs="宋体"/>
          <w:color w:val="auto"/>
          <w:highlight w:val="none"/>
        </w:rPr>
        <w:sectPr>
          <w:pgSz w:w="11907" w:h="16839"/>
          <w:pgMar w:top="1431" w:right="1272" w:bottom="1364" w:left="1418" w:header="850" w:footer="1204" w:gutter="0"/>
          <w:pgBorders>
            <w:top w:val="none" w:sz="0" w:space="0"/>
            <w:left w:val="none" w:sz="0" w:space="0"/>
            <w:bottom w:val="none" w:sz="0" w:space="0"/>
            <w:right w:val="none" w:sz="0" w:space="0"/>
          </w:pgBorders>
          <w:pgNumType w:fmt="decimal"/>
          <w:cols w:space="720" w:num="1"/>
          <w:docGrid w:linePitch="286" w:charSpace="0"/>
        </w:sectPr>
      </w:pPr>
    </w:p>
    <w:p w14:paraId="6C33C9EA">
      <w:pPr>
        <w:spacing w:line="360" w:lineRule="auto"/>
        <w:rPr>
          <w:rFonts w:ascii="宋体" w:hAnsi="宋体" w:cs="宋体"/>
          <w:b/>
          <w:bCs/>
          <w:color w:val="auto"/>
          <w:spacing w:val="9"/>
          <w:position w:val="3"/>
          <w:sz w:val="24"/>
          <w:highlight w:val="none"/>
        </w:rPr>
      </w:pPr>
      <w:r>
        <w:rPr>
          <w:rFonts w:hint="eastAsia" w:ascii="宋体" w:hAnsi="宋体" w:cs="宋体"/>
          <w:b/>
          <w:bCs/>
          <w:color w:val="auto"/>
          <w:spacing w:val="9"/>
          <w:position w:val="3"/>
          <w:sz w:val="24"/>
          <w:highlight w:val="none"/>
        </w:rPr>
        <w:t>附件10</w:t>
      </w:r>
    </w:p>
    <w:p w14:paraId="0390FAFF">
      <w:pPr>
        <w:spacing w:line="360" w:lineRule="auto"/>
        <w:jc w:val="center"/>
        <w:rPr>
          <w:rFonts w:ascii="宋体" w:hAnsi="宋体" w:cs="宋体"/>
          <w:color w:val="auto"/>
          <w:sz w:val="43"/>
          <w:szCs w:val="43"/>
          <w:highlight w:val="none"/>
        </w:rPr>
      </w:pPr>
      <w:r>
        <w:rPr>
          <w:rFonts w:hint="eastAsia" w:ascii="宋体" w:hAnsi="宋体" w:cs="宋体"/>
          <w:color w:val="auto"/>
          <w:spacing w:val="9"/>
          <w:position w:val="3"/>
          <w:sz w:val="43"/>
          <w:szCs w:val="43"/>
          <w:highlight w:val="none"/>
        </w:rPr>
        <w:t>项目管理机构配备情况表及主要人员简历表</w:t>
      </w:r>
    </w:p>
    <w:p w14:paraId="4F3EC204">
      <w:pPr>
        <w:kinsoku w:val="0"/>
        <w:autoSpaceDE w:val="0"/>
        <w:autoSpaceDN w:val="0"/>
        <w:adjustRightInd w:val="0"/>
        <w:snapToGrid w:val="0"/>
        <w:spacing w:line="360" w:lineRule="auto"/>
        <w:jc w:val="left"/>
        <w:textAlignment w:val="baseline"/>
        <w:rPr>
          <w:rFonts w:ascii="宋体" w:hAnsi="宋体" w:cs="宋体"/>
          <w:snapToGrid w:val="0"/>
          <w:color w:val="auto"/>
          <w:kern w:val="0"/>
          <w:szCs w:val="21"/>
          <w:highlight w:val="none"/>
        </w:rPr>
      </w:pPr>
    </w:p>
    <w:p w14:paraId="2E5E3821">
      <w:pPr>
        <w:spacing w:line="360" w:lineRule="auto"/>
        <w:ind w:left="2716"/>
        <w:rPr>
          <w:rFonts w:ascii="宋体" w:hAnsi="宋体" w:cs="宋体"/>
          <w:color w:val="auto"/>
          <w:sz w:val="31"/>
          <w:szCs w:val="31"/>
          <w:highlight w:val="none"/>
        </w:rPr>
      </w:pPr>
      <w:r>
        <w:rPr>
          <w:rFonts w:hint="eastAsia" w:ascii="宋体" w:hAnsi="宋体" w:cs="宋体"/>
          <w:color w:val="auto"/>
          <w:spacing w:val="8"/>
          <w:sz w:val="31"/>
          <w:szCs w:val="31"/>
          <w:highlight w:val="none"/>
        </w:rPr>
        <w:t>（一）项目管理机构配备情况表</w:t>
      </w:r>
    </w:p>
    <w:p w14:paraId="1F790077">
      <w:pPr>
        <w:spacing w:line="360" w:lineRule="auto"/>
        <w:rPr>
          <w:rFonts w:ascii="宋体" w:hAnsi="宋体" w:cs="宋体"/>
          <w:color w:val="auto"/>
          <w:highlight w:val="none"/>
        </w:rPr>
      </w:pPr>
    </w:p>
    <w:tbl>
      <w:tblPr>
        <w:tblStyle w:val="38"/>
        <w:tblW w:w="98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669"/>
        <w:gridCol w:w="827"/>
        <w:gridCol w:w="815"/>
        <w:gridCol w:w="1147"/>
        <w:gridCol w:w="1149"/>
        <w:gridCol w:w="1147"/>
        <w:gridCol w:w="744"/>
        <w:gridCol w:w="1166"/>
        <w:gridCol w:w="1281"/>
      </w:tblGrid>
      <w:tr w14:paraId="34791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926" w:type="dxa"/>
            <w:vMerge w:val="restart"/>
            <w:tcBorders>
              <w:bottom w:val="nil"/>
            </w:tcBorders>
            <w:shd w:val="clear" w:color="auto" w:fill="auto"/>
            <w:vAlign w:val="center"/>
          </w:tcPr>
          <w:p w14:paraId="6C7091B8">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p w14:paraId="6BF5AEBA">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669" w:type="dxa"/>
            <w:vMerge w:val="restart"/>
            <w:tcBorders>
              <w:bottom w:val="nil"/>
            </w:tcBorders>
            <w:shd w:val="clear" w:color="auto" w:fill="auto"/>
            <w:vAlign w:val="center"/>
          </w:tcPr>
          <w:p w14:paraId="50F611AA">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p w14:paraId="7CE66FFA">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827" w:type="dxa"/>
            <w:vMerge w:val="restart"/>
            <w:tcBorders>
              <w:bottom w:val="nil"/>
            </w:tcBorders>
            <w:shd w:val="clear" w:color="auto" w:fill="auto"/>
            <w:vAlign w:val="center"/>
          </w:tcPr>
          <w:p w14:paraId="3D5F11B0">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position w:val="7"/>
                <w:sz w:val="24"/>
                <w:highlight w:val="none"/>
                <w:lang w:eastAsia="en-US"/>
              </w:rPr>
              <w:t>身份</w:t>
            </w:r>
          </w:p>
          <w:p w14:paraId="1FB48284">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证号</w:t>
            </w:r>
          </w:p>
        </w:tc>
        <w:tc>
          <w:tcPr>
            <w:tcW w:w="815" w:type="dxa"/>
            <w:vMerge w:val="restart"/>
            <w:tcBorders>
              <w:bottom w:val="nil"/>
            </w:tcBorders>
            <w:shd w:val="clear" w:color="auto" w:fill="auto"/>
            <w:vAlign w:val="center"/>
          </w:tcPr>
          <w:p w14:paraId="44B2FA7C">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p w14:paraId="4AD40976">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4187" w:type="dxa"/>
            <w:gridSpan w:val="4"/>
            <w:shd w:val="clear" w:color="auto" w:fill="auto"/>
            <w:vAlign w:val="center"/>
          </w:tcPr>
          <w:p w14:paraId="61CC053D">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执业或职业资格</w:t>
            </w:r>
          </w:p>
        </w:tc>
        <w:tc>
          <w:tcPr>
            <w:tcW w:w="2447" w:type="dxa"/>
            <w:gridSpan w:val="2"/>
            <w:shd w:val="clear" w:color="auto" w:fill="auto"/>
            <w:vAlign w:val="center"/>
          </w:tcPr>
          <w:p w14:paraId="1985D341">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9"/>
                <w:kern w:val="0"/>
                <w:sz w:val="24"/>
                <w:highlight w:val="none"/>
              </w:rPr>
              <w:t>承担完工、在建工程情况</w:t>
            </w:r>
          </w:p>
        </w:tc>
      </w:tr>
      <w:tr w14:paraId="46502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Merge w:val="continue"/>
            <w:tcBorders>
              <w:top w:val="nil"/>
            </w:tcBorders>
            <w:shd w:val="clear" w:color="auto" w:fill="auto"/>
            <w:vAlign w:val="center"/>
          </w:tcPr>
          <w:p w14:paraId="4CEF1B0F">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tc>
        <w:tc>
          <w:tcPr>
            <w:tcW w:w="669" w:type="dxa"/>
            <w:vMerge w:val="continue"/>
            <w:tcBorders>
              <w:top w:val="nil"/>
            </w:tcBorders>
            <w:shd w:val="clear" w:color="auto" w:fill="auto"/>
            <w:vAlign w:val="center"/>
          </w:tcPr>
          <w:p w14:paraId="72CA111D">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tc>
        <w:tc>
          <w:tcPr>
            <w:tcW w:w="827" w:type="dxa"/>
            <w:vMerge w:val="continue"/>
            <w:tcBorders>
              <w:top w:val="nil"/>
            </w:tcBorders>
            <w:shd w:val="clear" w:color="auto" w:fill="auto"/>
            <w:vAlign w:val="center"/>
          </w:tcPr>
          <w:p w14:paraId="30ECCEC2">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tc>
        <w:tc>
          <w:tcPr>
            <w:tcW w:w="815" w:type="dxa"/>
            <w:vMerge w:val="continue"/>
            <w:tcBorders>
              <w:top w:val="nil"/>
            </w:tcBorders>
            <w:shd w:val="clear" w:color="auto" w:fill="auto"/>
            <w:vAlign w:val="center"/>
          </w:tcPr>
          <w:p w14:paraId="310E9955">
            <w:pPr>
              <w:keepNext w:val="0"/>
              <w:keepLines w:val="0"/>
              <w:pageBreakBefore w:val="0"/>
              <w:widowControl w:val="0"/>
              <w:wordWrap/>
              <w:overflowPunct/>
              <w:topLinePunct w:val="0"/>
              <w:bidi w:val="0"/>
              <w:spacing w:line="360" w:lineRule="auto"/>
              <w:ind w:left="0" w:right="0"/>
              <w:jc w:val="center"/>
              <w:rPr>
                <w:rFonts w:ascii="宋体" w:hAnsi="宋体" w:cs="宋体"/>
                <w:color w:val="auto"/>
                <w:sz w:val="24"/>
                <w:highlight w:val="none"/>
              </w:rPr>
            </w:pPr>
          </w:p>
        </w:tc>
        <w:tc>
          <w:tcPr>
            <w:tcW w:w="1147" w:type="dxa"/>
            <w:shd w:val="clear" w:color="auto" w:fill="auto"/>
            <w:vAlign w:val="center"/>
          </w:tcPr>
          <w:p w14:paraId="7510EB89">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149" w:type="dxa"/>
            <w:shd w:val="clear" w:color="auto" w:fill="auto"/>
            <w:vAlign w:val="center"/>
          </w:tcPr>
          <w:p w14:paraId="33212085">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147" w:type="dxa"/>
            <w:shd w:val="clear" w:color="auto" w:fill="auto"/>
            <w:vAlign w:val="center"/>
          </w:tcPr>
          <w:p w14:paraId="2D318D54">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证号</w:t>
            </w:r>
          </w:p>
        </w:tc>
        <w:tc>
          <w:tcPr>
            <w:tcW w:w="744" w:type="dxa"/>
            <w:shd w:val="clear" w:color="auto" w:fill="auto"/>
            <w:vAlign w:val="center"/>
          </w:tcPr>
          <w:p w14:paraId="30C9A991">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专业</w:t>
            </w:r>
          </w:p>
        </w:tc>
        <w:tc>
          <w:tcPr>
            <w:tcW w:w="1166" w:type="dxa"/>
            <w:shd w:val="clear" w:color="auto" w:fill="auto"/>
            <w:vAlign w:val="center"/>
          </w:tcPr>
          <w:p w14:paraId="62E2611F">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position w:val="1"/>
                <w:sz w:val="24"/>
                <w:highlight w:val="none"/>
                <w:lang w:eastAsia="en-US"/>
              </w:rPr>
              <w:t>完工/在建</w:t>
            </w:r>
          </w:p>
        </w:tc>
        <w:tc>
          <w:tcPr>
            <w:tcW w:w="1281" w:type="dxa"/>
            <w:shd w:val="clear" w:color="auto" w:fill="auto"/>
            <w:vAlign w:val="center"/>
          </w:tcPr>
          <w:p w14:paraId="16FF61F7">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hanging="209"/>
              <w:jc w:val="center"/>
              <w:textAlignment w:val="baseline"/>
              <w:rPr>
                <w:rFonts w:hint="eastAsia" w:ascii="宋体" w:hAnsi="宋体" w:cs="宋体"/>
                <w:snapToGrid w:val="0"/>
                <w:color w:val="auto"/>
                <w:spacing w:val="-2"/>
                <w:kern w:val="0"/>
                <w:sz w:val="24"/>
                <w:highlight w:val="none"/>
                <w:lang w:eastAsia="en-US"/>
              </w:rPr>
            </w:pPr>
            <w:r>
              <w:rPr>
                <w:rFonts w:hint="eastAsia" w:ascii="宋体" w:hAnsi="宋体" w:cs="宋体"/>
                <w:snapToGrid w:val="0"/>
                <w:color w:val="auto"/>
                <w:spacing w:val="-2"/>
                <w:kern w:val="0"/>
                <w:sz w:val="24"/>
                <w:highlight w:val="none"/>
                <w:lang w:eastAsia="en-US"/>
              </w:rPr>
              <w:t>主要项目</w:t>
            </w:r>
          </w:p>
          <w:p w14:paraId="3A3EA871">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hanging="209"/>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名称</w:t>
            </w:r>
          </w:p>
        </w:tc>
      </w:tr>
      <w:tr w14:paraId="2072B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020A2E7E">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p>
        </w:tc>
        <w:tc>
          <w:tcPr>
            <w:tcW w:w="669" w:type="dxa"/>
            <w:shd w:val="clear" w:color="auto" w:fill="auto"/>
            <w:vAlign w:val="center"/>
          </w:tcPr>
          <w:p w14:paraId="69C666AB">
            <w:pPr>
              <w:spacing w:line="360" w:lineRule="auto"/>
              <w:rPr>
                <w:rFonts w:ascii="宋体" w:hAnsi="宋体" w:cs="宋体"/>
                <w:color w:val="auto"/>
                <w:sz w:val="24"/>
                <w:highlight w:val="none"/>
              </w:rPr>
            </w:pPr>
          </w:p>
        </w:tc>
        <w:tc>
          <w:tcPr>
            <w:tcW w:w="827" w:type="dxa"/>
            <w:shd w:val="clear" w:color="auto" w:fill="auto"/>
            <w:vAlign w:val="center"/>
          </w:tcPr>
          <w:p w14:paraId="6FA303D7">
            <w:pPr>
              <w:spacing w:line="360" w:lineRule="auto"/>
              <w:rPr>
                <w:rFonts w:ascii="宋体" w:hAnsi="宋体" w:cs="宋体"/>
                <w:color w:val="auto"/>
                <w:sz w:val="24"/>
                <w:highlight w:val="none"/>
              </w:rPr>
            </w:pPr>
          </w:p>
        </w:tc>
        <w:tc>
          <w:tcPr>
            <w:tcW w:w="815" w:type="dxa"/>
            <w:shd w:val="clear" w:color="auto" w:fill="auto"/>
            <w:vAlign w:val="center"/>
          </w:tcPr>
          <w:p w14:paraId="52912148">
            <w:pPr>
              <w:spacing w:line="360" w:lineRule="auto"/>
              <w:rPr>
                <w:rFonts w:ascii="宋体" w:hAnsi="宋体" w:cs="宋体"/>
                <w:color w:val="auto"/>
                <w:sz w:val="24"/>
                <w:highlight w:val="none"/>
              </w:rPr>
            </w:pPr>
          </w:p>
        </w:tc>
        <w:tc>
          <w:tcPr>
            <w:tcW w:w="1147" w:type="dxa"/>
            <w:shd w:val="clear" w:color="auto" w:fill="auto"/>
            <w:vAlign w:val="center"/>
          </w:tcPr>
          <w:p w14:paraId="563D898D">
            <w:pPr>
              <w:spacing w:line="360" w:lineRule="auto"/>
              <w:rPr>
                <w:rFonts w:ascii="宋体" w:hAnsi="宋体" w:cs="宋体"/>
                <w:color w:val="auto"/>
                <w:sz w:val="24"/>
                <w:highlight w:val="none"/>
              </w:rPr>
            </w:pPr>
          </w:p>
        </w:tc>
        <w:tc>
          <w:tcPr>
            <w:tcW w:w="1149" w:type="dxa"/>
            <w:shd w:val="clear" w:color="auto" w:fill="auto"/>
            <w:vAlign w:val="center"/>
          </w:tcPr>
          <w:p w14:paraId="62886BB8">
            <w:pPr>
              <w:spacing w:line="360" w:lineRule="auto"/>
              <w:rPr>
                <w:rFonts w:ascii="宋体" w:hAnsi="宋体" w:cs="宋体"/>
                <w:color w:val="auto"/>
                <w:sz w:val="24"/>
                <w:highlight w:val="none"/>
              </w:rPr>
            </w:pPr>
          </w:p>
        </w:tc>
        <w:tc>
          <w:tcPr>
            <w:tcW w:w="1147" w:type="dxa"/>
            <w:shd w:val="clear" w:color="auto" w:fill="auto"/>
            <w:vAlign w:val="center"/>
          </w:tcPr>
          <w:p w14:paraId="13E6D203">
            <w:pPr>
              <w:spacing w:line="360" w:lineRule="auto"/>
              <w:rPr>
                <w:rFonts w:ascii="宋体" w:hAnsi="宋体" w:cs="宋体"/>
                <w:color w:val="auto"/>
                <w:sz w:val="24"/>
                <w:highlight w:val="none"/>
              </w:rPr>
            </w:pPr>
          </w:p>
        </w:tc>
        <w:tc>
          <w:tcPr>
            <w:tcW w:w="744" w:type="dxa"/>
            <w:shd w:val="clear" w:color="auto" w:fill="auto"/>
            <w:vAlign w:val="center"/>
          </w:tcPr>
          <w:p w14:paraId="38B12C4A">
            <w:pPr>
              <w:spacing w:line="360" w:lineRule="auto"/>
              <w:rPr>
                <w:rFonts w:ascii="宋体" w:hAnsi="宋体" w:cs="宋体"/>
                <w:color w:val="auto"/>
                <w:sz w:val="24"/>
                <w:highlight w:val="none"/>
              </w:rPr>
            </w:pPr>
          </w:p>
        </w:tc>
        <w:tc>
          <w:tcPr>
            <w:tcW w:w="1166" w:type="dxa"/>
            <w:shd w:val="clear" w:color="auto" w:fill="auto"/>
            <w:vAlign w:val="center"/>
          </w:tcPr>
          <w:p w14:paraId="4B582310">
            <w:pPr>
              <w:spacing w:line="360" w:lineRule="auto"/>
              <w:rPr>
                <w:rFonts w:ascii="宋体" w:hAnsi="宋体" w:cs="宋体"/>
                <w:color w:val="auto"/>
                <w:sz w:val="24"/>
                <w:highlight w:val="none"/>
              </w:rPr>
            </w:pPr>
          </w:p>
        </w:tc>
        <w:tc>
          <w:tcPr>
            <w:tcW w:w="1281" w:type="dxa"/>
            <w:shd w:val="clear" w:color="auto" w:fill="auto"/>
            <w:vAlign w:val="center"/>
          </w:tcPr>
          <w:p w14:paraId="283B9581">
            <w:pPr>
              <w:spacing w:line="360" w:lineRule="auto"/>
              <w:rPr>
                <w:rFonts w:ascii="宋体" w:hAnsi="宋体" w:cs="宋体"/>
                <w:color w:val="auto"/>
                <w:sz w:val="24"/>
                <w:highlight w:val="none"/>
              </w:rPr>
            </w:pPr>
          </w:p>
        </w:tc>
      </w:tr>
      <w:tr w14:paraId="1BF82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926" w:type="dxa"/>
            <w:shd w:val="clear" w:color="auto" w:fill="auto"/>
            <w:vAlign w:val="center"/>
          </w:tcPr>
          <w:p w14:paraId="72EB2DA9">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hanging="6"/>
              <w:jc w:val="center"/>
              <w:textAlignment w:val="baseline"/>
              <w:rPr>
                <w:rFonts w:ascii="宋体" w:hAnsi="宋体" w:cs="宋体"/>
                <w:snapToGrid w:val="0"/>
                <w:color w:val="auto"/>
                <w:kern w:val="0"/>
                <w:sz w:val="24"/>
                <w:highlight w:val="none"/>
              </w:rPr>
            </w:pPr>
          </w:p>
        </w:tc>
        <w:tc>
          <w:tcPr>
            <w:tcW w:w="669" w:type="dxa"/>
            <w:shd w:val="clear" w:color="auto" w:fill="auto"/>
            <w:vAlign w:val="center"/>
          </w:tcPr>
          <w:p w14:paraId="3B4909B6">
            <w:pPr>
              <w:spacing w:line="360" w:lineRule="auto"/>
              <w:rPr>
                <w:rFonts w:ascii="宋体" w:hAnsi="宋体" w:cs="宋体"/>
                <w:color w:val="auto"/>
                <w:sz w:val="24"/>
                <w:highlight w:val="none"/>
              </w:rPr>
            </w:pPr>
          </w:p>
        </w:tc>
        <w:tc>
          <w:tcPr>
            <w:tcW w:w="827" w:type="dxa"/>
            <w:shd w:val="clear" w:color="auto" w:fill="auto"/>
            <w:vAlign w:val="center"/>
          </w:tcPr>
          <w:p w14:paraId="6B0978AA">
            <w:pPr>
              <w:spacing w:line="360" w:lineRule="auto"/>
              <w:rPr>
                <w:rFonts w:ascii="宋体" w:hAnsi="宋体" w:cs="宋体"/>
                <w:color w:val="auto"/>
                <w:sz w:val="24"/>
                <w:highlight w:val="none"/>
              </w:rPr>
            </w:pPr>
          </w:p>
        </w:tc>
        <w:tc>
          <w:tcPr>
            <w:tcW w:w="815" w:type="dxa"/>
            <w:shd w:val="clear" w:color="auto" w:fill="auto"/>
            <w:vAlign w:val="center"/>
          </w:tcPr>
          <w:p w14:paraId="2BCD3847">
            <w:pPr>
              <w:spacing w:line="360" w:lineRule="auto"/>
              <w:rPr>
                <w:rFonts w:ascii="宋体" w:hAnsi="宋体" w:cs="宋体"/>
                <w:color w:val="auto"/>
                <w:sz w:val="24"/>
                <w:highlight w:val="none"/>
              </w:rPr>
            </w:pPr>
          </w:p>
        </w:tc>
        <w:tc>
          <w:tcPr>
            <w:tcW w:w="1147" w:type="dxa"/>
            <w:shd w:val="clear" w:color="auto" w:fill="auto"/>
            <w:vAlign w:val="center"/>
          </w:tcPr>
          <w:p w14:paraId="299FA943">
            <w:pPr>
              <w:spacing w:line="360" w:lineRule="auto"/>
              <w:rPr>
                <w:rFonts w:ascii="宋体" w:hAnsi="宋体" w:cs="宋体"/>
                <w:color w:val="auto"/>
                <w:sz w:val="24"/>
                <w:highlight w:val="none"/>
              </w:rPr>
            </w:pPr>
          </w:p>
        </w:tc>
        <w:tc>
          <w:tcPr>
            <w:tcW w:w="1149" w:type="dxa"/>
            <w:shd w:val="clear" w:color="auto" w:fill="auto"/>
            <w:vAlign w:val="center"/>
          </w:tcPr>
          <w:p w14:paraId="48E03C63">
            <w:pPr>
              <w:spacing w:line="360" w:lineRule="auto"/>
              <w:rPr>
                <w:rFonts w:ascii="宋体" w:hAnsi="宋体" w:cs="宋体"/>
                <w:color w:val="auto"/>
                <w:sz w:val="24"/>
                <w:highlight w:val="none"/>
              </w:rPr>
            </w:pPr>
          </w:p>
        </w:tc>
        <w:tc>
          <w:tcPr>
            <w:tcW w:w="1147" w:type="dxa"/>
            <w:shd w:val="clear" w:color="auto" w:fill="auto"/>
            <w:vAlign w:val="center"/>
          </w:tcPr>
          <w:p w14:paraId="33BF2DA9">
            <w:pPr>
              <w:spacing w:line="360" w:lineRule="auto"/>
              <w:rPr>
                <w:rFonts w:ascii="宋体" w:hAnsi="宋体" w:cs="宋体"/>
                <w:color w:val="auto"/>
                <w:sz w:val="24"/>
                <w:highlight w:val="none"/>
              </w:rPr>
            </w:pPr>
          </w:p>
        </w:tc>
        <w:tc>
          <w:tcPr>
            <w:tcW w:w="744" w:type="dxa"/>
            <w:shd w:val="clear" w:color="auto" w:fill="auto"/>
            <w:vAlign w:val="center"/>
          </w:tcPr>
          <w:p w14:paraId="06CA367B">
            <w:pPr>
              <w:spacing w:line="360" w:lineRule="auto"/>
              <w:rPr>
                <w:rFonts w:ascii="宋体" w:hAnsi="宋体" w:cs="宋体"/>
                <w:color w:val="auto"/>
                <w:sz w:val="24"/>
                <w:highlight w:val="none"/>
              </w:rPr>
            </w:pPr>
          </w:p>
        </w:tc>
        <w:tc>
          <w:tcPr>
            <w:tcW w:w="1166" w:type="dxa"/>
            <w:shd w:val="clear" w:color="auto" w:fill="auto"/>
            <w:vAlign w:val="center"/>
          </w:tcPr>
          <w:p w14:paraId="1C7DBE23">
            <w:pPr>
              <w:spacing w:line="360" w:lineRule="auto"/>
              <w:rPr>
                <w:rFonts w:ascii="宋体" w:hAnsi="宋体" w:cs="宋体"/>
                <w:color w:val="auto"/>
                <w:sz w:val="24"/>
                <w:highlight w:val="none"/>
              </w:rPr>
            </w:pPr>
          </w:p>
        </w:tc>
        <w:tc>
          <w:tcPr>
            <w:tcW w:w="1281" w:type="dxa"/>
            <w:shd w:val="clear" w:color="auto" w:fill="auto"/>
            <w:vAlign w:val="center"/>
          </w:tcPr>
          <w:p w14:paraId="7AA5EE2D">
            <w:pPr>
              <w:spacing w:line="360" w:lineRule="auto"/>
              <w:rPr>
                <w:rFonts w:ascii="宋体" w:hAnsi="宋体" w:cs="宋体"/>
                <w:color w:val="auto"/>
                <w:sz w:val="24"/>
                <w:highlight w:val="none"/>
              </w:rPr>
            </w:pPr>
          </w:p>
        </w:tc>
      </w:tr>
      <w:tr w14:paraId="3522F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jc w:val="center"/>
        </w:trPr>
        <w:tc>
          <w:tcPr>
            <w:tcW w:w="926" w:type="dxa"/>
            <w:shd w:val="clear" w:color="auto" w:fill="auto"/>
            <w:vAlign w:val="center"/>
          </w:tcPr>
          <w:p w14:paraId="197C9576">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hanging="7"/>
              <w:jc w:val="center"/>
              <w:textAlignment w:val="baseline"/>
              <w:rPr>
                <w:rFonts w:ascii="宋体" w:hAnsi="宋体" w:cs="宋体"/>
                <w:snapToGrid w:val="0"/>
                <w:color w:val="auto"/>
                <w:kern w:val="0"/>
                <w:sz w:val="24"/>
                <w:highlight w:val="none"/>
                <w:lang w:eastAsia="en-US"/>
              </w:rPr>
            </w:pPr>
          </w:p>
        </w:tc>
        <w:tc>
          <w:tcPr>
            <w:tcW w:w="669" w:type="dxa"/>
            <w:shd w:val="clear" w:color="auto" w:fill="auto"/>
            <w:vAlign w:val="center"/>
          </w:tcPr>
          <w:p w14:paraId="70668D39">
            <w:pPr>
              <w:spacing w:line="360" w:lineRule="auto"/>
              <w:rPr>
                <w:rFonts w:ascii="宋体" w:hAnsi="宋体" w:cs="宋体"/>
                <w:color w:val="auto"/>
                <w:sz w:val="24"/>
                <w:highlight w:val="none"/>
              </w:rPr>
            </w:pPr>
          </w:p>
        </w:tc>
        <w:tc>
          <w:tcPr>
            <w:tcW w:w="827" w:type="dxa"/>
            <w:shd w:val="clear" w:color="auto" w:fill="auto"/>
            <w:vAlign w:val="center"/>
          </w:tcPr>
          <w:p w14:paraId="1DBDC651">
            <w:pPr>
              <w:spacing w:line="360" w:lineRule="auto"/>
              <w:rPr>
                <w:rFonts w:ascii="宋体" w:hAnsi="宋体" w:cs="宋体"/>
                <w:color w:val="auto"/>
                <w:sz w:val="24"/>
                <w:highlight w:val="none"/>
              </w:rPr>
            </w:pPr>
          </w:p>
        </w:tc>
        <w:tc>
          <w:tcPr>
            <w:tcW w:w="815" w:type="dxa"/>
            <w:shd w:val="clear" w:color="auto" w:fill="auto"/>
            <w:vAlign w:val="center"/>
          </w:tcPr>
          <w:p w14:paraId="12F84444">
            <w:pPr>
              <w:spacing w:line="360" w:lineRule="auto"/>
              <w:rPr>
                <w:rFonts w:ascii="宋体" w:hAnsi="宋体" w:cs="宋体"/>
                <w:color w:val="auto"/>
                <w:sz w:val="24"/>
                <w:highlight w:val="none"/>
              </w:rPr>
            </w:pPr>
          </w:p>
        </w:tc>
        <w:tc>
          <w:tcPr>
            <w:tcW w:w="1147" w:type="dxa"/>
            <w:shd w:val="clear" w:color="auto" w:fill="auto"/>
            <w:vAlign w:val="center"/>
          </w:tcPr>
          <w:p w14:paraId="78EE6104">
            <w:pPr>
              <w:spacing w:line="360" w:lineRule="auto"/>
              <w:rPr>
                <w:rFonts w:ascii="宋体" w:hAnsi="宋体" w:cs="宋体"/>
                <w:color w:val="auto"/>
                <w:sz w:val="24"/>
                <w:highlight w:val="none"/>
              </w:rPr>
            </w:pPr>
          </w:p>
        </w:tc>
        <w:tc>
          <w:tcPr>
            <w:tcW w:w="1149" w:type="dxa"/>
            <w:shd w:val="clear" w:color="auto" w:fill="auto"/>
            <w:vAlign w:val="center"/>
          </w:tcPr>
          <w:p w14:paraId="6E8AA098">
            <w:pPr>
              <w:spacing w:line="360" w:lineRule="auto"/>
              <w:rPr>
                <w:rFonts w:ascii="宋体" w:hAnsi="宋体" w:cs="宋体"/>
                <w:color w:val="auto"/>
                <w:sz w:val="24"/>
                <w:highlight w:val="none"/>
              </w:rPr>
            </w:pPr>
          </w:p>
        </w:tc>
        <w:tc>
          <w:tcPr>
            <w:tcW w:w="1147" w:type="dxa"/>
            <w:shd w:val="clear" w:color="auto" w:fill="auto"/>
            <w:vAlign w:val="center"/>
          </w:tcPr>
          <w:p w14:paraId="6B884481">
            <w:pPr>
              <w:spacing w:line="360" w:lineRule="auto"/>
              <w:rPr>
                <w:rFonts w:ascii="宋体" w:hAnsi="宋体" w:cs="宋体"/>
                <w:color w:val="auto"/>
                <w:sz w:val="24"/>
                <w:highlight w:val="none"/>
              </w:rPr>
            </w:pPr>
          </w:p>
        </w:tc>
        <w:tc>
          <w:tcPr>
            <w:tcW w:w="744" w:type="dxa"/>
            <w:shd w:val="clear" w:color="auto" w:fill="auto"/>
            <w:vAlign w:val="center"/>
          </w:tcPr>
          <w:p w14:paraId="7707D19D">
            <w:pPr>
              <w:spacing w:line="360" w:lineRule="auto"/>
              <w:rPr>
                <w:rFonts w:ascii="宋体" w:hAnsi="宋体" w:cs="宋体"/>
                <w:color w:val="auto"/>
                <w:sz w:val="24"/>
                <w:highlight w:val="none"/>
              </w:rPr>
            </w:pPr>
          </w:p>
        </w:tc>
        <w:tc>
          <w:tcPr>
            <w:tcW w:w="1166" w:type="dxa"/>
            <w:shd w:val="clear" w:color="auto" w:fill="auto"/>
            <w:vAlign w:val="center"/>
          </w:tcPr>
          <w:p w14:paraId="6A9E4784">
            <w:pPr>
              <w:spacing w:line="360" w:lineRule="auto"/>
              <w:rPr>
                <w:rFonts w:ascii="宋体" w:hAnsi="宋体" w:cs="宋体"/>
                <w:color w:val="auto"/>
                <w:sz w:val="24"/>
                <w:highlight w:val="none"/>
              </w:rPr>
            </w:pPr>
          </w:p>
        </w:tc>
        <w:tc>
          <w:tcPr>
            <w:tcW w:w="1281" w:type="dxa"/>
            <w:shd w:val="clear" w:color="auto" w:fill="auto"/>
            <w:vAlign w:val="center"/>
          </w:tcPr>
          <w:p w14:paraId="029DDE0D">
            <w:pPr>
              <w:spacing w:line="360" w:lineRule="auto"/>
              <w:rPr>
                <w:rFonts w:ascii="宋体" w:hAnsi="宋体" w:cs="宋体"/>
                <w:color w:val="auto"/>
                <w:sz w:val="24"/>
                <w:highlight w:val="none"/>
              </w:rPr>
            </w:pPr>
          </w:p>
        </w:tc>
      </w:tr>
      <w:tr w14:paraId="2DC84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3C527BB3">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p>
        </w:tc>
        <w:tc>
          <w:tcPr>
            <w:tcW w:w="669" w:type="dxa"/>
            <w:shd w:val="clear" w:color="auto" w:fill="auto"/>
            <w:vAlign w:val="center"/>
          </w:tcPr>
          <w:p w14:paraId="7DEE4A5B">
            <w:pPr>
              <w:spacing w:line="360" w:lineRule="auto"/>
              <w:rPr>
                <w:rFonts w:ascii="宋体" w:hAnsi="宋体" w:cs="宋体"/>
                <w:color w:val="auto"/>
                <w:sz w:val="24"/>
                <w:highlight w:val="none"/>
              </w:rPr>
            </w:pPr>
          </w:p>
        </w:tc>
        <w:tc>
          <w:tcPr>
            <w:tcW w:w="827" w:type="dxa"/>
            <w:shd w:val="clear" w:color="auto" w:fill="auto"/>
            <w:vAlign w:val="center"/>
          </w:tcPr>
          <w:p w14:paraId="622F4C23">
            <w:pPr>
              <w:spacing w:line="360" w:lineRule="auto"/>
              <w:rPr>
                <w:rFonts w:ascii="宋体" w:hAnsi="宋体" w:cs="宋体"/>
                <w:color w:val="auto"/>
                <w:sz w:val="24"/>
                <w:highlight w:val="none"/>
              </w:rPr>
            </w:pPr>
          </w:p>
        </w:tc>
        <w:tc>
          <w:tcPr>
            <w:tcW w:w="815" w:type="dxa"/>
            <w:shd w:val="clear" w:color="auto" w:fill="auto"/>
            <w:vAlign w:val="center"/>
          </w:tcPr>
          <w:p w14:paraId="428F9888">
            <w:pPr>
              <w:spacing w:line="360" w:lineRule="auto"/>
              <w:rPr>
                <w:rFonts w:ascii="宋体" w:hAnsi="宋体" w:cs="宋体"/>
                <w:color w:val="auto"/>
                <w:sz w:val="24"/>
                <w:highlight w:val="none"/>
              </w:rPr>
            </w:pPr>
          </w:p>
        </w:tc>
        <w:tc>
          <w:tcPr>
            <w:tcW w:w="1147" w:type="dxa"/>
            <w:shd w:val="clear" w:color="auto" w:fill="auto"/>
            <w:vAlign w:val="center"/>
          </w:tcPr>
          <w:p w14:paraId="6BF87609">
            <w:pPr>
              <w:spacing w:line="360" w:lineRule="auto"/>
              <w:rPr>
                <w:rFonts w:ascii="宋体" w:hAnsi="宋体" w:cs="宋体"/>
                <w:color w:val="auto"/>
                <w:sz w:val="24"/>
                <w:highlight w:val="none"/>
              </w:rPr>
            </w:pPr>
          </w:p>
        </w:tc>
        <w:tc>
          <w:tcPr>
            <w:tcW w:w="1149" w:type="dxa"/>
            <w:shd w:val="clear" w:color="auto" w:fill="auto"/>
            <w:vAlign w:val="center"/>
          </w:tcPr>
          <w:p w14:paraId="333EB102">
            <w:pPr>
              <w:spacing w:line="360" w:lineRule="auto"/>
              <w:rPr>
                <w:rFonts w:ascii="宋体" w:hAnsi="宋体" w:cs="宋体"/>
                <w:color w:val="auto"/>
                <w:sz w:val="24"/>
                <w:highlight w:val="none"/>
              </w:rPr>
            </w:pPr>
          </w:p>
        </w:tc>
        <w:tc>
          <w:tcPr>
            <w:tcW w:w="1147" w:type="dxa"/>
            <w:shd w:val="clear" w:color="auto" w:fill="auto"/>
            <w:vAlign w:val="center"/>
          </w:tcPr>
          <w:p w14:paraId="2BA944B9">
            <w:pPr>
              <w:spacing w:line="360" w:lineRule="auto"/>
              <w:rPr>
                <w:rFonts w:ascii="宋体" w:hAnsi="宋体" w:cs="宋体"/>
                <w:color w:val="auto"/>
                <w:sz w:val="24"/>
                <w:highlight w:val="none"/>
              </w:rPr>
            </w:pPr>
          </w:p>
        </w:tc>
        <w:tc>
          <w:tcPr>
            <w:tcW w:w="744" w:type="dxa"/>
            <w:shd w:val="clear" w:color="auto" w:fill="auto"/>
            <w:vAlign w:val="center"/>
          </w:tcPr>
          <w:p w14:paraId="1FC70B00">
            <w:pPr>
              <w:spacing w:line="360" w:lineRule="auto"/>
              <w:rPr>
                <w:rFonts w:ascii="宋体" w:hAnsi="宋体" w:cs="宋体"/>
                <w:color w:val="auto"/>
                <w:sz w:val="24"/>
                <w:highlight w:val="none"/>
              </w:rPr>
            </w:pPr>
          </w:p>
        </w:tc>
        <w:tc>
          <w:tcPr>
            <w:tcW w:w="1166" w:type="dxa"/>
            <w:shd w:val="clear" w:color="auto" w:fill="auto"/>
            <w:vAlign w:val="center"/>
          </w:tcPr>
          <w:p w14:paraId="5EECF678">
            <w:pPr>
              <w:spacing w:line="360" w:lineRule="auto"/>
              <w:rPr>
                <w:rFonts w:ascii="宋体" w:hAnsi="宋体" w:cs="宋体"/>
                <w:color w:val="auto"/>
                <w:sz w:val="24"/>
                <w:highlight w:val="none"/>
              </w:rPr>
            </w:pPr>
          </w:p>
        </w:tc>
        <w:tc>
          <w:tcPr>
            <w:tcW w:w="1281" w:type="dxa"/>
            <w:shd w:val="clear" w:color="auto" w:fill="auto"/>
            <w:vAlign w:val="center"/>
          </w:tcPr>
          <w:p w14:paraId="1FCDE87F">
            <w:pPr>
              <w:spacing w:line="360" w:lineRule="auto"/>
              <w:rPr>
                <w:rFonts w:ascii="宋体" w:hAnsi="宋体" w:cs="宋体"/>
                <w:color w:val="auto"/>
                <w:sz w:val="24"/>
                <w:highlight w:val="none"/>
              </w:rPr>
            </w:pPr>
          </w:p>
        </w:tc>
      </w:tr>
      <w:tr w14:paraId="424AD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23A55DE3">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hanging="6"/>
              <w:jc w:val="center"/>
              <w:textAlignment w:val="baseline"/>
              <w:rPr>
                <w:rFonts w:ascii="宋体" w:hAnsi="宋体" w:cs="宋体"/>
                <w:snapToGrid w:val="0"/>
                <w:color w:val="auto"/>
                <w:kern w:val="0"/>
                <w:sz w:val="24"/>
                <w:highlight w:val="none"/>
                <w:lang w:eastAsia="en-US"/>
              </w:rPr>
            </w:pPr>
          </w:p>
        </w:tc>
        <w:tc>
          <w:tcPr>
            <w:tcW w:w="669" w:type="dxa"/>
            <w:shd w:val="clear" w:color="auto" w:fill="auto"/>
            <w:vAlign w:val="center"/>
          </w:tcPr>
          <w:p w14:paraId="4FF670A3">
            <w:pPr>
              <w:spacing w:line="360" w:lineRule="auto"/>
              <w:rPr>
                <w:rFonts w:ascii="宋体" w:hAnsi="宋体" w:cs="宋体"/>
                <w:color w:val="auto"/>
                <w:sz w:val="24"/>
                <w:highlight w:val="none"/>
              </w:rPr>
            </w:pPr>
          </w:p>
        </w:tc>
        <w:tc>
          <w:tcPr>
            <w:tcW w:w="827" w:type="dxa"/>
            <w:shd w:val="clear" w:color="auto" w:fill="auto"/>
            <w:vAlign w:val="center"/>
          </w:tcPr>
          <w:p w14:paraId="4AF94608">
            <w:pPr>
              <w:spacing w:line="360" w:lineRule="auto"/>
              <w:rPr>
                <w:rFonts w:ascii="宋体" w:hAnsi="宋体" w:cs="宋体"/>
                <w:color w:val="auto"/>
                <w:sz w:val="24"/>
                <w:highlight w:val="none"/>
              </w:rPr>
            </w:pPr>
          </w:p>
        </w:tc>
        <w:tc>
          <w:tcPr>
            <w:tcW w:w="815" w:type="dxa"/>
            <w:shd w:val="clear" w:color="auto" w:fill="auto"/>
            <w:vAlign w:val="center"/>
          </w:tcPr>
          <w:p w14:paraId="15A88195">
            <w:pPr>
              <w:spacing w:line="360" w:lineRule="auto"/>
              <w:rPr>
                <w:rFonts w:ascii="宋体" w:hAnsi="宋体" w:cs="宋体"/>
                <w:color w:val="auto"/>
                <w:sz w:val="24"/>
                <w:highlight w:val="none"/>
              </w:rPr>
            </w:pPr>
          </w:p>
        </w:tc>
        <w:tc>
          <w:tcPr>
            <w:tcW w:w="1147" w:type="dxa"/>
            <w:shd w:val="clear" w:color="auto" w:fill="auto"/>
            <w:vAlign w:val="center"/>
          </w:tcPr>
          <w:p w14:paraId="776A2B62">
            <w:pPr>
              <w:spacing w:line="360" w:lineRule="auto"/>
              <w:rPr>
                <w:rFonts w:ascii="宋体" w:hAnsi="宋体" w:cs="宋体"/>
                <w:color w:val="auto"/>
                <w:sz w:val="24"/>
                <w:highlight w:val="none"/>
              </w:rPr>
            </w:pPr>
          </w:p>
        </w:tc>
        <w:tc>
          <w:tcPr>
            <w:tcW w:w="1149" w:type="dxa"/>
            <w:shd w:val="clear" w:color="auto" w:fill="auto"/>
            <w:vAlign w:val="center"/>
          </w:tcPr>
          <w:p w14:paraId="504FBC7A">
            <w:pPr>
              <w:spacing w:line="360" w:lineRule="auto"/>
              <w:rPr>
                <w:rFonts w:ascii="宋体" w:hAnsi="宋体" w:cs="宋体"/>
                <w:color w:val="auto"/>
                <w:sz w:val="24"/>
                <w:highlight w:val="none"/>
              </w:rPr>
            </w:pPr>
          </w:p>
        </w:tc>
        <w:tc>
          <w:tcPr>
            <w:tcW w:w="1147" w:type="dxa"/>
            <w:shd w:val="clear" w:color="auto" w:fill="auto"/>
            <w:vAlign w:val="center"/>
          </w:tcPr>
          <w:p w14:paraId="602AF381">
            <w:pPr>
              <w:spacing w:line="360" w:lineRule="auto"/>
              <w:rPr>
                <w:rFonts w:ascii="宋体" w:hAnsi="宋体" w:cs="宋体"/>
                <w:color w:val="auto"/>
                <w:sz w:val="24"/>
                <w:highlight w:val="none"/>
              </w:rPr>
            </w:pPr>
          </w:p>
        </w:tc>
        <w:tc>
          <w:tcPr>
            <w:tcW w:w="744" w:type="dxa"/>
            <w:shd w:val="clear" w:color="auto" w:fill="auto"/>
            <w:vAlign w:val="center"/>
          </w:tcPr>
          <w:p w14:paraId="5BB800EB">
            <w:pPr>
              <w:spacing w:line="360" w:lineRule="auto"/>
              <w:rPr>
                <w:rFonts w:ascii="宋体" w:hAnsi="宋体" w:cs="宋体"/>
                <w:color w:val="auto"/>
                <w:sz w:val="24"/>
                <w:highlight w:val="none"/>
              </w:rPr>
            </w:pPr>
          </w:p>
        </w:tc>
        <w:tc>
          <w:tcPr>
            <w:tcW w:w="1166" w:type="dxa"/>
            <w:shd w:val="clear" w:color="auto" w:fill="auto"/>
            <w:vAlign w:val="center"/>
          </w:tcPr>
          <w:p w14:paraId="3900940D">
            <w:pPr>
              <w:spacing w:line="360" w:lineRule="auto"/>
              <w:rPr>
                <w:rFonts w:ascii="宋体" w:hAnsi="宋体" w:cs="宋体"/>
                <w:color w:val="auto"/>
                <w:sz w:val="24"/>
                <w:highlight w:val="none"/>
              </w:rPr>
            </w:pPr>
          </w:p>
        </w:tc>
        <w:tc>
          <w:tcPr>
            <w:tcW w:w="1281" w:type="dxa"/>
            <w:shd w:val="clear" w:color="auto" w:fill="auto"/>
            <w:vAlign w:val="center"/>
          </w:tcPr>
          <w:p w14:paraId="5EC5F068">
            <w:pPr>
              <w:spacing w:line="360" w:lineRule="auto"/>
              <w:rPr>
                <w:rFonts w:ascii="宋体" w:hAnsi="宋体" w:cs="宋体"/>
                <w:color w:val="auto"/>
                <w:sz w:val="24"/>
                <w:highlight w:val="none"/>
              </w:rPr>
            </w:pPr>
          </w:p>
        </w:tc>
      </w:tr>
      <w:tr w14:paraId="2598E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4599ED45">
            <w:pPr>
              <w:keepNext w:val="0"/>
              <w:keepLines w:val="0"/>
              <w:pageBreakBefore w:val="0"/>
              <w:widowControl w:val="0"/>
              <w:kinsoku w:val="0"/>
              <w:wordWrap/>
              <w:overflowPunct/>
              <w:topLinePunct w:val="0"/>
              <w:autoSpaceDE w:val="0"/>
              <w:autoSpaceDN w:val="0"/>
              <w:bidi w:val="0"/>
              <w:adjustRightInd w:val="0"/>
              <w:snapToGrid w:val="0"/>
              <w:spacing w:line="360" w:lineRule="auto"/>
              <w:ind w:left="0" w:right="0"/>
              <w:jc w:val="center"/>
              <w:textAlignment w:val="baseline"/>
              <w:rPr>
                <w:rFonts w:ascii="宋体" w:hAnsi="宋体" w:cs="宋体"/>
                <w:snapToGrid w:val="0"/>
                <w:color w:val="auto"/>
                <w:kern w:val="0"/>
                <w:sz w:val="24"/>
                <w:highlight w:val="none"/>
                <w:lang w:eastAsia="en-US"/>
              </w:rPr>
            </w:pPr>
          </w:p>
        </w:tc>
        <w:tc>
          <w:tcPr>
            <w:tcW w:w="669" w:type="dxa"/>
            <w:shd w:val="clear" w:color="auto" w:fill="auto"/>
            <w:vAlign w:val="center"/>
          </w:tcPr>
          <w:p w14:paraId="1B23E402">
            <w:pPr>
              <w:spacing w:line="360" w:lineRule="auto"/>
              <w:rPr>
                <w:rFonts w:ascii="宋体" w:hAnsi="宋体" w:cs="宋体"/>
                <w:color w:val="auto"/>
                <w:sz w:val="24"/>
                <w:highlight w:val="none"/>
              </w:rPr>
            </w:pPr>
          </w:p>
        </w:tc>
        <w:tc>
          <w:tcPr>
            <w:tcW w:w="827" w:type="dxa"/>
            <w:shd w:val="clear" w:color="auto" w:fill="auto"/>
            <w:vAlign w:val="center"/>
          </w:tcPr>
          <w:p w14:paraId="33C03972">
            <w:pPr>
              <w:spacing w:line="360" w:lineRule="auto"/>
              <w:rPr>
                <w:rFonts w:ascii="宋体" w:hAnsi="宋体" w:cs="宋体"/>
                <w:color w:val="auto"/>
                <w:sz w:val="24"/>
                <w:highlight w:val="none"/>
              </w:rPr>
            </w:pPr>
          </w:p>
        </w:tc>
        <w:tc>
          <w:tcPr>
            <w:tcW w:w="815" w:type="dxa"/>
            <w:shd w:val="clear" w:color="auto" w:fill="auto"/>
            <w:vAlign w:val="center"/>
          </w:tcPr>
          <w:p w14:paraId="7E4730C7">
            <w:pPr>
              <w:spacing w:line="360" w:lineRule="auto"/>
              <w:rPr>
                <w:rFonts w:ascii="宋体" w:hAnsi="宋体" w:cs="宋体"/>
                <w:color w:val="auto"/>
                <w:sz w:val="24"/>
                <w:highlight w:val="none"/>
              </w:rPr>
            </w:pPr>
          </w:p>
        </w:tc>
        <w:tc>
          <w:tcPr>
            <w:tcW w:w="1147" w:type="dxa"/>
            <w:shd w:val="clear" w:color="auto" w:fill="auto"/>
            <w:vAlign w:val="center"/>
          </w:tcPr>
          <w:p w14:paraId="2AEF6089">
            <w:pPr>
              <w:spacing w:line="360" w:lineRule="auto"/>
              <w:rPr>
                <w:rFonts w:ascii="宋体" w:hAnsi="宋体" w:cs="宋体"/>
                <w:color w:val="auto"/>
                <w:sz w:val="24"/>
                <w:highlight w:val="none"/>
              </w:rPr>
            </w:pPr>
          </w:p>
        </w:tc>
        <w:tc>
          <w:tcPr>
            <w:tcW w:w="1149" w:type="dxa"/>
            <w:shd w:val="clear" w:color="auto" w:fill="auto"/>
            <w:vAlign w:val="center"/>
          </w:tcPr>
          <w:p w14:paraId="794B5B71">
            <w:pPr>
              <w:spacing w:line="360" w:lineRule="auto"/>
              <w:rPr>
                <w:rFonts w:ascii="宋体" w:hAnsi="宋体" w:cs="宋体"/>
                <w:color w:val="auto"/>
                <w:sz w:val="24"/>
                <w:highlight w:val="none"/>
              </w:rPr>
            </w:pPr>
          </w:p>
        </w:tc>
        <w:tc>
          <w:tcPr>
            <w:tcW w:w="1147" w:type="dxa"/>
            <w:shd w:val="clear" w:color="auto" w:fill="auto"/>
            <w:vAlign w:val="center"/>
          </w:tcPr>
          <w:p w14:paraId="5C298520">
            <w:pPr>
              <w:spacing w:line="360" w:lineRule="auto"/>
              <w:rPr>
                <w:rFonts w:ascii="宋体" w:hAnsi="宋体" w:cs="宋体"/>
                <w:color w:val="auto"/>
                <w:sz w:val="24"/>
                <w:highlight w:val="none"/>
              </w:rPr>
            </w:pPr>
          </w:p>
        </w:tc>
        <w:tc>
          <w:tcPr>
            <w:tcW w:w="744" w:type="dxa"/>
            <w:shd w:val="clear" w:color="auto" w:fill="auto"/>
            <w:vAlign w:val="center"/>
          </w:tcPr>
          <w:p w14:paraId="62A0CAD5">
            <w:pPr>
              <w:spacing w:line="360" w:lineRule="auto"/>
              <w:rPr>
                <w:rFonts w:ascii="宋体" w:hAnsi="宋体" w:cs="宋体"/>
                <w:color w:val="auto"/>
                <w:sz w:val="24"/>
                <w:highlight w:val="none"/>
              </w:rPr>
            </w:pPr>
          </w:p>
        </w:tc>
        <w:tc>
          <w:tcPr>
            <w:tcW w:w="1166" w:type="dxa"/>
            <w:shd w:val="clear" w:color="auto" w:fill="auto"/>
            <w:vAlign w:val="center"/>
          </w:tcPr>
          <w:p w14:paraId="348ADF97">
            <w:pPr>
              <w:spacing w:line="360" w:lineRule="auto"/>
              <w:rPr>
                <w:rFonts w:ascii="宋体" w:hAnsi="宋体" w:cs="宋体"/>
                <w:color w:val="auto"/>
                <w:sz w:val="24"/>
                <w:highlight w:val="none"/>
              </w:rPr>
            </w:pPr>
          </w:p>
        </w:tc>
        <w:tc>
          <w:tcPr>
            <w:tcW w:w="1281" w:type="dxa"/>
            <w:shd w:val="clear" w:color="auto" w:fill="auto"/>
            <w:vAlign w:val="center"/>
          </w:tcPr>
          <w:p w14:paraId="458B7B8D">
            <w:pPr>
              <w:spacing w:line="360" w:lineRule="auto"/>
              <w:rPr>
                <w:rFonts w:ascii="宋体" w:hAnsi="宋体" w:cs="宋体"/>
                <w:color w:val="auto"/>
                <w:sz w:val="24"/>
                <w:highlight w:val="none"/>
              </w:rPr>
            </w:pPr>
          </w:p>
        </w:tc>
      </w:tr>
      <w:tr w14:paraId="747E5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1873FD8A">
            <w:pPr>
              <w:spacing w:line="360" w:lineRule="auto"/>
              <w:rPr>
                <w:rFonts w:ascii="宋体" w:hAnsi="宋体" w:cs="宋体"/>
                <w:color w:val="auto"/>
                <w:sz w:val="24"/>
                <w:highlight w:val="none"/>
              </w:rPr>
            </w:pPr>
          </w:p>
        </w:tc>
        <w:tc>
          <w:tcPr>
            <w:tcW w:w="669" w:type="dxa"/>
            <w:shd w:val="clear" w:color="auto" w:fill="auto"/>
            <w:vAlign w:val="center"/>
          </w:tcPr>
          <w:p w14:paraId="17BA80BC">
            <w:pPr>
              <w:spacing w:line="360" w:lineRule="auto"/>
              <w:rPr>
                <w:rFonts w:ascii="宋体" w:hAnsi="宋体" w:cs="宋体"/>
                <w:color w:val="auto"/>
                <w:sz w:val="24"/>
                <w:highlight w:val="none"/>
              </w:rPr>
            </w:pPr>
          </w:p>
        </w:tc>
        <w:tc>
          <w:tcPr>
            <w:tcW w:w="827" w:type="dxa"/>
            <w:shd w:val="clear" w:color="auto" w:fill="auto"/>
            <w:vAlign w:val="center"/>
          </w:tcPr>
          <w:p w14:paraId="32319B18">
            <w:pPr>
              <w:spacing w:line="360" w:lineRule="auto"/>
              <w:rPr>
                <w:rFonts w:ascii="宋体" w:hAnsi="宋体" w:cs="宋体"/>
                <w:color w:val="auto"/>
                <w:sz w:val="24"/>
                <w:highlight w:val="none"/>
              </w:rPr>
            </w:pPr>
          </w:p>
        </w:tc>
        <w:tc>
          <w:tcPr>
            <w:tcW w:w="815" w:type="dxa"/>
            <w:shd w:val="clear" w:color="auto" w:fill="auto"/>
            <w:vAlign w:val="center"/>
          </w:tcPr>
          <w:p w14:paraId="0B2DB872">
            <w:pPr>
              <w:spacing w:line="360" w:lineRule="auto"/>
              <w:rPr>
                <w:rFonts w:ascii="宋体" w:hAnsi="宋体" w:cs="宋体"/>
                <w:color w:val="auto"/>
                <w:sz w:val="24"/>
                <w:highlight w:val="none"/>
              </w:rPr>
            </w:pPr>
          </w:p>
        </w:tc>
        <w:tc>
          <w:tcPr>
            <w:tcW w:w="1147" w:type="dxa"/>
            <w:shd w:val="clear" w:color="auto" w:fill="auto"/>
            <w:vAlign w:val="center"/>
          </w:tcPr>
          <w:p w14:paraId="0F852D46">
            <w:pPr>
              <w:spacing w:line="360" w:lineRule="auto"/>
              <w:rPr>
                <w:rFonts w:ascii="宋体" w:hAnsi="宋体" w:cs="宋体"/>
                <w:color w:val="auto"/>
                <w:sz w:val="24"/>
                <w:highlight w:val="none"/>
              </w:rPr>
            </w:pPr>
          </w:p>
        </w:tc>
        <w:tc>
          <w:tcPr>
            <w:tcW w:w="1149" w:type="dxa"/>
            <w:shd w:val="clear" w:color="auto" w:fill="auto"/>
            <w:vAlign w:val="center"/>
          </w:tcPr>
          <w:p w14:paraId="5A178BE0">
            <w:pPr>
              <w:spacing w:line="360" w:lineRule="auto"/>
              <w:rPr>
                <w:rFonts w:ascii="宋体" w:hAnsi="宋体" w:cs="宋体"/>
                <w:color w:val="auto"/>
                <w:sz w:val="24"/>
                <w:highlight w:val="none"/>
              </w:rPr>
            </w:pPr>
          </w:p>
        </w:tc>
        <w:tc>
          <w:tcPr>
            <w:tcW w:w="1147" w:type="dxa"/>
            <w:shd w:val="clear" w:color="auto" w:fill="auto"/>
            <w:vAlign w:val="center"/>
          </w:tcPr>
          <w:p w14:paraId="61BF0A49">
            <w:pPr>
              <w:spacing w:line="360" w:lineRule="auto"/>
              <w:rPr>
                <w:rFonts w:ascii="宋体" w:hAnsi="宋体" w:cs="宋体"/>
                <w:color w:val="auto"/>
                <w:sz w:val="24"/>
                <w:highlight w:val="none"/>
              </w:rPr>
            </w:pPr>
          </w:p>
        </w:tc>
        <w:tc>
          <w:tcPr>
            <w:tcW w:w="744" w:type="dxa"/>
            <w:shd w:val="clear" w:color="auto" w:fill="auto"/>
            <w:vAlign w:val="center"/>
          </w:tcPr>
          <w:p w14:paraId="60447C1B">
            <w:pPr>
              <w:spacing w:line="360" w:lineRule="auto"/>
              <w:rPr>
                <w:rFonts w:ascii="宋体" w:hAnsi="宋体" w:cs="宋体"/>
                <w:color w:val="auto"/>
                <w:sz w:val="24"/>
                <w:highlight w:val="none"/>
              </w:rPr>
            </w:pPr>
          </w:p>
        </w:tc>
        <w:tc>
          <w:tcPr>
            <w:tcW w:w="1166" w:type="dxa"/>
            <w:shd w:val="clear" w:color="auto" w:fill="auto"/>
            <w:vAlign w:val="center"/>
          </w:tcPr>
          <w:p w14:paraId="61A0BC0E">
            <w:pPr>
              <w:spacing w:line="360" w:lineRule="auto"/>
              <w:rPr>
                <w:rFonts w:ascii="宋体" w:hAnsi="宋体" w:cs="宋体"/>
                <w:color w:val="auto"/>
                <w:sz w:val="24"/>
                <w:highlight w:val="none"/>
              </w:rPr>
            </w:pPr>
          </w:p>
        </w:tc>
        <w:tc>
          <w:tcPr>
            <w:tcW w:w="1281" w:type="dxa"/>
            <w:shd w:val="clear" w:color="auto" w:fill="auto"/>
            <w:vAlign w:val="center"/>
          </w:tcPr>
          <w:p w14:paraId="5DF5CA7F">
            <w:pPr>
              <w:spacing w:line="360" w:lineRule="auto"/>
              <w:rPr>
                <w:rFonts w:ascii="宋体" w:hAnsi="宋体" w:cs="宋体"/>
                <w:color w:val="auto"/>
                <w:sz w:val="24"/>
                <w:highlight w:val="none"/>
              </w:rPr>
            </w:pPr>
          </w:p>
        </w:tc>
      </w:tr>
      <w:tr w14:paraId="503C9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jc w:val="center"/>
        </w:trPr>
        <w:tc>
          <w:tcPr>
            <w:tcW w:w="9871" w:type="dxa"/>
            <w:gridSpan w:val="10"/>
            <w:shd w:val="clear" w:color="auto" w:fill="auto"/>
            <w:vAlign w:val="center"/>
          </w:tcPr>
          <w:p w14:paraId="391481ED">
            <w:pPr>
              <w:kinsoku w:val="0"/>
              <w:autoSpaceDE w:val="0"/>
              <w:autoSpaceDN w:val="0"/>
              <w:adjustRightInd w:val="0"/>
              <w:snapToGrid w:val="0"/>
              <w:spacing w:line="360" w:lineRule="auto"/>
              <w:ind w:left="11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一旦我单位成交，将实行项目经理负责制，我方保证并配备上述项目管</w:t>
            </w:r>
            <w:r>
              <w:rPr>
                <w:rFonts w:hint="eastAsia" w:ascii="宋体" w:hAnsi="宋体" w:cs="宋体"/>
                <w:snapToGrid w:val="0"/>
                <w:color w:val="auto"/>
                <w:spacing w:val="-1"/>
                <w:kern w:val="0"/>
                <w:sz w:val="24"/>
                <w:highlight w:val="none"/>
              </w:rPr>
              <w:t>理机构。上述填报内容真实，若不</w:t>
            </w:r>
            <w:r>
              <w:rPr>
                <w:rFonts w:hint="eastAsia" w:ascii="宋体" w:hAnsi="宋体" w:cs="宋体"/>
                <w:snapToGrid w:val="0"/>
                <w:color w:val="auto"/>
                <w:spacing w:val="-3"/>
                <w:kern w:val="0"/>
                <w:sz w:val="24"/>
                <w:highlight w:val="none"/>
              </w:rPr>
              <w:t>真实，愿按有关规定接受处理。项目管理班子机构设置、职责分工等情况另附资料说明。</w:t>
            </w:r>
          </w:p>
        </w:tc>
      </w:tr>
    </w:tbl>
    <w:p w14:paraId="779E647C">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备注：</w:t>
      </w:r>
    </w:p>
    <w:p w14:paraId="12DF5808">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1.本表所列岗位的所有管理人员的情况均应如实填写。可按以上格式扩展为多页填写。</w:t>
      </w:r>
    </w:p>
    <w:p w14:paraId="43BC3229">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2.供应商应当在本表后附所有管理人员的身份证、职称证</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如有</w:t>
      </w:r>
      <w:r>
        <w:rPr>
          <w:rFonts w:hint="eastAsia" w:ascii="宋体" w:hAnsi="宋体" w:cs="宋体"/>
          <w:color w:val="auto"/>
          <w:sz w:val="24"/>
          <w:highlight w:val="none"/>
          <w:lang w:eastAsia="zh-CN"/>
        </w:rPr>
        <w:t>）</w:t>
      </w:r>
      <w:r>
        <w:rPr>
          <w:rFonts w:hint="eastAsia" w:ascii="宋体" w:hAnsi="宋体" w:cs="宋体"/>
          <w:color w:val="auto"/>
          <w:sz w:val="24"/>
          <w:highlight w:val="none"/>
        </w:rPr>
        <w:t>、执业或职业资格证书</w:t>
      </w:r>
      <w:r>
        <w:rPr>
          <w:rFonts w:hint="eastAsia" w:ascii="宋体" w:hAnsi="宋体" w:cs="宋体"/>
          <w:color w:val="auto"/>
          <w:sz w:val="24"/>
          <w:highlight w:val="none"/>
          <w:lang w:val="en-US" w:eastAsia="zh-CN"/>
        </w:rPr>
        <w:t>以及</w:t>
      </w:r>
      <w:r>
        <w:rPr>
          <w:rFonts w:hint="eastAsia" w:ascii="宋体" w:hAnsi="宋体" w:cs="宋体"/>
          <w:color w:val="auto"/>
          <w:kern w:val="0"/>
          <w:sz w:val="24"/>
          <w:highlight w:val="none"/>
          <w:lang w:val="en-US" w:eastAsia="zh-CN"/>
        </w:rPr>
        <w:t>供应商</w:t>
      </w:r>
      <w:r>
        <w:rPr>
          <w:rFonts w:hint="eastAsia" w:ascii="宋体" w:hAnsi="宋体" w:cs="宋体"/>
          <w:color w:val="auto"/>
          <w:kern w:val="0"/>
          <w:sz w:val="24"/>
          <w:highlight w:val="none"/>
        </w:rPr>
        <w:t>依法缴纳的</w:t>
      </w:r>
      <w:r>
        <w:rPr>
          <w:rFonts w:hint="eastAsia" w:ascii="宋体" w:hAnsi="宋体" w:cs="仿宋_GB2312"/>
          <w:color w:val="auto"/>
          <w:sz w:val="24"/>
          <w:highlight w:val="none"/>
          <w:lang w:val="en-US" w:eastAsia="zh-CN"/>
        </w:rPr>
        <w:t>距响应文件递交截止时间近半年来任意一个月的社保缴费证明</w:t>
      </w:r>
      <w:r>
        <w:rPr>
          <w:rFonts w:hint="eastAsia" w:ascii="宋体" w:hAnsi="宋体" w:cs="宋体"/>
          <w:color w:val="auto"/>
          <w:sz w:val="24"/>
          <w:highlight w:val="none"/>
        </w:rPr>
        <w:t>的复印件并加盖供应商公章。</w:t>
      </w:r>
    </w:p>
    <w:p w14:paraId="3660C105">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3D75773D">
      <w:pPr>
        <w:kinsoku w:val="0"/>
        <w:autoSpaceDE w:val="0"/>
        <w:autoSpaceDN w:val="0"/>
        <w:adjustRightInd w:val="0"/>
        <w:snapToGrid w:val="0"/>
        <w:spacing w:line="360" w:lineRule="auto"/>
        <w:jc w:val="left"/>
        <w:textAlignment w:val="baseline"/>
        <w:rPr>
          <w:rFonts w:ascii="宋体" w:hAnsi="宋体" w:cs="宋体"/>
          <w:snapToGrid w:val="0"/>
          <w:color w:val="auto"/>
          <w:kern w:val="0"/>
          <w:sz w:val="24"/>
          <w:highlight w:val="none"/>
        </w:rPr>
      </w:pPr>
    </w:p>
    <w:p w14:paraId="234AACBD">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E4522C3">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49EF1C45">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6A087A09">
      <w:pPr>
        <w:spacing w:line="360" w:lineRule="auto"/>
        <w:rPr>
          <w:rFonts w:ascii="宋体" w:hAnsi="宋体"/>
          <w:color w:val="auto"/>
          <w:highlight w:val="none"/>
        </w:rPr>
      </w:pPr>
      <w:r>
        <w:rPr>
          <w:rFonts w:hint="eastAsia" w:ascii="宋体" w:hAnsi="宋体"/>
          <w:color w:val="auto"/>
          <w:highlight w:val="none"/>
        </w:rPr>
        <w:br w:type="page"/>
      </w:r>
    </w:p>
    <w:p w14:paraId="48F01BBF">
      <w:pPr>
        <w:spacing w:line="360" w:lineRule="auto"/>
        <w:ind w:left="2591"/>
        <w:rPr>
          <w:rFonts w:ascii="宋体" w:hAnsi="宋体" w:cs="宋体"/>
          <w:color w:val="auto"/>
          <w:sz w:val="31"/>
          <w:szCs w:val="31"/>
          <w:highlight w:val="none"/>
        </w:rPr>
      </w:pPr>
      <w:r>
        <w:rPr>
          <w:rFonts w:hint="eastAsia" w:ascii="宋体" w:hAnsi="宋体" w:cs="宋体"/>
          <w:color w:val="auto"/>
          <w:spacing w:val="-3"/>
          <w:position w:val="23"/>
          <w:sz w:val="31"/>
          <w:szCs w:val="31"/>
          <w:highlight w:val="none"/>
        </w:rPr>
        <w:t>（二） 拟投入的主要人员简历表</w:t>
      </w:r>
    </w:p>
    <w:p w14:paraId="25DA651B">
      <w:pPr>
        <w:spacing w:line="360" w:lineRule="auto"/>
        <w:ind w:left="4027"/>
        <w:rPr>
          <w:rFonts w:ascii="宋体" w:hAnsi="宋体" w:cs="宋体"/>
          <w:color w:val="auto"/>
          <w:sz w:val="31"/>
          <w:szCs w:val="31"/>
          <w:highlight w:val="none"/>
        </w:rPr>
      </w:pPr>
      <w:r>
        <w:rPr>
          <w:rFonts w:hint="eastAsia" w:ascii="宋体" w:hAnsi="宋体" w:cs="宋体"/>
          <w:color w:val="auto"/>
          <w:spacing w:val="8"/>
          <w:sz w:val="31"/>
          <w:szCs w:val="31"/>
          <w:highlight w:val="none"/>
        </w:rPr>
        <w:t>项目经理简历表</w:t>
      </w:r>
    </w:p>
    <w:p w14:paraId="73CA3CEF">
      <w:pPr>
        <w:spacing w:line="360" w:lineRule="auto"/>
        <w:rPr>
          <w:rFonts w:ascii="宋体" w:hAnsi="宋体" w:cs="宋体"/>
          <w:color w:val="auto"/>
          <w:highlight w:val="none"/>
        </w:rPr>
      </w:pPr>
    </w:p>
    <w:tbl>
      <w:tblPr>
        <w:tblStyle w:val="38"/>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418"/>
        <w:gridCol w:w="856"/>
        <w:gridCol w:w="692"/>
        <w:gridCol w:w="325"/>
        <w:gridCol w:w="208"/>
        <w:gridCol w:w="1441"/>
        <w:gridCol w:w="245"/>
        <w:gridCol w:w="1084"/>
        <w:gridCol w:w="89"/>
        <w:gridCol w:w="411"/>
        <w:gridCol w:w="1134"/>
        <w:gridCol w:w="87"/>
        <w:gridCol w:w="1396"/>
        <w:gridCol w:w="25"/>
      </w:tblGrid>
      <w:tr w14:paraId="1E446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212" w:type="dxa"/>
            <w:shd w:val="clear" w:color="auto" w:fill="auto"/>
          </w:tcPr>
          <w:p w14:paraId="3A0B22EB">
            <w:pPr>
              <w:kinsoku w:val="0"/>
              <w:autoSpaceDE w:val="0"/>
              <w:autoSpaceDN w:val="0"/>
              <w:adjustRightInd w:val="0"/>
              <w:snapToGrid w:val="0"/>
              <w:spacing w:line="360" w:lineRule="auto"/>
              <w:ind w:left="39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291" w:type="dxa"/>
            <w:gridSpan w:val="4"/>
            <w:shd w:val="clear" w:color="auto" w:fill="auto"/>
          </w:tcPr>
          <w:p w14:paraId="2B1E373D">
            <w:pPr>
              <w:spacing w:line="360" w:lineRule="auto"/>
              <w:rPr>
                <w:rFonts w:ascii="宋体" w:hAnsi="宋体" w:cs="宋体"/>
                <w:color w:val="auto"/>
                <w:sz w:val="24"/>
                <w:highlight w:val="none"/>
              </w:rPr>
            </w:pPr>
          </w:p>
        </w:tc>
        <w:tc>
          <w:tcPr>
            <w:tcW w:w="1894" w:type="dxa"/>
            <w:gridSpan w:val="3"/>
            <w:shd w:val="clear" w:color="auto" w:fill="auto"/>
          </w:tcPr>
          <w:p w14:paraId="51FF4BC9">
            <w:pPr>
              <w:kinsoku w:val="0"/>
              <w:autoSpaceDE w:val="0"/>
              <w:autoSpaceDN w:val="0"/>
              <w:adjustRightInd w:val="0"/>
              <w:snapToGrid w:val="0"/>
              <w:spacing w:line="360" w:lineRule="auto"/>
              <w:ind w:left="7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584" w:type="dxa"/>
            <w:gridSpan w:val="3"/>
            <w:shd w:val="clear" w:color="auto" w:fill="auto"/>
          </w:tcPr>
          <w:p w14:paraId="46D5A9FE">
            <w:pPr>
              <w:spacing w:line="360" w:lineRule="auto"/>
              <w:rPr>
                <w:rFonts w:ascii="宋体" w:hAnsi="宋体" w:cs="宋体"/>
                <w:color w:val="auto"/>
                <w:sz w:val="24"/>
                <w:highlight w:val="none"/>
              </w:rPr>
            </w:pPr>
          </w:p>
        </w:tc>
        <w:tc>
          <w:tcPr>
            <w:tcW w:w="1134" w:type="dxa"/>
            <w:shd w:val="clear" w:color="auto" w:fill="auto"/>
          </w:tcPr>
          <w:p w14:paraId="0CA6B106">
            <w:pPr>
              <w:kinsoku w:val="0"/>
              <w:autoSpaceDE w:val="0"/>
              <w:autoSpaceDN w:val="0"/>
              <w:adjustRightInd w:val="0"/>
              <w:snapToGrid w:val="0"/>
              <w:spacing w:line="360" w:lineRule="auto"/>
              <w:ind w:left="3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8" w:type="dxa"/>
            <w:gridSpan w:val="3"/>
            <w:shd w:val="clear" w:color="auto" w:fill="auto"/>
          </w:tcPr>
          <w:p w14:paraId="2E78B930">
            <w:pPr>
              <w:spacing w:line="360" w:lineRule="auto"/>
              <w:rPr>
                <w:rFonts w:ascii="宋体" w:hAnsi="宋体" w:cs="宋体"/>
                <w:color w:val="auto"/>
                <w:sz w:val="24"/>
                <w:highlight w:val="none"/>
              </w:rPr>
            </w:pPr>
          </w:p>
        </w:tc>
      </w:tr>
      <w:tr w14:paraId="73D92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4F821437">
            <w:pPr>
              <w:kinsoku w:val="0"/>
              <w:autoSpaceDE w:val="0"/>
              <w:autoSpaceDN w:val="0"/>
              <w:adjustRightInd w:val="0"/>
              <w:snapToGrid w:val="0"/>
              <w:spacing w:line="360" w:lineRule="auto"/>
              <w:ind w:left="41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291" w:type="dxa"/>
            <w:gridSpan w:val="4"/>
            <w:shd w:val="clear" w:color="auto" w:fill="auto"/>
          </w:tcPr>
          <w:p w14:paraId="231FB70D">
            <w:pPr>
              <w:kinsoku w:val="0"/>
              <w:autoSpaceDE w:val="0"/>
              <w:autoSpaceDN w:val="0"/>
              <w:adjustRightInd w:val="0"/>
              <w:snapToGrid w:val="0"/>
              <w:spacing w:line="360" w:lineRule="auto"/>
              <w:ind w:left="72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项目经理</w:t>
            </w:r>
          </w:p>
        </w:tc>
        <w:tc>
          <w:tcPr>
            <w:tcW w:w="1894" w:type="dxa"/>
            <w:gridSpan w:val="3"/>
            <w:shd w:val="clear" w:color="auto" w:fill="auto"/>
          </w:tcPr>
          <w:p w14:paraId="25195AD0">
            <w:pPr>
              <w:kinsoku w:val="0"/>
              <w:autoSpaceDE w:val="0"/>
              <w:autoSpaceDN w:val="0"/>
              <w:adjustRightInd w:val="0"/>
              <w:snapToGrid w:val="0"/>
              <w:spacing w:line="360" w:lineRule="auto"/>
              <w:ind w:left="74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584" w:type="dxa"/>
            <w:gridSpan w:val="3"/>
            <w:shd w:val="clear" w:color="auto" w:fill="auto"/>
          </w:tcPr>
          <w:p w14:paraId="41FA71FA">
            <w:pPr>
              <w:spacing w:line="360" w:lineRule="auto"/>
              <w:rPr>
                <w:rFonts w:ascii="宋体" w:hAnsi="宋体" w:cs="宋体"/>
                <w:color w:val="auto"/>
                <w:sz w:val="24"/>
                <w:highlight w:val="none"/>
              </w:rPr>
            </w:pPr>
          </w:p>
        </w:tc>
        <w:tc>
          <w:tcPr>
            <w:tcW w:w="1134" w:type="dxa"/>
            <w:shd w:val="clear" w:color="auto" w:fill="auto"/>
          </w:tcPr>
          <w:p w14:paraId="13D5BAD8">
            <w:pPr>
              <w:kinsoku w:val="0"/>
              <w:autoSpaceDE w:val="0"/>
              <w:autoSpaceDN w:val="0"/>
              <w:adjustRightInd w:val="0"/>
              <w:snapToGrid w:val="0"/>
              <w:spacing w:line="360" w:lineRule="auto"/>
              <w:ind w:left="35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8" w:type="dxa"/>
            <w:gridSpan w:val="3"/>
            <w:shd w:val="clear" w:color="auto" w:fill="auto"/>
          </w:tcPr>
          <w:p w14:paraId="30C12131">
            <w:pPr>
              <w:spacing w:line="360" w:lineRule="auto"/>
              <w:rPr>
                <w:rFonts w:ascii="宋体" w:hAnsi="宋体" w:cs="宋体"/>
                <w:color w:val="auto"/>
                <w:sz w:val="24"/>
                <w:highlight w:val="none"/>
              </w:rPr>
            </w:pPr>
          </w:p>
        </w:tc>
      </w:tr>
      <w:tr w14:paraId="3B6C4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52C2AB2B">
            <w:pPr>
              <w:kinsoku w:val="0"/>
              <w:autoSpaceDE w:val="0"/>
              <w:autoSpaceDN w:val="0"/>
              <w:adjustRightInd w:val="0"/>
              <w:snapToGrid w:val="0"/>
              <w:spacing w:line="360" w:lineRule="auto"/>
              <w:ind w:left="401" w:right="189" w:hanging="21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291" w:type="dxa"/>
            <w:gridSpan w:val="4"/>
            <w:shd w:val="clear" w:color="auto" w:fill="auto"/>
          </w:tcPr>
          <w:p w14:paraId="17185290">
            <w:pPr>
              <w:spacing w:line="360" w:lineRule="auto"/>
              <w:rPr>
                <w:rFonts w:ascii="宋体" w:hAnsi="宋体" w:cs="宋体"/>
                <w:color w:val="auto"/>
                <w:sz w:val="24"/>
                <w:highlight w:val="none"/>
              </w:rPr>
            </w:pPr>
          </w:p>
        </w:tc>
        <w:tc>
          <w:tcPr>
            <w:tcW w:w="1894" w:type="dxa"/>
            <w:gridSpan w:val="3"/>
            <w:shd w:val="clear" w:color="auto" w:fill="auto"/>
          </w:tcPr>
          <w:p w14:paraId="399A091F">
            <w:pPr>
              <w:kinsoku w:val="0"/>
              <w:autoSpaceDE w:val="0"/>
              <w:autoSpaceDN w:val="0"/>
              <w:adjustRightInd w:val="0"/>
              <w:snapToGrid w:val="0"/>
              <w:spacing w:line="360" w:lineRule="auto"/>
              <w:ind w:left="32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584" w:type="dxa"/>
            <w:gridSpan w:val="3"/>
            <w:shd w:val="clear" w:color="auto" w:fill="auto"/>
          </w:tcPr>
          <w:p w14:paraId="6A364785">
            <w:pPr>
              <w:spacing w:line="360" w:lineRule="auto"/>
              <w:rPr>
                <w:rFonts w:ascii="宋体" w:hAnsi="宋体" w:cs="宋体"/>
                <w:color w:val="auto"/>
                <w:sz w:val="24"/>
                <w:highlight w:val="none"/>
              </w:rPr>
            </w:pPr>
          </w:p>
        </w:tc>
        <w:tc>
          <w:tcPr>
            <w:tcW w:w="1134" w:type="dxa"/>
            <w:shd w:val="clear" w:color="auto" w:fill="auto"/>
          </w:tcPr>
          <w:p w14:paraId="05723C13">
            <w:pPr>
              <w:kinsoku w:val="0"/>
              <w:autoSpaceDE w:val="0"/>
              <w:autoSpaceDN w:val="0"/>
              <w:adjustRightInd w:val="0"/>
              <w:snapToGrid w:val="0"/>
              <w:spacing w:line="360" w:lineRule="auto"/>
              <w:ind w:left="14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8" w:type="dxa"/>
            <w:gridSpan w:val="3"/>
            <w:shd w:val="clear" w:color="auto" w:fill="auto"/>
          </w:tcPr>
          <w:p w14:paraId="1CEEC75B">
            <w:pPr>
              <w:spacing w:line="360" w:lineRule="auto"/>
              <w:rPr>
                <w:rFonts w:ascii="宋体" w:hAnsi="宋体" w:cs="宋体"/>
                <w:color w:val="auto"/>
                <w:sz w:val="24"/>
                <w:highlight w:val="none"/>
              </w:rPr>
            </w:pPr>
          </w:p>
        </w:tc>
      </w:tr>
      <w:tr w14:paraId="751B1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12" w:type="dxa"/>
            <w:shd w:val="clear" w:color="auto" w:fill="auto"/>
          </w:tcPr>
          <w:p w14:paraId="4AAE9600">
            <w:pPr>
              <w:kinsoku w:val="0"/>
              <w:autoSpaceDE w:val="0"/>
              <w:autoSpaceDN w:val="0"/>
              <w:adjustRightInd w:val="0"/>
              <w:snapToGrid w:val="0"/>
              <w:spacing w:line="360" w:lineRule="auto"/>
              <w:ind w:left="210" w:right="16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担任项目</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经理年限</w:t>
            </w:r>
          </w:p>
        </w:tc>
        <w:tc>
          <w:tcPr>
            <w:tcW w:w="2291" w:type="dxa"/>
            <w:gridSpan w:val="4"/>
            <w:shd w:val="clear" w:color="auto" w:fill="auto"/>
          </w:tcPr>
          <w:p w14:paraId="18B379F2">
            <w:pPr>
              <w:spacing w:line="360" w:lineRule="auto"/>
              <w:rPr>
                <w:rFonts w:ascii="宋体" w:hAnsi="宋体" w:cs="宋体"/>
                <w:color w:val="auto"/>
                <w:sz w:val="24"/>
                <w:highlight w:val="none"/>
              </w:rPr>
            </w:pPr>
          </w:p>
        </w:tc>
        <w:tc>
          <w:tcPr>
            <w:tcW w:w="1649" w:type="dxa"/>
            <w:gridSpan w:val="2"/>
            <w:shd w:val="clear" w:color="auto" w:fill="auto"/>
          </w:tcPr>
          <w:p w14:paraId="36469DC7">
            <w:pPr>
              <w:kinsoku w:val="0"/>
              <w:autoSpaceDE w:val="0"/>
              <w:autoSpaceDN w:val="0"/>
              <w:adjustRightInd w:val="0"/>
              <w:snapToGrid w:val="0"/>
              <w:spacing w:line="360" w:lineRule="auto"/>
              <w:ind w:left="31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身份证号码</w:t>
            </w:r>
          </w:p>
        </w:tc>
        <w:tc>
          <w:tcPr>
            <w:tcW w:w="4471" w:type="dxa"/>
            <w:gridSpan w:val="8"/>
            <w:shd w:val="clear" w:color="auto" w:fill="auto"/>
          </w:tcPr>
          <w:p w14:paraId="796E98C6">
            <w:pPr>
              <w:spacing w:line="360" w:lineRule="auto"/>
              <w:rPr>
                <w:rFonts w:ascii="宋体" w:hAnsi="宋体" w:cs="宋体"/>
                <w:color w:val="auto"/>
                <w:sz w:val="24"/>
                <w:highlight w:val="none"/>
              </w:rPr>
            </w:pPr>
          </w:p>
        </w:tc>
      </w:tr>
      <w:tr w14:paraId="1CE73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12" w:type="dxa"/>
            <w:shd w:val="clear" w:color="auto" w:fill="auto"/>
          </w:tcPr>
          <w:p w14:paraId="1715568E">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74" w:type="dxa"/>
            <w:gridSpan w:val="2"/>
            <w:shd w:val="clear" w:color="auto" w:fill="auto"/>
          </w:tcPr>
          <w:p w14:paraId="68680CFA">
            <w:pPr>
              <w:kinsoku w:val="0"/>
              <w:autoSpaceDE w:val="0"/>
              <w:autoSpaceDN w:val="0"/>
              <w:adjustRightInd w:val="0"/>
              <w:snapToGrid w:val="0"/>
              <w:spacing w:line="360" w:lineRule="auto"/>
              <w:ind w:left="25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5" w:type="dxa"/>
            <w:gridSpan w:val="3"/>
            <w:shd w:val="clear" w:color="auto" w:fill="auto"/>
          </w:tcPr>
          <w:p w14:paraId="0902694D">
            <w:pPr>
              <w:kinsoku w:val="0"/>
              <w:autoSpaceDE w:val="0"/>
              <w:autoSpaceDN w:val="0"/>
              <w:adjustRightInd w:val="0"/>
              <w:snapToGrid w:val="0"/>
              <w:spacing w:line="360" w:lineRule="auto"/>
              <w:ind w:left="4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41" w:type="dxa"/>
            <w:shd w:val="clear" w:color="auto" w:fill="auto"/>
          </w:tcPr>
          <w:p w14:paraId="2A60480A">
            <w:pPr>
              <w:kinsoku w:val="0"/>
              <w:autoSpaceDE w:val="0"/>
              <w:autoSpaceDN w:val="0"/>
              <w:adjustRightInd w:val="0"/>
              <w:snapToGrid w:val="0"/>
              <w:spacing w:line="360" w:lineRule="auto"/>
              <w:ind w:left="32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8" w:type="dxa"/>
            <w:gridSpan w:val="3"/>
            <w:shd w:val="clear" w:color="auto" w:fill="auto"/>
          </w:tcPr>
          <w:p w14:paraId="243D4FB8">
            <w:pPr>
              <w:kinsoku w:val="0"/>
              <w:autoSpaceDE w:val="0"/>
              <w:autoSpaceDN w:val="0"/>
              <w:adjustRightInd w:val="0"/>
              <w:snapToGrid w:val="0"/>
              <w:spacing w:line="360" w:lineRule="auto"/>
              <w:ind w:left="29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2" w:type="dxa"/>
            <w:gridSpan w:val="3"/>
            <w:shd w:val="clear" w:color="auto" w:fill="auto"/>
          </w:tcPr>
          <w:p w14:paraId="2C2B808A">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21" w:type="dxa"/>
            <w:gridSpan w:val="2"/>
            <w:shd w:val="clear" w:color="auto" w:fill="auto"/>
          </w:tcPr>
          <w:p w14:paraId="4F6B015E">
            <w:pPr>
              <w:kinsoku w:val="0"/>
              <w:autoSpaceDE w:val="0"/>
              <w:autoSpaceDN w:val="0"/>
              <w:adjustRightInd w:val="0"/>
              <w:snapToGrid w:val="0"/>
              <w:spacing w:line="360" w:lineRule="auto"/>
              <w:ind w:left="19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3473F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212" w:type="dxa"/>
            <w:shd w:val="clear" w:color="auto" w:fill="auto"/>
          </w:tcPr>
          <w:p w14:paraId="300742FE">
            <w:pPr>
              <w:spacing w:line="360" w:lineRule="auto"/>
              <w:rPr>
                <w:rFonts w:ascii="宋体" w:hAnsi="宋体" w:cs="宋体"/>
                <w:color w:val="auto"/>
                <w:sz w:val="24"/>
                <w:highlight w:val="none"/>
              </w:rPr>
            </w:pPr>
          </w:p>
        </w:tc>
        <w:tc>
          <w:tcPr>
            <w:tcW w:w="1274" w:type="dxa"/>
            <w:gridSpan w:val="2"/>
            <w:shd w:val="clear" w:color="auto" w:fill="auto"/>
          </w:tcPr>
          <w:p w14:paraId="1C8BABA2">
            <w:pPr>
              <w:spacing w:line="360" w:lineRule="auto"/>
              <w:rPr>
                <w:rFonts w:ascii="宋体" w:hAnsi="宋体" w:cs="宋体"/>
                <w:color w:val="auto"/>
                <w:sz w:val="24"/>
                <w:highlight w:val="none"/>
              </w:rPr>
            </w:pPr>
          </w:p>
        </w:tc>
        <w:tc>
          <w:tcPr>
            <w:tcW w:w="1225" w:type="dxa"/>
            <w:gridSpan w:val="3"/>
            <w:shd w:val="clear" w:color="auto" w:fill="auto"/>
          </w:tcPr>
          <w:p w14:paraId="269F26ED">
            <w:pPr>
              <w:spacing w:line="360" w:lineRule="auto"/>
              <w:rPr>
                <w:rFonts w:ascii="宋体" w:hAnsi="宋体" w:cs="宋体"/>
                <w:color w:val="auto"/>
                <w:sz w:val="24"/>
                <w:highlight w:val="none"/>
              </w:rPr>
            </w:pPr>
          </w:p>
        </w:tc>
        <w:tc>
          <w:tcPr>
            <w:tcW w:w="1441" w:type="dxa"/>
            <w:shd w:val="clear" w:color="auto" w:fill="auto"/>
          </w:tcPr>
          <w:p w14:paraId="0DC99794">
            <w:pPr>
              <w:spacing w:line="360" w:lineRule="auto"/>
              <w:rPr>
                <w:rFonts w:ascii="宋体" w:hAnsi="宋体" w:cs="宋体"/>
                <w:color w:val="auto"/>
                <w:sz w:val="24"/>
                <w:highlight w:val="none"/>
              </w:rPr>
            </w:pPr>
          </w:p>
        </w:tc>
        <w:tc>
          <w:tcPr>
            <w:tcW w:w="1418" w:type="dxa"/>
            <w:gridSpan w:val="3"/>
            <w:shd w:val="clear" w:color="auto" w:fill="auto"/>
          </w:tcPr>
          <w:p w14:paraId="53848953">
            <w:pPr>
              <w:spacing w:line="360" w:lineRule="auto"/>
              <w:rPr>
                <w:rFonts w:ascii="宋体" w:hAnsi="宋体" w:cs="宋体"/>
                <w:color w:val="auto"/>
                <w:sz w:val="24"/>
                <w:highlight w:val="none"/>
              </w:rPr>
            </w:pPr>
          </w:p>
        </w:tc>
        <w:tc>
          <w:tcPr>
            <w:tcW w:w="1632" w:type="dxa"/>
            <w:gridSpan w:val="3"/>
            <w:shd w:val="clear" w:color="auto" w:fill="auto"/>
          </w:tcPr>
          <w:p w14:paraId="4FF11C2D">
            <w:pPr>
              <w:spacing w:line="360" w:lineRule="auto"/>
              <w:rPr>
                <w:rFonts w:ascii="宋体" w:hAnsi="宋体" w:cs="宋体"/>
                <w:color w:val="auto"/>
                <w:sz w:val="24"/>
                <w:highlight w:val="none"/>
              </w:rPr>
            </w:pPr>
          </w:p>
        </w:tc>
        <w:tc>
          <w:tcPr>
            <w:tcW w:w="1421" w:type="dxa"/>
            <w:gridSpan w:val="2"/>
            <w:shd w:val="clear" w:color="auto" w:fill="auto"/>
          </w:tcPr>
          <w:p w14:paraId="6E2F8E37">
            <w:pPr>
              <w:spacing w:line="360" w:lineRule="auto"/>
              <w:rPr>
                <w:rFonts w:ascii="宋体" w:hAnsi="宋体" w:cs="宋体"/>
                <w:color w:val="auto"/>
                <w:sz w:val="24"/>
                <w:highlight w:val="none"/>
              </w:rPr>
            </w:pPr>
          </w:p>
        </w:tc>
      </w:tr>
      <w:tr w14:paraId="6736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212" w:type="dxa"/>
            <w:shd w:val="clear" w:color="auto" w:fill="auto"/>
          </w:tcPr>
          <w:p w14:paraId="014D7547">
            <w:pPr>
              <w:kinsoku w:val="0"/>
              <w:autoSpaceDE w:val="0"/>
              <w:autoSpaceDN w:val="0"/>
              <w:adjustRightInd w:val="0"/>
              <w:snapToGrid w:val="0"/>
              <w:spacing w:line="360" w:lineRule="auto"/>
              <w:ind w:left="21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3"/>
                <w:kern w:val="0"/>
                <w:sz w:val="24"/>
                <w:highlight w:val="none"/>
              </w:rPr>
              <w:t>安全生产</w:t>
            </w:r>
          </w:p>
          <w:p w14:paraId="434CFCA1">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考核合格</w:t>
            </w:r>
          </w:p>
          <w:p w14:paraId="393394D9">
            <w:pPr>
              <w:kinsoku w:val="0"/>
              <w:autoSpaceDE w:val="0"/>
              <w:autoSpaceDN w:val="0"/>
              <w:adjustRightInd w:val="0"/>
              <w:snapToGrid w:val="0"/>
              <w:spacing w:line="360" w:lineRule="auto"/>
              <w:ind w:left="42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证书</w:t>
            </w:r>
          </w:p>
        </w:tc>
        <w:tc>
          <w:tcPr>
            <w:tcW w:w="1274" w:type="dxa"/>
            <w:gridSpan w:val="2"/>
            <w:shd w:val="clear" w:color="auto" w:fill="auto"/>
          </w:tcPr>
          <w:p w14:paraId="280E6A66">
            <w:pPr>
              <w:spacing w:line="360" w:lineRule="auto"/>
              <w:rPr>
                <w:rFonts w:ascii="宋体" w:hAnsi="宋体" w:cs="宋体"/>
                <w:color w:val="auto"/>
                <w:sz w:val="24"/>
                <w:highlight w:val="none"/>
              </w:rPr>
            </w:pPr>
          </w:p>
        </w:tc>
        <w:tc>
          <w:tcPr>
            <w:tcW w:w="1225" w:type="dxa"/>
            <w:gridSpan w:val="3"/>
            <w:shd w:val="clear" w:color="auto" w:fill="auto"/>
          </w:tcPr>
          <w:p w14:paraId="5FCFD2A6">
            <w:pPr>
              <w:spacing w:line="360" w:lineRule="auto"/>
              <w:rPr>
                <w:rFonts w:ascii="宋体" w:hAnsi="宋体" w:cs="宋体"/>
                <w:color w:val="auto"/>
                <w:sz w:val="24"/>
                <w:highlight w:val="none"/>
              </w:rPr>
            </w:pPr>
          </w:p>
          <w:p w14:paraId="10016768">
            <w:pPr>
              <w:kinsoku w:val="0"/>
              <w:autoSpaceDE w:val="0"/>
              <w:autoSpaceDN w:val="0"/>
              <w:adjustRightInd w:val="0"/>
              <w:snapToGrid w:val="0"/>
              <w:spacing w:line="360" w:lineRule="auto"/>
              <w:ind w:left="44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B</w:t>
            </w:r>
            <w:r>
              <w:rPr>
                <w:rFonts w:hint="eastAsia" w:ascii="宋体" w:hAnsi="宋体" w:cs="宋体"/>
                <w:snapToGrid w:val="0"/>
                <w:color w:val="auto"/>
                <w:spacing w:val="9"/>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类</w:t>
            </w:r>
          </w:p>
        </w:tc>
        <w:tc>
          <w:tcPr>
            <w:tcW w:w="1441" w:type="dxa"/>
            <w:shd w:val="clear" w:color="auto" w:fill="auto"/>
          </w:tcPr>
          <w:p w14:paraId="0AE15848">
            <w:pPr>
              <w:spacing w:line="360" w:lineRule="auto"/>
              <w:rPr>
                <w:rFonts w:ascii="宋体" w:hAnsi="宋体" w:cs="宋体"/>
                <w:color w:val="auto"/>
                <w:sz w:val="24"/>
                <w:highlight w:val="none"/>
              </w:rPr>
            </w:pPr>
          </w:p>
        </w:tc>
        <w:tc>
          <w:tcPr>
            <w:tcW w:w="1418" w:type="dxa"/>
            <w:gridSpan w:val="3"/>
            <w:shd w:val="clear" w:color="auto" w:fill="auto"/>
          </w:tcPr>
          <w:p w14:paraId="2699F2EF">
            <w:pPr>
              <w:spacing w:line="360" w:lineRule="auto"/>
              <w:rPr>
                <w:rFonts w:ascii="宋体" w:hAnsi="宋体" w:cs="宋体"/>
                <w:color w:val="auto"/>
                <w:sz w:val="24"/>
                <w:highlight w:val="none"/>
              </w:rPr>
            </w:pPr>
          </w:p>
        </w:tc>
        <w:tc>
          <w:tcPr>
            <w:tcW w:w="1632" w:type="dxa"/>
            <w:gridSpan w:val="3"/>
            <w:shd w:val="clear" w:color="auto" w:fill="auto"/>
          </w:tcPr>
          <w:p w14:paraId="4B33C7A2">
            <w:pPr>
              <w:spacing w:line="360" w:lineRule="auto"/>
              <w:rPr>
                <w:rFonts w:ascii="宋体" w:hAnsi="宋体" w:cs="宋体"/>
                <w:color w:val="auto"/>
                <w:sz w:val="24"/>
                <w:highlight w:val="none"/>
              </w:rPr>
            </w:pPr>
          </w:p>
        </w:tc>
        <w:tc>
          <w:tcPr>
            <w:tcW w:w="1421" w:type="dxa"/>
            <w:gridSpan w:val="2"/>
            <w:shd w:val="clear" w:color="auto" w:fill="auto"/>
          </w:tcPr>
          <w:p w14:paraId="61A36A35">
            <w:pPr>
              <w:spacing w:line="360" w:lineRule="auto"/>
              <w:rPr>
                <w:rFonts w:ascii="宋体" w:hAnsi="宋体" w:cs="宋体"/>
                <w:color w:val="auto"/>
                <w:sz w:val="24"/>
                <w:highlight w:val="none"/>
              </w:rPr>
            </w:pPr>
          </w:p>
        </w:tc>
      </w:tr>
      <w:tr w14:paraId="24CA3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5"/>
            <w:shd w:val="clear" w:color="auto" w:fill="auto"/>
          </w:tcPr>
          <w:p w14:paraId="0A574896">
            <w:pPr>
              <w:kinsoku w:val="0"/>
              <w:autoSpaceDE w:val="0"/>
              <w:autoSpaceDN w:val="0"/>
              <w:adjustRightInd w:val="0"/>
              <w:snapToGrid w:val="0"/>
              <w:spacing w:line="360" w:lineRule="auto"/>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566F5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03B84DDD">
            <w:pPr>
              <w:spacing w:line="360" w:lineRule="auto"/>
              <w:rPr>
                <w:rFonts w:ascii="宋体" w:hAnsi="宋体" w:cs="宋体"/>
                <w:color w:val="auto"/>
                <w:sz w:val="24"/>
                <w:highlight w:val="none"/>
              </w:rPr>
            </w:pPr>
          </w:p>
        </w:tc>
        <w:tc>
          <w:tcPr>
            <w:tcW w:w="1548" w:type="dxa"/>
            <w:gridSpan w:val="2"/>
            <w:shd w:val="clear" w:color="auto" w:fill="auto"/>
          </w:tcPr>
          <w:p w14:paraId="28BF53EC">
            <w:pPr>
              <w:kinsoku w:val="0"/>
              <w:autoSpaceDE w:val="0"/>
              <w:autoSpaceDN w:val="0"/>
              <w:adjustRightInd w:val="0"/>
              <w:snapToGrid w:val="0"/>
              <w:spacing w:line="360" w:lineRule="auto"/>
              <w:ind w:left="4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74" w:type="dxa"/>
            <w:gridSpan w:val="3"/>
            <w:shd w:val="clear" w:color="auto" w:fill="auto"/>
          </w:tcPr>
          <w:p w14:paraId="5E36E760">
            <w:pPr>
              <w:kinsoku w:val="0"/>
              <w:autoSpaceDE w:val="0"/>
              <w:autoSpaceDN w:val="0"/>
              <w:adjustRightInd w:val="0"/>
              <w:snapToGrid w:val="0"/>
              <w:spacing w:line="360" w:lineRule="auto"/>
              <w:ind w:left="7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29" w:type="dxa"/>
            <w:gridSpan w:val="2"/>
            <w:shd w:val="clear" w:color="auto" w:fill="auto"/>
          </w:tcPr>
          <w:p w14:paraId="5EDF84E7">
            <w:pPr>
              <w:kinsoku w:val="0"/>
              <w:autoSpaceDE w:val="0"/>
              <w:autoSpaceDN w:val="0"/>
              <w:adjustRightInd w:val="0"/>
              <w:snapToGrid w:val="0"/>
              <w:spacing w:line="360" w:lineRule="auto"/>
              <w:ind w:left="38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4" w:type="dxa"/>
            <w:gridSpan w:val="3"/>
            <w:shd w:val="clear" w:color="auto" w:fill="auto"/>
          </w:tcPr>
          <w:p w14:paraId="519B763D">
            <w:pPr>
              <w:kinsoku w:val="0"/>
              <w:autoSpaceDE w:val="0"/>
              <w:autoSpaceDN w:val="0"/>
              <w:adjustRightInd w:val="0"/>
              <w:snapToGrid w:val="0"/>
              <w:spacing w:line="360" w:lineRule="auto"/>
              <w:ind w:left="5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3" w:type="dxa"/>
            <w:gridSpan w:val="2"/>
            <w:shd w:val="clear" w:color="auto" w:fill="auto"/>
          </w:tcPr>
          <w:p w14:paraId="1FEBF72E">
            <w:pPr>
              <w:kinsoku w:val="0"/>
              <w:autoSpaceDE w:val="0"/>
              <w:autoSpaceDN w:val="0"/>
              <w:adjustRightInd w:val="0"/>
              <w:snapToGrid w:val="0"/>
              <w:spacing w:line="360" w:lineRule="auto"/>
              <w:ind w:left="56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5" w:type="dxa"/>
            <w:tcBorders>
              <w:top w:val="single" w:color="FFFFFF" w:sz="2" w:space="0"/>
              <w:bottom w:val="nil"/>
              <w:right w:val="nil"/>
            </w:tcBorders>
            <w:shd w:val="clear" w:color="auto" w:fill="auto"/>
          </w:tcPr>
          <w:p w14:paraId="37351C29">
            <w:pPr>
              <w:spacing w:line="360" w:lineRule="auto"/>
              <w:rPr>
                <w:rFonts w:ascii="宋体" w:hAnsi="宋体" w:cs="宋体"/>
                <w:color w:val="auto"/>
                <w:sz w:val="24"/>
                <w:highlight w:val="none"/>
              </w:rPr>
            </w:pPr>
          </w:p>
        </w:tc>
      </w:tr>
      <w:tr w14:paraId="5AE5C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630" w:type="dxa"/>
            <w:gridSpan w:val="2"/>
            <w:shd w:val="clear" w:color="auto" w:fill="auto"/>
          </w:tcPr>
          <w:p w14:paraId="66C9A1AF">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8" w:type="dxa"/>
            <w:gridSpan w:val="2"/>
            <w:shd w:val="clear" w:color="auto" w:fill="auto"/>
          </w:tcPr>
          <w:p w14:paraId="38A33657">
            <w:pPr>
              <w:spacing w:line="360" w:lineRule="auto"/>
              <w:rPr>
                <w:rFonts w:ascii="宋体" w:hAnsi="宋体" w:cs="宋体"/>
                <w:color w:val="auto"/>
                <w:sz w:val="24"/>
                <w:highlight w:val="none"/>
              </w:rPr>
            </w:pPr>
          </w:p>
        </w:tc>
        <w:tc>
          <w:tcPr>
            <w:tcW w:w="1974" w:type="dxa"/>
            <w:gridSpan w:val="3"/>
            <w:shd w:val="clear" w:color="auto" w:fill="auto"/>
          </w:tcPr>
          <w:p w14:paraId="7D2F52C5">
            <w:pPr>
              <w:spacing w:line="360" w:lineRule="auto"/>
              <w:rPr>
                <w:rFonts w:ascii="宋体" w:hAnsi="宋体" w:cs="宋体"/>
                <w:color w:val="auto"/>
                <w:sz w:val="24"/>
                <w:highlight w:val="none"/>
              </w:rPr>
            </w:pPr>
          </w:p>
        </w:tc>
        <w:tc>
          <w:tcPr>
            <w:tcW w:w="1329" w:type="dxa"/>
            <w:gridSpan w:val="2"/>
            <w:shd w:val="clear" w:color="auto" w:fill="auto"/>
          </w:tcPr>
          <w:p w14:paraId="4AB08DF0">
            <w:pPr>
              <w:spacing w:line="360" w:lineRule="auto"/>
              <w:rPr>
                <w:rFonts w:ascii="宋体" w:hAnsi="宋体" w:cs="宋体"/>
                <w:color w:val="auto"/>
                <w:sz w:val="24"/>
                <w:highlight w:val="none"/>
              </w:rPr>
            </w:pPr>
          </w:p>
        </w:tc>
        <w:tc>
          <w:tcPr>
            <w:tcW w:w="1634" w:type="dxa"/>
            <w:gridSpan w:val="3"/>
            <w:shd w:val="clear" w:color="auto" w:fill="auto"/>
          </w:tcPr>
          <w:p w14:paraId="3CA62F8C">
            <w:pPr>
              <w:spacing w:line="360" w:lineRule="auto"/>
              <w:rPr>
                <w:rFonts w:ascii="宋体" w:hAnsi="宋体" w:cs="宋体"/>
                <w:color w:val="auto"/>
                <w:sz w:val="24"/>
                <w:highlight w:val="none"/>
              </w:rPr>
            </w:pPr>
          </w:p>
        </w:tc>
        <w:tc>
          <w:tcPr>
            <w:tcW w:w="1483" w:type="dxa"/>
            <w:gridSpan w:val="2"/>
            <w:shd w:val="clear" w:color="auto" w:fill="auto"/>
          </w:tcPr>
          <w:p w14:paraId="64920D88">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23D34453">
            <w:pPr>
              <w:spacing w:line="360" w:lineRule="auto"/>
              <w:rPr>
                <w:rFonts w:ascii="宋体" w:hAnsi="宋体" w:cs="宋体"/>
                <w:color w:val="auto"/>
                <w:sz w:val="24"/>
                <w:highlight w:val="none"/>
              </w:rPr>
            </w:pPr>
          </w:p>
        </w:tc>
      </w:tr>
      <w:tr w14:paraId="7000B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35B019F4">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8" w:type="dxa"/>
            <w:gridSpan w:val="2"/>
            <w:shd w:val="clear" w:color="auto" w:fill="auto"/>
          </w:tcPr>
          <w:p w14:paraId="78415F77">
            <w:pPr>
              <w:spacing w:line="360" w:lineRule="auto"/>
              <w:rPr>
                <w:rFonts w:ascii="宋体" w:hAnsi="宋体" w:cs="宋体"/>
                <w:color w:val="auto"/>
                <w:sz w:val="24"/>
                <w:highlight w:val="none"/>
              </w:rPr>
            </w:pPr>
          </w:p>
        </w:tc>
        <w:tc>
          <w:tcPr>
            <w:tcW w:w="1974" w:type="dxa"/>
            <w:gridSpan w:val="3"/>
            <w:shd w:val="clear" w:color="auto" w:fill="auto"/>
          </w:tcPr>
          <w:p w14:paraId="4BA49E62">
            <w:pPr>
              <w:spacing w:line="360" w:lineRule="auto"/>
              <w:rPr>
                <w:rFonts w:ascii="宋体" w:hAnsi="宋体" w:cs="宋体"/>
                <w:color w:val="auto"/>
                <w:sz w:val="24"/>
                <w:highlight w:val="none"/>
              </w:rPr>
            </w:pPr>
          </w:p>
        </w:tc>
        <w:tc>
          <w:tcPr>
            <w:tcW w:w="1329" w:type="dxa"/>
            <w:gridSpan w:val="2"/>
            <w:shd w:val="clear" w:color="auto" w:fill="auto"/>
          </w:tcPr>
          <w:p w14:paraId="4DB3B266">
            <w:pPr>
              <w:spacing w:line="360" w:lineRule="auto"/>
              <w:rPr>
                <w:rFonts w:ascii="宋体" w:hAnsi="宋体" w:cs="宋体"/>
                <w:color w:val="auto"/>
                <w:sz w:val="24"/>
                <w:highlight w:val="none"/>
              </w:rPr>
            </w:pPr>
          </w:p>
        </w:tc>
        <w:tc>
          <w:tcPr>
            <w:tcW w:w="1634" w:type="dxa"/>
            <w:gridSpan w:val="3"/>
            <w:shd w:val="clear" w:color="auto" w:fill="auto"/>
          </w:tcPr>
          <w:p w14:paraId="639914A6">
            <w:pPr>
              <w:spacing w:line="360" w:lineRule="auto"/>
              <w:rPr>
                <w:rFonts w:ascii="宋体" w:hAnsi="宋体" w:cs="宋体"/>
                <w:color w:val="auto"/>
                <w:sz w:val="24"/>
                <w:highlight w:val="none"/>
              </w:rPr>
            </w:pPr>
          </w:p>
        </w:tc>
        <w:tc>
          <w:tcPr>
            <w:tcW w:w="1483" w:type="dxa"/>
            <w:gridSpan w:val="2"/>
            <w:shd w:val="clear" w:color="auto" w:fill="auto"/>
          </w:tcPr>
          <w:p w14:paraId="49AA2444">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484B8B0E">
            <w:pPr>
              <w:spacing w:line="360" w:lineRule="auto"/>
              <w:rPr>
                <w:rFonts w:ascii="宋体" w:hAnsi="宋体" w:cs="宋体"/>
                <w:color w:val="auto"/>
                <w:sz w:val="24"/>
                <w:highlight w:val="none"/>
              </w:rPr>
            </w:pPr>
          </w:p>
        </w:tc>
      </w:tr>
      <w:tr w14:paraId="4DC12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30" w:type="dxa"/>
            <w:gridSpan w:val="2"/>
            <w:shd w:val="clear" w:color="auto" w:fill="auto"/>
          </w:tcPr>
          <w:p w14:paraId="62556188">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8" w:type="dxa"/>
            <w:gridSpan w:val="2"/>
            <w:shd w:val="clear" w:color="auto" w:fill="auto"/>
          </w:tcPr>
          <w:p w14:paraId="2FC54F61">
            <w:pPr>
              <w:spacing w:line="360" w:lineRule="auto"/>
              <w:rPr>
                <w:rFonts w:ascii="宋体" w:hAnsi="宋体" w:cs="宋体"/>
                <w:color w:val="auto"/>
                <w:sz w:val="24"/>
                <w:highlight w:val="none"/>
              </w:rPr>
            </w:pPr>
          </w:p>
        </w:tc>
        <w:tc>
          <w:tcPr>
            <w:tcW w:w="1974" w:type="dxa"/>
            <w:gridSpan w:val="3"/>
            <w:shd w:val="clear" w:color="auto" w:fill="auto"/>
          </w:tcPr>
          <w:p w14:paraId="2265F695">
            <w:pPr>
              <w:spacing w:line="360" w:lineRule="auto"/>
              <w:rPr>
                <w:rFonts w:ascii="宋体" w:hAnsi="宋体" w:cs="宋体"/>
                <w:color w:val="auto"/>
                <w:sz w:val="24"/>
                <w:highlight w:val="none"/>
              </w:rPr>
            </w:pPr>
          </w:p>
        </w:tc>
        <w:tc>
          <w:tcPr>
            <w:tcW w:w="1329" w:type="dxa"/>
            <w:gridSpan w:val="2"/>
            <w:shd w:val="clear" w:color="auto" w:fill="auto"/>
          </w:tcPr>
          <w:p w14:paraId="63A25258">
            <w:pPr>
              <w:spacing w:line="360" w:lineRule="auto"/>
              <w:rPr>
                <w:rFonts w:ascii="宋体" w:hAnsi="宋体" w:cs="宋体"/>
                <w:color w:val="auto"/>
                <w:sz w:val="24"/>
                <w:highlight w:val="none"/>
              </w:rPr>
            </w:pPr>
          </w:p>
        </w:tc>
        <w:tc>
          <w:tcPr>
            <w:tcW w:w="1634" w:type="dxa"/>
            <w:gridSpan w:val="3"/>
            <w:shd w:val="clear" w:color="auto" w:fill="auto"/>
          </w:tcPr>
          <w:p w14:paraId="60B5F2F2">
            <w:pPr>
              <w:spacing w:line="360" w:lineRule="auto"/>
              <w:rPr>
                <w:rFonts w:ascii="宋体" w:hAnsi="宋体" w:cs="宋体"/>
                <w:color w:val="auto"/>
                <w:sz w:val="24"/>
                <w:highlight w:val="none"/>
              </w:rPr>
            </w:pPr>
          </w:p>
        </w:tc>
        <w:tc>
          <w:tcPr>
            <w:tcW w:w="1483" w:type="dxa"/>
            <w:gridSpan w:val="2"/>
            <w:shd w:val="clear" w:color="auto" w:fill="auto"/>
          </w:tcPr>
          <w:p w14:paraId="7A3356CA">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3683682F">
            <w:pPr>
              <w:spacing w:line="360" w:lineRule="auto"/>
              <w:rPr>
                <w:rFonts w:ascii="宋体" w:hAnsi="宋体" w:cs="宋体"/>
                <w:color w:val="auto"/>
                <w:sz w:val="24"/>
                <w:highlight w:val="none"/>
              </w:rPr>
            </w:pPr>
          </w:p>
        </w:tc>
      </w:tr>
      <w:tr w14:paraId="3CD75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54C5D4BA">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8" w:type="dxa"/>
            <w:gridSpan w:val="2"/>
            <w:shd w:val="clear" w:color="auto" w:fill="auto"/>
          </w:tcPr>
          <w:p w14:paraId="29BE0166">
            <w:pPr>
              <w:spacing w:line="360" w:lineRule="auto"/>
              <w:rPr>
                <w:rFonts w:ascii="宋体" w:hAnsi="宋体" w:cs="宋体"/>
                <w:color w:val="auto"/>
                <w:sz w:val="24"/>
                <w:highlight w:val="none"/>
              </w:rPr>
            </w:pPr>
          </w:p>
        </w:tc>
        <w:tc>
          <w:tcPr>
            <w:tcW w:w="1974" w:type="dxa"/>
            <w:gridSpan w:val="3"/>
            <w:shd w:val="clear" w:color="auto" w:fill="auto"/>
          </w:tcPr>
          <w:p w14:paraId="44DD961A">
            <w:pPr>
              <w:spacing w:line="360" w:lineRule="auto"/>
              <w:rPr>
                <w:rFonts w:ascii="宋体" w:hAnsi="宋体" w:cs="宋体"/>
                <w:color w:val="auto"/>
                <w:sz w:val="24"/>
                <w:highlight w:val="none"/>
              </w:rPr>
            </w:pPr>
          </w:p>
        </w:tc>
        <w:tc>
          <w:tcPr>
            <w:tcW w:w="1329" w:type="dxa"/>
            <w:gridSpan w:val="2"/>
            <w:shd w:val="clear" w:color="auto" w:fill="auto"/>
          </w:tcPr>
          <w:p w14:paraId="724FA4D0">
            <w:pPr>
              <w:spacing w:line="360" w:lineRule="auto"/>
              <w:rPr>
                <w:rFonts w:ascii="宋体" w:hAnsi="宋体" w:cs="宋体"/>
                <w:color w:val="auto"/>
                <w:sz w:val="24"/>
                <w:highlight w:val="none"/>
              </w:rPr>
            </w:pPr>
          </w:p>
        </w:tc>
        <w:tc>
          <w:tcPr>
            <w:tcW w:w="1634" w:type="dxa"/>
            <w:gridSpan w:val="3"/>
            <w:shd w:val="clear" w:color="auto" w:fill="auto"/>
          </w:tcPr>
          <w:p w14:paraId="2AE4EC4A">
            <w:pPr>
              <w:spacing w:line="360" w:lineRule="auto"/>
              <w:rPr>
                <w:rFonts w:ascii="宋体" w:hAnsi="宋体" w:cs="宋体"/>
                <w:color w:val="auto"/>
                <w:sz w:val="24"/>
                <w:highlight w:val="none"/>
              </w:rPr>
            </w:pPr>
          </w:p>
        </w:tc>
        <w:tc>
          <w:tcPr>
            <w:tcW w:w="1483" w:type="dxa"/>
            <w:gridSpan w:val="2"/>
            <w:shd w:val="clear" w:color="auto" w:fill="auto"/>
          </w:tcPr>
          <w:p w14:paraId="7C212DB4">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76F5FBB2">
            <w:pPr>
              <w:spacing w:line="360" w:lineRule="auto"/>
              <w:rPr>
                <w:rFonts w:ascii="宋体" w:hAnsi="宋体" w:cs="宋体"/>
                <w:color w:val="auto"/>
                <w:sz w:val="24"/>
                <w:highlight w:val="none"/>
              </w:rPr>
            </w:pPr>
          </w:p>
        </w:tc>
      </w:tr>
      <w:tr w14:paraId="5041E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1361C88C">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8" w:type="dxa"/>
            <w:gridSpan w:val="2"/>
            <w:shd w:val="clear" w:color="auto" w:fill="auto"/>
          </w:tcPr>
          <w:p w14:paraId="53995F1C">
            <w:pPr>
              <w:spacing w:line="360" w:lineRule="auto"/>
              <w:rPr>
                <w:rFonts w:ascii="宋体" w:hAnsi="宋体" w:cs="宋体"/>
                <w:color w:val="auto"/>
                <w:sz w:val="24"/>
                <w:highlight w:val="none"/>
              </w:rPr>
            </w:pPr>
          </w:p>
        </w:tc>
        <w:tc>
          <w:tcPr>
            <w:tcW w:w="1974" w:type="dxa"/>
            <w:gridSpan w:val="3"/>
            <w:shd w:val="clear" w:color="auto" w:fill="auto"/>
          </w:tcPr>
          <w:p w14:paraId="38514312">
            <w:pPr>
              <w:spacing w:line="360" w:lineRule="auto"/>
              <w:rPr>
                <w:rFonts w:ascii="宋体" w:hAnsi="宋体" w:cs="宋体"/>
                <w:color w:val="auto"/>
                <w:sz w:val="24"/>
                <w:highlight w:val="none"/>
              </w:rPr>
            </w:pPr>
          </w:p>
        </w:tc>
        <w:tc>
          <w:tcPr>
            <w:tcW w:w="1329" w:type="dxa"/>
            <w:gridSpan w:val="2"/>
            <w:shd w:val="clear" w:color="auto" w:fill="auto"/>
          </w:tcPr>
          <w:p w14:paraId="1D30E05E">
            <w:pPr>
              <w:spacing w:line="360" w:lineRule="auto"/>
              <w:rPr>
                <w:rFonts w:ascii="宋体" w:hAnsi="宋体" w:cs="宋体"/>
                <w:color w:val="auto"/>
                <w:sz w:val="24"/>
                <w:highlight w:val="none"/>
              </w:rPr>
            </w:pPr>
          </w:p>
        </w:tc>
        <w:tc>
          <w:tcPr>
            <w:tcW w:w="1634" w:type="dxa"/>
            <w:gridSpan w:val="3"/>
            <w:shd w:val="clear" w:color="auto" w:fill="auto"/>
          </w:tcPr>
          <w:p w14:paraId="4889D928">
            <w:pPr>
              <w:spacing w:line="360" w:lineRule="auto"/>
              <w:rPr>
                <w:rFonts w:ascii="宋体" w:hAnsi="宋体" w:cs="宋体"/>
                <w:color w:val="auto"/>
                <w:sz w:val="24"/>
                <w:highlight w:val="none"/>
              </w:rPr>
            </w:pPr>
          </w:p>
        </w:tc>
        <w:tc>
          <w:tcPr>
            <w:tcW w:w="1483" w:type="dxa"/>
            <w:gridSpan w:val="2"/>
            <w:shd w:val="clear" w:color="auto" w:fill="auto"/>
          </w:tcPr>
          <w:p w14:paraId="7CA87250">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7ECC5748">
            <w:pPr>
              <w:spacing w:line="360" w:lineRule="auto"/>
              <w:rPr>
                <w:rFonts w:ascii="宋体" w:hAnsi="宋体" w:cs="宋体"/>
                <w:color w:val="auto"/>
                <w:sz w:val="24"/>
                <w:highlight w:val="none"/>
              </w:rPr>
            </w:pPr>
          </w:p>
        </w:tc>
      </w:tr>
      <w:tr w14:paraId="60B45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454D10FE">
            <w:pPr>
              <w:kinsoku w:val="0"/>
              <w:autoSpaceDE w:val="0"/>
              <w:autoSpaceDN w:val="0"/>
              <w:adjustRightInd w:val="0"/>
              <w:snapToGrid w:val="0"/>
              <w:spacing w:line="360" w:lineRule="auto"/>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8" w:type="dxa"/>
            <w:gridSpan w:val="2"/>
            <w:shd w:val="clear" w:color="auto" w:fill="auto"/>
          </w:tcPr>
          <w:p w14:paraId="5BBCF14A">
            <w:pPr>
              <w:spacing w:line="360" w:lineRule="auto"/>
              <w:rPr>
                <w:rFonts w:ascii="宋体" w:hAnsi="宋体" w:cs="宋体"/>
                <w:color w:val="auto"/>
                <w:sz w:val="24"/>
                <w:highlight w:val="none"/>
              </w:rPr>
            </w:pPr>
          </w:p>
        </w:tc>
        <w:tc>
          <w:tcPr>
            <w:tcW w:w="1974" w:type="dxa"/>
            <w:gridSpan w:val="3"/>
            <w:shd w:val="clear" w:color="auto" w:fill="auto"/>
          </w:tcPr>
          <w:p w14:paraId="499582EE">
            <w:pPr>
              <w:spacing w:line="360" w:lineRule="auto"/>
              <w:rPr>
                <w:rFonts w:ascii="宋体" w:hAnsi="宋体" w:cs="宋体"/>
                <w:color w:val="auto"/>
                <w:sz w:val="24"/>
                <w:highlight w:val="none"/>
              </w:rPr>
            </w:pPr>
          </w:p>
        </w:tc>
        <w:tc>
          <w:tcPr>
            <w:tcW w:w="1329" w:type="dxa"/>
            <w:gridSpan w:val="2"/>
            <w:shd w:val="clear" w:color="auto" w:fill="auto"/>
          </w:tcPr>
          <w:p w14:paraId="48001EC1">
            <w:pPr>
              <w:spacing w:line="360" w:lineRule="auto"/>
              <w:rPr>
                <w:rFonts w:ascii="宋体" w:hAnsi="宋体" w:cs="宋体"/>
                <w:color w:val="auto"/>
                <w:sz w:val="24"/>
                <w:highlight w:val="none"/>
              </w:rPr>
            </w:pPr>
          </w:p>
        </w:tc>
        <w:tc>
          <w:tcPr>
            <w:tcW w:w="1634" w:type="dxa"/>
            <w:gridSpan w:val="3"/>
            <w:shd w:val="clear" w:color="auto" w:fill="auto"/>
          </w:tcPr>
          <w:p w14:paraId="0E7B5BD4">
            <w:pPr>
              <w:spacing w:line="360" w:lineRule="auto"/>
              <w:rPr>
                <w:rFonts w:ascii="宋体" w:hAnsi="宋体" w:cs="宋体"/>
                <w:color w:val="auto"/>
                <w:sz w:val="24"/>
                <w:highlight w:val="none"/>
              </w:rPr>
            </w:pPr>
          </w:p>
        </w:tc>
        <w:tc>
          <w:tcPr>
            <w:tcW w:w="1483" w:type="dxa"/>
            <w:gridSpan w:val="2"/>
            <w:shd w:val="clear" w:color="auto" w:fill="auto"/>
          </w:tcPr>
          <w:p w14:paraId="75D968BC">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476D6351">
            <w:pPr>
              <w:spacing w:line="360" w:lineRule="auto"/>
              <w:rPr>
                <w:rFonts w:ascii="宋体" w:hAnsi="宋体" w:cs="宋体"/>
                <w:color w:val="auto"/>
                <w:sz w:val="24"/>
                <w:highlight w:val="none"/>
              </w:rPr>
            </w:pPr>
          </w:p>
        </w:tc>
      </w:tr>
      <w:tr w14:paraId="632DA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6DD434ED">
            <w:pPr>
              <w:kinsoku w:val="0"/>
              <w:autoSpaceDE w:val="0"/>
              <w:autoSpaceDN w:val="0"/>
              <w:adjustRightInd w:val="0"/>
              <w:snapToGrid w:val="0"/>
              <w:spacing w:line="360" w:lineRule="auto"/>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8" w:type="dxa"/>
            <w:gridSpan w:val="2"/>
            <w:shd w:val="clear" w:color="auto" w:fill="auto"/>
          </w:tcPr>
          <w:p w14:paraId="2E56642F">
            <w:pPr>
              <w:spacing w:line="360" w:lineRule="auto"/>
              <w:rPr>
                <w:rFonts w:ascii="宋体" w:hAnsi="宋体" w:cs="宋体"/>
                <w:color w:val="auto"/>
                <w:sz w:val="24"/>
                <w:highlight w:val="none"/>
              </w:rPr>
            </w:pPr>
          </w:p>
        </w:tc>
        <w:tc>
          <w:tcPr>
            <w:tcW w:w="1974" w:type="dxa"/>
            <w:gridSpan w:val="3"/>
            <w:shd w:val="clear" w:color="auto" w:fill="auto"/>
          </w:tcPr>
          <w:p w14:paraId="70471D32">
            <w:pPr>
              <w:spacing w:line="360" w:lineRule="auto"/>
              <w:rPr>
                <w:rFonts w:ascii="宋体" w:hAnsi="宋体" w:cs="宋体"/>
                <w:color w:val="auto"/>
                <w:sz w:val="24"/>
                <w:highlight w:val="none"/>
              </w:rPr>
            </w:pPr>
          </w:p>
        </w:tc>
        <w:tc>
          <w:tcPr>
            <w:tcW w:w="1329" w:type="dxa"/>
            <w:gridSpan w:val="2"/>
            <w:shd w:val="clear" w:color="auto" w:fill="auto"/>
          </w:tcPr>
          <w:p w14:paraId="684199EF">
            <w:pPr>
              <w:spacing w:line="360" w:lineRule="auto"/>
              <w:rPr>
                <w:rFonts w:ascii="宋体" w:hAnsi="宋体" w:cs="宋体"/>
                <w:color w:val="auto"/>
                <w:sz w:val="24"/>
                <w:highlight w:val="none"/>
              </w:rPr>
            </w:pPr>
          </w:p>
        </w:tc>
        <w:tc>
          <w:tcPr>
            <w:tcW w:w="1634" w:type="dxa"/>
            <w:gridSpan w:val="3"/>
            <w:shd w:val="clear" w:color="auto" w:fill="auto"/>
          </w:tcPr>
          <w:p w14:paraId="1CDFC2FF">
            <w:pPr>
              <w:spacing w:line="360" w:lineRule="auto"/>
              <w:rPr>
                <w:rFonts w:ascii="宋体" w:hAnsi="宋体" w:cs="宋体"/>
                <w:color w:val="auto"/>
                <w:sz w:val="24"/>
                <w:highlight w:val="none"/>
              </w:rPr>
            </w:pPr>
          </w:p>
        </w:tc>
        <w:tc>
          <w:tcPr>
            <w:tcW w:w="1483" w:type="dxa"/>
            <w:gridSpan w:val="2"/>
            <w:shd w:val="clear" w:color="auto" w:fill="auto"/>
          </w:tcPr>
          <w:p w14:paraId="7C26D658">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2670E564">
            <w:pPr>
              <w:spacing w:line="360" w:lineRule="auto"/>
              <w:rPr>
                <w:rFonts w:ascii="宋体" w:hAnsi="宋体" w:cs="宋体"/>
                <w:color w:val="auto"/>
                <w:sz w:val="24"/>
                <w:highlight w:val="none"/>
              </w:rPr>
            </w:pPr>
          </w:p>
        </w:tc>
      </w:tr>
      <w:tr w14:paraId="60217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3649AB3C">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8" w:type="dxa"/>
            <w:gridSpan w:val="2"/>
            <w:shd w:val="clear" w:color="auto" w:fill="auto"/>
          </w:tcPr>
          <w:p w14:paraId="3E4A3B0B">
            <w:pPr>
              <w:spacing w:line="360" w:lineRule="auto"/>
              <w:rPr>
                <w:rFonts w:ascii="宋体" w:hAnsi="宋体" w:cs="宋体"/>
                <w:color w:val="auto"/>
                <w:sz w:val="24"/>
                <w:highlight w:val="none"/>
              </w:rPr>
            </w:pPr>
          </w:p>
        </w:tc>
        <w:tc>
          <w:tcPr>
            <w:tcW w:w="1974" w:type="dxa"/>
            <w:gridSpan w:val="3"/>
            <w:shd w:val="clear" w:color="auto" w:fill="auto"/>
          </w:tcPr>
          <w:p w14:paraId="289ACE23">
            <w:pPr>
              <w:spacing w:line="360" w:lineRule="auto"/>
              <w:rPr>
                <w:rFonts w:ascii="宋体" w:hAnsi="宋体" w:cs="宋体"/>
                <w:color w:val="auto"/>
                <w:sz w:val="24"/>
                <w:highlight w:val="none"/>
              </w:rPr>
            </w:pPr>
          </w:p>
        </w:tc>
        <w:tc>
          <w:tcPr>
            <w:tcW w:w="1329" w:type="dxa"/>
            <w:gridSpan w:val="2"/>
            <w:shd w:val="clear" w:color="auto" w:fill="auto"/>
          </w:tcPr>
          <w:p w14:paraId="742EB268">
            <w:pPr>
              <w:spacing w:line="360" w:lineRule="auto"/>
              <w:rPr>
                <w:rFonts w:ascii="宋体" w:hAnsi="宋体" w:cs="宋体"/>
                <w:color w:val="auto"/>
                <w:sz w:val="24"/>
                <w:highlight w:val="none"/>
              </w:rPr>
            </w:pPr>
          </w:p>
        </w:tc>
        <w:tc>
          <w:tcPr>
            <w:tcW w:w="1634" w:type="dxa"/>
            <w:gridSpan w:val="3"/>
            <w:shd w:val="clear" w:color="auto" w:fill="auto"/>
          </w:tcPr>
          <w:p w14:paraId="43590D2C">
            <w:pPr>
              <w:spacing w:line="360" w:lineRule="auto"/>
              <w:rPr>
                <w:rFonts w:ascii="宋体" w:hAnsi="宋体" w:cs="宋体"/>
                <w:color w:val="auto"/>
                <w:sz w:val="24"/>
                <w:highlight w:val="none"/>
              </w:rPr>
            </w:pPr>
          </w:p>
        </w:tc>
        <w:tc>
          <w:tcPr>
            <w:tcW w:w="1483" w:type="dxa"/>
            <w:gridSpan w:val="2"/>
            <w:shd w:val="clear" w:color="auto" w:fill="auto"/>
          </w:tcPr>
          <w:p w14:paraId="660FF166">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7714C7E6">
            <w:pPr>
              <w:spacing w:line="360" w:lineRule="auto"/>
              <w:rPr>
                <w:rFonts w:ascii="宋体" w:hAnsi="宋体" w:cs="宋体"/>
                <w:color w:val="auto"/>
                <w:sz w:val="24"/>
                <w:highlight w:val="none"/>
              </w:rPr>
            </w:pPr>
          </w:p>
        </w:tc>
      </w:tr>
      <w:tr w14:paraId="1CB64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30" w:type="dxa"/>
            <w:gridSpan w:val="2"/>
            <w:shd w:val="clear" w:color="auto" w:fill="auto"/>
          </w:tcPr>
          <w:p w14:paraId="657F17C7">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8" w:type="dxa"/>
            <w:gridSpan w:val="2"/>
            <w:shd w:val="clear" w:color="auto" w:fill="auto"/>
          </w:tcPr>
          <w:p w14:paraId="779A34F5">
            <w:pPr>
              <w:spacing w:line="360" w:lineRule="auto"/>
              <w:rPr>
                <w:rFonts w:ascii="宋体" w:hAnsi="宋体" w:cs="宋体"/>
                <w:color w:val="auto"/>
                <w:sz w:val="24"/>
                <w:highlight w:val="none"/>
              </w:rPr>
            </w:pPr>
          </w:p>
        </w:tc>
        <w:tc>
          <w:tcPr>
            <w:tcW w:w="1974" w:type="dxa"/>
            <w:gridSpan w:val="3"/>
            <w:shd w:val="clear" w:color="auto" w:fill="auto"/>
          </w:tcPr>
          <w:p w14:paraId="54F0A160">
            <w:pPr>
              <w:spacing w:line="360" w:lineRule="auto"/>
              <w:rPr>
                <w:rFonts w:ascii="宋体" w:hAnsi="宋体" w:cs="宋体"/>
                <w:color w:val="auto"/>
                <w:sz w:val="24"/>
                <w:highlight w:val="none"/>
              </w:rPr>
            </w:pPr>
          </w:p>
        </w:tc>
        <w:tc>
          <w:tcPr>
            <w:tcW w:w="1329" w:type="dxa"/>
            <w:gridSpan w:val="2"/>
            <w:shd w:val="clear" w:color="auto" w:fill="auto"/>
          </w:tcPr>
          <w:p w14:paraId="52244844">
            <w:pPr>
              <w:spacing w:line="360" w:lineRule="auto"/>
              <w:rPr>
                <w:rFonts w:ascii="宋体" w:hAnsi="宋体" w:cs="宋体"/>
                <w:color w:val="auto"/>
                <w:sz w:val="24"/>
                <w:highlight w:val="none"/>
              </w:rPr>
            </w:pPr>
          </w:p>
        </w:tc>
        <w:tc>
          <w:tcPr>
            <w:tcW w:w="1634" w:type="dxa"/>
            <w:gridSpan w:val="3"/>
            <w:shd w:val="clear" w:color="auto" w:fill="auto"/>
          </w:tcPr>
          <w:p w14:paraId="21AA37E4">
            <w:pPr>
              <w:spacing w:line="360" w:lineRule="auto"/>
              <w:rPr>
                <w:rFonts w:ascii="宋体" w:hAnsi="宋体" w:cs="宋体"/>
                <w:color w:val="auto"/>
                <w:sz w:val="24"/>
                <w:highlight w:val="none"/>
              </w:rPr>
            </w:pPr>
          </w:p>
        </w:tc>
        <w:tc>
          <w:tcPr>
            <w:tcW w:w="1483" w:type="dxa"/>
            <w:gridSpan w:val="2"/>
            <w:shd w:val="clear" w:color="auto" w:fill="auto"/>
          </w:tcPr>
          <w:p w14:paraId="0B109CFB">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4E86094B">
            <w:pPr>
              <w:spacing w:line="360" w:lineRule="auto"/>
              <w:rPr>
                <w:rFonts w:ascii="宋体" w:hAnsi="宋体" w:cs="宋体"/>
                <w:color w:val="auto"/>
                <w:sz w:val="24"/>
                <w:highlight w:val="none"/>
              </w:rPr>
            </w:pPr>
          </w:p>
        </w:tc>
      </w:tr>
    </w:tbl>
    <w:p w14:paraId="3DF88AC4">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备注：</w:t>
      </w:r>
    </w:p>
    <w:p w14:paraId="296E530C">
      <w:pPr>
        <w:widowControl/>
        <w:kinsoku w:val="0"/>
        <w:autoSpaceDE w:val="0"/>
        <w:autoSpaceDN w:val="0"/>
        <w:adjustRightInd w:val="0"/>
        <w:snapToGrid w:val="0"/>
        <w:spacing w:line="360" w:lineRule="auto"/>
        <w:ind w:firstLine="480" w:firstLineChars="200"/>
        <w:textAlignment w:val="baseline"/>
        <w:rPr>
          <w:rFonts w:ascii="宋体" w:hAnsi="宋体" w:cs="宋体"/>
          <w:color w:val="auto"/>
          <w:sz w:val="24"/>
          <w:highlight w:val="none"/>
        </w:rPr>
      </w:pPr>
      <w:r>
        <w:rPr>
          <w:rFonts w:hint="eastAsia" w:ascii="宋体" w:hAnsi="宋体" w:cs="宋体"/>
          <w:color w:val="auto"/>
          <w:sz w:val="24"/>
          <w:highlight w:val="none"/>
        </w:rPr>
        <w:t>1.项目数可以根据需要增加。</w:t>
      </w:r>
    </w:p>
    <w:p w14:paraId="5726420F">
      <w:pPr>
        <w:widowControl/>
        <w:kinsoku w:val="0"/>
        <w:autoSpaceDE w:val="0"/>
        <w:autoSpaceDN w:val="0"/>
        <w:adjustRightInd w:val="0"/>
        <w:snapToGrid w:val="0"/>
        <w:spacing w:line="360" w:lineRule="auto"/>
        <w:ind w:firstLine="480" w:firstLineChars="200"/>
        <w:textAlignment w:val="baseline"/>
        <w:rPr>
          <w:rFonts w:hint="eastAsia" w:ascii="宋体" w:hAnsi="宋体" w:cs="宋体"/>
          <w:color w:val="auto"/>
          <w:sz w:val="24"/>
          <w:highlight w:val="none"/>
        </w:rPr>
      </w:pPr>
      <w:r>
        <w:rPr>
          <w:rFonts w:hint="eastAsia" w:ascii="宋体" w:hAnsi="宋体" w:cs="宋体"/>
          <w:color w:val="auto"/>
          <w:sz w:val="24"/>
          <w:highlight w:val="none"/>
        </w:rPr>
        <w:t>2.本表后附项目经理的</w:t>
      </w:r>
      <w:r>
        <w:rPr>
          <w:rFonts w:hint="eastAsia" w:ascii="宋体" w:hAnsi="宋体" w:cs="宋体"/>
          <w:color w:val="auto"/>
          <w:spacing w:val="-3"/>
          <w:sz w:val="24"/>
          <w:highlight w:val="none"/>
          <w:lang w:val="en-US" w:eastAsia="zh-CN"/>
        </w:rPr>
        <w:t>身份证、</w:t>
      </w:r>
      <w:r>
        <w:rPr>
          <w:rFonts w:hint="eastAsia" w:ascii="宋体" w:hAnsi="宋体" w:cs="宋体"/>
          <w:color w:val="auto"/>
          <w:sz w:val="24"/>
          <w:highlight w:val="none"/>
        </w:rPr>
        <w:t>安全生产考核合格证（B 类）、本表所列证书</w:t>
      </w:r>
      <w:r>
        <w:rPr>
          <w:rFonts w:hint="eastAsia" w:ascii="宋体" w:hAnsi="宋体" w:cs="宋体"/>
          <w:color w:val="auto"/>
          <w:sz w:val="24"/>
          <w:highlight w:val="none"/>
          <w:lang w:val="en-US" w:eastAsia="zh-CN"/>
        </w:rPr>
        <w:t>以及</w:t>
      </w:r>
      <w:r>
        <w:rPr>
          <w:rFonts w:hint="eastAsia" w:ascii="宋体" w:hAnsi="宋体" w:cs="宋体"/>
          <w:color w:val="auto"/>
          <w:kern w:val="0"/>
          <w:sz w:val="24"/>
          <w:highlight w:val="none"/>
          <w:lang w:val="en-US" w:eastAsia="zh-CN"/>
        </w:rPr>
        <w:t>供应商</w:t>
      </w:r>
      <w:r>
        <w:rPr>
          <w:rFonts w:hint="eastAsia" w:ascii="宋体" w:hAnsi="宋体" w:cs="宋体"/>
          <w:color w:val="auto"/>
          <w:kern w:val="0"/>
          <w:sz w:val="24"/>
          <w:highlight w:val="none"/>
        </w:rPr>
        <w:t>依法缴纳的</w:t>
      </w:r>
      <w:r>
        <w:rPr>
          <w:rFonts w:hint="eastAsia" w:ascii="宋体" w:hAnsi="宋体" w:cs="仿宋_GB2312"/>
          <w:color w:val="auto"/>
          <w:sz w:val="24"/>
          <w:highlight w:val="none"/>
          <w:lang w:val="en-US" w:eastAsia="zh-CN"/>
        </w:rPr>
        <w:t>距响应文件递交截止时间近半年来任意一个月的社保缴费证明</w:t>
      </w:r>
      <w:r>
        <w:rPr>
          <w:rFonts w:hint="eastAsia" w:ascii="宋体" w:hAnsi="宋体" w:cs="宋体"/>
          <w:color w:val="auto"/>
          <w:sz w:val="24"/>
          <w:highlight w:val="none"/>
        </w:rPr>
        <w:t>复印件并加盖供应商公章。</w:t>
      </w:r>
    </w:p>
    <w:p w14:paraId="3D24AC7C">
      <w:pPr>
        <w:widowControl/>
        <w:kinsoku w:val="0"/>
        <w:autoSpaceDE w:val="0"/>
        <w:autoSpaceDN w:val="0"/>
        <w:adjustRightInd w:val="0"/>
        <w:snapToGrid w:val="0"/>
        <w:spacing w:line="360" w:lineRule="auto"/>
        <w:ind w:firstLine="480" w:firstLineChars="200"/>
        <w:textAlignment w:val="baseline"/>
        <w:rPr>
          <w:rFonts w:hint="eastAsia" w:ascii="宋体" w:hAnsi="宋体" w:cs="宋体"/>
          <w:color w:val="auto"/>
          <w:sz w:val="24"/>
          <w:highlight w:val="none"/>
        </w:rPr>
      </w:pPr>
    </w:p>
    <w:p w14:paraId="53A965AD">
      <w:pPr>
        <w:widowControl/>
        <w:kinsoku w:val="0"/>
        <w:autoSpaceDE w:val="0"/>
        <w:autoSpaceDN w:val="0"/>
        <w:adjustRightInd w:val="0"/>
        <w:snapToGrid w:val="0"/>
        <w:spacing w:line="360" w:lineRule="auto"/>
        <w:ind w:firstLine="480" w:firstLineChars="200"/>
        <w:textAlignment w:val="baseline"/>
        <w:rPr>
          <w:rFonts w:hint="eastAsia" w:ascii="宋体" w:hAnsi="宋体" w:cs="宋体"/>
          <w:color w:val="auto"/>
          <w:sz w:val="24"/>
          <w:highlight w:val="none"/>
        </w:rPr>
      </w:pPr>
    </w:p>
    <w:p w14:paraId="7AD0778D">
      <w:pPr>
        <w:pStyle w:val="24"/>
        <w:spacing w:line="360" w:lineRule="auto"/>
        <w:rPr>
          <w:rFonts w:hAnsi="宋体"/>
          <w:color w:val="auto"/>
          <w:sz w:val="24"/>
          <w:szCs w:val="24"/>
          <w:highlight w:val="none"/>
        </w:rPr>
      </w:pPr>
      <w:r>
        <w:rPr>
          <w:rFonts w:hint="eastAsia" w:hAnsi="宋体"/>
          <w:color w:val="auto"/>
          <w:sz w:val="24"/>
          <w:szCs w:val="24"/>
          <w:highlight w:val="none"/>
        </w:rPr>
        <w:t xml:space="preserve">                 </w:t>
      </w:r>
    </w:p>
    <w:p w14:paraId="1FE4B413">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C7406B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2861FF92">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2FCB039C">
      <w:pPr>
        <w:widowControl/>
        <w:kinsoku w:val="0"/>
        <w:autoSpaceDE w:val="0"/>
        <w:autoSpaceDN w:val="0"/>
        <w:adjustRightInd w:val="0"/>
        <w:snapToGrid w:val="0"/>
        <w:spacing w:line="360" w:lineRule="auto"/>
        <w:ind w:firstLine="480" w:firstLineChars="200"/>
        <w:textAlignment w:val="baseline"/>
        <w:rPr>
          <w:rFonts w:hint="eastAsia" w:ascii="宋体" w:hAnsi="宋体" w:cs="宋体"/>
          <w:color w:val="auto"/>
          <w:sz w:val="24"/>
          <w:highlight w:val="none"/>
        </w:rPr>
      </w:pPr>
    </w:p>
    <w:p w14:paraId="6EE4D016">
      <w:pPr>
        <w:spacing w:line="360" w:lineRule="auto"/>
        <w:rPr>
          <w:rFonts w:ascii="宋体" w:hAnsi="宋体"/>
          <w:color w:val="auto"/>
          <w:sz w:val="24"/>
          <w:highlight w:val="none"/>
        </w:rPr>
      </w:pPr>
      <w:r>
        <w:rPr>
          <w:rFonts w:hint="eastAsia" w:ascii="宋体" w:hAnsi="宋体"/>
          <w:color w:val="auto"/>
          <w:sz w:val="24"/>
          <w:highlight w:val="none"/>
        </w:rPr>
        <w:br w:type="page"/>
      </w:r>
    </w:p>
    <w:p w14:paraId="20E07890">
      <w:pPr>
        <w:spacing w:line="360" w:lineRule="auto"/>
        <w:ind w:left="1939"/>
        <w:rPr>
          <w:rFonts w:ascii="宋体" w:hAnsi="宋体" w:cs="宋体"/>
          <w:color w:val="auto"/>
          <w:sz w:val="31"/>
          <w:szCs w:val="31"/>
          <w:highlight w:val="none"/>
        </w:rPr>
      </w:pPr>
      <w:r>
        <w:rPr>
          <w:rFonts w:hint="eastAsia" w:ascii="宋体" w:hAnsi="宋体" w:cs="宋体"/>
          <w:color w:val="auto"/>
          <w:spacing w:val="3"/>
          <w:sz w:val="31"/>
          <w:szCs w:val="31"/>
          <w:highlight w:val="none"/>
        </w:rPr>
        <w:t>项目技术负责人（项目总工）</w:t>
      </w:r>
      <w:r>
        <w:rPr>
          <w:rFonts w:hint="eastAsia" w:ascii="宋体" w:hAnsi="宋体" w:cs="宋体"/>
          <w:color w:val="auto"/>
          <w:spacing w:val="-20"/>
          <w:sz w:val="31"/>
          <w:szCs w:val="31"/>
          <w:highlight w:val="none"/>
        </w:rPr>
        <w:t xml:space="preserve"> </w:t>
      </w:r>
      <w:r>
        <w:rPr>
          <w:rFonts w:hint="eastAsia" w:ascii="宋体" w:hAnsi="宋体" w:cs="宋体"/>
          <w:color w:val="auto"/>
          <w:spacing w:val="3"/>
          <w:sz w:val="31"/>
          <w:szCs w:val="31"/>
          <w:highlight w:val="none"/>
        </w:rPr>
        <w:t>简历表（如有）</w:t>
      </w:r>
    </w:p>
    <w:p w14:paraId="0BB6BD87">
      <w:pPr>
        <w:spacing w:line="360" w:lineRule="auto"/>
        <w:rPr>
          <w:rFonts w:ascii="宋体" w:hAnsi="宋体" w:cs="宋体"/>
          <w:color w:val="auto"/>
          <w:highlight w:val="none"/>
        </w:rPr>
      </w:pPr>
    </w:p>
    <w:tbl>
      <w:tblPr>
        <w:tblStyle w:val="38"/>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90"/>
        <w:gridCol w:w="339"/>
        <w:gridCol w:w="887"/>
        <w:gridCol w:w="660"/>
        <w:gridCol w:w="328"/>
        <w:gridCol w:w="235"/>
        <w:gridCol w:w="1415"/>
        <w:gridCol w:w="242"/>
        <w:gridCol w:w="1087"/>
        <w:gridCol w:w="89"/>
        <w:gridCol w:w="408"/>
        <w:gridCol w:w="1136"/>
        <w:gridCol w:w="87"/>
        <w:gridCol w:w="1395"/>
        <w:gridCol w:w="25"/>
      </w:tblGrid>
      <w:tr w14:paraId="39558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290" w:type="dxa"/>
            <w:shd w:val="clear" w:color="auto" w:fill="auto"/>
          </w:tcPr>
          <w:p w14:paraId="59888508">
            <w:pPr>
              <w:kinsoku w:val="0"/>
              <w:autoSpaceDE w:val="0"/>
              <w:autoSpaceDN w:val="0"/>
              <w:adjustRightInd w:val="0"/>
              <w:snapToGrid w:val="0"/>
              <w:spacing w:line="360" w:lineRule="auto"/>
              <w:ind w:left="38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214" w:type="dxa"/>
            <w:gridSpan w:val="4"/>
            <w:shd w:val="clear" w:color="auto" w:fill="auto"/>
          </w:tcPr>
          <w:p w14:paraId="5405214B">
            <w:pPr>
              <w:spacing w:line="360" w:lineRule="auto"/>
              <w:rPr>
                <w:rFonts w:ascii="宋体" w:hAnsi="宋体" w:cs="宋体"/>
                <w:color w:val="auto"/>
                <w:sz w:val="24"/>
                <w:highlight w:val="none"/>
              </w:rPr>
            </w:pPr>
          </w:p>
        </w:tc>
        <w:tc>
          <w:tcPr>
            <w:tcW w:w="1892" w:type="dxa"/>
            <w:gridSpan w:val="3"/>
            <w:shd w:val="clear" w:color="auto" w:fill="auto"/>
          </w:tcPr>
          <w:p w14:paraId="579FCAFC">
            <w:pPr>
              <w:kinsoku w:val="0"/>
              <w:autoSpaceDE w:val="0"/>
              <w:autoSpaceDN w:val="0"/>
              <w:adjustRightInd w:val="0"/>
              <w:snapToGrid w:val="0"/>
              <w:spacing w:line="360" w:lineRule="auto"/>
              <w:ind w:left="74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584" w:type="dxa"/>
            <w:gridSpan w:val="3"/>
            <w:shd w:val="clear" w:color="auto" w:fill="auto"/>
          </w:tcPr>
          <w:p w14:paraId="6A8AF3C6">
            <w:pPr>
              <w:spacing w:line="360" w:lineRule="auto"/>
              <w:rPr>
                <w:rFonts w:ascii="宋体" w:hAnsi="宋体" w:cs="宋体"/>
                <w:color w:val="auto"/>
                <w:sz w:val="24"/>
                <w:highlight w:val="none"/>
              </w:rPr>
            </w:pPr>
          </w:p>
        </w:tc>
        <w:tc>
          <w:tcPr>
            <w:tcW w:w="1136" w:type="dxa"/>
            <w:shd w:val="clear" w:color="auto" w:fill="auto"/>
          </w:tcPr>
          <w:p w14:paraId="085D4A0B">
            <w:pPr>
              <w:kinsoku w:val="0"/>
              <w:autoSpaceDE w:val="0"/>
              <w:autoSpaceDN w:val="0"/>
              <w:adjustRightInd w:val="0"/>
              <w:snapToGrid w:val="0"/>
              <w:spacing w:line="360" w:lineRule="auto"/>
              <w:ind w:left="35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7" w:type="dxa"/>
            <w:gridSpan w:val="3"/>
            <w:shd w:val="clear" w:color="auto" w:fill="auto"/>
          </w:tcPr>
          <w:p w14:paraId="08965DC1">
            <w:pPr>
              <w:spacing w:line="360" w:lineRule="auto"/>
              <w:rPr>
                <w:rFonts w:ascii="宋体" w:hAnsi="宋体" w:cs="宋体"/>
                <w:color w:val="auto"/>
                <w:sz w:val="24"/>
                <w:highlight w:val="none"/>
              </w:rPr>
            </w:pPr>
          </w:p>
        </w:tc>
      </w:tr>
      <w:tr w14:paraId="49148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90" w:type="dxa"/>
            <w:shd w:val="clear" w:color="auto" w:fill="auto"/>
          </w:tcPr>
          <w:p w14:paraId="3ED3AC17">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214" w:type="dxa"/>
            <w:gridSpan w:val="4"/>
            <w:shd w:val="clear" w:color="auto" w:fill="auto"/>
          </w:tcPr>
          <w:p w14:paraId="41B2057D">
            <w:pPr>
              <w:kinsoku w:val="0"/>
              <w:autoSpaceDE w:val="0"/>
              <w:autoSpaceDN w:val="0"/>
              <w:adjustRightInd w:val="0"/>
              <w:snapToGrid w:val="0"/>
              <w:spacing w:line="360" w:lineRule="auto"/>
              <w:ind w:left="860" w:right="115" w:hanging="73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项目技术负责人（项目</w:t>
            </w:r>
            <w:r>
              <w:rPr>
                <w:rFonts w:hint="eastAsia" w:ascii="宋体" w:hAnsi="宋体" w:cs="宋体"/>
                <w:snapToGrid w:val="0"/>
                <w:color w:val="auto"/>
                <w:kern w:val="0"/>
                <w:sz w:val="24"/>
                <w:highlight w:val="none"/>
              </w:rPr>
              <w:t xml:space="preserve"> </w:t>
            </w:r>
            <w:r>
              <w:rPr>
                <w:rFonts w:hint="eastAsia" w:ascii="宋体" w:hAnsi="宋体" w:cs="宋体"/>
                <w:snapToGrid w:val="0"/>
                <w:color w:val="auto"/>
                <w:spacing w:val="-5"/>
                <w:kern w:val="0"/>
                <w:sz w:val="24"/>
                <w:highlight w:val="none"/>
              </w:rPr>
              <w:t>总工）</w:t>
            </w:r>
          </w:p>
        </w:tc>
        <w:tc>
          <w:tcPr>
            <w:tcW w:w="1892" w:type="dxa"/>
            <w:gridSpan w:val="3"/>
            <w:shd w:val="clear" w:color="auto" w:fill="auto"/>
          </w:tcPr>
          <w:p w14:paraId="50ABE404">
            <w:pPr>
              <w:kinsoku w:val="0"/>
              <w:autoSpaceDE w:val="0"/>
              <w:autoSpaceDN w:val="0"/>
              <w:adjustRightInd w:val="0"/>
              <w:snapToGrid w:val="0"/>
              <w:spacing w:line="360" w:lineRule="auto"/>
              <w:ind w:left="74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584" w:type="dxa"/>
            <w:gridSpan w:val="3"/>
            <w:shd w:val="clear" w:color="auto" w:fill="auto"/>
          </w:tcPr>
          <w:p w14:paraId="624BE98F">
            <w:pPr>
              <w:spacing w:line="360" w:lineRule="auto"/>
              <w:rPr>
                <w:rFonts w:ascii="宋体" w:hAnsi="宋体" w:cs="宋体"/>
                <w:color w:val="auto"/>
                <w:sz w:val="24"/>
                <w:highlight w:val="none"/>
              </w:rPr>
            </w:pPr>
          </w:p>
        </w:tc>
        <w:tc>
          <w:tcPr>
            <w:tcW w:w="1136" w:type="dxa"/>
            <w:shd w:val="clear" w:color="auto" w:fill="auto"/>
          </w:tcPr>
          <w:p w14:paraId="084E6F7E">
            <w:pPr>
              <w:kinsoku w:val="0"/>
              <w:autoSpaceDE w:val="0"/>
              <w:autoSpaceDN w:val="0"/>
              <w:adjustRightInd w:val="0"/>
              <w:snapToGrid w:val="0"/>
              <w:spacing w:line="360" w:lineRule="auto"/>
              <w:ind w:left="35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7" w:type="dxa"/>
            <w:gridSpan w:val="3"/>
            <w:shd w:val="clear" w:color="auto" w:fill="auto"/>
          </w:tcPr>
          <w:p w14:paraId="424C992D">
            <w:pPr>
              <w:spacing w:line="360" w:lineRule="auto"/>
              <w:rPr>
                <w:rFonts w:ascii="宋体" w:hAnsi="宋体" w:cs="宋体"/>
                <w:color w:val="auto"/>
                <w:sz w:val="24"/>
                <w:highlight w:val="none"/>
              </w:rPr>
            </w:pPr>
          </w:p>
        </w:tc>
      </w:tr>
      <w:tr w14:paraId="03954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90" w:type="dxa"/>
            <w:shd w:val="clear" w:color="auto" w:fill="auto"/>
          </w:tcPr>
          <w:p w14:paraId="4580E64A">
            <w:pPr>
              <w:kinsoku w:val="0"/>
              <w:autoSpaceDE w:val="0"/>
              <w:autoSpaceDN w:val="0"/>
              <w:adjustRightInd w:val="0"/>
              <w:snapToGrid w:val="0"/>
              <w:spacing w:line="360" w:lineRule="auto"/>
              <w:ind w:left="391" w:right="155" w:hanging="21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214" w:type="dxa"/>
            <w:gridSpan w:val="4"/>
            <w:shd w:val="clear" w:color="auto" w:fill="auto"/>
          </w:tcPr>
          <w:p w14:paraId="60F63C45">
            <w:pPr>
              <w:spacing w:line="360" w:lineRule="auto"/>
              <w:rPr>
                <w:rFonts w:ascii="宋体" w:hAnsi="宋体" w:cs="宋体"/>
                <w:color w:val="auto"/>
                <w:sz w:val="24"/>
                <w:highlight w:val="none"/>
              </w:rPr>
            </w:pPr>
          </w:p>
        </w:tc>
        <w:tc>
          <w:tcPr>
            <w:tcW w:w="1892" w:type="dxa"/>
            <w:gridSpan w:val="3"/>
            <w:shd w:val="clear" w:color="auto" w:fill="auto"/>
          </w:tcPr>
          <w:p w14:paraId="42BEB091">
            <w:pPr>
              <w:kinsoku w:val="0"/>
              <w:autoSpaceDE w:val="0"/>
              <w:autoSpaceDN w:val="0"/>
              <w:adjustRightInd w:val="0"/>
              <w:snapToGrid w:val="0"/>
              <w:spacing w:line="360" w:lineRule="auto"/>
              <w:ind w:left="32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584" w:type="dxa"/>
            <w:gridSpan w:val="3"/>
            <w:shd w:val="clear" w:color="auto" w:fill="auto"/>
          </w:tcPr>
          <w:p w14:paraId="61931625">
            <w:pPr>
              <w:spacing w:line="360" w:lineRule="auto"/>
              <w:rPr>
                <w:rFonts w:ascii="宋体" w:hAnsi="宋体" w:cs="宋体"/>
                <w:color w:val="auto"/>
                <w:sz w:val="24"/>
                <w:highlight w:val="none"/>
              </w:rPr>
            </w:pPr>
          </w:p>
        </w:tc>
        <w:tc>
          <w:tcPr>
            <w:tcW w:w="1136" w:type="dxa"/>
            <w:shd w:val="clear" w:color="auto" w:fill="auto"/>
          </w:tcPr>
          <w:p w14:paraId="185E86A8">
            <w:pPr>
              <w:kinsoku w:val="0"/>
              <w:autoSpaceDE w:val="0"/>
              <w:autoSpaceDN w:val="0"/>
              <w:adjustRightInd w:val="0"/>
              <w:snapToGrid w:val="0"/>
              <w:spacing w:line="360" w:lineRule="auto"/>
              <w:ind w:left="14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7" w:type="dxa"/>
            <w:gridSpan w:val="3"/>
            <w:shd w:val="clear" w:color="auto" w:fill="auto"/>
          </w:tcPr>
          <w:p w14:paraId="175CED9E">
            <w:pPr>
              <w:spacing w:line="360" w:lineRule="auto"/>
              <w:rPr>
                <w:rFonts w:ascii="宋体" w:hAnsi="宋体" w:cs="宋体"/>
                <w:color w:val="auto"/>
                <w:sz w:val="24"/>
                <w:highlight w:val="none"/>
              </w:rPr>
            </w:pPr>
          </w:p>
        </w:tc>
      </w:tr>
      <w:tr w14:paraId="78839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1290" w:type="dxa"/>
            <w:shd w:val="clear" w:color="auto" w:fill="auto"/>
          </w:tcPr>
          <w:p w14:paraId="0FE6483D">
            <w:pPr>
              <w:kinsoku w:val="0"/>
              <w:autoSpaceDE w:val="0"/>
              <w:autoSpaceDN w:val="0"/>
              <w:adjustRightInd w:val="0"/>
              <w:snapToGrid w:val="0"/>
              <w:spacing w:line="360" w:lineRule="auto"/>
              <w:ind w:left="582" w:right="131" w:hanging="434"/>
              <w:jc w:val="left"/>
              <w:textAlignment w:val="baseline"/>
              <w:rPr>
                <w:rFonts w:hint="eastAsia" w:ascii="宋体" w:hAnsi="宋体" w:cs="宋体"/>
                <w:snapToGrid w:val="0"/>
                <w:color w:val="auto"/>
                <w:spacing w:val="-2"/>
                <w:kern w:val="0"/>
                <w:sz w:val="24"/>
                <w:highlight w:val="none"/>
                <w:lang w:eastAsia="en-US"/>
              </w:rPr>
            </w:pPr>
            <w:r>
              <w:rPr>
                <w:rFonts w:hint="eastAsia" w:ascii="宋体" w:hAnsi="宋体" w:cs="宋体"/>
                <w:snapToGrid w:val="0"/>
                <w:color w:val="auto"/>
                <w:spacing w:val="-2"/>
                <w:kern w:val="0"/>
                <w:sz w:val="24"/>
                <w:highlight w:val="none"/>
                <w:lang w:eastAsia="en-US"/>
              </w:rPr>
              <w:t>担任</w:t>
            </w:r>
          </w:p>
          <w:p w14:paraId="5D4768F2">
            <w:pPr>
              <w:kinsoku w:val="0"/>
              <w:autoSpaceDE w:val="0"/>
              <w:autoSpaceDN w:val="0"/>
              <w:adjustRightInd w:val="0"/>
              <w:snapToGrid w:val="0"/>
              <w:spacing w:line="360" w:lineRule="auto"/>
              <w:ind w:left="582" w:right="131" w:hanging="43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w:t>
            </w:r>
            <w:r>
              <w:rPr>
                <w:rFonts w:hint="eastAsia" w:ascii="宋体" w:hAnsi="宋体" w:cs="宋体"/>
                <w:snapToGrid w:val="0"/>
                <w:color w:val="auto"/>
                <w:spacing w:val="3"/>
                <w:kern w:val="0"/>
                <w:sz w:val="24"/>
                <w:highlight w:val="none"/>
                <w:lang w:eastAsia="en-US"/>
              </w:rPr>
              <w:t xml:space="preserve"> </w:t>
            </w:r>
            <w:r>
              <w:rPr>
                <w:rFonts w:hint="eastAsia" w:ascii="宋体" w:hAnsi="宋体" w:cs="宋体"/>
                <w:snapToGrid w:val="0"/>
                <w:color w:val="auto"/>
                <w:kern w:val="0"/>
                <w:sz w:val="24"/>
                <w:highlight w:val="none"/>
                <w:lang w:eastAsia="en-US"/>
              </w:rPr>
              <w:t>限</w:t>
            </w:r>
          </w:p>
        </w:tc>
        <w:tc>
          <w:tcPr>
            <w:tcW w:w="2214" w:type="dxa"/>
            <w:gridSpan w:val="4"/>
            <w:shd w:val="clear" w:color="auto" w:fill="auto"/>
          </w:tcPr>
          <w:p w14:paraId="48BDA835">
            <w:pPr>
              <w:spacing w:line="360" w:lineRule="auto"/>
              <w:rPr>
                <w:rFonts w:ascii="宋体" w:hAnsi="宋体" w:cs="宋体"/>
                <w:color w:val="auto"/>
                <w:sz w:val="24"/>
                <w:highlight w:val="none"/>
              </w:rPr>
            </w:pPr>
          </w:p>
        </w:tc>
        <w:tc>
          <w:tcPr>
            <w:tcW w:w="1650" w:type="dxa"/>
            <w:gridSpan w:val="2"/>
            <w:shd w:val="clear" w:color="auto" w:fill="auto"/>
          </w:tcPr>
          <w:p w14:paraId="0F00C5A2">
            <w:pPr>
              <w:kinsoku w:val="0"/>
              <w:autoSpaceDE w:val="0"/>
              <w:autoSpaceDN w:val="0"/>
              <w:adjustRightInd w:val="0"/>
              <w:snapToGrid w:val="0"/>
              <w:spacing w:line="360" w:lineRule="auto"/>
              <w:ind w:left="3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身份证号码</w:t>
            </w:r>
          </w:p>
        </w:tc>
        <w:tc>
          <w:tcPr>
            <w:tcW w:w="4469" w:type="dxa"/>
            <w:gridSpan w:val="8"/>
            <w:shd w:val="clear" w:color="auto" w:fill="auto"/>
          </w:tcPr>
          <w:p w14:paraId="1EA423DE">
            <w:pPr>
              <w:spacing w:line="360" w:lineRule="auto"/>
              <w:rPr>
                <w:rFonts w:ascii="宋体" w:hAnsi="宋体" w:cs="宋体"/>
                <w:color w:val="auto"/>
                <w:sz w:val="24"/>
                <w:highlight w:val="none"/>
              </w:rPr>
            </w:pPr>
          </w:p>
        </w:tc>
      </w:tr>
      <w:tr w14:paraId="49CA9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90" w:type="dxa"/>
            <w:shd w:val="clear" w:color="auto" w:fill="auto"/>
          </w:tcPr>
          <w:p w14:paraId="2959EE63">
            <w:pPr>
              <w:kinsoku w:val="0"/>
              <w:autoSpaceDE w:val="0"/>
              <w:autoSpaceDN w:val="0"/>
              <w:adjustRightInd w:val="0"/>
              <w:snapToGrid w:val="0"/>
              <w:spacing w:line="360" w:lineRule="auto"/>
              <w:ind w:left="25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26" w:type="dxa"/>
            <w:gridSpan w:val="2"/>
            <w:shd w:val="clear" w:color="auto" w:fill="auto"/>
          </w:tcPr>
          <w:p w14:paraId="442F0997">
            <w:pPr>
              <w:kinsoku w:val="0"/>
              <w:autoSpaceDE w:val="0"/>
              <w:autoSpaceDN w:val="0"/>
              <w:adjustRightInd w:val="0"/>
              <w:snapToGrid w:val="0"/>
              <w:spacing w:line="360" w:lineRule="auto"/>
              <w:ind w:left="17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3" w:type="dxa"/>
            <w:gridSpan w:val="3"/>
            <w:shd w:val="clear" w:color="auto" w:fill="auto"/>
          </w:tcPr>
          <w:p w14:paraId="5D074DBB">
            <w:pPr>
              <w:kinsoku w:val="0"/>
              <w:autoSpaceDE w:val="0"/>
              <w:autoSpaceDN w:val="0"/>
              <w:adjustRightInd w:val="0"/>
              <w:snapToGrid w:val="0"/>
              <w:spacing w:line="360" w:lineRule="auto"/>
              <w:ind w:left="4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15" w:type="dxa"/>
            <w:shd w:val="clear" w:color="auto" w:fill="auto"/>
          </w:tcPr>
          <w:p w14:paraId="214AA35B">
            <w:pPr>
              <w:kinsoku w:val="0"/>
              <w:autoSpaceDE w:val="0"/>
              <w:autoSpaceDN w:val="0"/>
              <w:adjustRightInd w:val="0"/>
              <w:snapToGrid w:val="0"/>
              <w:spacing w:line="360" w:lineRule="auto"/>
              <w:ind w:left="2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8" w:type="dxa"/>
            <w:gridSpan w:val="3"/>
            <w:shd w:val="clear" w:color="auto" w:fill="auto"/>
          </w:tcPr>
          <w:p w14:paraId="2CCD9636">
            <w:pPr>
              <w:kinsoku w:val="0"/>
              <w:autoSpaceDE w:val="0"/>
              <w:autoSpaceDN w:val="0"/>
              <w:adjustRightInd w:val="0"/>
              <w:snapToGrid w:val="0"/>
              <w:spacing w:line="360" w:lineRule="auto"/>
              <w:ind w:left="29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1" w:type="dxa"/>
            <w:gridSpan w:val="3"/>
            <w:shd w:val="clear" w:color="auto" w:fill="auto"/>
          </w:tcPr>
          <w:p w14:paraId="0930DAD2">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20" w:type="dxa"/>
            <w:gridSpan w:val="2"/>
            <w:shd w:val="clear" w:color="auto" w:fill="auto"/>
          </w:tcPr>
          <w:p w14:paraId="0036BFF0">
            <w:pPr>
              <w:kinsoku w:val="0"/>
              <w:autoSpaceDE w:val="0"/>
              <w:autoSpaceDN w:val="0"/>
              <w:adjustRightInd w:val="0"/>
              <w:snapToGrid w:val="0"/>
              <w:spacing w:line="360" w:lineRule="auto"/>
              <w:ind w:left="19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27ADD3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90" w:type="dxa"/>
            <w:shd w:val="clear" w:color="auto" w:fill="auto"/>
          </w:tcPr>
          <w:p w14:paraId="7A08BD70">
            <w:pPr>
              <w:spacing w:line="360" w:lineRule="auto"/>
              <w:rPr>
                <w:rFonts w:ascii="宋体" w:hAnsi="宋体" w:cs="宋体"/>
                <w:color w:val="auto"/>
                <w:sz w:val="24"/>
                <w:highlight w:val="none"/>
              </w:rPr>
            </w:pPr>
          </w:p>
        </w:tc>
        <w:tc>
          <w:tcPr>
            <w:tcW w:w="1226" w:type="dxa"/>
            <w:gridSpan w:val="2"/>
            <w:shd w:val="clear" w:color="auto" w:fill="auto"/>
          </w:tcPr>
          <w:p w14:paraId="2C2BF75E">
            <w:pPr>
              <w:spacing w:line="360" w:lineRule="auto"/>
              <w:rPr>
                <w:rFonts w:ascii="宋体" w:hAnsi="宋体" w:cs="宋体"/>
                <w:color w:val="auto"/>
                <w:sz w:val="24"/>
                <w:highlight w:val="none"/>
              </w:rPr>
            </w:pPr>
          </w:p>
        </w:tc>
        <w:tc>
          <w:tcPr>
            <w:tcW w:w="1223" w:type="dxa"/>
            <w:gridSpan w:val="3"/>
            <w:shd w:val="clear" w:color="auto" w:fill="auto"/>
          </w:tcPr>
          <w:p w14:paraId="6D51D9AE">
            <w:pPr>
              <w:spacing w:line="360" w:lineRule="auto"/>
              <w:rPr>
                <w:rFonts w:ascii="宋体" w:hAnsi="宋体" w:cs="宋体"/>
                <w:color w:val="auto"/>
                <w:sz w:val="24"/>
                <w:highlight w:val="none"/>
              </w:rPr>
            </w:pPr>
          </w:p>
        </w:tc>
        <w:tc>
          <w:tcPr>
            <w:tcW w:w="1415" w:type="dxa"/>
            <w:shd w:val="clear" w:color="auto" w:fill="auto"/>
          </w:tcPr>
          <w:p w14:paraId="24ED0443">
            <w:pPr>
              <w:spacing w:line="360" w:lineRule="auto"/>
              <w:rPr>
                <w:rFonts w:ascii="宋体" w:hAnsi="宋体" w:cs="宋体"/>
                <w:color w:val="auto"/>
                <w:sz w:val="24"/>
                <w:highlight w:val="none"/>
              </w:rPr>
            </w:pPr>
          </w:p>
        </w:tc>
        <w:tc>
          <w:tcPr>
            <w:tcW w:w="1418" w:type="dxa"/>
            <w:gridSpan w:val="3"/>
            <w:shd w:val="clear" w:color="auto" w:fill="auto"/>
          </w:tcPr>
          <w:p w14:paraId="43EF0506">
            <w:pPr>
              <w:spacing w:line="360" w:lineRule="auto"/>
              <w:rPr>
                <w:rFonts w:ascii="宋体" w:hAnsi="宋体" w:cs="宋体"/>
                <w:color w:val="auto"/>
                <w:sz w:val="24"/>
                <w:highlight w:val="none"/>
              </w:rPr>
            </w:pPr>
          </w:p>
        </w:tc>
        <w:tc>
          <w:tcPr>
            <w:tcW w:w="1631" w:type="dxa"/>
            <w:gridSpan w:val="3"/>
            <w:shd w:val="clear" w:color="auto" w:fill="auto"/>
          </w:tcPr>
          <w:p w14:paraId="31E03B48">
            <w:pPr>
              <w:spacing w:line="360" w:lineRule="auto"/>
              <w:rPr>
                <w:rFonts w:ascii="宋体" w:hAnsi="宋体" w:cs="宋体"/>
                <w:color w:val="auto"/>
                <w:sz w:val="24"/>
                <w:highlight w:val="none"/>
              </w:rPr>
            </w:pPr>
          </w:p>
        </w:tc>
        <w:tc>
          <w:tcPr>
            <w:tcW w:w="1420" w:type="dxa"/>
            <w:gridSpan w:val="2"/>
            <w:shd w:val="clear" w:color="auto" w:fill="auto"/>
          </w:tcPr>
          <w:p w14:paraId="414EAAF8">
            <w:pPr>
              <w:spacing w:line="360" w:lineRule="auto"/>
              <w:rPr>
                <w:rFonts w:ascii="宋体" w:hAnsi="宋体" w:cs="宋体"/>
                <w:color w:val="auto"/>
                <w:sz w:val="24"/>
                <w:highlight w:val="none"/>
              </w:rPr>
            </w:pPr>
          </w:p>
        </w:tc>
      </w:tr>
      <w:tr w14:paraId="31B6C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90" w:type="dxa"/>
            <w:shd w:val="clear" w:color="auto" w:fill="auto"/>
          </w:tcPr>
          <w:p w14:paraId="0440734D">
            <w:pPr>
              <w:spacing w:line="360" w:lineRule="auto"/>
              <w:rPr>
                <w:rFonts w:ascii="宋体" w:hAnsi="宋体" w:cs="宋体"/>
                <w:color w:val="auto"/>
                <w:sz w:val="24"/>
                <w:highlight w:val="none"/>
              </w:rPr>
            </w:pPr>
          </w:p>
        </w:tc>
        <w:tc>
          <w:tcPr>
            <w:tcW w:w="1226" w:type="dxa"/>
            <w:gridSpan w:val="2"/>
            <w:shd w:val="clear" w:color="auto" w:fill="auto"/>
          </w:tcPr>
          <w:p w14:paraId="5FBCF3EE">
            <w:pPr>
              <w:spacing w:line="360" w:lineRule="auto"/>
              <w:rPr>
                <w:rFonts w:ascii="宋体" w:hAnsi="宋体" w:cs="宋体"/>
                <w:color w:val="auto"/>
                <w:sz w:val="24"/>
                <w:highlight w:val="none"/>
              </w:rPr>
            </w:pPr>
          </w:p>
        </w:tc>
        <w:tc>
          <w:tcPr>
            <w:tcW w:w="1223" w:type="dxa"/>
            <w:gridSpan w:val="3"/>
            <w:shd w:val="clear" w:color="auto" w:fill="auto"/>
          </w:tcPr>
          <w:p w14:paraId="47FD877C">
            <w:pPr>
              <w:spacing w:line="360" w:lineRule="auto"/>
              <w:rPr>
                <w:rFonts w:ascii="宋体" w:hAnsi="宋体" w:cs="宋体"/>
                <w:color w:val="auto"/>
                <w:sz w:val="24"/>
                <w:highlight w:val="none"/>
              </w:rPr>
            </w:pPr>
          </w:p>
        </w:tc>
        <w:tc>
          <w:tcPr>
            <w:tcW w:w="1415" w:type="dxa"/>
            <w:shd w:val="clear" w:color="auto" w:fill="auto"/>
          </w:tcPr>
          <w:p w14:paraId="7D127D62">
            <w:pPr>
              <w:spacing w:line="360" w:lineRule="auto"/>
              <w:rPr>
                <w:rFonts w:ascii="宋体" w:hAnsi="宋体" w:cs="宋体"/>
                <w:color w:val="auto"/>
                <w:sz w:val="24"/>
                <w:highlight w:val="none"/>
              </w:rPr>
            </w:pPr>
          </w:p>
        </w:tc>
        <w:tc>
          <w:tcPr>
            <w:tcW w:w="1418" w:type="dxa"/>
            <w:gridSpan w:val="3"/>
            <w:shd w:val="clear" w:color="auto" w:fill="auto"/>
          </w:tcPr>
          <w:p w14:paraId="72671E06">
            <w:pPr>
              <w:spacing w:line="360" w:lineRule="auto"/>
              <w:rPr>
                <w:rFonts w:ascii="宋体" w:hAnsi="宋体" w:cs="宋体"/>
                <w:color w:val="auto"/>
                <w:sz w:val="24"/>
                <w:highlight w:val="none"/>
              </w:rPr>
            </w:pPr>
          </w:p>
        </w:tc>
        <w:tc>
          <w:tcPr>
            <w:tcW w:w="1631" w:type="dxa"/>
            <w:gridSpan w:val="3"/>
            <w:shd w:val="clear" w:color="auto" w:fill="auto"/>
          </w:tcPr>
          <w:p w14:paraId="5E1201D6">
            <w:pPr>
              <w:spacing w:line="360" w:lineRule="auto"/>
              <w:rPr>
                <w:rFonts w:ascii="宋体" w:hAnsi="宋体" w:cs="宋体"/>
                <w:color w:val="auto"/>
                <w:sz w:val="24"/>
                <w:highlight w:val="none"/>
              </w:rPr>
            </w:pPr>
          </w:p>
        </w:tc>
        <w:tc>
          <w:tcPr>
            <w:tcW w:w="1420" w:type="dxa"/>
            <w:gridSpan w:val="2"/>
            <w:shd w:val="clear" w:color="auto" w:fill="auto"/>
          </w:tcPr>
          <w:p w14:paraId="6C205A55">
            <w:pPr>
              <w:spacing w:line="360" w:lineRule="auto"/>
              <w:rPr>
                <w:rFonts w:ascii="宋体" w:hAnsi="宋体" w:cs="宋体"/>
                <w:color w:val="auto"/>
                <w:sz w:val="24"/>
                <w:highlight w:val="none"/>
              </w:rPr>
            </w:pPr>
          </w:p>
        </w:tc>
      </w:tr>
      <w:tr w14:paraId="0AD97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623" w:type="dxa"/>
            <w:gridSpan w:val="15"/>
            <w:shd w:val="clear" w:color="auto" w:fill="auto"/>
          </w:tcPr>
          <w:p w14:paraId="11B97ACE">
            <w:pPr>
              <w:kinsoku w:val="0"/>
              <w:autoSpaceDE w:val="0"/>
              <w:autoSpaceDN w:val="0"/>
              <w:adjustRightInd w:val="0"/>
              <w:snapToGrid w:val="0"/>
              <w:spacing w:line="360" w:lineRule="auto"/>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7F632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29" w:type="dxa"/>
            <w:gridSpan w:val="2"/>
            <w:shd w:val="clear" w:color="auto" w:fill="auto"/>
          </w:tcPr>
          <w:p w14:paraId="6A294096">
            <w:pPr>
              <w:spacing w:line="360" w:lineRule="auto"/>
              <w:rPr>
                <w:rFonts w:ascii="宋体" w:hAnsi="宋体" w:cs="宋体"/>
                <w:color w:val="auto"/>
                <w:sz w:val="24"/>
                <w:highlight w:val="none"/>
              </w:rPr>
            </w:pPr>
          </w:p>
        </w:tc>
        <w:tc>
          <w:tcPr>
            <w:tcW w:w="1547" w:type="dxa"/>
            <w:gridSpan w:val="2"/>
            <w:shd w:val="clear" w:color="auto" w:fill="auto"/>
          </w:tcPr>
          <w:p w14:paraId="04CCAF0C">
            <w:pPr>
              <w:kinsoku w:val="0"/>
              <w:autoSpaceDE w:val="0"/>
              <w:autoSpaceDN w:val="0"/>
              <w:adjustRightInd w:val="0"/>
              <w:snapToGrid w:val="0"/>
              <w:spacing w:line="360" w:lineRule="auto"/>
              <w:ind w:left="49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78" w:type="dxa"/>
            <w:gridSpan w:val="3"/>
            <w:shd w:val="clear" w:color="auto" w:fill="auto"/>
          </w:tcPr>
          <w:p w14:paraId="49781E8B">
            <w:pPr>
              <w:kinsoku w:val="0"/>
              <w:autoSpaceDE w:val="0"/>
              <w:autoSpaceDN w:val="0"/>
              <w:adjustRightInd w:val="0"/>
              <w:snapToGrid w:val="0"/>
              <w:spacing w:line="360" w:lineRule="auto"/>
              <w:ind w:left="7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29" w:type="dxa"/>
            <w:gridSpan w:val="2"/>
            <w:shd w:val="clear" w:color="auto" w:fill="auto"/>
          </w:tcPr>
          <w:p w14:paraId="402104DF">
            <w:pPr>
              <w:kinsoku w:val="0"/>
              <w:autoSpaceDE w:val="0"/>
              <w:autoSpaceDN w:val="0"/>
              <w:adjustRightInd w:val="0"/>
              <w:snapToGrid w:val="0"/>
              <w:spacing w:line="360" w:lineRule="auto"/>
              <w:ind w:left="38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3" w:type="dxa"/>
            <w:gridSpan w:val="3"/>
            <w:shd w:val="clear" w:color="auto" w:fill="auto"/>
          </w:tcPr>
          <w:p w14:paraId="7B516549">
            <w:pPr>
              <w:kinsoku w:val="0"/>
              <w:autoSpaceDE w:val="0"/>
              <w:autoSpaceDN w:val="0"/>
              <w:adjustRightInd w:val="0"/>
              <w:snapToGrid w:val="0"/>
              <w:spacing w:line="360" w:lineRule="auto"/>
              <w:ind w:left="5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2" w:type="dxa"/>
            <w:gridSpan w:val="2"/>
            <w:shd w:val="clear" w:color="auto" w:fill="auto"/>
          </w:tcPr>
          <w:p w14:paraId="21959094">
            <w:pPr>
              <w:kinsoku w:val="0"/>
              <w:autoSpaceDE w:val="0"/>
              <w:autoSpaceDN w:val="0"/>
              <w:adjustRightInd w:val="0"/>
              <w:snapToGrid w:val="0"/>
              <w:spacing w:line="360" w:lineRule="auto"/>
              <w:ind w:left="560"/>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5" w:type="dxa"/>
            <w:tcBorders>
              <w:top w:val="single" w:color="FFFFFF" w:sz="2" w:space="0"/>
              <w:bottom w:val="nil"/>
              <w:right w:val="nil"/>
            </w:tcBorders>
            <w:shd w:val="clear" w:color="auto" w:fill="auto"/>
          </w:tcPr>
          <w:p w14:paraId="57292CC7">
            <w:pPr>
              <w:spacing w:line="360" w:lineRule="auto"/>
              <w:rPr>
                <w:rFonts w:ascii="宋体" w:hAnsi="宋体" w:cs="宋体"/>
                <w:color w:val="auto"/>
                <w:sz w:val="24"/>
                <w:highlight w:val="none"/>
              </w:rPr>
            </w:pPr>
          </w:p>
        </w:tc>
      </w:tr>
      <w:tr w14:paraId="0A6B7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29" w:type="dxa"/>
            <w:gridSpan w:val="2"/>
            <w:shd w:val="clear" w:color="auto" w:fill="auto"/>
          </w:tcPr>
          <w:p w14:paraId="4AB94DAA">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7" w:type="dxa"/>
            <w:gridSpan w:val="2"/>
            <w:shd w:val="clear" w:color="auto" w:fill="auto"/>
          </w:tcPr>
          <w:p w14:paraId="4EC9C8A2">
            <w:pPr>
              <w:spacing w:line="360" w:lineRule="auto"/>
              <w:rPr>
                <w:rFonts w:ascii="宋体" w:hAnsi="宋体" w:cs="宋体"/>
                <w:color w:val="auto"/>
                <w:sz w:val="24"/>
                <w:highlight w:val="none"/>
              </w:rPr>
            </w:pPr>
          </w:p>
        </w:tc>
        <w:tc>
          <w:tcPr>
            <w:tcW w:w="1978" w:type="dxa"/>
            <w:gridSpan w:val="3"/>
            <w:shd w:val="clear" w:color="auto" w:fill="auto"/>
          </w:tcPr>
          <w:p w14:paraId="28EE2A52">
            <w:pPr>
              <w:spacing w:line="360" w:lineRule="auto"/>
              <w:rPr>
                <w:rFonts w:ascii="宋体" w:hAnsi="宋体" w:cs="宋体"/>
                <w:color w:val="auto"/>
                <w:sz w:val="24"/>
                <w:highlight w:val="none"/>
              </w:rPr>
            </w:pPr>
          </w:p>
        </w:tc>
        <w:tc>
          <w:tcPr>
            <w:tcW w:w="1329" w:type="dxa"/>
            <w:gridSpan w:val="2"/>
            <w:shd w:val="clear" w:color="auto" w:fill="auto"/>
          </w:tcPr>
          <w:p w14:paraId="1AF93504">
            <w:pPr>
              <w:spacing w:line="360" w:lineRule="auto"/>
              <w:rPr>
                <w:rFonts w:ascii="宋体" w:hAnsi="宋体" w:cs="宋体"/>
                <w:color w:val="auto"/>
                <w:sz w:val="24"/>
                <w:highlight w:val="none"/>
              </w:rPr>
            </w:pPr>
          </w:p>
        </w:tc>
        <w:tc>
          <w:tcPr>
            <w:tcW w:w="1633" w:type="dxa"/>
            <w:gridSpan w:val="3"/>
            <w:shd w:val="clear" w:color="auto" w:fill="auto"/>
          </w:tcPr>
          <w:p w14:paraId="11FC5B49">
            <w:pPr>
              <w:spacing w:line="360" w:lineRule="auto"/>
              <w:rPr>
                <w:rFonts w:ascii="宋体" w:hAnsi="宋体" w:cs="宋体"/>
                <w:color w:val="auto"/>
                <w:sz w:val="24"/>
                <w:highlight w:val="none"/>
              </w:rPr>
            </w:pPr>
          </w:p>
        </w:tc>
        <w:tc>
          <w:tcPr>
            <w:tcW w:w="1482" w:type="dxa"/>
            <w:gridSpan w:val="2"/>
            <w:shd w:val="clear" w:color="auto" w:fill="auto"/>
          </w:tcPr>
          <w:p w14:paraId="77D07EF5">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3A60217">
            <w:pPr>
              <w:spacing w:line="360" w:lineRule="auto"/>
              <w:rPr>
                <w:rFonts w:ascii="宋体" w:hAnsi="宋体" w:cs="宋体"/>
                <w:color w:val="auto"/>
                <w:sz w:val="24"/>
                <w:highlight w:val="none"/>
              </w:rPr>
            </w:pPr>
          </w:p>
        </w:tc>
      </w:tr>
      <w:tr w14:paraId="4B42C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29" w:type="dxa"/>
            <w:gridSpan w:val="2"/>
            <w:shd w:val="clear" w:color="auto" w:fill="auto"/>
          </w:tcPr>
          <w:p w14:paraId="4FA3AA53">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7" w:type="dxa"/>
            <w:gridSpan w:val="2"/>
            <w:shd w:val="clear" w:color="auto" w:fill="auto"/>
          </w:tcPr>
          <w:p w14:paraId="4EC550AB">
            <w:pPr>
              <w:spacing w:line="360" w:lineRule="auto"/>
              <w:rPr>
                <w:rFonts w:ascii="宋体" w:hAnsi="宋体" w:cs="宋体"/>
                <w:color w:val="auto"/>
                <w:sz w:val="24"/>
                <w:highlight w:val="none"/>
              </w:rPr>
            </w:pPr>
          </w:p>
        </w:tc>
        <w:tc>
          <w:tcPr>
            <w:tcW w:w="1978" w:type="dxa"/>
            <w:gridSpan w:val="3"/>
            <w:shd w:val="clear" w:color="auto" w:fill="auto"/>
          </w:tcPr>
          <w:p w14:paraId="1E7C5C46">
            <w:pPr>
              <w:spacing w:line="360" w:lineRule="auto"/>
              <w:rPr>
                <w:rFonts w:ascii="宋体" w:hAnsi="宋体" w:cs="宋体"/>
                <w:color w:val="auto"/>
                <w:sz w:val="24"/>
                <w:highlight w:val="none"/>
              </w:rPr>
            </w:pPr>
          </w:p>
        </w:tc>
        <w:tc>
          <w:tcPr>
            <w:tcW w:w="1329" w:type="dxa"/>
            <w:gridSpan w:val="2"/>
            <w:shd w:val="clear" w:color="auto" w:fill="auto"/>
          </w:tcPr>
          <w:p w14:paraId="12D3F76D">
            <w:pPr>
              <w:spacing w:line="360" w:lineRule="auto"/>
              <w:rPr>
                <w:rFonts w:ascii="宋体" w:hAnsi="宋体" w:cs="宋体"/>
                <w:color w:val="auto"/>
                <w:sz w:val="24"/>
                <w:highlight w:val="none"/>
              </w:rPr>
            </w:pPr>
          </w:p>
        </w:tc>
        <w:tc>
          <w:tcPr>
            <w:tcW w:w="1633" w:type="dxa"/>
            <w:gridSpan w:val="3"/>
            <w:shd w:val="clear" w:color="auto" w:fill="auto"/>
          </w:tcPr>
          <w:p w14:paraId="553FEBBA">
            <w:pPr>
              <w:spacing w:line="360" w:lineRule="auto"/>
              <w:rPr>
                <w:rFonts w:ascii="宋体" w:hAnsi="宋体" w:cs="宋体"/>
                <w:color w:val="auto"/>
                <w:sz w:val="24"/>
                <w:highlight w:val="none"/>
              </w:rPr>
            </w:pPr>
          </w:p>
        </w:tc>
        <w:tc>
          <w:tcPr>
            <w:tcW w:w="1482" w:type="dxa"/>
            <w:gridSpan w:val="2"/>
            <w:shd w:val="clear" w:color="auto" w:fill="auto"/>
          </w:tcPr>
          <w:p w14:paraId="44B0F249">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C4DB7A3">
            <w:pPr>
              <w:spacing w:line="360" w:lineRule="auto"/>
              <w:rPr>
                <w:rFonts w:ascii="宋体" w:hAnsi="宋体" w:cs="宋体"/>
                <w:color w:val="auto"/>
                <w:sz w:val="24"/>
                <w:highlight w:val="none"/>
              </w:rPr>
            </w:pPr>
          </w:p>
        </w:tc>
      </w:tr>
      <w:tr w14:paraId="0853E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29" w:type="dxa"/>
            <w:gridSpan w:val="2"/>
            <w:shd w:val="clear" w:color="auto" w:fill="auto"/>
          </w:tcPr>
          <w:p w14:paraId="06C7BDE4">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7" w:type="dxa"/>
            <w:gridSpan w:val="2"/>
            <w:shd w:val="clear" w:color="auto" w:fill="auto"/>
          </w:tcPr>
          <w:p w14:paraId="78E2BD4A">
            <w:pPr>
              <w:spacing w:line="360" w:lineRule="auto"/>
              <w:rPr>
                <w:rFonts w:ascii="宋体" w:hAnsi="宋体" w:cs="宋体"/>
                <w:color w:val="auto"/>
                <w:sz w:val="24"/>
                <w:highlight w:val="none"/>
              </w:rPr>
            </w:pPr>
          </w:p>
        </w:tc>
        <w:tc>
          <w:tcPr>
            <w:tcW w:w="1978" w:type="dxa"/>
            <w:gridSpan w:val="3"/>
            <w:shd w:val="clear" w:color="auto" w:fill="auto"/>
          </w:tcPr>
          <w:p w14:paraId="276AB534">
            <w:pPr>
              <w:spacing w:line="360" w:lineRule="auto"/>
              <w:rPr>
                <w:rFonts w:ascii="宋体" w:hAnsi="宋体" w:cs="宋体"/>
                <w:color w:val="auto"/>
                <w:sz w:val="24"/>
                <w:highlight w:val="none"/>
              </w:rPr>
            </w:pPr>
          </w:p>
        </w:tc>
        <w:tc>
          <w:tcPr>
            <w:tcW w:w="1329" w:type="dxa"/>
            <w:gridSpan w:val="2"/>
            <w:shd w:val="clear" w:color="auto" w:fill="auto"/>
          </w:tcPr>
          <w:p w14:paraId="78C458B3">
            <w:pPr>
              <w:spacing w:line="360" w:lineRule="auto"/>
              <w:rPr>
                <w:rFonts w:ascii="宋体" w:hAnsi="宋体" w:cs="宋体"/>
                <w:color w:val="auto"/>
                <w:sz w:val="24"/>
                <w:highlight w:val="none"/>
              </w:rPr>
            </w:pPr>
          </w:p>
        </w:tc>
        <w:tc>
          <w:tcPr>
            <w:tcW w:w="1633" w:type="dxa"/>
            <w:gridSpan w:val="3"/>
            <w:shd w:val="clear" w:color="auto" w:fill="auto"/>
          </w:tcPr>
          <w:p w14:paraId="31D5106F">
            <w:pPr>
              <w:spacing w:line="360" w:lineRule="auto"/>
              <w:rPr>
                <w:rFonts w:ascii="宋体" w:hAnsi="宋体" w:cs="宋体"/>
                <w:color w:val="auto"/>
                <w:sz w:val="24"/>
                <w:highlight w:val="none"/>
              </w:rPr>
            </w:pPr>
          </w:p>
        </w:tc>
        <w:tc>
          <w:tcPr>
            <w:tcW w:w="1482" w:type="dxa"/>
            <w:gridSpan w:val="2"/>
            <w:shd w:val="clear" w:color="auto" w:fill="auto"/>
          </w:tcPr>
          <w:p w14:paraId="5E8FB331">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73E21FA">
            <w:pPr>
              <w:spacing w:line="360" w:lineRule="auto"/>
              <w:rPr>
                <w:rFonts w:ascii="宋体" w:hAnsi="宋体" w:cs="宋体"/>
                <w:color w:val="auto"/>
                <w:sz w:val="24"/>
                <w:highlight w:val="none"/>
              </w:rPr>
            </w:pPr>
          </w:p>
        </w:tc>
      </w:tr>
      <w:tr w14:paraId="0FCE5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29" w:type="dxa"/>
            <w:gridSpan w:val="2"/>
            <w:shd w:val="clear" w:color="auto" w:fill="auto"/>
          </w:tcPr>
          <w:p w14:paraId="5491CF32">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7" w:type="dxa"/>
            <w:gridSpan w:val="2"/>
            <w:shd w:val="clear" w:color="auto" w:fill="auto"/>
          </w:tcPr>
          <w:p w14:paraId="0F9F900A">
            <w:pPr>
              <w:spacing w:line="360" w:lineRule="auto"/>
              <w:rPr>
                <w:rFonts w:ascii="宋体" w:hAnsi="宋体" w:cs="宋体"/>
                <w:color w:val="auto"/>
                <w:sz w:val="24"/>
                <w:highlight w:val="none"/>
              </w:rPr>
            </w:pPr>
          </w:p>
        </w:tc>
        <w:tc>
          <w:tcPr>
            <w:tcW w:w="1978" w:type="dxa"/>
            <w:gridSpan w:val="3"/>
            <w:shd w:val="clear" w:color="auto" w:fill="auto"/>
          </w:tcPr>
          <w:p w14:paraId="1B5384C0">
            <w:pPr>
              <w:spacing w:line="360" w:lineRule="auto"/>
              <w:rPr>
                <w:rFonts w:ascii="宋体" w:hAnsi="宋体" w:cs="宋体"/>
                <w:color w:val="auto"/>
                <w:sz w:val="24"/>
                <w:highlight w:val="none"/>
              </w:rPr>
            </w:pPr>
          </w:p>
        </w:tc>
        <w:tc>
          <w:tcPr>
            <w:tcW w:w="1329" w:type="dxa"/>
            <w:gridSpan w:val="2"/>
            <w:shd w:val="clear" w:color="auto" w:fill="auto"/>
          </w:tcPr>
          <w:p w14:paraId="09EEE0B3">
            <w:pPr>
              <w:spacing w:line="360" w:lineRule="auto"/>
              <w:rPr>
                <w:rFonts w:ascii="宋体" w:hAnsi="宋体" w:cs="宋体"/>
                <w:color w:val="auto"/>
                <w:sz w:val="24"/>
                <w:highlight w:val="none"/>
              </w:rPr>
            </w:pPr>
          </w:p>
        </w:tc>
        <w:tc>
          <w:tcPr>
            <w:tcW w:w="1633" w:type="dxa"/>
            <w:gridSpan w:val="3"/>
            <w:shd w:val="clear" w:color="auto" w:fill="auto"/>
          </w:tcPr>
          <w:p w14:paraId="156B8F66">
            <w:pPr>
              <w:spacing w:line="360" w:lineRule="auto"/>
              <w:rPr>
                <w:rFonts w:ascii="宋体" w:hAnsi="宋体" w:cs="宋体"/>
                <w:color w:val="auto"/>
                <w:sz w:val="24"/>
                <w:highlight w:val="none"/>
              </w:rPr>
            </w:pPr>
          </w:p>
        </w:tc>
        <w:tc>
          <w:tcPr>
            <w:tcW w:w="1482" w:type="dxa"/>
            <w:gridSpan w:val="2"/>
            <w:shd w:val="clear" w:color="auto" w:fill="auto"/>
          </w:tcPr>
          <w:p w14:paraId="3C60FB36">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45A8B0D6">
            <w:pPr>
              <w:spacing w:line="360" w:lineRule="auto"/>
              <w:rPr>
                <w:rFonts w:ascii="宋体" w:hAnsi="宋体" w:cs="宋体"/>
                <w:color w:val="auto"/>
                <w:sz w:val="24"/>
                <w:highlight w:val="none"/>
              </w:rPr>
            </w:pPr>
          </w:p>
        </w:tc>
      </w:tr>
      <w:tr w14:paraId="661F7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jc w:val="center"/>
        </w:trPr>
        <w:tc>
          <w:tcPr>
            <w:tcW w:w="1629" w:type="dxa"/>
            <w:gridSpan w:val="2"/>
            <w:shd w:val="clear" w:color="auto" w:fill="auto"/>
          </w:tcPr>
          <w:p w14:paraId="042C9324">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7" w:type="dxa"/>
            <w:gridSpan w:val="2"/>
            <w:shd w:val="clear" w:color="auto" w:fill="auto"/>
          </w:tcPr>
          <w:p w14:paraId="626AABEF">
            <w:pPr>
              <w:spacing w:line="360" w:lineRule="auto"/>
              <w:rPr>
                <w:rFonts w:ascii="宋体" w:hAnsi="宋体" w:cs="宋体"/>
                <w:color w:val="auto"/>
                <w:sz w:val="24"/>
                <w:highlight w:val="none"/>
              </w:rPr>
            </w:pPr>
          </w:p>
        </w:tc>
        <w:tc>
          <w:tcPr>
            <w:tcW w:w="1978" w:type="dxa"/>
            <w:gridSpan w:val="3"/>
            <w:shd w:val="clear" w:color="auto" w:fill="auto"/>
          </w:tcPr>
          <w:p w14:paraId="4016BAFF">
            <w:pPr>
              <w:spacing w:line="360" w:lineRule="auto"/>
              <w:rPr>
                <w:rFonts w:ascii="宋体" w:hAnsi="宋体" w:cs="宋体"/>
                <w:color w:val="auto"/>
                <w:sz w:val="24"/>
                <w:highlight w:val="none"/>
              </w:rPr>
            </w:pPr>
          </w:p>
        </w:tc>
        <w:tc>
          <w:tcPr>
            <w:tcW w:w="1329" w:type="dxa"/>
            <w:gridSpan w:val="2"/>
            <w:shd w:val="clear" w:color="auto" w:fill="auto"/>
          </w:tcPr>
          <w:p w14:paraId="29809953">
            <w:pPr>
              <w:spacing w:line="360" w:lineRule="auto"/>
              <w:rPr>
                <w:rFonts w:ascii="宋体" w:hAnsi="宋体" w:cs="宋体"/>
                <w:color w:val="auto"/>
                <w:sz w:val="24"/>
                <w:highlight w:val="none"/>
              </w:rPr>
            </w:pPr>
          </w:p>
        </w:tc>
        <w:tc>
          <w:tcPr>
            <w:tcW w:w="1633" w:type="dxa"/>
            <w:gridSpan w:val="3"/>
            <w:shd w:val="clear" w:color="auto" w:fill="auto"/>
          </w:tcPr>
          <w:p w14:paraId="4314F3B4">
            <w:pPr>
              <w:spacing w:line="360" w:lineRule="auto"/>
              <w:rPr>
                <w:rFonts w:ascii="宋体" w:hAnsi="宋体" w:cs="宋体"/>
                <w:color w:val="auto"/>
                <w:sz w:val="24"/>
                <w:highlight w:val="none"/>
              </w:rPr>
            </w:pPr>
          </w:p>
        </w:tc>
        <w:tc>
          <w:tcPr>
            <w:tcW w:w="1482" w:type="dxa"/>
            <w:gridSpan w:val="2"/>
            <w:shd w:val="clear" w:color="auto" w:fill="auto"/>
          </w:tcPr>
          <w:p w14:paraId="2F19AD93">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2C936B3">
            <w:pPr>
              <w:spacing w:line="360" w:lineRule="auto"/>
              <w:rPr>
                <w:rFonts w:ascii="宋体" w:hAnsi="宋体" w:cs="宋体"/>
                <w:color w:val="auto"/>
                <w:sz w:val="24"/>
                <w:highlight w:val="none"/>
              </w:rPr>
            </w:pPr>
          </w:p>
        </w:tc>
      </w:tr>
      <w:tr w14:paraId="29DD3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2"/>
            <w:shd w:val="clear" w:color="auto" w:fill="auto"/>
          </w:tcPr>
          <w:p w14:paraId="45E05184">
            <w:pPr>
              <w:kinsoku w:val="0"/>
              <w:autoSpaceDE w:val="0"/>
              <w:autoSpaceDN w:val="0"/>
              <w:adjustRightInd w:val="0"/>
              <w:snapToGrid w:val="0"/>
              <w:spacing w:line="360" w:lineRule="auto"/>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7" w:type="dxa"/>
            <w:gridSpan w:val="2"/>
            <w:shd w:val="clear" w:color="auto" w:fill="auto"/>
          </w:tcPr>
          <w:p w14:paraId="64E1362A">
            <w:pPr>
              <w:spacing w:line="360" w:lineRule="auto"/>
              <w:rPr>
                <w:rFonts w:ascii="宋体" w:hAnsi="宋体" w:cs="宋体"/>
                <w:color w:val="auto"/>
                <w:sz w:val="24"/>
                <w:highlight w:val="none"/>
              </w:rPr>
            </w:pPr>
          </w:p>
        </w:tc>
        <w:tc>
          <w:tcPr>
            <w:tcW w:w="1978" w:type="dxa"/>
            <w:gridSpan w:val="3"/>
            <w:shd w:val="clear" w:color="auto" w:fill="auto"/>
          </w:tcPr>
          <w:p w14:paraId="4258F2B2">
            <w:pPr>
              <w:spacing w:line="360" w:lineRule="auto"/>
              <w:rPr>
                <w:rFonts w:ascii="宋体" w:hAnsi="宋体" w:cs="宋体"/>
                <w:color w:val="auto"/>
                <w:sz w:val="24"/>
                <w:highlight w:val="none"/>
              </w:rPr>
            </w:pPr>
          </w:p>
        </w:tc>
        <w:tc>
          <w:tcPr>
            <w:tcW w:w="1329" w:type="dxa"/>
            <w:gridSpan w:val="2"/>
            <w:shd w:val="clear" w:color="auto" w:fill="auto"/>
          </w:tcPr>
          <w:p w14:paraId="6678DD45">
            <w:pPr>
              <w:spacing w:line="360" w:lineRule="auto"/>
              <w:rPr>
                <w:rFonts w:ascii="宋体" w:hAnsi="宋体" w:cs="宋体"/>
                <w:color w:val="auto"/>
                <w:sz w:val="24"/>
                <w:highlight w:val="none"/>
              </w:rPr>
            </w:pPr>
          </w:p>
        </w:tc>
        <w:tc>
          <w:tcPr>
            <w:tcW w:w="1633" w:type="dxa"/>
            <w:gridSpan w:val="3"/>
            <w:shd w:val="clear" w:color="auto" w:fill="auto"/>
          </w:tcPr>
          <w:p w14:paraId="7EC68004">
            <w:pPr>
              <w:spacing w:line="360" w:lineRule="auto"/>
              <w:rPr>
                <w:rFonts w:ascii="宋体" w:hAnsi="宋体" w:cs="宋体"/>
                <w:color w:val="auto"/>
                <w:sz w:val="24"/>
                <w:highlight w:val="none"/>
              </w:rPr>
            </w:pPr>
          </w:p>
        </w:tc>
        <w:tc>
          <w:tcPr>
            <w:tcW w:w="1482" w:type="dxa"/>
            <w:gridSpan w:val="2"/>
            <w:shd w:val="clear" w:color="auto" w:fill="auto"/>
          </w:tcPr>
          <w:p w14:paraId="50632C3D">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01EFD15F">
            <w:pPr>
              <w:spacing w:line="360" w:lineRule="auto"/>
              <w:rPr>
                <w:rFonts w:ascii="宋体" w:hAnsi="宋体" w:cs="宋体"/>
                <w:color w:val="auto"/>
                <w:sz w:val="24"/>
                <w:highlight w:val="none"/>
              </w:rPr>
            </w:pPr>
          </w:p>
        </w:tc>
      </w:tr>
      <w:tr w14:paraId="54252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2"/>
            <w:shd w:val="clear" w:color="auto" w:fill="auto"/>
          </w:tcPr>
          <w:p w14:paraId="5EC5DF78">
            <w:pPr>
              <w:kinsoku w:val="0"/>
              <w:autoSpaceDE w:val="0"/>
              <w:autoSpaceDN w:val="0"/>
              <w:adjustRightInd w:val="0"/>
              <w:snapToGrid w:val="0"/>
              <w:spacing w:line="360" w:lineRule="auto"/>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7" w:type="dxa"/>
            <w:gridSpan w:val="2"/>
            <w:shd w:val="clear" w:color="auto" w:fill="auto"/>
          </w:tcPr>
          <w:p w14:paraId="4A5D9E5D">
            <w:pPr>
              <w:spacing w:line="360" w:lineRule="auto"/>
              <w:rPr>
                <w:rFonts w:ascii="宋体" w:hAnsi="宋体" w:cs="宋体"/>
                <w:color w:val="auto"/>
                <w:sz w:val="24"/>
                <w:highlight w:val="none"/>
              </w:rPr>
            </w:pPr>
          </w:p>
        </w:tc>
        <w:tc>
          <w:tcPr>
            <w:tcW w:w="1978" w:type="dxa"/>
            <w:gridSpan w:val="3"/>
            <w:shd w:val="clear" w:color="auto" w:fill="auto"/>
          </w:tcPr>
          <w:p w14:paraId="2D2CA740">
            <w:pPr>
              <w:spacing w:line="360" w:lineRule="auto"/>
              <w:rPr>
                <w:rFonts w:ascii="宋体" w:hAnsi="宋体" w:cs="宋体"/>
                <w:color w:val="auto"/>
                <w:sz w:val="24"/>
                <w:highlight w:val="none"/>
              </w:rPr>
            </w:pPr>
          </w:p>
        </w:tc>
        <w:tc>
          <w:tcPr>
            <w:tcW w:w="1329" w:type="dxa"/>
            <w:gridSpan w:val="2"/>
            <w:shd w:val="clear" w:color="auto" w:fill="auto"/>
          </w:tcPr>
          <w:p w14:paraId="6A3C0EE7">
            <w:pPr>
              <w:spacing w:line="360" w:lineRule="auto"/>
              <w:rPr>
                <w:rFonts w:ascii="宋体" w:hAnsi="宋体" w:cs="宋体"/>
                <w:color w:val="auto"/>
                <w:sz w:val="24"/>
                <w:highlight w:val="none"/>
              </w:rPr>
            </w:pPr>
          </w:p>
        </w:tc>
        <w:tc>
          <w:tcPr>
            <w:tcW w:w="1633" w:type="dxa"/>
            <w:gridSpan w:val="3"/>
            <w:shd w:val="clear" w:color="auto" w:fill="auto"/>
          </w:tcPr>
          <w:p w14:paraId="1525407E">
            <w:pPr>
              <w:spacing w:line="360" w:lineRule="auto"/>
              <w:rPr>
                <w:rFonts w:ascii="宋体" w:hAnsi="宋体" w:cs="宋体"/>
                <w:color w:val="auto"/>
                <w:sz w:val="24"/>
                <w:highlight w:val="none"/>
              </w:rPr>
            </w:pPr>
          </w:p>
        </w:tc>
        <w:tc>
          <w:tcPr>
            <w:tcW w:w="1482" w:type="dxa"/>
            <w:gridSpan w:val="2"/>
            <w:shd w:val="clear" w:color="auto" w:fill="auto"/>
          </w:tcPr>
          <w:p w14:paraId="5863E4C0">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6FDE5508">
            <w:pPr>
              <w:spacing w:line="360" w:lineRule="auto"/>
              <w:rPr>
                <w:rFonts w:ascii="宋体" w:hAnsi="宋体" w:cs="宋体"/>
                <w:color w:val="auto"/>
                <w:sz w:val="24"/>
                <w:highlight w:val="none"/>
              </w:rPr>
            </w:pPr>
          </w:p>
        </w:tc>
      </w:tr>
      <w:tr w14:paraId="5DDB7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2"/>
            <w:shd w:val="clear" w:color="auto" w:fill="auto"/>
          </w:tcPr>
          <w:p w14:paraId="2B2FC267">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7" w:type="dxa"/>
            <w:gridSpan w:val="2"/>
            <w:shd w:val="clear" w:color="auto" w:fill="auto"/>
          </w:tcPr>
          <w:p w14:paraId="4AD4112B">
            <w:pPr>
              <w:spacing w:line="360" w:lineRule="auto"/>
              <w:rPr>
                <w:rFonts w:ascii="宋体" w:hAnsi="宋体" w:cs="宋体"/>
                <w:color w:val="auto"/>
                <w:sz w:val="24"/>
                <w:highlight w:val="none"/>
              </w:rPr>
            </w:pPr>
          </w:p>
        </w:tc>
        <w:tc>
          <w:tcPr>
            <w:tcW w:w="1978" w:type="dxa"/>
            <w:gridSpan w:val="3"/>
            <w:shd w:val="clear" w:color="auto" w:fill="auto"/>
          </w:tcPr>
          <w:p w14:paraId="3CB93FEF">
            <w:pPr>
              <w:spacing w:line="360" w:lineRule="auto"/>
              <w:rPr>
                <w:rFonts w:ascii="宋体" w:hAnsi="宋体" w:cs="宋体"/>
                <w:color w:val="auto"/>
                <w:sz w:val="24"/>
                <w:highlight w:val="none"/>
              </w:rPr>
            </w:pPr>
          </w:p>
        </w:tc>
        <w:tc>
          <w:tcPr>
            <w:tcW w:w="1329" w:type="dxa"/>
            <w:gridSpan w:val="2"/>
            <w:shd w:val="clear" w:color="auto" w:fill="auto"/>
          </w:tcPr>
          <w:p w14:paraId="107F5947">
            <w:pPr>
              <w:spacing w:line="360" w:lineRule="auto"/>
              <w:rPr>
                <w:rFonts w:ascii="宋体" w:hAnsi="宋体" w:cs="宋体"/>
                <w:color w:val="auto"/>
                <w:sz w:val="24"/>
                <w:highlight w:val="none"/>
              </w:rPr>
            </w:pPr>
          </w:p>
        </w:tc>
        <w:tc>
          <w:tcPr>
            <w:tcW w:w="1633" w:type="dxa"/>
            <w:gridSpan w:val="3"/>
            <w:shd w:val="clear" w:color="auto" w:fill="auto"/>
          </w:tcPr>
          <w:p w14:paraId="19421AD8">
            <w:pPr>
              <w:spacing w:line="360" w:lineRule="auto"/>
              <w:rPr>
                <w:rFonts w:ascii="宋体" w:hAnsi="宋体" w:cs="宋体"/>
                <w:color w:val="auto"/>
                <w:sz w:val="24"/>
                <w:highlight w:val="none"/>
              </w:rPr>
            </w:pPr>
          </w:p>
        </w:tc>
        <w:tc>
          <w:tcPr>
            <w:tcW w:w="1482" w:type="dxa"/>
            <w:gridSpan w:val="2"/>
            <w:shd w:val="clear" w:color="auto" w:fill="auto"/>
          </w:tcPr>
          <w:p w14:paraId="0D99751F">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5C35BDBE">
            <w:pPr>
              <w:spacing w:line="360" w:lineRule="auto"/>
              <w:rPr>
                <w:rFonts w:ascii="宋体" w:hAnsi="宋体" w:cs="宋体"/>
                <w:color w:val="auto"/>
                <w:sz w:val="24"/>
                <w:highlight w:val="none"/>
              </w:rPr>
            </w:pPr>
          </w:p>
        </w:tc>
      </w:tr>
      <w:tr w14:paraId="356E3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29" w:type="dxa"/>
            <w:gridSpan w:val="2"/>
            <w:shd w:val="clear" w:color="auto" w:fill="auto"/>
          </w:tcPr>
          <w:p w14:paraId="7226A9F0">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7" w:type="dxa"/>
            <w:gridSpan w:val="2"/>
            <w:shd w:val="clear" w:color="auto" w:fill="auto"/>
          </w:tcPr>
          <w:p w14:paraId="6C7A88CB">
            <w:pPr>
              <w:spacing w:line="360" w:lineRule="auto"/>
              <w:rPr>
                <w:rFonts w:ascii="宋体" w:hAnsi="宋体" w:cs="宋体"/>
                <w:color w:val="auto"/>
                <w:sz w:val="24"/>
                <w:highlight w:val="none"/>
              </w:rPr>
            </w:pPr>
          </w:p>
        </w:tc>
        <w:tc>
          <w:tcPr>
            <w:tcW w:w="1978" w:type="dxa"/>
            <w:gridSpan w:val="3"/>
            <w:shd w:val="clear" w:color="auto" w:fill="auto"/>
          </w:tcPr>
          <w:p w14:paraId="7D98F268">
            <w:pPr>
              <w:spacing w:line="360" w:lineRule="auto"/>
              <w:rPr>
                <w:rFonts w:ascii="宋体" w:hAnsi="宋体" w:cs="宋体"/>
                <w:color w:val="auto"/>
                <w:sz w:val="24"/>
                <w:highlight w:val="none"/>
              </w:rPr>
            </w:pPr>
          </w:p>
        </w:tc>
        <w:tc>
          <w:tcPr>
            <w:tcW w:w="1329" w:type="dxa"/>
            <w:gridSpan w:val="2"/>
            <w:shd w:val="clear" w:color="auto" w:fill="auto"/>
          </w:tcPr>
          <w:p w14:paraId="76E80222">
            <w:pPr>
              <w:spacing w:line="360" w:lineRule="auto"/>
              <w:rPr>
                <w:rFonts w:ascii="宋体" w:hAnsi="宋体" w:cs="宋体"/>
                <w:color w:val="auto"/>
                <w:sz w:val="24"/>
                <w:highlight w:val="none"/>
              </w:rPr>
            </w:pPr>
          </w:p>
        </w:tc>
        <w:tc>
          <w:tcPr>
            <w:tcW w:w="1633" w:type="dxa"/>
            <w:gridSpan w:val="3"/>
            <w:shd w:val="clear" w:color="auto" w:fill="auto"/>
          </w:tcPr>
          <w:p w14:paraId="64E47374">
            <w:pPr>
              <w:spacing w:line="360" w:lineRule="auto"/>
              <w:rPr>
                <w:rFonts w:ascii="宋体" w:hAnsi="宋体" w:cs="宋体"/>
                <w:color w:val="auto"/>
                <w:sz w:val="24"/>
                <w:highlight w:val="none"/>
              </w:rPr>
            </w:pPr>
          </w:p>
        </w:tc>
        <w:tc>
          <w:tcPr>
            <w:tcW w:w="1482" w:type="dxa"/>
            <w:gridSpan w:val="2"/>
            <w:shd w:val="clear" w:color="auto" w:fill="auto"/>
          </w:tcPr>
          <w:p w14:paraId="5A29FFC1">
            <w:pPr>
              <w:spacing w:line="360" w:lineRule="auto"/>
              <w:rPr>
                <w:rFonts w:ascii="宋体" w:hAnsi="宋体" w:cs="宋体"/>
                <w:color w:val="auto"/>
                <w:sz w:val="24"/>
                <w:highlight w:val="none"/>
              </w:rPr>
            </w:pPr>
          </w:p>
        </w:tc>
        <w:tc>
          <w:tcPr>
            <w:tcW w:w="25" w:type="dxa"/>
            <w:tcBorders>
              <w:top w:val="nil"/>
              <w:bottom w:val="nil"/>
              <w:right w:val="nil"/>
            </w:tcBorders>
            <w:shd w:val="clear" w:color="auto" w:fill="auto"/>
          </w:tcPr>
          <w:p w14:paraId="7CCBA9FE">
            <w:pPr>
              <w:spacing w:line="360" w:lineRule="auto"/>
              <w:rPr>
                <w:rFonts w:ascii="宋体" w:hAnsi="宋体" w:cs="宋体"/>
                <w:color w:val="auto"/>
                <w:sz w:val="24"/>
                <w:highlight w:val="none"/>
              </w:rPr>
            </w:pPr>
          </w:p>
        </w:tc>
      </w:tr>
    </w:tbl>
    <w:p w14:paraId="50AB76D7">
      <w:pPr>
        <w:spacing w:line="360" w:lineRule="auto"/>
        <w:ind w:left="385"/>
        <w:rPr>
          <w:rFonts w:ascii="宋体" w:hAnsi="宋体" w:cs="宋体"/>
          <w:color w:val="auto"/>
          <w:sz w:val="24"/>
          <w:highlight w:val="none"/>
        </w:rPr>
      </w:pPr>
      <w:r>
        <w:rPr>
          <w:rFonts w:hint="eastAsia" w:ascii="宋体" w:hAnsi="宋体" w:cs="宋体"/>
          <w:color w:val="auto"/>
          <w:spacing w:val="-13"/>
          <w:sz w:val="24"/>
          <w:highlight w:val="none"/>
        </w:rPr>
        <w:t>备注：</w:t>
      </w:r>
    </w:p>
    <w:p w14:paraId="3D1D6CF4">
      <w:pPr>
        <w:spacing w:line="360" w:lineRule="auto"/>
        <w:ind w:left="818"/>
        <w:rPr>
          <w:rFonts w:ascii="宋体" w:hAnsi="宋体" w:cs="宋体"/>
          <w:color w:val="auto"/>
          <w:sz w:val="24"/>
          <w:highlight w:val="none"/>
        </w:rPr>
      </w:pPr>
      <w:r>
        <w:rPr>
          <w:rFonts w:hint="eastAsia" w:ascii="宋体" w:hAnsi="宋体" w:cs="宋体"/>
          <w:color w:val="auto"/>
          <w:spacing w:val="-3"/>
          <w:sz w:val="24"/>
          <w:highlight w:val="none"/>
        </w:rPr>
        <w:t>1.项目数可以根据需要增加。</w:t>
      </w:r>
    </w:p>
    <w:p w14:paraId="2D6DA053">
      <w:pPr>
        <w:spacing w:line="360" w:lineRule="auto"/>
        <w:ind w:left="805"/>
        <w:rPr>
          <w:rFonts w:ascii="宋体" w:hAnsi="宋体" w:cs="宋体"/>
          <w:color w:val="auto"/>
          <w:sz w:val="24"/>
          <w:highlight w:val="none"/>
        </w:rPr>
      </w:pPr>
      <w:r>
        <w:rPr>
          <w:rFonts w:hint="eastAsia" w:ascii="宋体" w:hAnsi="宋体" w:cs="宋体"/>
          <w:color w:val="auto"/>
          <w:spacing w:val="-3"/>
          <w:sz w:val="24"/>
          <w:highlight w:val="none"/>
        </w:rPr>
        <w:t>2.本表后附项目技术负责人（项目总工）</w:t>
      </w:r>
      <w:r>
        <w:rPr>
          <w:rFonts w:hint="eastAsia" w:ascii="宋体" w:hAnsi="宋体" w:cs="宋体"/>
          <w:color w:val="auto"/>
          <w:spacing w:val="-36"/>
          <w:sz w:val="24"/>
          <w:highlight w:val="none"/>
        </w:rPr>
        <w:t xml:space="preserve"> </w:t>
      </w:r>
      <w:r>
        <w:rPr>
          <w:rFonts w:hint="eastAsia" w:ascii="宋体" w:hAnsi="宋体" w:cs="宋体"/>
          <w:color w:val="auto"/>
          <w:spacing w:val="-3"/>
          <w:sz w:val="24"/>
          <w:highlight w:val="none"/>
        </w:rPr>
        <w:t>的</w:t>
      </w:r>
      <w:r>
        <w:rPr>
          <w:rFonts w:hint="eastAsia" w:ascii="宋体" w:hAnsi="宋体" w:cs="宋体"/>
          <w:color w:val="auto"/>
          <w:spacing w:val="-3"/>
          <w:sz w:val="24"/>
          <w:highlight w:val="none"/>
          <w:lang w:val="en-US" w:eastAsia="zh-CN"/>
        </w:rPr>
        <w:t>身份证、</w:t>
      </w:r>
      <w:r>
        <w:rPr>
          <w:rFonts w:hint="eastAsia" w:ascii="宋体" w:hAnsi="宋体" w:cs="宋体"/>
          <w:color w:val="auto"/>
          <w:spacing w:val="-3"/>
          <w:sz w:val="24"/>
          <w:highlight w:val="none"/>
        </w:rPr>
        <w:t>本表所列证书</w:t>
      </w:r>
      <w:r>
        <w:rPr>
          <w:rFonts w:hint="eastAsia" w:ascii="宋体" w:hAnsi="宋体" w:cs="宋体"/>
          <w:color w:val="auto"/>
          <w:sz w:val="24"/>
          <w:highlight w:val="none"/>
          <w:lang w:val="en-US" w:eastAsia="zh-CN"/>
        </w:rPr>
        <w:t>以及</w:t>
      </w:r>
      <w:r>
        <w:rPr>
          <w:rFonts w:hint="eastAsia" w:ascii="宋体" w:hAnsi="宋体" w:cs="宋体"/>
          <w:color w:val="auto"/>
          <w:kern w:val="0"/>
          <w:sz w:val="24"/>
          <w:highlight w:val="none"/>
          <w:lang w:val="en-US" w:eastAsia="zh-CN"/>
        </w:rPr>
        <w:t>供应商</w:t>
      </w:r>
      <w:r>
        <w:rPr>
          <w:rFonts w:hint="eastAsia" w:ascii="宋体" w:hAnsi="宋体" w:cs="宋体"/>
          <w:color w:val="auto"/>
          <w:kern w:val="0"/>
          <w:sz w:val="24"/>
          <w:highlight w:val="none"/>
        </w:rPr>
        <w:t>依法缴纳的</w:t>
      </w:r>
      <w:r>
        <w:rPr>
          <w:rFonts w:hint="eastAsia" w:ascii="宋体" w:hAnsi="宋体" w:cs="仿宋_GB2312"/>
          <w:color w:val="auto"/>
          <w:sz w:val="24"/>
          <w:highlight w:val="none"/>
          <w:lang w:val="en-US" w:eastAsia="zh-CN"/>
        </w:rPr>
        <w:t>距响应文件递交截止时间近半年来任意一个月的社保缴费证明</w:t>
      </w:r>
      <w:r>
        <w:rPr>
          <w:rFonts w:hint="eastAsia" w:ascii="宋体" w:hAnsi="宋体" w:cs="宋体"/>
          <w:color w:val="auto"/>
          <w:spacing w:val="-3"/>
          <w:sz w:val="24"/>
          <w:highlight w:val="none"/>
        </w:rPr>
        <w:t>复</w:t>
      </w:r>
      <w:r>
        <w:rPr>
          <w:rFonts w:hint="eastAsia" w:ascii="宋体" w:hAnsi="宋体" w:cs="宋体"/>
          <w:color w:val="auto"/>
          <w:spacing w:val="-4"/>
          <w:sz w:val="24"/>
          <w:highlight w:val="none"/>
        </w:rPr>
        <w:t>印件并加盖供应商公章。</w:t>
      </w:r>
    </w:p>
    <w:p w14:paraId="7FCEF5BB">
      <w:pPr>
        <w:pStyle w:val="24"/>
        <w:spacing w:line="360" w:lineRule="auto"/>
        <w:rPr>
          <w:rFonts w:hAnsi="宋体"/>
          <w:color w:val="auto"/>
          <w:sz w:val="24"/>
          <w:szCs w:val="24"/>
          <w:highlight w:val="none"/>
        </w:rPr>
      </w:pPr>
      <w:r>
        <w:rPr>
          <w:rFonts w:hint="eastAsia" w:hAnsi="宋体"/>
          <w:color w:val="auto"/>
          <w:sz w:val="24"/>
          <w:szCs w:val="24"/>
          <w:highlight w:val="none"/>
        </w:rPr>
        <w:t xml:space="preserve">                 </w:t>
      </w:r>
    </w:p>
    <w:p w14:paraId="05E4FFDD">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29DD61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1EA994DE">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3C6F0237">
      <w:pPr>
        <w:spacing w:line="360" w:lineRule="auto"/>
        <w:rPr>
          <w:rFonts w:ascii="宋体" w:hAnsi="宋体"/>
          <w:color w:val="auto"/>
          <w:highlight w:val="none"/>
        </w:rPr>
      </w:pPr>
      <w:r>
        <w:rPr>
          <w:rFonts w:hint="eastAsia" w:ascii="宋体" w:hAnsi="宋体"/>
          <w:color w:val="auto"/>
          <w:sz w:val="24"/>
          <w:highlight w:val="none"/>
        </w:rPr>
        <w:br w:type="page"/>
      </w:r>
    </w:p>
    <w:p w14:paraId="2C48B48F">
      <w:pPr>
        <w:spacing w:line="360" w:lineRule="auto"/>
        <w:ind w:left="2739"/>
        <w:rPr>
          <w:rFonts w:ascii="宋体" w:hAnsi="宋体" w:cs="宋体"/>
          <w:color w:val="auto"/>
          <w:sz w:val="31"/>
          <w:szCs w:val="31"/>
          <w:highlight w:val="none"/>
        </w:rPr>
      </w:pPr>
      <w:bookmarkStart w:id="33" w:name="_Toc4741"/>
      <w:bookmarkStart w:id="34" w:name="_Toc28941"/>
      <w:r>
        <w:rPr>
          <w:rFonts w:hint="eastAsia" w:ascii="宋体" w:hAnsi="宋体" w:cs="宋体"/>
          <w:color w:val="auto"/>
          <w:spacing w:val="10"/>
          <w:sz w:val="31"/>
          <w:szCs w:val="31"/>
          <w:highlight w:val="none"/>
        </w:rPr>
        <w:t>专职安全生产管理人员简历表</w:t>
      </w:r>
      <w:bookmarkEnd w:id="33"/>
      <w:bookmarkEnd w:id="34"/>
    </w:p>
    <w:p w14:paraId="0324F054">
      <w:pPr>
        <w:spacing w:line="360" w:lineRule="auto"/>
        <w:rPr>
          <w:rFonts w:ascii="宋体" w:hAnsi="宋体" w:cs="宋体"/>
          <w:color w:val="auto"/>
          <w:highlight w:val="none"/>
        </w:rPr>
      </w:pPr>
    </w:p>
    <w:tbl>
      <w:tblPr>
        <w:tblStyle w:val="38"/>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9"/>
        <w:gridCol w:w="429"/>
        <w:gridCol w:w="843"/>
        <w:gridCol w:w="704"/>
        <w:gridCol w:w="520"/>
        <w:gridCol w:w="1417"/>
        <w:gridCol w:w="1370"/>
        <w:gridCol w:w="49"/>
        <w:gridCol w:w="459"/>
        <w:gridCol w:w="1128"/>
        <w:gridCol w:w="45"/>
        <w:gridCol w:w="1437"/>
        <w:gridCol w:w="23"/>
      </w:tblGrid>
      <w:tr w14:paraId="349AC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200" w:type="dxa"/>
            <w:shd w:val="clear" w:color="auto" w:fill="auto"/>
          </w:tcPr>
          <w:p w14:paraId="4A3ACF92">
            <w:pPr>
              <w:kinsoku w:val="0"/>
              <w:autoSpaceDE w:val="0"/>
              <w:autoSpaceDN w:val="0"/>
              <w:adjustRightInd w:val="0"/>
              <w:snapToGrid w:val="0"/>
              <w:spacing w:line="360" w:lineRule="auto"/>
              <w:ind w:left="38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姓名</w:t>
            </w:r>
          </w:p>
        </w:tc>
        <w:tc>
          <w:tcPr>
            <w:tcW w:w="2498" w:type="dxa"/>
            <w:gridSpan w:val="4"/>
            <w:shd w:val="clear" w:color="auto" w:fill="auto"/>
          </w:tcPr>
          <w:p w14:paraId="0E75F9B3">
            <w:pPr>
              <w:spacing w:line="360" w:lineRule="auto"/>
              <w:rPr>
                <w:rFonts w:ascii="宋体" w:hAnsi="宋体" w:cs="宋体"/>
                <w:color w:val="auto"/>
                <w:sz w:val="24"/>
                <w:highlight w:val="none"/>
              </w:rPr>
            </w:pPr>
          </w:p>
        </w:tc>
        <w:tc>
          <w:tcPr>
            <w:tcW w:w="1417" w:type="dxa"/>
            <w:shd w:val="clear" w:color="auto" w:fill="auto"/>
          </w:tcPr>
          <w:p w14:paraId="5FC4B0F8">
            <w:pPr>
              <w:kinsoku w:val="0"/>
              <w:autoSpaceDE w:val="0"/>
              <w:autoSpaceDN w:val="0"/>
              <w:adjustRightInd w:val="0"/>
              <w:snapToGrid w:val="0"/>
              <w:spacing w:line="360" w:lineRule="auto"/>
              <w:ind w:left="73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性别</w:t>
            </w:r>
          </w:p>
        </w:tc>
        <w:tc>
          <w:tcPr>
            <w:tcW w:w="1878" w:type="dxa"/>
            <w:gridSpan w:val="3"/>
            <w:shd w:val="clear" w:color="auto" w:fill="auto"/>
          </w:tcPr>
          <w:p w14:paraId="52B6C69F">
            <w:pPr>
              <w:spacing w:line="360" w:lineRule="auto"/>
              <w:rPr>
                <w:rFonts w:ascii="宋体" w:hAnsi="宋体" w:cs="宋体"/>
                <w:color w:val="auto"/>
                <w:sz w:val="24"/>
                <w:highlight w:val="none"/>
              </w:rPr>
            </w:pPr>
          </w:p>
        </w:tc>
        <w:tc>
          <w:tcPr>
            <w:tcW w:w="1128" w:type="dxa"/>
            <w:shd w:val="clear" w:color="auto" w:fill="auto"/>
          </w:tcPr>
          <w:p w14:paraId="2AA6CD24">
            <w:pPr>
              <w:kinsoku w:val="0"/>
              <w:autoSpaceDE w:val="0"/>
              <w:autoSpaceDN w:val="0"/>
              <w:adjustRightInd w:val="0"/>
              <w:snapToGrid w:val="0"/>
              <w:spacing w:line="360" w:lineRule="auto"/>
              <w:ind w:left="33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年龄</w:t>
            </w:r>
          </w:p>
        </w:tc>
        <w:tc>
          <w:tcPr>
            <w:tcW w:w="1502" w:type="dxa"/>
            <w:gridSpan w:val="3"/>
            <w:shd w:val="clear" w:color="auto" w:fill="auto"/>
          </w:tcPr>
          <w:p w14:paraId="5EEBA106">
            <w:pPr>
              <w:spacing w:line="360" w:lineRule="auto"/>
              <w:rPr>
                <w:rFonts w:ascii="宋体" w:hAnsi="宋体" w:cs="宋体"/>
                <w:color w:val="auto"/>
                <w:sz w:val="24"/>
                <w:highlight w:val="none"/>
              </w:rPr>
            </w:pPr>
          </w:p>
        </w:tc>
      </w:tr>
      <w:tr w14:paraId="536A2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09E321CC">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8"/>
                <w:kern w:val="0"/>
                <w:sz w:val="24"/>
                <w:highlight w:val="none"/>
                <w:lang w:eastAsia="en-US"/>
              </w:rPr>
              <w:t>岗位</w:t>
            </w:r>
          </w:p>
        </w:tc>
        <w:tc>
          <w:tcPr>
            <w:tcW w:w="2498" w:type="dxa"/>
            <w:gridSpan w:val="4"/>
            <w:shd w:val="clear" w:color="auto" w:fill="auto"/>
          </w:tcPr>
          <w:p w14:paraId="17FC8C23">
            <w:pPr>
              <w:kinsoku w:val="0"/>
              <w:autoSpaceDE w:val="0"/>
              <w:autoSpaceDN w:val="0"/>
              <w:adjustRightInd w:val="0"/>
              <w:snapToGrid w:val="0"/>
              <w:spacing w:line="360" w:lineRule="auto"/>
              <w:ind w:left="9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专职安全生产管理人员</w:t>
            </w:r>
          </w:p>
        </w:tc>
        <w:tc>
          <w:tcPr>
            <w:tcW w:w="1417" w:type="dxa"/>
            <w:shd w:val="clear" w:color="auto" w:fill="auto"/>
          </w:tcPr>
          <w:p w14:paraId="7F279734">
            <w:pPr>
              <w:kinsoku w:val="0"/>
              <w:autoSpaceDE w:val="0"/>
              <w:autoSpaceDN w:val="0"/>
              <w:adjustRightInd w:val="0"/>
              <w:snapToGrid w:val="0"/>
              <w:spacing w:line="360" w:lineRule="auto"/>
              <w:ind w:left="73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w:t>
            </w:r>
          </w:p>
        </w:tc>
        <w:tc>
          <w:tcPr>
            <w:tcW w:w="1878" w:type="dxa"/>
            <w:gridSpan w:val="3"/>
            <w:shd w:val="clear" w:color="auto" w:fill="auto"/>
          </w:tcPr>
          <w:p w14:paraId="0785D03A">
            <w:pPr>
              <w:spacing w:line="360" w:lineRule="auto"/>
              <w:rPr>
                <w:rFonts w:ascii="宋体" w:hAnsi="宋体" w:cs="宋体"/>
                <w:color w:val="auto"/>
                <w:sz w:val="24"/>
                <w:highlight w:val="none"/>
              </w:rPr>
            </w:pPr>
          </w:p>
        </w:tc>
        <w:tc>
          <w:tcPr>
            <w:tcW w:w="1128" w:type="dxa"/>
            <w:shd w:val="clear" w:color="auto" w:fill="auto"/>
          </w:tcPr>
          <w:p w14:paraId="3B625139">
            <w:pPr>
              <w:kinsoku w:val="0"/>
              <w:autoSpaceDE w:val="0"/>
              <w:autoSpaceDN w:val="0"/>
              <w:adjustRightInd w:val="0"/>
              <w:snapToGrid w:val="0"/>
              <w:spacing w:line="360" w:lineRule="auto"/>
              <w:ind w:left="3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学历</w:t>
            </w:r>
          </w:p>
        </w:tc>
        <w:tc>
          <w:tcPr>
            <w:tcW w:w="1502" w:type="dxa"/>
            <w:gridSpan w:val="3"/>
            <w:shd w:val="clear" w:color="auto" w:fill="auto"/>
          </w:tcPr>
          <w:p w14:paraId="019F532A">
            <w:pPr>
              <w:spacing w:line="360" w:lineRule="auto"/>
              <w:rPr>
                <w:rFonts w:ascii="宋体" w:hAnsi="宋体" w:cs="宋体"/>
                <w:color w:val="auto"/>
                <w:sz w:val="24"/>
                <w:highlight w:val="none"/>
              </w:rPr>
            </w:pPr>
          </w:p>
        </w:tc>
      </w:tr>
      <w:tr w14:paraId="414A1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43FBD42B">
            <w:pPr>
              <w:kinsoku w:val="0"/>
              <w:autoSpaceDE w:val="0"/>
              <w:autoSpaceDN w:val="0"/>
              <w:adjustRightInd w:val="0"/>
              <w:snapToGrid w:val="0"/>
              <w:spacing w:line="360" w:lineRule="auto"/>
              <w:ind w:left="391" w:right="189" w:hanging="218"/>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从业开始</w:t>
            </w:r>
            <w:r>
              <w:rPr>
                <w:rFonts w:hint="eastAsia" w:ascii="宋体" w:hAnsi="宋体" w:cs="宋体"/>
                <w:snapToGrid w:val="0"/>
                <w:color w:val="auto"/>
                <w:spacing w:val="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时间</w:t>
            </w:r>
          </w:p>
        </w:tc>
        <w:tc>
          <w:tcPr>
            <w:tcW w:w="2498" w:type="dxa"/>
            <w:gridSpan w:val="4"/>
            <w:shd w:val="clear" w:color="auto" w:fill="auto"/>
          </w:tcPr>
          <w:p w14:paraId="2EC91F39">
            <w:pPr>
              <w:spacing w:line="360" w:lineRule="auto"/>
              <w:rPr>
                <w:rFonts w:ascii="宋体" w:hAnsi="宋体" w:cs="宋体"/>
                <w:color w:val="auto"/>
                <w:sz w:val="24"/>
                <w:highlight w:val="none"/>
              </w:rPr>
            </w:pPr>
          </w:p>
        </w:tc>
        <w:tc>
          <w:tcPr>
            <w:tcW w:w="1417" w:type="dxa"/>
            <w:shd w:val="clear" w:color="auto" w:fill="auto"/>
          </w:tcPr>
          <w:p w14:paraId="33E3A2F1">
            <w:pPr>
              <w:kinsoku w:val="0"/>
              <w:autoSpaceDE w:val="0"/>
              <w:autoSpaceDN w:val="0"/>
              <w:adjustRightInd w:val="0"/>
              <w:snapToGrid w:val="0"/>
              <w:spacing w:line="360" w:lineRule="auto"/>
              <w:ind w:left="31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职称获得时间</w:t>
            </w:r>
          </w:p>
        </w:tc>
        <w:tc>
          <w:tcPr>
            <w:tcW w:w="1878" w:type="dxa"/>
            <w:gridSpan w:val="3"/>
            <w:shd w:val="clear" w:color="auto" w:fill="auto"/>
          </w:tcPr>
          <w:p w14:paraId="08A5BD10">
            <w:pPr>
              <w:spacing w:line="360" w:lineRule="auto"/>
              <w:rPr>
                <w:rFonts w:ascii="宋体" w:hAnsi="宋体" w:cs="宋体"/>
                <w:color w:val="auto"/>
                <w:sz w:val="24"/>
                <w:highlight w:val="none"/>
              </w:rPr>
            </w:pPr>
          </w:p>
        </w:tc>
        <w:tc>
          <w:tcPr>
            <w:tcW w:w="1128" w:type="dxa"/>
            <w:shd w:val="clear" w:color="auto" w:fill="auto"/>
          </w:tcPr>
          <w:p w14:paraId="1345D59F">
            <w:pPr>
              <w:kinsoku w:val="0"/>
              <w:autoSpaceDE w:val="0"/>
              <w:autoSpaceDN w:val="0"/>
              <w:adjustRightInd w:val="0"/>
              <w:snapToGrid w:val="0"/>
              <w:spacing w:line="360" w:lineRule="auto"/>
              <w:ind w:left="13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毕业时间</w:t>
            </w:r>
          </w:p>
        </w:tc>
        <w:tc>
          <w:tcPr>
            <w:tcW w:w="1502" w:type="dxa"/>
            <w:gridSpan w:val="3"/>
            <w:shd w:val="clear" w:color="auto" w:fill="auto"/>
          </w:tcPr>
          <w:p w14:paraId="28F5190C">
            <w:pPr>
              <w:spacing w:line="360" w:lineRule="auto"/>
              <w:rPr>
                <w:rFonts w:ascii="宋体" w:hAnsi="宋体" w:cs="宋体"/>
                <w:color w:val="auto"/>
                <w:sz w:val="24"/>
                <w:highlight w:val="none"/>
              </w:rPr>
            </w:pPr>
          </w:p>
        </w:tc>
      </w:tr>
      <w:tr w14:paraId="4438B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545E7742">
            <w:pPr>
              <w:kinsoku w:val="0"/>
              <w:autoSpaceDE w:val="0"/>
              <w:autoSpaceDN w:val="0"/>
              <w:adjustRightInd w:val="0"/>
              <w:snapToGrid w:val="0"/>
              <w:spacing w:line="360" w:lineRule="auto"/>
              <w:ind w:left="421" w:right="151" w:hanging="21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担任……</w:t>
            </w:r>
            <w:r>
              <w:rPr>
                <w:rFonts w:hint="eastAsia" w:ascii="宋体" w:hAnsi="宋体" w:cs="宋体"/>
                <w:snapToGrid w:val="0"/>
                <w:color w:val="auto"/>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年限</w:t>
            </w:r>
          </w:p>
        </w:tc>
        <w:tc>
          <w:tcPr>
            <w:tcW w:w="2498" w:type="dxa"/>
            <w:gridSpan w:val="4"/>
            <w:shd w:val="clear" w:color="auto" w:fill="auto"/>
          </w:tcPr>
          <w:p w14:paraId="62F0CC4B">
            <w:pPr>
              <w:spacing w:line="360" w:lineRule="auto"/>
              <w:rPr>
                <w:rFonts w:ascii="宋体" w:hAnsi="宋体" w:cs="宋体"/>
                <w:color w:val="auto"/>
                <w:sz w:val="24"/>
                <w:highlight w:val="none"/>
              </w:rPr>
            </w:pPr>
          </w:p>
        </w:tc>
        <w:tc>
          <w:tcPr>
            <w:tcW w:w="1417" w:type="dxa"/>
            <w:shd w:val="clear" w:color="auto" w:fill="auto"/>
          </w:tcPr>
          <w:p w14:paraId="0F9B2CB8">
            <w:pPr>
              <w:kinsoku w:val="0"/>
              <w:autoSpaceDE w:val="0"/>
              <w:autoSpaceDN w:val="0"/>
              <w:adjustRightInd w:val="0"/>
              <w:snapToGrid w:val="0"/>
              <w:spacing w:line="360" w:lineRule="auto"/>
              <w:ind w:left="544" w:right="179" w:hanging="30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身份证号</w:t>
            </w:r>
            <w:r>
              <w:rPr>
                <w:rFonts w:hint="eastAsia" w:ascii="宋体" w:hAnsi="宋体" w:cs="宋体"/>
                <w:snapToGrid w:val="0"/>
                <w:color w:val="auto"/>
                <w:kern w:val="0"/>
                <w:sz w:val="24"/>
                <w:highlight w:val="none"/>
                <w:lang w:eastAsia="en-US"/>
              </w:rPr>
              <w:t xml:space="preserve"> 码</w:t>
            </w:r>
          </w:p>
        </w:tc>
        <w:tc>
          <w:tcPr>
            <w:tcW w:w="4508" w:type="dxa"/>
            <w:gridSpan w:val="7"/>
            <w:shd w:val="clear" w:color="auto" w:fill="auto"/>
          </w:tcPr>
          <w:p w14:paraId="30A3EC07">
            <w:pPr>
              <w:spacing w:line="360" w:lineRule="auto"/>
              <w:rPr>
                <w:rFonts w:ascii="宋体" w:hAnsi="宋体" w:cs="宋体"/>
                <w:color w:val="auto"/>
                <w:sz w:val="24"/>
                <w:highlight w:val="none"/>
              </w:rPr>
            </w:pPr>
          </w:p>
        </w:tc>
      </w:tr>
      <w:tr w14:paraId="3C2BD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00" w:type="dxa"/>
            <w:shd w:val="clear" w:color="auto" w:fill="auto"/>
          </w:tcPr>
          <w:p w14:paraId="068A98B5">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证书名称</w:t>
            </w:r>
          </w:p>
        </w:tc>
        <w:tc>
          <w:tcPr>
            <w:tcW w:w="1274" w:type="dxa"/>
            <w:gridSpan w:val="2"/>
            <w:shd w:val="clear" w:color="auto" w:fill="auto"/>
          </w:tcPr>
          <w:p w14:paraId="1D3C3BFE">
            <w:pPr>
              <w:kinsoku w:val="0"/>
              <w:autoSpaceDE w:val="0"/>
              <w:autoSpaceDN w:val="0"/>
              <w:adjustRightInd w:val="0"/>
              <w:snapToGrid w:val="0"/>
              <w:spacing w:line="360" w:lineRule="auto"/>
              <w:ind w:left="26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注册专业</w:t>
            </w:r>
          </w:p>
        </w:tc>
        <w:tc>
          <w:tcPr>
            <w:tcW w:w="1224" w:type="dxa"/>
            <w:gridSpan w:val="2"/>
            <w:shd w:val="clear" w:color="auto" w:fill="auto"/>
          </w:tcPr>
          <w:p w14:paraId="746EF971">
            <w:pPr>
              <w:kinsoku w:val="0"/>
              <w:autoSpaceDE w:val="0"/>
              <w:autoSpaceDN w:val="0"/>
              <w:adjustRightInd w:val="0"/>
              <w:snapToGrid w:val="0"/>
              <w:spacing w:line="360" w:lineRule="auto"/>
              <w:ind w:left="45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级别</w:t>
            </w:r>
          </w:p>
        </w:tc>
        <w:tc>
          <w:tcPr>
            <w:tcW w:w="1417" w:type="dxa"/>
            <w:shd w:val="clear" w:color="auto" w:fill="auto"/>
          </w:tcPr>
          <w:p w14:paraId="45A388A0">
            <w:pPr>
              <w:kinsoku w:val="0"/>
              <w:autoSpaceDE w:val="0"/>
              <w:autoSpaceDN w:val="0"/>
              <w:adjustRightInd w:val="0"/>
              <w:snapToGrid w:val="0"/>
              <w:spacing w:line="360" w:lineRule="auto"/>
              <w:ind w:left="33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证书编号</w:t>
            </w:r>
          </w:p>
        </w:tc>
        <w:tc>
          <w:tcPr>
            <w:tcW w:w="1419" w:type="dxa"/>
            <w:gridSpan w:val="2"/>
            <w:shd w:val="clear" w:color="auto" w:fill="auto"/>
          </w:tcPr>
          <w:p w14:paraId="450E3A0F">
            <w:pPr>
              <w:kinsoku w:val="0"/>
              <w:autoSpaceDE w:val="0"/>
              <w:autoSpaceDN w:val="0"/>
              <w:adjustRightInd w:val="0"/>
              <w:snapToGrid w:val="0"/>
              <w:spacing w:line="360" w:lineRule="auto"/>
              <w:ind w:left="33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注册时间</w:t>
            </w:r>
          </w:p>
        </w:tc>
        <w:tc>
          <w:tcPr>
            <w:tcW w:w="1632" w:type="dxa"/>
            <w:gridSpan w:val="3"/>
            <w:shd w:val="clear" w:color="auto" w:fill="auto"/>
          </w:tcPr>
          <w:p w14:paraId="70825C2C">
            <w:pPr>
              <w:kinsoku w:val="0"/>
              <w:autoSpaceDE w:val="0"/>
              <w:autoSpaceDN w:val="0"/>
              <w:adjustRightInd w:val="0"/>
              <w:snapToGrid w:val="0"/>
              <w:spacing w:line="360" w:lineRule="auto"/>
              <w:ind w:left="441"/>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注册单位</w:t>
            </w:r>
          </w:p>
        </w:tc>
        <w:tc>
          <w:tcPr>
            <w:tcW w:w="1457" w:type="dxa"/>
            <w:gridSpan w:val="2"/>
            <w:shd w:val="clear" w:color="auto" w:fill="auto"/>
          </w:tcPr>
          <w:p w14:paraId="22B768CE">
            <w:pPr>
              <w:kinsoku w:val="0"/>
              <w:autoSpaceDE w:val="0"/>
              <w:autoSpaceDN w:val="0"/>
              <w:adjustRightInd w:val="0"/>
              <w:snapToGrid w:val="0"/>
              <w:spacing w:line="360" w:lineRule="auto"/>
              <w:ind w:left="22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注册有效期</w:t>
            </w:r>
          </w:p>
        </w:tc>
      </w:tr>
      <w:tr w14:paraId="61351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1200" w:type="dxa"/>
            <w:shd w:val="clear" w:color="auto" w:fill="auto"/>
          </w:tcPr>
          <w:p w14:paraId="07943A0D">
            <w:pPr>
              <w:kinsoku w:val="0"/>
              <w:autoSpaceDE w:val="0"/>
              <w:autoSpaceDN w:val="0"/>
              <w:adjustRightInd w:val="0"/>
              <w:snapToGrid w:val="0"/>
              <w:spacing w:line="360" w:lineRule="auto"/>
              <w:ind w:left="213"/>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3"/>
                <w:kern w:val="0"/>
                <w:sz w:val="24"/>
                <w:highlight w:val="none"/>
              </w:rPr>
              <w:t>安全生产</w:t>
            </w:r>
          </w:p>
          <w:p w14:paraId="3B63C3A2">
            <w:pPr>
              <w:kinsoku w:val="0"/>
              <w:autoSpaceDE w:val="0"/>
              <w:autoSpaceDN w:val="0"/>
              <w:adjustRightInd w:val="0"/>
              <w:snapToGrid w:val="0"/>
              <w:spacing w:line="360" w:lineRule="auto"/>
              <w:ind w:left="209"/>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考核合格</w:t>
            </w:r>
          </w:p>
          <w:p w14:paraId="75F07DEB">
            <w:pPr>
              <w:kinsoku w:val="0"/>
              <w:autoSpaceDE w:val="0"/>
              <w:autoSpaceDN w:val="0"/>
              <w:adjustRightInd w:val="0"/>
              <w:snapToGrid w:val="0"/>
              <w:spacing w:line="360" w:lineRule="auto"/>
              <w:ind w:left="420"/>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2"/>
                <w:kern w:val="0"/>
                <w:sz w:val="24"/>
                <w:highlight w:val="none"/>
              </w:rPr>
              <w:t>证书</w:t>
            </w:r>
          </w:p>
        </w:tc>
        <w:tc>
          <w:tcPr>
            <w:tcW w:w="1274" w:type="dxa"/>
            <w:gridSpan w:val="2"/>
            <w:shd w:val="clear" w:color="auto" w:fill="auto"/>
          </w:tcPr>
          <w:p w14:paraId="41BCA55C">
            <w:pPr>
              <w:spacing w:line="360" w:lineRule="auto"/>
              <w:rPr>
                <w:rFonts w:ascii="宋体" w:hAnsi="宋体" w:cs="宋体"/>
                <w:color w:val="auto"/>
                <w:sz w:val="24"/>
                <w:highlight w:val="none"/>
              </w:rPr>
            </w:pPr>
          </w:p>
        </w:tc>
        <w:tc>
          <w:tcPr>
            <w:tcW w:w="1224" w:type="dxa"/>
            <w:gridSpan w:val="2"/>
            <w:shd w:val="clear" w:color="auto" w:fill="auto"/>
          </w:tcPr>
          <w:p w14:paraId="7C5AFBF8">
            <w:pPr>
              <w:spacing w:line="360" w:lineRule="auto"/>
              <w:rPr>
                <w:rFonts w:ascii="宋体" w:hAnsi="宋体" w:cs="宋体"/>
                <w:color w:val="auto"/>
                <w:sz w:val="24"/>
                <w:highlight w:val="none"/>
              </w:rPr>
            </w:pPr>
          </w:p>
          <w:p w14:paraId="5BA0CB9C">
            <w:pPr>
              <w:kinsoku w:val="0"/>
              <w:autoSpaceDE w:val="0"/>
              <w:autoSpaceDN w:val="0"/>
              <w:adjustRightInd w:val="0"/>
              <w:snapToGrid w:val="0"/>
              <w:spacing w:line="360" w:lineRule="auto"/>
              <w:ind w:left="45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C</w:t>
            </w:r>
            <w:r>
              <w:rPr>
                <w:rFonts w:hint="eastAsia" w:ascii="宋体" w:hAnsi="宋体" w:cs="宋体"/>
                <w:snapToGrid w:val="0"/>
                <w:color w:val="auto"/>
                <w:spacing w:val="9"/>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类</w:t>
            </w:r>
          </w:p>
        </w:tc>
        <w:tc>
          <w:tcPr>
            <w:tcW w:w="1417" w:type="dxa"/>
            <w:shd w:val="clear" w:color="auto" w:fill="auto"/>
          </w:tcPr>
          <w:p w14:paraId="16B75B9C">
            <w:pPr>
              <w:spacing w:line="360" w:lineRule="auto"/>
              <w:rPr>
                <w:rFonts w:ascii="宋体" w:hAnsi="宋体" w:cs="宋体"/>
                <w:color w:val="auto"/>
                <w:sz w:val="24"/>
                <w:highlight w:val="none"/>
              </w:rPr>
            </w:pPr>
          </w:p>
        </w:tc>
        <w:tc>
          <w:tcPr>
            <w:tcW w:w="1419" w:type="dxa"/>
            <w:gridSpan w:val="2"/>
            <w:shd w:val="clear" w:color="auto" w:fill="auto"/>
          </w:tcPr>
          <w:p w14:paraId="4AF35ED4">
            <w:pPr>
              <w:spacing w:line="360" w:lineRule="auto"/>
              <w:rPr>
                <w:rFonts w:ascii="宋体" w:hAnsi="宋体" w:cs="宋体"/>
                <w:color w:val="auto"/>
                <w:sz w:val="24"/>
                <w:highlight w:val="none"/>
              </w:rPr>
            </w:pPr>
          </w:p>
        </w:tc>
        <w:tc>
          <w:tcPr>
            <w:tcW w:w="1632" w:type="dxa"/>
            <w:gridSpan w:val="3"/>
            <w:shd w:val="clear" w:color="auto" w:fill="auto"/>
          </w:tcPr>
          <w:p w14:paraId="69727B88">
            <w:pPr>
              <w:spacing w:line="360" w:lineRule="auto"/>
              <w:rPr>
                <w:rFonts w:ascii="宋体" w:hAnsi="宋体" w:cs="宋体"/>
                <w:color w:val="auto"/>
                <w:sz w:val="24"/>
                <w:highlight w:val="none"/>
              </w:rPr>
            </w:pPr>
          </w:p>
        </w:tc>
        <w:tc>
          <w:tcPr>
            <w:tcW w:w="1457" w:type="dxa"/>
            <w:gridSpan w:val="2"/>
            <w:shd w:val="clear" w:color="auto" w:fill="auto"/>
          </w:tcPr>
          <w:p w14:paraId="10B75010">
            <w:pPr>
              <w:spacing w:line="360" w:lineRule="auto"/>
              <w:rPr>
                <w:rFonts w:ascii="宋体" w:hAnsi="宋体" w:cs="宋体"/>
                <w:color w:val="auto"/>
                <w:sz w:val="24"/>
                <w:highlight w:val="none"/>
              </w:rPr>
            </w:pPr>
          </w:p>
        </w:tc>
      </w:tr>
      <w:tr w14:paraId="29879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00" w:type="dxa"/>
            <w:shd w:val="clear" w:color="auto" w:fill="auto"/>
          </w:tcPr>
          <w:p w14:paraId="1670775F">
            <w:pPr>
              <w:spacing w:line="360" w:lineRule="auto"/>
              <w:rPr>
                <w:rFonts w:ascii="宋体" w:hAnsi="宋体" w:cs="宋体"/>
                <w:color w:val="auto"/>
                <w:sz w:val="24"/>
                <w:highlight w:val="none"/>
              </w:rPr>
            </w:pPr>
          </w:p>
        </w:tc>
        <w:tc>
          <w:tcPr>
            <w:tcW w:w="1274" w:type="dxa"/>
            <w:gridSpan w:val="2"/>
            <w:shd w:val="clear" w:color="auto" w:fill="auto"/>
          </w:tcPr>
          <w:p w14:paraId="416DF833">
            <w:pPr>
              <w:spacing w:line="360" w:lineRule="auto"/>
              <w:rPr>
                <w:rFonts w:ascii="宋体" w:hAnsi="宋体" w:cs="宋体"/>
                <w:color w:val="auto"/>
                <w:sz w:val="24"/>
                <w:highlight w:val="none"/>
              </w:rPr>
            </w:pPr>
          </w:p>
        </w:tc>
        <w:tc>
          <w:tcPr>
            <w:tcW w:w="1224" w:type="dxa"/>
            <w:gridSpan w:val="2"/>
            <w:shd w:val="clear" w:color="auto" w:fill="auto"/>
          </w:tcPr>
          <w:p w14:paraId="038DD213">
            <w:pPr>
              <w:spacing w:line="360" w:lineRule="auto"/>
              <w:rPr>
                <w:rFonts w:ascii="宋体" w:hAnsi="宋体" w:cs="宋体"/>
                <w:color w:val="auto"/>
                <w:sz w:val="24"/>
                <w:highlight w:val="none"/>
              </w:rPr>
            </w:pPr>
          </w:p>
        </w:tc>
        <w:tc>
          <w:tcPr>
            <w:tcW w:w="1417" w:type="dxa"/>
            <w:shd w:val="clear" w:color="auto" w:fill="auto"/>
          </w:tcPr>
          <w:p w14:paraId="26D022FC">
            <w:pPr>
              <w:spacing w:line="360" w:lineRule="auto"/>
              <w:rPr>
                <w:rFonts w:ascii="宋体" w:hAnsi="宋体" w:cs="宋体"/>
                <w:color w:val="auto"/>
                <w:sz w:val="24"/>
                <w:highlight w:val="none"/>
              </w:rPr>
            </w:pPr>
          </w:p>
        </w:tc>
        <w:tc>
          <w:tcPr>
            <w:tcW w:w="1419" w:type="dxa"/>
            <w:gridSpan w:val="2"/>
            <w:shd w:val="clear" w:color="auto" w:fill="auto"/>
          </w:tcPr>
          <w:p w14:paraId="08CDFCF3">
            <w:pPr>
              <w:spacing w:line="360" w:lineRule="auto"/>
              <w:rPr>
                <w:rFonts w:ascii="宋体" w:hAnsi="宋体" w:cs="宋体"/>
                <w:color w:val="auto"/>
                <w:sz w:val="24"/>
                <w:highlight w:val="none"/>
              </w:rPr>
            </w:pPr>
          </w:p>
        </w:tc>
        <w:tc>
          <w:tcPr>
            <w:tcW w:w="1632" w:type="dxa"/>
            <w:gridSpan w:val="3"/>
            <w:shd w:val="clear" w:color="auto" w:fill="auto"/>
          </w:tcPr>
          <w:p w14:paraId="3D067B77">
            <w:pPr>
              <w:spacing w:line="360" w:lineRule="auto"/>
              <w:rPr>
                <w:rFonts w:ascii="宋体" w:hAnsi="宋体" w:cs="宋体"/>
                <w:color w:val="auto"/>
                <w:sz w:val="24"/>
                <w:highlight w:val="none"/>
              </w:rPr>
            </w:pPr>
          </w:p>
        </w:tc>
        <w:tc>
          <w:tcPr>
            <w:tcW w:w="1457" w:type="dxa"/>
            <w:gridSpan w:val="2"/>
            <w:shd w:val="clear" w:color="auto" w:fill="auto"/>
          </w:tcPr>
          <w:p w14:paraId="58546903">
            <w:pPr>
              <w:spacing w:line="360" w:lineRule="auto"/>
              <w:rPr>
                <w:rFonts w:ascii="宋体" w:hAnsi="宋体" w:cs="宋体"/>
                <w:color w:val="auto"/>
                <w:sz w:val="24"/>
                <w:highlight w:val="none"/>
              </w:rPr>
            </w:pPr>
          </w:p>
        </w:tc>
      </w:tr>
      <w:tr w14:paraId="589C3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3"/>
            <w:shd w:val="clear" w:color="auto" w:fill="auto"/>
          </w:tcPr>
          <w:p w14:paraId="0E1981DF">
            <w:pPr>
              <w:kinsoku w:val="0"/>
              <w:autoSpaceDE w:val="0"/>
              <w:autoSpaceDN w:val="0"/>
              <w:adjustRightInd w:val="0"/>
              <w:snapToGrid w:val="0"/>
              <w:spacing w:line="360" w:lineRule="auto"/>
              <w:ind w:left="3664"/>
              <w:jc w:val="left"/>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在建和已完工程项目情况</w:t>
            </w:r>
          </w:p>
        </w:tc>
      </w:tr>
      <w:tr w14:paraId="2FF870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1C238890">
            <w:pPr>
              <w:spacing w:line="360" w:lineRule="auto"/>
              <w:rPr>
                <w:rFonts w:ascii="宋体" w:hAnsi="宋体" w:cs="宋体"/>
                <w:color w:val="auto"/>
                <w:sz w:val="24"/>
                <w:highlight w:val="none"/>
              </w:rPr>
            </w:pPr>
          </w:p>
        </w:tc>
        <w:tc>
          <w:tcPr>
            <w:tcW w:w="1548" w:type="dxa"/>
            <w:gridSpan w:val="2"/>
            <w:shd w:val="clear" w:color="auto" w:fill="auto"/>
          </w:tcPr>
          <w:p w14:paraId="625DBE00">
            <w:pPr>
              <w:kinsoku w:val="0"/>
              <w:autoSpaceDE w:val="0"/>
              <w:autoSpaceDN w:val="0"/>
              <w:adjustRightInd w:val="0"/>
              <w:snapToGrid w:val="0"/>
              <w:spacing w:line="360" w:lineRule="auto"/>
              <w:ind w:left="49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2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1</w:t>
            </w:r>
          </w:p>
        </w:tc>
        <w:tc>
          <w:tcPr>
            <w:tcW w:w="1937" w:type="dxa"/>
            <w:gridSpan w:val="2"/>
            <w:shd w:val="clear" w:color="auto" w:fill="auto"/>
          </w:tcPr>
          <w:p w14:paraId="7967BDE1">
            <w:pPr>
              <w:kinsoku w:val="0"/>
              <w:autoSpaceDE w:val="0"/>
              <w:autoSpaceDN w:val="0"/>
              <w:adjustRightInd w:val="0"/>
              <w:snapToGrid w:val="0"/>
              <w:spacing w:line="360" w:lineRule="auto"/>
              <w:ind w:left="637"/>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6"/>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2</w:t>
            </w:r>
          </w:p>
        </w:tc>
        <w:tc>
          <w:tcPr>
            <w:tcW w:w="1370" w:type="dxa"/>
            <w:shd w:val="clear" w:color="auto" w:fill="auto"/>
          </w:tcPr>
          <w:p w14:paraId="164F0C62">
            <w:pPr>
              <w:kinsoku w:val="0"/>
              <w:autoSpaceDE w:val="0"/>
              <w:autoSpaceDN w:val="0"/>
              <w:adjustRightInd w:val="0"/>
              <w:snapToGrid w:val="0"/>
              <w:spacing w:line="360" w:lineRule="auto"/>
              <w:ind w:left="456"/>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2"/>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3</w:t>
            </w:r>
          </w:p>
        </w:tc>
        <w:tc>
          <w:tcPr>
            <w:tcW w:w="1636" w:type="dxa"/>
            <w:gridSpan w:val="3"/>
            <w:shd w:val="clear" w:color="auto" w:fill="auto"/>
          </w:tcPr>
          <w:p w14:paraId="70462617">
            <w:pPr>
              <w:kinsoku w:val="0"/>
              <w:autoSpaceDE w:val="0"/>
              <w:autoSpaceDN w:val="0"/>
              <w:adjustRightInd w:val="0"/>
              <w:snapToGrid w:val="0"/>
              <w:spacing w:line="360" w:lineRule="auto"/>
              <w:ind w:left="539"/>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4"/>
                <w:kern w:val="0"/>
                <w:sz w:val="24"/>
                <w:highlight w:val="none"/>
                <w:lang w:eastAsia="en-US"/>
              </w:rPr>
              <w:t>项目</w:t>
            </w:r>
            <w:r>
              <w:rPr>
                <w:rFonts w:hint="eastAsia" w:ascii="宋体" w:hAnsi="宋体" w:cs="宋体"/>
                <w:snapToGrid w:val="0"/>
                <w:color w:val="auto"/>
                <w:spacing w:val="-48"/>
                <w:kern w:val="0"/>
                <w:sz w:val="24"/>
                <w:highlight w:val="none"/>
                <w:lang w:eastAsia="en-US"/>
              </w:rPr>
              <w:t xml:space="preserve"> </w:t>
            </w:r>
            <w:r>
              <w:rPr>
                <w:rFonts w:hint="eastAsia" w:ascii="宋体" w:hAnsi="宋体" w:cs="宋体"/>
                <w:snapToGrid w:val="0"/>
                <w:color w:val="auto"/>
                <w:spacing w:val="-4"/>
                <w:kern w:val="0"/>
                <w:sz w:val="24"/>
                <w:highlight w:val="none"/>
                <w:lang w:eastAsia="en-US"/>
              </w:rPr>
              <w:t>4</w:t>
            </w:r>
          </w:p>
        </w:tc>
        <w:tc>
          <w:tcPr>
            <w:tcW w:w="1482" w:type="dxa"/>
            <w:gridSpan w:val="2"/>
            <w:shd w:val="clear" w:color="auto" w:fill="auto"/>
          </w:tcPr>
          <w:p w14:paraId="0E8EE419">
            <w:pPr>
              <w:kinsoku w:val="0"/>
              <w:autoSpaceDE w:val="0"/>
              <w:autoSpaceDN w:val="0"/>
              <w:adjustRightInd w:val="0"/>
              <w:snapToGrid w:val="0"/>
              <w:spacing w:line="360" w:lineRule="auto"/>
              <w:ind w:left="55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5"/>
                <w:kern w:val="0"/>
                <w:position w:val="2"/>
                <w:sz w:val="24"/>
                <w:highlight w:val="none"/>
                <w:lang w:eastAsia="en-US"/>
              </w:rPr>
              <w:t>……</w:t>
            </w:r>
          </w:p>
        </w:tc>
        <w:tc>
          <w:tcPr>
            <w:tcW w:w="20" w:type="dxa"/>
            <w:tcBorders>
              <w:top w:val="single" w:color="FFFFFF" w:sz="2" w:space="0"/>
              <w:bottom w:val="nil"/>
              <w:right w:val="nil"/>
            </w:tcBorders>
            <w:shd w:val="clear" w:color="auto" w:fill="auto"/>
          </w:tcPr>
          <w:p w14:paraId="3CF16AAD">
            <w:pPr>
              <w:spacing w:line="360" w:lineRule="auto"/>
              <w:rPr>
                <w:rFonts w:ascii="宋体" w:hAnsi="宋体" w:cs="宋体"/>
                <w:color w:val="auto"/>
                <w:sz w:val="24"/>
                <w:highlight w:val="none"/>
              </w:rPr>
            </w:pPr>
          </w:p>
        </w:tc>
      </w:tr>
      <w:tr w14:paraId="4D62E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630" w:type="dxa"/>
            <w:gridSpan w:val="2"/>
            <w:shd w:val="clear" w:color="auto" w:fill="auto"/>
          </w:tcPr>
          <w:p w14:paraId="51C82078">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项目名称</w:t>
            </w:r>
          </w:p>
        </w:tc>
        <w:tc>
          <w:tcPr>
            <w:tcW w:w="1548" w:type="dxa"/>
            <w:gridSpan w:val="2"/>
            <w:shd w:val="clear" w:color="auto" w:fill="auto"/>
          </w:tcPr>
          <w:p w14:paraId="36C1B232">
            <w:pPr>
              <w:spacing w:line="360" w:lineRule="auto"/>
              <w:rPr>
                <w:rFonts w:ascii="宋体" w:hAnsi="宋体" w:cs="宋体"/>
                <w:color w:val="auto"/>
                <w:sz w:val="24"/>
                <w:highlight w:val="none"/>
              </w:rPr>
            </w:pPr>
          </w:p>
        </w:tc>
        <w:tc>
          <w:tcPr>
            <w:tcW w:w="1937" w:type="dxa"/>
            <w:gridSpan w:val="2"/>
            <w:shd w:val="clear" w:color="auto" w:fill="auto"/>
          </w:tcPr>
          <w:p w14:paraId="3B42FC80">
            <w:pPr>
              <w:spacing w:line="360" w:lineRule="auto"/>
              <w:rPr>
                <w:rFonts w:ascii="宋体" w:hAnsi="宋体" w:cs="宋体"/>
                <w:color w:val="auto"/>
                <w:sz w:val="24"/>
                <w:highlight w:val="none"/>
              </w:rPr>
            </w:pPr>
          </w:p>
        </w:tc>
        <w:tc>
          <w:tcPr>
            <w:tcW w:w="1370" w:type="dxa"/>
            <w:shd w:val="clear" w:color="auto" w:fill="auto"/>
          </w:tcPr>
          <w:p w14:paraId="3317F689">
            <w:pPr>
              <w:spacing w:line="360" w:lineRule="auto"/>
              <w:rPr>
                <w:rFonts w:ascii="宋体" w:hAnsi="宋体" w:cs="宋体"/>
                <w:color w:val="auto"/>
                <w:sz w:val="24"/>
                <w:highlight w:val="none"/>
              </w:rPr>
            </w:pPr>
          </w:p>
        </w:tc>
        <w:tc>
          <w:tcPr>
            <w:tcW w:w="1636" w:type="dxa"/>
            <w:gridSpan w:val="3"/>
            <w:shd w:val="clear" w:color="auto" w:fill="auto"/>
          </w:tcPr>
          <w:p w14:paraId="5642A67E">
            <w:pPr>
              <w:spacing w:line="360" w:lineRule="auto"/>
              <w:rPr>
                <w:rFonts w:ascii="宋体" w:hAnsi="宋体" w:cs="宋体"/>
                <w:color w:val="auto"/>
                <w:sz w:val="24"/>
                <w:highlight w:val="none"/>
              </w:rPr>
            </w:pPr>
          </w:p>
        </w:tc>
        <w:tc>
          <w:tcPr>
            <w:tcW w:w="1482" w:type="dxa"/>
            <w:gridSpan w:val="2"/>
            <w:shd w:val="clear" w:color="auto" w:fill="auto"/>
          </w:tcPr>
          <w:p w14:paraId="70B0E4AA">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1C581090">
            <w:pPr>
              <w:spacing w:line="360" w:lineRule="auto"/>
              <w:rPr>
                <w:rFonts w:ascii="宋体" w:hAnsi="宋体" w:cs="宋体"/>
                <w:color w:val="auto"/>
                <w:sz w:val="24"/>
                <w:highlight w:val="none"/>
              </w:rPr>
            </w:pPr>
          </w:p>
        </w:tc>
      </w:tr>
      <w:tr w14:paraId="36658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087541C7">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建设单位</w:t>
            </w:r>
          </w:p>
        </w:tc>
        <w:tc>
          <w:tcPr>
            <w:tcW w:w="1548" w:type="dxa"/>
            <w:gridSpan w:val="2"/>
            <w:shd w:val="clear" w:color="auto" w:fill="auto"/>
          </w:tcPr>
          <w:p w14:paraId="0A4E93C8">
            <w:pPr>
              <w:spacing w:line="360" w:lineRule="auto"/>
              <w:rPr>
                <w:rFonts w:ascii="宋体" w:hAnsi="宋体" w:cs="宋体"/>
                <w:color w:val="auto"/>
                <w:sz w:val="24"/>
                <w:highlight w:val="none"/>
              </w:rPr>
            </w:pPr>
          </w:p>
        </w:tc>
        <w:tc>
          <w:tcPr>
            <w:tcW w:w="1937" w:type="dxa"/>
            <w:gridSpan w:val="2"/>
            <w:shd w:val="clear" w:color="auto" w:fill="auto"/>
          </w:tcPr>
          <w:p w14:paraId="2B1EECF8">
            <w:pPr>
              <w:spacing w:line="360" w:lineRule="auto"/>
              <w:rPr>
                <w:rFonts w:ascii="宋体" w:hAnsi="宋体" w:cs="宋体"/>
                <w:color w:val="auto"/>
                <w:sz w:val="24"/>
                <w:highlight w:val="none"/>
              </w:rPr>
            </w:pPr>
          </w:p>
        </w:tc>
        <w:tc>
          <w:tcPr>
            <w:tcW w:w="1370" w:type="dxa"/>
            <w:shd w:val="clear" w:color="auto" w:fill="auto"/>
          </w:tcPr>
          <w:p w14:paraId="0B757486">
            <w:pPr>
              <w:spacing w:line="360" w:lineRule="auto"/>
              <w:rPr>
                <w:rFonts w:ascii="宋体" w:hAnsi="宋体" w:cs="宋体"/>
                <w:color w:val="auto"/>
                <w:sz w:val="24"/>
                <w:highlight w:val="none"/>
              </w:rPr>
            </w:pPr>
          </w:p>
        </w:tc>
        <w:tc>
          <w:tcPr>
            <w:tcW w:w="1636" w:type="dxa"/>
            <w:gridSpan w:val="3"/>
            <w:shd w:val="clear" w:color="auto" w:fill="auto"/>
          </w:tcPr>
          <w:p w14:paraId="570F7A60">
            <w:pPr>
              <w:spacing w:line="360" w:lineRule="auto"/>
              <w:rPr>
                <w:rFonts w:ascii="宋体" w:hAnsi="宋体" w:cs="宋体"/>
                <w:color w:val="auto"/>
                <w:sz w:val="24"/>
                <w:highlight w:val="none"/>
              </w:rPr>
            </w:pPr>
          </w:p>
        </w:tc>
        <w:tc>
          <w:tcPr>
            <w:tcW w:w="1482" w:type="dxa"/>
            <w:gridSpan w:val="2"/>
            <w:shd w:val="clear" w:color="auto" w:fill="auto"/>
          </w:tcPr>
          <w:p w14:paraId="4033EC42">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00847214">
            <w:pPr>
              <w:spacing w:line="360" w:lineRule="auto"/>
              <w:rPr>
                <w:rFonts w:ascii="宋体" w:hAnsi="宋体" w:cs="宋体"/>
                <w:color w:val="auto"/>
                <w:sz w:val="24"/>
                <w:highlight w:val="none"/>
              </w:rPr>
            </w:pPr>
          </w:p>
        </w:tc>
      </w:tr>
      <w:tr w14:paraId="2C630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30" w:type="dxa"/>
            <w:gridSpan w:val="2"/>
            <w:shd w:val="clear" w:color="auto" w:fill="auto"/>
          </w:tcPr>
          <w:p w14:paraId="416975EA">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建设规模</w:t>
            </w:r>
          </w:p>
        </w:tc>
        <w:tc>
          <w:tcPr>
            <w:tcW w:w="1548" w:type="dxa"/>
            <w:gridSpan w:val="2"/>
            <w:shd w:val="clear" w:color="auto" w:fill="auto"/>
          </w:tcPr>
          <w:p w14:paraId="7F335898">
            <w:pPr>
              <w:spacing w:line="360" w:lineRule="auto"/>
              <w:rPr>
                <w:rFonts w:ascii="宋体" w:hAnsi="宋体" w:cs="宋体"/>
                <w:color w:val="auto"/>
                <w:sz w:val="24"/>
                <w:highlight w:val="none"/>
              </w:rPr>
            </w:pPr>
          </w:p>
        </w:tc>
        <w:tc>
          <w:tcPr>
            <w:tcW w:w="1937" w:type="dxa"/>
            <w:gridSpan w:val="2"/>
            <w:shd w:val="clear" w:color="auto" w:fill="auto"/>
          </w:tcPr>
          <w:p w14:paraId="5FAD021A">
            <w:pPr>
              <w:spacing w:line="360" w:lineRule="auto"/>
              <w:rPr>
                <w:rFonts w:ascii="宋体" w:hAnsi="宋体" w:cs="宋体"/>
                <w:color w:val="auto"/>
                <w:sz w:val="24"/>
                <w:highlight w:val="none"/>
              </w:rPr>
            </w:pPr>
          </w:p>
        </w:tc>
        <w:tc>
          <w:tcPr>
            <w:tcW w:w="1370" w:type="dxa"/>
            <w:shd w:val="clear" w:color="auto" w:fill="auto"/>
          </w:tcPr>
          <w:p w14:paraId="7682047F">
            <w:pPr>
              <w:spacing w:line="360" w:lineRule="auto"/>
              <w:rPr>
                <w:rFonts w:ascii="宋体" w:hAnsi="宋体" w:cs="宋体"/>
                <w:color w:val="auto"/>
                <w:sz w:val="24"/>
                <w:highlight w:val="none"/>
              </w:rPr>
            </w:pPr>
          </w:p>
        </w:tc>
        <w:tc>
          <w:tcPr>
            <w:tcW w:w="1636" w:type="dxa"/>
            <w:gridSpan w:val="3"/>
            <w:shd w:val="clear" w:color="auto" w:fill="auto"/>
          </w:tcPr>
          <w:p w14:paraId="0839298F">
            <w:pPr>
              <w:spacing w:line="360" w:lineRule="auto"/>
              <w:rPr>
                <w:rFonts w:ascii="宋体" w:hAnsi="宋体" w:cs="宋体"/>
                <w:color w:val="auto"/>
                <w:sz w:val="24"/>
                <w:highlight w:val="none"/>
              </w:rPr>
            </w:pPr>
          </w:p>
        </w:tc>
        <w:tc>
          <w:tcPr>
            <w:tcW w:w="1482" w:type="dxa"/>
            <w:gridSpan w:val="2"/>
            <w:shd w:val="clear" w:color="auto" w:fill="auto"/>
          </w:tcPr>
          <w:p w14:paraId="10161053">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6E9192A2">
            <w:pPr>
              <w:spacing w:line="360" w:lineRule="auto"/>
              <w:rPr>
                <w:rFonts w:ascii="宋体" w:hAnsi="宋体" w:cs="宋体"/>
                <w:color w:val="auto"/>
                <w:sz w:val="24"/>
                <w:highlight w:val="none"/>
              </w:rPr>
            </w:pPr>
          </w:p>
        </w:tc>
      </w:tr>
      <w:tr w14:paraId="09B43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3387B62A">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开工日期</w:t>
            </w:r>
          </w:p>
        </w:tc>
        <w:tc>
          <w:tcPr>
            <w:tcW w:w="1548" w:type="dxa"/>
            <w:gridSpan w:val="2"/>
            <w:shd w:val="clear" w:color="auto" w:fill="auto"/>
          </w:tcPr>
          <w:p w14:paraId="6751D390">
            <w:pPr>
              <w:spacing w:line="360" w:lineRule="auto"/>
              <w:rPr>
                <w:rFonts w:ascii="宋体" w:hAnsi="宋体" w:cs="宋体"/>
                <w:color w:val="auto"/>
                <w:sz w:val="24"/>
                <w:highlight w:val="none"/>
              </w:rPr>
            </w:pPr>
          </w:p>
        </w:tc>
        <w:tc>
          <w:tcPr>
            <w:tcW w:w="1937" w:type="dxa"/>
            <w:gridSpan w:val="2"/>
            <w:shd w:val="clear" w:color="auto" w:fill="auto"/>
          </w:tcPr>
          <w:p w14:paraId="490DE541">
            <w:pPr>
              <w:spacing w:line="360" w:lineRule="auto"/>
              <w:rPr>
                <w:rFonts w:ascii="宋体" w:hAnsi="宋体" w:cs="宋体"/>
                <w:color w:val="auto"/>
                <w:sz w:val="24"/>
                <w:highlight w:val="none"/>
              </w:rPr>
            </w:pPr>
          </w:p>
        </w:tc>
        <w:tc>
          <w:tcPr>
            <w:tcW w:w="1370" w:type="dxa"/>
            <w:shd w:val="clear" w:color="auto" w:fill="auto"/>
          </w:tcPr>
          <w:p w14:paraId="419B3DF7">
            <w:pPr>
              <w:spacing w:line="360" w:lineRule="auto"/>
              <w:rPr>
                <w:rFonts w:ascii="宋体" w:hAnsi="宋体" w:cs="宋体"/>
                <w:color w:val="auto"/>
                <w:sz w:val="24"/>
                <w:highlight w:val="none"/>
              </w:rPr>
            </w:pPr>
          </w:p>
        </w:tc>
        <w:tc>
          <w:tcPr>
            <w:tcW w:w="1636" w:type="dxa"/>
            <w:gridSpan w:val="3"/>
            <w:shd w:val="clear" w:color="auto" w:fill="auto"/>
          </w:tcPr>
          <w:p w14:paraId="19BFB1ED">
            <w:pPr>
              <w:spacing w:line="360" w:lineRule="auto"/>
              <w:rPr>
                <w:rFonts w:ascii="宋体" w:hAnsi="宋体" w:cs="宋体"/>
                <w:color w:val="auto"/>
                <w:sz w:val="24"/>
                <w:highlight w:val="none"/>
              </w:rPr>
            </w:pPr>
          </w:p>
        </w:tc>
        <w:tc>
          <w:tcPr>
            <w:tcW w:w="1482" w:type="dxa"/>
            <w:gridSpan w:val="2"/>
            <w:shd w:val="clear" w:color="auto" w:fill="auto"/>
          </w:tcPr>
          <w:p w14:paraId="16DB972E">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6F8DFDF4">
            <w:pPr>
              <w:spacing w:line="360" w:lineRule="auto"/>
              <w:rPr>
                <w:rFonts w:ascii="宋体" w:hAnsi="宋体" w:cs="宋体"/>
                <w:color w:val="auto"/>
                <w:sz w:val="24"/>
                <w:highlight w:val="none"/>
              </w:rPr>
            </w:pPr>
          </w:p>
        </w:tc>
      </w:tr>
      <w:tr w14:paraId="3AA0F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1F6D3313">
            <w:pPr>
              <w:kinsoku w:val="0"/>
              <w:autoSpaceDE w:val="0"/>
              <w:autoSpaceDN w:val="0"/>
              <w:adjustRightInd w:val="0"/>
              <w:snapToGrid w:val="0"/>
              <w:spacing w:line="360" w:lineRule="auto"/>
              <w:ind w:left="402"/>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竣工日期</w:t>
            </w:r>
          </w:p>
        </w:tc>
        <w:tc>
          <w:tcPr>
            <w:tcW w:w="1548" w:type="dxa"/>
            <w:gridSpan w:val="2"/>
            <w:shd w:val="clear" w:color="auto" w:fill="auto"/>
          </w:tcPr>
          <w:p w14:paraId="27B57EAA">
            <w:pPr>
              <w:spacing w:line="360" w:lineRule="auto"/>
              <w:rPr>
                <w:rFonts w:ascii="宋体" w:hAnsi="宋体" w:cs="宋体"/>
                <w:color w:val="auto"/>
                <w:sz w:val="24"/>
                <w:highlight w:val="none"/>
              </w:rPr>
            </w:pPr>
          </w:p>
        </w:tc>
        <w:tc>
          <w:tcPr>
            <w:tcW w:w="1937" w:type="dxa"/>
            <w:gridSpan w:val="2"/>
            <w:shd w:val="clear" w:color="auto" w:fill="auto"/>
          </w:tcPr>
          <w:p w14:paraId="3ED1FDC8">
            <w:pPr>
              <w:spacing w:line="360" w:lineRule="auto"/>
              <w:rPr>
                <w:rFonts w:ascii="宋体" w:hAnsi="宋体" w:cs="宋体"/>
                <w:color w:val="auto"/>
                <w:sz w:val="24"/>
                <w:highlight w:val="none"/>
              </w:rPr>
            </w:pPr>
          </w:p>
        </w:tc>
        <w:tc>
          <w:tcPr>
            <w:tcW w:w="1370" w:type="dxa"/>
            <w:shd w:val="clear" w:color="auto" w:fill="auto"/>
          </w:tcPr>
          <w:p w14:paraId="5213B82B">
            <w:pPr>
              <w:spacing w:line="360" w:lineRule="auto"/>
              <w:rPr>
                <w:rFonts w:ascii="宋体" w:hAnsi="宋体" w:cs="宋体"/>
                <w:color w:val="auto"/>
                <w:sz w:val="24"/>
                <w:highlight w:val="none"/>
              </w:rPr>
            </w:pPr>
          </w:p>
        </w:tc>
        <w:tc>
          <w:tcPr>
            <w:tcW w:w="1636" w:type="dxa"/>
            <w:gridSpan w:val="3"/>
            <w:shd w:val="clear" w:color="auto" w:fill="auto"/>
          </w:tcPr>
          <w:p w14:paraId="5F8EE8AE">
            <w:pPr>
              <w:spacing w:line="360" w:lineRule="auto"/>
              <w:rPr>
                <w:rFonts w:ascii="宋体" w:hAnsi="宋体" w:cs="宋体"/>
                <w:color w:val="auto"/>
                <w:sz w:val="24"/>
                <w:highlight w:val="none"/>
              </w:rPr>
            </w:pPr>
          </w:p>
        </w:tc>
        <w:tc>
          <w:tcPr>
            <w:tcW w:w="1482" w:type="dxa"/>
            <w:gridSpan w:val="2"/>
            <w:shd w:val="clear" w:color="auto" w:fill="auto"/>
          </w:tcPr>
          <w:p w14:paraId="7E927C67">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72403414">
            <w:pPr>
              <w:spacing w:line="360" w:lineRule="auto"/>
              <w:rPr>
                <w:rFonts w:ascii="宋体" w:hAnsi="宋体" w:cs="宋体"/>
                <w:color w:val="auto"/>
                <w:sz w:val="24"/>
                <w:highlight w:val="none"/>
              </w:rPr>
            </w:pPr>
          </w:p>
        </w:tc>
      </w:tr>
      <w:tr w14:paraId="688BD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7944CAD7">
            <w:pPr>
              <w:kinsoku w:val="0"/>
              <w:autoSpaceDE w:val="0"/>
              <w:autoSpaceDN w:val="0"/>
              <w:adjustRightInd w:val="0"/>
              <w:snapToGrid w:val="0"/>
              <w:spacing w:line="360" w:lineRule="auto"/>
              <w:ind w:left="403"/>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人员角色</w:t>
            </w:r>
          </w:p>
        </w:tc>
        <w:tc>
          <w:tcPr>
            <w:tcW w:w="1548" w:type="dxa"/>
            <w:gridSpan w:val="2"/>
            <w:shd w:val="clear" w:color="auto" w:fill="auto"/>
          </w:tcPr>
          <w:p w14:paraId="05053BC7">
            <w:pPr>
              <w:spacing w:line="360" w:lineRule="auto"/>
              <w:rPr>
                <w:rFonts w:ascii="宋体" w:hAnsi="宋体" w:cs="宋体"/>
                <w:color w:val="auto"/>
                <w:sz w:val="24"/>
                <w:highlight w:val="none"/>
              </w:rPr>
            </w:pPr>
          </w:p>
        </w:tc>
        <w:tc>
          <w:tcPr>
            <w:tcW w:w="1937" w:type="dxa"/>
            <w:gridSpan w:val="2"/>
            <w:shd w:val="clear" w:color="auto" w:fill="auto"/>
          </w:tcPr>
          <w:p w14:paraId="30563987">
            <w:pPr>
              <w:spacing w:line="360" w:lineRule="auto"/>
              <w:rPr>
                <w:rFonts w:ascii="宋体" w:hAnsi="宋体" w:cs="宋体"/>
                <w:color w:val="auto"/>
                <w:sz w:val="24"/>
                <w:highlight w:val="none"/>
              </w:rPr>
            </w:pPr>
          </w:p>
        </w:tc>
        <w:tc>
          <w:tcPr>
            <w:tcW w:w="1370" w:type="dxa"/>
            <w:shd w:val="clear" w:color="auto" w:fill="auto"/>
          </w:tcPr>
          <w:p w14:paraId="6A7D26DE">
            <w:pPr>
              <w:spacing w:line="360" w:lineRule="auto"/>
              <w:rPr>
                <w:rFonts w:ascii="宋体" w:hAnsi="宋体" w:cs="宋体"/>
                <w:color w:val="auto"/>
                <w:sz w:val="24"/>
                <w:highlight w:val="none"/>
              </w:rPr>
            </w:pPr>
          </w:p>
        </w:tc>
        <w:tc>
          <w:tcPr>
            <w:tcW w:w="1636" w:type="dxa"/>
            <w:gridSpan w:val="3"/>
            <w:shd w:val="clear" w:color="auto" w:fill="auto"/>
          </w:tcPr>
          <w:p w14:paraId="360A695B">
            <w:pPr>
              <w:spacing w:line="360" w:lineRule="auto"/>
              <w:rPr>
                <w:rFonts w:ascii="宋体" w:hAnsi="宋体" w:cs="宋体"/>
                <w:color w:val="auto"/>
                <w:sz w:val="24"/>
                <w:highlight w:val="none"/>
              </w:rPr>
            </w:pPr>
          </w:p>
        </w:tc>
        <w:tc>
          <w:tcPr>
            <w:tcW w:w="1482" w:type="dxa"/>
            <w:gridSpan w:val="2"/>
            <w:shd w:val="clear" w:color="auto" w:fill="auto"/>
          </w:tcPr>
          <w:p w14:paraId="16342D3F">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63771A3E">
            <w:pPr>
              <w:spacing w:line="360" w:lineRule="auto"/>
              <w:rPr>
                <w:rFonts w:ascii="宋体" w:hAnsi="宋体" w:cs="宋体"/>
                <w:color w:val="auto"/>
                <w:sz w:val="24"/>
                <w:highlight w:val="none"/>
              </w:rPr>
            </w:pPr>
          </w:p>
        </w:tc>
      </w:tr>
      <w:tr w14:paraId="09009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5FF02253">
            <w:pPr>
              <w:kinsoku w:val="0"/>
              <w:autoSpaceDE w:val="0"/>
              <w:autoSpaceDN w:val="0"/>
              <w:adjustRightInd w:val="0"/>
              <w:snapToGrid w:val="0"/>
              <w:spacing w:line="360" w:lineRule="auto"/>
              <w:ind w:left="29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在建或已完</w:t>
            </w:r>
          </w:p>
        </w:tc>
        <w:tc>
          <w:tcPr>
            <w:tcW w:w="1548" w:type="dxa"/>
            <w:gridSpan w:val="2"/>
            <w:shd w:val="clear" w:color="auto" w:fill="auto"/>
          </w:tcPr>
          <w:p w14:paraId="1724B73B">
            <w:pPr>
              <w:spacing w:line="360" w:lineRule="auto"/>
              <w:rPr>
                <w:rFonts w:ascii="宋体" w:hAnsi="宋体" w:cs="宋体"/>
                <w:color w:val="auto"/>
                <w:sz w:val="24"/>
                <w:highlight w:val="none"/>
              </w:rPr>
            </w:pPr>
          </w:p>
        </w:tc>
        <w:tc>
          <w:tcPr>
            <w:tcW w:w="1937" w:type="dxa"/>
            <w:gridSpan w:val="2"/>
            <w:shd w:val="clear" w:color="auto" w:fill="auto"/>
          </w:tcPr>
          <w:p w14:paraId="75E963B6">
            <w:pPr>
              <w:spacing w:line="360" w:lineRule="auto"/>
              <w:rPr>
                <w:rFonts w:ascii="宋体" w:hAnsi="宋体" w:cs="宋体"/>
                <w:color w:val="auto"/>
                <w:sz w:val="24"/>
                <w:highlight w:val="none"/>
              </w:rPr>
            </w:pPr>
          </w:p>
        </w:tc>
        <w:tc>
          <w:tcPr>
            <w:tcW w:w="1370" w:type="dxa"/>
            <w:shd w:val="clear" w:color="auto" w:fill="auto"/>
          </w:tcPr>
          <w:p w14:paraId="1DAD734B">
            <w:pPr>
              <w:spacing w:line="360" w:lineRule="auto"/>
              <w:rPr>
                <w:rFonts w:ascii="宋体" w:hAnsi="宋体" w:cs="宋体"/>
                <w:color w:val="auto"/>
                <w:sz w:val="24"/>
                <w:highlight w:val="none"/>
              </w:rPr>
            </w:pPr>
          </w:p>
        </w:tc>
        <w:tc>
          <w:tcPr>
            <w:tcW w:w="1636" w:type="dxa"/>
            <w:gridSpan w:val="3"/>
            <w:shd w:val="clear" w:color="auto" w:fill="auto"/>
          </w:tcPr>
          <w:p w14:paraId="1A3AD3F6">
            <w:pPr>
              <w:spacing w:line="360" w:lineRule="auto"/>
              <w:rPr>
                <w:rFonts w:ascii="宋体" w:hAnsi="宋体" w:cs="宋体"/>
                <w:color w:val="auto"/>
                <w:sz w:val="24"/>
                <w:highlight w:val="none"/>
              </w:rPr>
            </w:pPr>
          </w:p>
        </w:tc>
        <w:tc>
          <w:tcPr>
            <w:tcW w:w="1482" w:type="dxa"/>
            <w:gridSpan w:val="2"/>
            <w:shd w:val="clear" w:color="auto" w:fill="auto"/>
          </w:tcPr>
          <w:p w14:paraId="4B110BE1">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588EC7AF">
            <w:pPr>
              <w:spacing w:line="360" w:lineRule="auto"/>
              <w:rPr>
                <w:rFonts w:ascii="宋体" w:hAnsi="宋体" w:cs="宋体"/>
                <w:color w:val="auto"/>
                <w:sz w:val="24"/>
                <w:highlight w:val="none"/>
              </w:rPr>
            </w:pPr>
          </w:p>
        </w:tc>
      </w:tr>
      <w:tr w14:paraId="5E175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560DC0BF">
            <w:pPr>
              <w:kinsoku w:val="0"/>
              <w:autoSpaceDE w:val="0"/>
              <w:autoSpaceDN w:val="0"/>
              <w:adjustRightInd w:val="0"/>
              <w:snapToGrid w:val="0"/>
              <w:spacing w:line="360" w:lineRule="auto"/>
              <w:ind w:left="404"/>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工程质量</w:t>
            </w:r>
          </w:p>
        </w:tc>
        <w:tc>
          <w:tcPr>
            <w:tcW w:w="1548" w:type="dxa"/>
            <w:gridSpan w:val="2"/>
            <w:shd w:val="clear" w:color="auto" w:fill="auto"/>
          </w:tcPr>
          <w:p w14:paraId="34F537B0">
            <w:pPr>
              <w:spacing w:line="360" w:lineRule="auto"/>
              <w:rPr>
                <w:rFonts w:ascii="宋体" w:hAnsi="宋体" w:cs="宋体"/>
                <w:color w:val="auto"/>
                <w:sz w:val="24"/>
                <w:highlight w:val="none"/>
              </w:rPr>
            </w:pPr>
          </w:p>
        </w:tc>
        <w:tc>
          <w:tcPr>
            <w:tcW w:w="1937" w:type="dxa"/>
            <w:gridSpan w:val="2"/>
            <w:shd w:val="clear" w:color="auto" w:fill="auto"/>
          </w:tcPr>
          <w:p w14:paraId="4098BCF7">
            <w:pPr>
              <w:spacing w:line="360" w:lineRule="auto"/>
              <w:rPr>
                <w:rFonts w:ascii="宋体" w:hAnsi="宋体" w:cs="宋体"/>
                <w:color w:val="auto"/>
                <w:sz w:val="24"/>
                <w:highlight w:val="none"/>
              </w:rPr>
            </w:pPr>
          </w:p>
        </w:tc>
        <w:tc>
          <w:tcPr>
            <w:tcW w:w="1370" w:type="dxa"/>
            <w:shd w:val="clear" w:color="auto" w:fill="auto"/>
          </w:tcPr>
          <w:p w14:paraId="51C72A18">
            <w:pPr>
              <w:spacing w:line="360" w:lineRule="auto"/>
              <w:rPr>
                <w:rFonts w:ascii="宋体" w:hAnsi="宋体" w:cs="宋体"/>
                <w:color w:val="auto"/>
                <w:sz w:val="24"/>
                <w:highlight w:val="none"/>
              </w:rPr>
            </w:pPr>
          </w:p>
        </w:tc>
        <w:tc>
          <w:tcPr>
            <w:tcW w:w="1636" w:type="dxa"/>
            <w:gridSpan w:val="3"/>
            <w:shd w:val="clear" w:color="auto" w:fill="auto"/>
          </w:tcPr>
          <w:p w14:paraId="3B153815">
            <w:pPr>
              <w:spacing w:line="360" w:lineRule="auto"/>
              <w:rPr>
                <w:rFonts w:ascii="宋体" w:hAnsi="宋体" w:cs="宋体"/>
                <w:color w:val="auto"/>
                <w:sz w:val="24"/>
                <w:highlight w:val="none"/>
              </w:rPr>
            </w:pPr>
          </w:p>
        </w:tc>
        <w:tc>
          <w:tcPr>
            <w:tcW w:w="1482" w:type="dxa"/>
            <w:gridSpan w:val="2"/>
            <w:shd w:val="clear" w:color="auto" w:fill="auto"/>
          </w:tcPr>
          <w:p w14:paraId="2C61B596">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7C7C5AA7">
            <w:pPr>
              <w:spacing w:line="360" w:lineRule="auto"/>
              <w:rPr>
                <w:rFonts w:ascii="宋体" w:hAnsi="宋体" w:cs="宋体"/>
                <w:color w:val="auto"/>
                <w:sz w:val="24"/>
                <w:highlight w:val="none"/>
              </w:rPr>
            </w:pPr>
          </w:p>
        </w:tc>
      </w:tr>
      <w:tr w14:paraId="2AF5F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30" w:type="dxa"/>
            <w:gridSpan w:val="2"/>
            <w:shd w:val="clear" w:color="auto" w:fill="auto"/>
          </w:tcPr>
          <w:p w14:paraId="23F896A8">
            <w:pPr>
              <w:kinsoku w:val="0"/>
              <w:autoSpaceDE w:val="0"/>
              <w:autoSpaceDN w:val="0"/>
              <w:adjustRightInd w:val="0"/>
              <w:snapToGrid w:val="0"/>
              <w:spacing w:line="360" w:lineRule="auto"/>
              <w:ind w:left="40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受奖情况</w:t>
            </w:r>
          </w:p>
        </w:tc>
        <w:tc>
          <w:tcPr>
            <w:tcW w:w="1548" w:type="dxa"/>
            <w:gridSpan w:val="2"/>
            <w:shd w:val="clear" w:color="auto" w:fill="auto"/>
          </w:tcPr>
          <w:p w14:paraId="6D493428">
            <w:pPr>
              <w:spacing w:line="360" w:lineRule="auto"/>
              <w:rPr>
                <w:rFonts w:ascii="宋体" w:hAnsi="宋体" w:cs="宋体"/>
                <w:color w:val="auto"/>
                <w:sz w:val="24"/>
                <w:highlight w:val="none"/>
              </w:rPr>
            </w:pPr>
          </w:p>
        </w:tc>
        <w:tc>
          <w:tcPr>
            <w:tcW w:w="1937" w:type="dxa"/>
            <w:gridSpan w:val="2"/>
            <w:shd w:val="clear" w:color="auto" w:fill="auto"/>
          </w:tcPr>
          <w:p w14:paraId="08BBA50D">
            <w:pPr>
              <w:spacing w:line="360" w:lineRule="auto"/>
              <w:rPr>
                <w:rFonts w:ascii="宋体" w:hAnsi="宋体" w:cs="宋体"/>
                <w:color w:val="auto"/>
                <w:sz w:val="24"/>
                <w:highlight w:val="none"/>
              </w:rPr>
            </w:pPr>
          </w:p>
        </w:tc>
        <w:tc>
          <w:tcPr>
            <w:tcW w:w="1370" w:type="dxa"/>
            <w:shd w:val="clear" w:color="auto" w:fill="auto"/>
          </w:tcPr>
          <w:p w14:paraId="6421B654">
            <w:pPr>
              <w:spacing w:line="360" w:lineRule="auto"/>
              <w:rPr>
                <w:rFonts w:ascii="宋体" w:hAnsi="宋体" w:cs="宋体"/>
                <w:color w:val="auto"/>
                <w:sz w:val="24"/>
                <w:highlight w:val="none"/>
              </w:rPr>
            </w:pPr>
          </w:p>
        </w:tc>
        <w:tc>
          <w:tcPr>
            <w:tcW w:w="1636" w:type="dxa"/>
            <w:gridSpan w:val="3"/>
            <w:shd w:val="clear" w:color="auto" w:fill="auto"/>
          </w:tcPr>
          <w:p w14:paraId="3AF013C1">
            <w:pPr>
              <w:spacing w:line="360" w:lineRule="auto"/>
              <w:rPr>
                <w:rFonts w:ascii="宋体" w:hAnsi="宋体" w:cs="宋体"/>
                <w:color w:val="auto"/>
                <w:sz w:val="24"/>
                <w:highlight w:val="none"/>
              </w:rPr>
            </w:pPr>
          </w:p>
        </w:tc>
        <w:tc>
          <w:tcPr>
            <w:tcW w:w="1482" w:type="dxa"/>
            <w:gridSpan w:val="2"/>
            <w:shd w:val="clear" w:color="auto" w:fill="auto"/>
          </w:tcPr>
          <w:p w14:paraId="32F12EDF">
            <w:pPr>
              <w:spacing w:line="360" w:lineRule="auto"/>
              <w:rPr>
                <w:rFonts w:ascii="宋体" w:hAnsi="宋体" w:cs="宋体"/>
                <w:color w:val="auto"/>
                <w:sz w:val="24"/>
                <w:highlight w:val="none"/>
              </w:rPr>
            </w:pPr>
          </w:p>
        </w:tc>
        <w:tc>
          <w:tcPr>
            <w:tcW w:w="20" w:type="dxa"/>
            <w:tcBorders>
              <w:top w:val="nil"/>
              <w:bottom w:val="nil"/>
              <w:right w:val="nil"/>
            </w:tcBorders>
            <w:shd w:val="clear" w:color="auto" w:fill="auto"/>
          </w:tcPr>
          <w:p w14:paraId="14C3CADF">
            <w:pPr>
              <w:spacing w:line="360" w:lineRule="auto"/>
              <w:rPr>
                <w:rFonts w:ascii="宋体" w:hAnsi="宋体" w:cs="宋体"/>
                <w:color w:val="auto"/>
                <w:sz w:val="24"/>
                <w:highlight w:val="none"/>
              </w:rPr>
            </w:pPr>
          </w:p>
        </w:tc>
      </w:tr>
    </w:tbl>
    <w:p w14:paraId="76E29FC7">
      <w:pPr>
        <w:spacing w:line="360" w:lineRule="auto"/>
        <w:ind w:left="385"/>
        <w:rPr>
          <w:rFonts w:ascii="宋体" w:hAnsi="宋体" w:cs="宋体"/>
          <w:color w:val="auto"/>
          <w:sz w:val="24"/>
          <w:highlight w:val="none"/>
        </w:rPr>
      </w:pPr>
      <w:r>
        <w:rPr>
          <w:rFonts w:hint="eastAsia" w:ascii="宋体" w:hAnsi="宋体" w:cs="宋体"/>
          <w:color w:val="auto"/>
          <w:spacing w:val="-13"/>
          <w:sz w:val="24"/>
          <w:highlight w:val="none"/>
        </w:rPr>
        <w:t>备注：</w:t>
      </w:r>
    </w:p>
    <w:p w14:paraId="514A5851">
      <w:pPr>
        <w:adjustRightInd w:val="0"/>
        <w:snapToGrid w:val="0"/>
        <w:spacing w:line="360" w:lineRule="auto"/>
        <w:rPr>
          <w:rFonts w:ascii="宋体" w:hAnsi="宋体" w:cs="宋体"/>
          <w:color w:val="auto"/>
          <w:sz w:val="24"/>
          <w:highlight w:val="none"/>
        </w:rPr>
      </w:pPr>
      <w:r>
        <w:rPr>
          <w:rFonts w:hint="eastAsia" w:ascii="宋体" w:hAnsi="宋体" w:cs="宋体"/>
          <w:color w:val="auto"/>
          <w:spacing w:val="-1"/>
          <w:sz w:val="24"/>
          <w:highlight w:val="none"/>
        </w:rPr>
        <w:t>1.供应商可以根据项目情况增减表格内容，项目数可以根据需要</w:t>
      </w:r>
      <w:r>
        <w:rPr>
          <w:rFonts w:hint="eastAsia" w:ascii="宋体" w:hAnsi="宋体" w:cs="宋体"/>
          <w:color w:val="auto"/>
          <w:spacing w:val="-2"/>
          <w:sz w:val="24"/>
          <w:highlight w:val="none"/>
        </w:rPr>
        <w:t>增加。</w:t>
      </w:r>
    </w:p>
    <w:p w14:paraId="037DC5F6">
      <w:pPr>
        <w:spacing w:line="360" w:lineRule="auto"/>
        <w:rPr>
          <w:rFonts w:hint="eastAsia" w:ascii="宋体" w:hAnsi="宋体" w:eastAsia="宋体" w:cs="宋体"/>
          <w:color w:val="auto"/>
          <w:spacing w:val="-3"/>
          <w:sz w:val="24"/>
          <w:highlight w:val="none"/>
        </w:rPr>
      </w:pPr>
      <w:r>
        <w:rPr>
          <w:rFonts w:hint="eastAsia" w:ascii="宋体" w:hAnsi="宋体" w:eastAsia="宋体" w:cs="宋体"/>
          <w:color w:val="auto"/>
          <w:spacing w:val="-3"/>
          <w:sz w:val="24"/>
          <w:highlight w:val="none"/>
        </w:rPr>
        <w:t>2.本表后附专职安全生产管理人员的</w:t>
      </w:r>
      <w:r>
        <w:rPr>
          <w:rFonts w:hint="eastAsia" w:ascii="宋体" w:hAnsi="宋体" w:cs="宋体"/>
          <w:color w:val="auto"/>
          <w:spacing w:val="-3"/>
          <w:sz w:val="24"/>
          <w:highlight w:val="none"/>
          <w:lang w:val="en-US" w:eastAsia="zh-CN"/>
        </w:rPr>
        <w:t>身份证、</w:t>
      </w:r>
      <w:r>
        <w:rPr>
          <w:rFonts w:hint="eastAsia" w:ascii="宋体" w:hAnsi="宋体" w:eastAsia="宋体" w:cs="宋体"/>
          <w:color w:val="auto"/>
          <w:spacing w:val="-3"/>
          <w:sz w:val="24"/>
          <w:highlight w:val="none"/>
        </w:rPr>
        <w:t>安全生产考核合格证（C 类）、本表所列证书</w:t>
      </w:r>
      <w:r>
        <w:rPr>
          <w:rFonts w:hint="eastAsia" w:ascii="宋体" w:hAnsi="宋体" w:cs="宋体"/>
          <w:color w:val="auto"/>
          <w:sz w:val="24"/>
          <w:highlight w:val="none"/>
          <w:lang w:val="en-US" w:eastAsia="zh-CN"/>
        </w:rPr>
        <w:t>以及</w:t>
      </w:r>
      <w:r>
        <w:rPr>
          <w:rFonts w:hint="eastAsia" w:ascii="宋体" w:hAnsi="宋体" w:cs="宋体"/>
          <w:color w:val="auto"/>
          <w:kern w:val="0"/>
          <w:sz w:val="24"/>
          <w:highlight w:val="none"/>
          <w:lang w:val="en-US" w:eastAsia="zh-CN"/>
        </w:rPr>
        <w:t>供应商</w:t>
      </w:r>
      <w:r>
        <w:rPr>
          <w:rFonts w:hint="eastAsia" w:ascii="宋体" w:hAnsi="宋体" w:cs="宋体"/>
          <w:color w:val="auto"/>
          <w:kern w:val="0"/>
          <w:sz w:val="24"/>
          <w:highlight w:val="none"/>
        </w:rPr>
        <w:t>依法缴纳的</w:t>
      </w:r>
      <w:r>
        <w:rPr>
          <w:rFonts w:hint="eastAsia" w:ascii="宋体" w:hAnsi="宋体" w:cs="仿宋_GB2312"/>
          <w:color w:val="auto"/>
          <w:sz w:val="24"/>
          <w:highlight w:val="none"/>
          <w:lang w:val="en-US" w:eastAsia="zh-CN"/>
        </w:rPr>
        <w:t>距响应文件递交截止时间近半年来任意一个月的社保缴费证明</w:t>
      </w:r>
      <w:r>
        <w:rPr>
          <w:rFonts w:hint="eastAsia" w:ascii="宋体" w:hAnsi="宋体" w:eastAsia="宋体" w:cs="宋体"/>
          <w:color w:val="auto"/>
          <w:spacing w:val="-3"/>
          <w:sz w:val="24"/>
          <w:highlight w:val="none"/>
        </w:rPr>
        <w:t>复印件并加盖供应商公章。</w:t>
      </w:r>
    </w:p>
    <w:p w14:paraId="207117B2">
      <w:pPr>
        <w:spacing w:line="360" w:lineRule="auto"/>
        <w:rPr>
          <w:rFonts w:ascii="宋体" w:hAnsi="宋体"/>
          <w:color w:val="auto"/>
          <w:sz w:val="24"/>
          <w:highlight w:val="none"/>
        </w:rPr>
      </w:pPr>
    </w:p>
    <w:p w14:paraId="0CEF65E1">
      <w:pPr>
        <w:pStyle w:val="24"/>
        <w:spacing w:line="360" w:lineRule="auto"/>
        <w:rPr>
          <w:rFonts w:hAnsi="宋体"/>
          <w:color w:val="auto"/>
          <w:sz w:val="24"/>
          <w:szCs w:val="24"/>
          <w:highlight w:val="none"/>
        </w:rPr>
      </w:pPr>
    </w:p>
    <w:p w14:paraId="041CF109">
      <w:pPr>
        <w:pStyle w:val="24"/>
        <w:spacing w:line="360" w:lineRule="auto"/>
        <w:rPr>
          <w:rFonts w:hAnsi="宋体"/>
          <w:color w:val="auto"/>
          <w:sz w:val="24"/>
          <w:szCs w:val="24"/>
          <w:highlight w:val="none"/>
        </w:rPr>
      </w:pPr>
    </w:p>
    <w:p w14:paraId="3D245080">
      <w:pPr>
        <w:pStyle w:val="24"/>
        <w:spacing w:line="360" w:lineRule="auto"/>
        <w:rPr>
          <w:rFonts w:hAnsi="宋体"/>
          <w:color w:val="auto"/>
          <w:sz w:val="24"/>
          <w:szCs w:val="24"/>
          <w:highlight w:val="none"/>
        </w:rPr>
      </w:pPr>
      <w:r>
        <w:rPr>
          <w:rFonts w:hint="eastAsia" w:hAnsi="宋体"/>
          <w:color w:val="auto"/>
          <w:sz w:val="24"/>
          <w:szCs w:val="24"/>
          <w:highlight w:val="none"/>
        </w:rPr>
        <w:t xml:space="preserve">                        </w:t>
      </w:r>
    </w:p>
    <w:p w14:paraId="5D097FC5">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00672B1F">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3349D62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150DDC6B">
      <w:pPr>
        <w:adjustRightInd w:val="0"/>
        <w:snapToGrid w:val="0"/>
        <w:spacing w:line="360" w:lineRule="auto"/>
        <w:ind w:right="1470" w:rightChars="700"/>
        <w:rPr>
          <w:rFonts w:ascii="宋体" w:hAnsi="宋体" w:cs="宋体"/>
          <w:b/>
          <w:bCs/>
          <w:color w:val="auto"/>
          <w:spacing w:val="9"/>
          <w:sz w:val="24"/>
          <w:highlight w:val="none"/>
        </w:rPr>
      </w:pPr>
      <w:r>
        <w:rPr>
          <w:rFonts w:ascii="宋体" w:hAnsi="宋体"/>
          <w:color w:val="auto"/>
          <w:sz w:val="24"/>
          <w:highlight w:val="none"/>
        </w:rPr>
        <w:br w:type="page"/>
      </w:r>
      <w:r>
        <w:rPr>
          <w:rFonts w:hint="eastAsia" w:ascii="宋体" w:hAnsi="宋体" w:cs="宋体"/>
          <w:b/>
          <w:bCs/>
          <w:color w:val="auto"/>
          <w:spacing w:val="9"/>
          <w:sz w:val="24"/>
          <w:highlight w:val="none"/>
        </w:rPr>
        <w:t>附件11</w:t>
      </w:r>
    </w:p>
    <w:p w14:paraId="3593FBD4">
      <w:pPr>
        <w:spacing w:line="360" w:lineRule="auto"/>
        <w:ind w:left="2904"/>
        <w:rPr>
          <w:rFonts w:ascii="宋体" w:hAnsi="宋体" w:cs="宋体"/>
          <w:b/>
          <w:bCs/>
          <w:color w:val="auto"/>
          <w:sz w:val="43"/>
          <w:szCs w:val="43"/>
          <w:highlight w:val="none"/>
        </w:rPr>
      </w:pPr>
      <w:r>
        <w:rPr>
          <w:rFonts w:hint="eastAsia" w:ascii="宋体" w:hAnsi="宋体" w:cs="宋体"/>
          <w:b/>
          <w:bCs/>
          <w:color w:val="auto"/>
          <w:spacing w:val="9"/>
          <w:sz w:val="43"/>
          <w:szCs w:val="43"/>
          <w:highlight w:val="none"/>
        </w:rPr>
        <w:t>拟分包项目情况表</w:t>
      </w:r>
    </w:p>
    <w:p w14:paraId="4AE84B06">
      <w:pPr>
        <w:spacing w:line="360" w:lineRule="auto"/>
        <w:rPr>
          <w:rFonts w:ascii="宋体" w:hAnsi="宋体" w:cs="宋体"/>
          <w:color w:val="auto"/>
          <w:sz w:val="24"/>
          <w:highlight w:val="none"/>
        </w:rPr>
      </w:pPr>
    </w:p>
    <w:tbl>
      <w:tblPr>
        <w:tblStyle w:val="38"/>
        <w:tblW w:w="931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693"/>
        <w:gridCol w:w="751"/>
        <w:gridCol w:w="947"/>
        <w:gridCol w:w="1123"/>
        <w:gridCol w:w="1091"/>
        <w:gridCol w:w="1195"/>
        <w:gridCol w:w="1269"/>
        <w:gridCol w:w="676"/>
      </w:tblGrid>
      <w:tr w14:paraId="2EA24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restart"/>
            <w:tcBorders>
              <w:bottom w:val="nil"/>
            </w:tcBorders>
            <w:shd w:val="clear" w:color="auto" w:fill="auto"/>
            <w:textDirection w:val="tbRlV"/>
            <w:vAlign w:val="center"/>
          </w:tcPr>
          <w:p w14:paraId="2F231FE4">
            <w:pPr>
              <w:kinsoku w:val="0"/>
              <w:autoSpaceDE w:val="0"/>
              <w:autoSpaceDN w:val="0"/>
              <w:adjustRightInd w:val="0"/>
              <w:snapToGrid w:val="0"/>
              <w:spacing w:line="360" w:lineRule="auto"/>
              <w:ind w:left="202"/>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序</w:t>
            </w:r>
            <w:r>
              <w:rPr>
                <w:rFonts w:hint="eastAsia" w:ascii="宋体" w:hAnsi="宋体" w:cs="宋体"/>
                <w:snapToGrid w:val="0"/>
                <w:color w:val="auto"/>
                <w:spacing w:val="-6"/>
                <w:kern w:val="0"/>
                <w:sz w:val="24"/>
                <w:highlight w:val="none"/>
                <w:lang w:eastAsia="en-US"/>
              </w:rPr>
              <w:t xml:space="preserve"> </w:t>
            </w:r>
            <w:r>
              <w:rPr>
                <w:rFonts w:hint="eastAsia" w:ascii="宋体" w:hAnsi="宋体" w:cs="宋体"/>
                <w:snapToGrid w:val="0"/>
                <w:color w:val="auto"/>
                <w:spacing w:val="2"/>
                <w:kern w:val="0"/>
                <w:sz w:val="24"/>
                <w:highlight w:val="none"/>
                <w:lang w:eastAsia="en-US"/>
              </w:rPr>
              <w:t>号</w:t>
            </w:r>
          </w:p>
        </w:tc>
        <w:tc>
          <w:tcPr>
            <w:tcW w:w="1693" w:type="dxa"/>
            <w:vMerge w:val="restart"/>
            <w:tcBorders>
              <w:bottom w:val="nil"/>
            </w:tcBorders>
            <w:shd w:val="clear" w:color="auto" w:fill="auto"/>
            <w:vAlign w:val="center"/>
          </w:tcPr>
          <w:p w14:paraId="2BA45DDB">
            <w:pPr>
              <w:kinsoku w:val="0"/>
              <w:autoSpaceDE w:val="0"/>
              <w:autoSpaceDN w:val="0"/>
              <w:adjustRightInd w:val="0"/>
              <w:snapToGrid w:val="0"/>
              <w:spacing w:line="360" w:lineRule="auto"/>
              <w:ind w:left="115" w:right="106" w:firstLine="106"/>
              <w:jc w:val="center"/>
              <w:textAlignment w:val="baseline"/>
              <w:rPr>
                <w:rFonts w:ascii="宋体" w:hAnsi="宋体" w:cs="宋体"/>
                <w:snapToGrid w:val="0"/>
                <w:color w:val="auto"/>
                <w:kern w:val="0"/>
                <w:sz w:val="24"/>
                <w:highlight w:val="none"/>
              </w:rPr>
            </w:pPr>
            <w:r>
              <w:rPr>
                <w:rFonts w:hint="eastAsia" w:ascii="宋体" w:hAnsi="宋体" w:cs="宋体"/>
                <w:snapToGrid w:val="0"/>
                <w:color w:val="auto"/>
                <w:spacing w:val="-1"/>
                <w:kern w:val="0"/>
                <w:sz w:val="24"/>
                <w:highlight w:val="none"/>
              </w:rPr>
              <w:t>拟分包项目名称、范围及理由</w:t>
            </w:r>
          </w:p>
        </w:tc>
        <w:tc>
          <w:tcPr>
            <w:tcW w:w="6376" w:type="dxa"/>
            <w:gridSpan w:val="6"/>
            <w:shd w:val="clear" w:color="auto" w:fill="auto"/>
            <w:vAlign w:val="center"/>
          </w:tcPr>
          <w:p w14:paraId="68CDDE4C">
            <w:pPr>
              <w:kinsoku w:val="0"/>
              <w:autoSpaceDE w:val="0"/>
              <w:autoSpaceDN w:val="0"/>
              <w:adjustRightInd w:val="0"/>
              <w:snapToGrid w:val="0"/>
              <w:spacing w:line="360" w:lineRule="auto"/>
              <w:ind w:left="2668"/>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w:t>
            </w:r>
          </w:p>
        </w:tc>
        <w:tc>
          <w:tcPr>
            <w:tcW w:w="676" w:type="dxa"/>
            <w:vMerge w:val="restart"/>
            <w:tcBorders>
              <w:bottom w:val="nil"/>
            </w:tcBorders>
            <w:shd w:val="clear" w:color="auto" w:fill="auto"/>
          </w:tcPr>
          <w:p w14:paraId="62477C63">
            <w:pPr>
              <w:spacing w:line="360" w:lineRule="auto"/>
              <w:rPr>
                <w:rFonts w:ascii="宋体" w:hAnsi="宋体" w:cs="宋体"/>
                <w:color w:val="auto"/>
                <w:sz w:val="24"/>
                <w:highlight w:val="none"/>
              </w:rPr>
            </w:pPr>
          </w:p>
          <w:p w14:paraId="30237312">
            <w:pPr>
              <w:kinsoku w:val="0"/>
              <w:autoSpaceDE w:val="0"/>
              <w:autoSpaceDN w:val="0"/>
              <w:adjustRightInd w:val="0"/>
              <w:snapToGrid w:val="0"/>
              <w:spacing w:line="360" w:lineRule="auto"/>
              <w:ind w:left="135"/>
              <w:jc w:val="left"/>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备注</w:t>
            </w:r>
          </w:p>
        </w:tc>
      </w:tr>
      <w:tr w14:paraId="5D7A8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71" w:type="dxa"/>
            <w:vMerge w:val="continue"/>
            <w:tcBorders>
              <w:top w:val="nil"/>
            </w:tcBorders>
            <w:shd w:val="clear" w:color="auto" w:fill="auto"/>
            <w:textDirection w:val="tbRlV"/>
            <w:vAlign w:val="center"/>
          </w:tcPr>
          <w:p w14:paraId="3E3EFE48">
            <w:pPr>
              <w:spacing w:line="360" w:lineRule="auto"/>
              <w:jc w:val="center"/>
              <w:rPr>
                <w:rFonts w:ascii="宋体" w:hAnsi="宋体" w:cs="宋体"/>
                <w:color w:val="auto"/>
                <w:sz w:val="24"/>
                <w:highlight w:val="none"/>
              </w:rPr>
            </w:pPr>
          </w:p>
        </w:tc>
        <w:tc>
          <w:tcPr>
            <w:tcW w:w="1693" w:type="dxa"/>
            <w:vMerge w:val="continue"/>
            <w:tcBorders>
              <w:top w:val="nil"/>
            </w:tcBorders>
            <w:shd w:val="clear" w:color="auto" w:fill="auto"/>
            <w:vAlign w:val="center"/>
          </w:tcPr>
          <w:p w14:paraId="79CFFF40">
            <w:pPr>
              <w:spacing w:line="360" w:lineRule="auto"/>
              <w:jc w:val="center"/>
              <w:rPr>
                <w:rFonts w:ascii="宋体" w:hAnsi="宋体" w:cs="宋体"/>
                <w:color w:val="auto"/>
                <w:sz w:val="24"/>
                <w:highlight w:val="none"/>
              </w:rPr>
            </w:pPr>
          </w:p>
        </w:tc>
        <w:tc>
          <w:tcPr>
            <w:tcW w:w="1698" w:type="dxa"/>
            <w:gridSpan w:val="2"/>
            <w:shd w:val="clear" w:color="auto" w:fill="auto"/>
            <w:vAlign w:val="center"/>
          </w:tcPr>
          <w:p w14:paraId="73BE68E5">
            <w:pPr>
              <w:kinsoku w:val="0"/>
              <w:autoSpaceDE w:val="0"/>
              <w:autoSpaceDN w:val="0"/>
              <w:adjustRightInd w:val="0"/>
              <w:snapToGrid w:val="0"/>
              <w:spacing w:line="360" w:lineRule="auto"/>
              <w:ind w:left="120"/>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拟选分包人名称</w:t>
            </w:r>
          </w:p>
        </w:tc>
        <w:tc>
          <w:tcPr>
            <w:tcW w:w="1123" w:type="dxa"/>
            <w:shd w:val="clear" w:color="auto" w:fill="auto"/>
            <w:vAlign w:val="center"/>
          </w:tcPr>
          <w:p w14:paraId="0DB65642">
            <w:pPr>
              <w:kinsoku w:val="0"/>
              <w:autoSpaceDE w:val="0"/>
              <w:autoSpaceDN w:val="0"/>
              <w:adjustRightInd w:val="0"/>
              <w:snapToGrid w:val="0"/>
              <w:spacing w:line="360" w:lineRule="auto"/>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注册地点</w:t>
            </w:r>
          </w:p>
        </w:tc>
        <w:tc>
          <w:tcPr>
            <w:tcW w:w="1091" w:type="dxa"/>
            <w:shd w:val="clear" w:color="auto" w:fill="auto"/>
            <w:vAlign w:val="center"/>
          </w:tcPr>
          <w:p w14:paraId="30D641AA">
            <w:pPr>
              <w:kinsoku w:val="0"/>
              <w:autoSpaceDE w:val="0"/>
              <w:autoSpaceDN w:val="0"/>
              <w:adjustRightInd w:val="0"/>
              <w:snapToGrid w:val="0"/>
              <w:spacing w:line="360" w:lineRule="auto"/>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3"/>
                <w:kern w:val="0"/>
                <w:sz w:val="24"/>
                <w:highlight w:val="none"/>
                <w:lang w:eastAsia="en-US"/>
              </w:rPr>
              <w:t>企业资质</w:t>
            </w:r>
          </w:p>
        </w:tc>
        <w:tc>
          <w:tcPr>
            <w:tcW w:w="1195" w:type="dxa"/>
            <w:shd w:val="clear" w:color="auto" w:fill="auto"/>
            <w:vAlign w:val="center"/>
          </w:tcPr>
          <w:p w14:paraId="661FEC97">
            <w:pPr>
              <w:kinsoku w:val="0"/>
              <w:autoSpaceDE w:val="0"/>
              <w:autoSpaceDN w:val="0"/>
              <w:adjustRightInd w:val="0"/>
              <w:snapToGrid w:val="0"/>
              <w:spacing w:line="360" w:lineRule="auto"/>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2"/>
                <w:kern w:val="0"/>
                <w:sz w:val="24"/>
                <w:highlight w:val="none"/>
                <w:lang w:eastAsia="en-US"/>
              </w:rPr>
              <w:t>有关业绩</w:t>
            </w:r>
          </w:p>
        </w:tc>
        <w:tc>
          <w:tcPr>
            <w:tcW w:w="1269" w:type="dxa"/>
            <w:shd w:val="clear" w:color="auto" w:fill="auto"/>
            <w:vAlign w:val="center"/>
          </w:tcPr>
          <w:p w14:paraId="14D78B3E">
            <w:pPr>
              <w:kinsoku w:val="0"/>
              <w:autoSpaceDE w:val="0"/>
              <w:autoSpaceDN w:val="0"/>
              <w:adjustRightInd w:val="0"/>
              <w:snapToGrid w:val="0"/>
              <w:spacing w:line="360" w:lineRule="auto"/>
              <w:ind w:left="117"/>
              <w:jc w:val="center"/>
              <w:textAlignment w:val="baseline"/>
              <w:rPr>
                <w:rFonts w:ascii="宋体" w:hAnsi="宋体" w:cs="宋体"/>
                <w:snapToGrid w:val="0"/>
                <w:color w:val="auto"/>
                <w:kern w:val="0"/>
                <w:sz w:val="24"/>
                <w:highlight w:val="none"/>
                <w:lang w:eastAsia="en-US"/>
              </w:rPr>
            </w:pPr>
            <w:r>
              <w:rPr>
                <w:rFonts w:hint="eastAsia" w:ascii="宋体" w:hAnsi="宋体" w:cs="宋体"/>
                <w:snapToGrid w:val="0"/>
                <w:color w:val="auto"/>
                <w:spacing w:val="-1"/>
                <w:kern w:val="0"/>
                <w:sz w:val="24"/>
                <w:highlight w:val="none"/>
                <w:lang w:eastAsia="en-US"/>
              </w:rPr>
              <w:t>拟分包金额</w:t>
            </w:r>
          </w:p>
        </w:tc>
        <w:tc>
          <w:tcPr>
            <w:tcW w:w="676" w:type="dxa"/>
            <w:vMerge w:val="continue"/>
            <w:tcBorders>
              <w:top w:val="nil"/>
            </w:tcBorders>
            <w:shd w:val="clear" w:color="auto" w:fill="auto"/>
          </w:tcPr>
          <w:p w14:paraId="2C53605B">
            <w:pPr>
              <w:spacing w:line="360" w:lineRule="auto"/>
              <w:rPr>
                <w:rFonts w:ascii="宋体" w:hAnsi="宋体" w:cs="宋体"/>
                <w:color w:val="auto"/>
                <w:sz w:val="24"/>
                <w:highlight w:val="none"/>
              </w:rPr>
            </w:pPr>
          </w:p>
        </w:tc>
      </w:tr>
      <w:tr w14:paraId="68692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04C87118">
            <w:pPr>
              <w:spacing w:line="360" w:lineRule="auto"/>
              <w:rPr>
                <w:rFonts w:ascii="宋体" w:hAnsi="宋体" w:cs="宋体"/>
                <w:color w:val="auto"/>
                <w:sz w:val="24"/>
                <w:highlight w:val="none"/>
              </w:rPr>
            </w:pPr>
          </w:p>
        </w:tc>
        <w:tc>
          <w:tcPr>
            <w:tcW w:w="1693" w:type="dxa"/>
            <w:vMerge w:val="restart"/>
            <w:tcBorders>
              <w:bottom w:val="nil"/>
            </w:tcBorders>
            <w:shd w:val="clear" w:color="auto" w:fill="auto"/>
          </w:tcPr>
          <w:p w14:paraId="5856E653">
            <w:pPr>
              <w:spacing w:line="360" w:lineRule="auto"/>
              <w:rPr>
                <w:rFonts w:ascii="宋体" w:hAnsi="宋体" w:cs="宋体"/>
                <w:color w:val="auto"/>
                <w:sz w:val="24"/>
                <w:highlight w:val="none"/>
              </w:rPr>
            </w:pPr>
          </w:p>
        </w:tc>
        <w:tc>
          <w:tcPr>
            <w:tcW w:w="751" w:type="dxa"/>
            <w:shd w:val="clear" w:color="auto" w:fill="auto"/>
          </w:tcPr>
          <w:p w14:paraId="3C533733">
            <w:pPr>
              <w:spacing w:line="360" w:lineRule="auto"/>
              <w:ind w:left="342"/>
              <w:rPr>
                <w:rFonts w:ascii="宋体" w:hAnsi="宋体" w:cs="宋体"/>
                <w:color w:val="auto"/>
                <w:sz w:val="24"/>
                <w:highlight w:val="none"/>
              </w:rPr>
            </w:pPr>
            <w:r>
              <w:rPr>
                <w:rFonts w:hint="eastAsia" w:ascii="宋体" w:hAnsi="宋体" w:cs="宋体"/>
                <w:color w:val="auto"/>
                <w:sz w:val="24"/>
                <w:highlight w:val="none"/>
              </w:rPr>
              <w:t>1</w:t>
            </w:r>
          </w:p>
        </w:tc>
        <w:tc>
          <w:tcPr>
            <w:tcW w:w="947" w:type="dxa"/>
            <w:shd w:val="clear" w:color="auto" w:fill="auto"/>
          </w:tcPr>
          <w:p w14:paraId="47EDBF51">
            <w:pPr>
              <w:spacing w:line="360" w:lineRule="auto"/>
              <w:rPr>
                <w:rFonts w:ascii="宋体" w:hAnsi="宋体" w:cs="宋体"/>
                <w:color w:val="auto"/>
                <w:sz w:val="24"/>
                <w:highlight w:val="none"/>
              </w:rPr>
            </w:pPr>
          </w:p>
        </w:tc>
        <w:tc>
          <w:tcPr>
            <w:tcW w:w="1123" w:type="dxa"/>
            <w:shd w:val="clear" w:color="auto" w:fill="auto"/>
          </w:tcPr>
          <w:p w14:paraId="77A1FA55">
            <w:pPr>
              <w:spacing w:line="360" w:lineRule="auto"/>
              <w:rPr>
                <w:rFonts w:ascii="宋体" w:hAnsi="宋体" w:cs="宋体"/>
                <w:color w:val="auto"/>
                <w:sz w:val="24"/>
                <w:highlight w:val="none"/>
              </w:rPr>
            </w:pPr>
          </w:p>
        </w:tc>
        <w:tc>
          <w:tcPr>
            <w:tcW w:w="1091" w:type="dxa"/>
            <w:shd w:val="clear" w:color="auto" w:fill="auto"/>
          </w:tcPr>
          <w:p w14:paraId="0C7B0E2B">
            <w:pPr>
              <w:spacing w:line="360" w:lineRule="auto"/>
              <w:rPr>
                <w:rFonts w:ascii="宋体" w:hAnsi="宋体" w:cs="宋体"/>
                <w:color w:val="auto"/>
                <w:sz w:val="24"/>
                <w:highlight w:val="none"/>
              </w:rPr>
            </w:pPr>
          </w:p>
        </w:tc>
        <w:tc>
          <w:tcPr>
            <w:tcW w:w="1195" w:type="dxa"/>
            <w:shd w:val="clear" w:color="auto" w:fill="auto"/>
          </w:tcPr>
          <w:p w14:paraId="253EFB12">
            <w:pPr>
              <w:spacing w:line="360" w:lineRule="auto"/>
              <w:rPr>
                <w:rFonts w:ascii="宋体" w:hAnsi="宋体" w:cs="宋体"/>
                <w:color w:val="auto"/>
                <w:sz w:val="24"/>
                <w:highlight w:val="none"/>
              </w:rPr>
            </w:pPr>
          </w:p>
        </w:tc>
        <w:tc>
          <w:tcPr>
            <w:tcW w:w="1269" w:type="dxa"/>
            <w:shd w:val="clear" w:color="auto" w:fill="auto"/>
          </w:tcPr>
          <w:p w14:paraId="2EFACD8C">
            <w:pPr>
              <w:spacing w:line="360" w:lineRule="auto"/>
              <w:rPr>
                <w:rFonts w:ascii="宋体" w:hAnsi="宋体" w:cs="宋体"/>
                <w:color w:val="auto"/>
                <w:sz w:val="24"/>
                <w:highlight w:val="none"/>
              </w:rPr>
            </w:pPr>
          </w:p>
        </w:tc>
        <w:tc>
          <w:tcPr>
            <w:tcW w:w="676" w:type="dxa"/>
            <w:shd w:val="clear" w:color="auto" w:fill="auto"/>
          </w:tcPr>
          <w:p w14:paraId="050A9172">
            <w:pPr>
              <w:spacing w:line="360" w:lineRule="auto"/>
              <w:rPr>
                <w:rFonts w:ascii="宋体" w:hAnsi="宋体" w:cs="宋体"/>
                <w:color w:val="auto"/>
                <w:sz w:val="24"/>
                <w:highlight w:val="none"/>
              </w:rPr>
            </w:pPr>
          </w:p>
        </w:tc>
      </w:tr>
      <w:tr w14:paraId="06F64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51E8902D">
            <w:pPr>
              <w:spacing w:line="360" w:lineRule="auto"/>
              <w:rPr>
                <w:rFonts w:ascii="宋体" w:hAnsi="宋体" w:cs="宋体"/>
                <w:color w:val="auto"/>
                <w:sz w:val="24"/>
                <w:highlight w:val="none"/>
              </w:rPr>
            </w:pPr>
          </w:p>
        </w:tc>
        <w:tc>
          <w:tcPr>
            <w:tcW w:w="1693" w:type="dxa"/>
            <w:vMerge w:val="continue"/>
            <w:tcBorders>
              <w:top w:val="nil"/>
              <w:bottom w:val="nil"/>
            </w:tcBorders>
            <w:shd w:val="clear" w:color="auto" w:fill="auto"/>
          </w:tcPr>
          <w:p w14:paraId="1D74841D">
            <w:pPr>
              <w:spacing w:line="360" w:lineRule="auto"/>
              <w:rPr>
                <w:rFonts w:ascii="宋体" w:hAnsi="宋体" w:cs="宋体"/>
                <w:color w:val="auto"/>
                <w:sz w:val="24"/>
                <w:highlight w:val="none"/>
              </w:rPr>
            </w:pPr>
          </w:p>
        </w:tc>
        <w:tc>
          <w:tcPr>
            <w:tcW w:w="751" w:type="dxa"/>
            <w:shd w:val="clear" w:color="auto" w:fill="auto"/>
          </w:tcPr>
          <w:p w14:paraId="461B9998">
            <w:pPr>
              <w:spacing w:line="360" w:lineRule="auto"/>
              <w:ind w:left="322"/>
              <w:rPr>
                <w:rFonts w:ascii="宋体" w:hAnsi="宋体" w:cs="宋体"/>
                <w:color w:val="auto"/>
                <w:sz w:val="24"/>
                <w:highlight w:val="none"/>
              </w:rPr>
            </w:pPr>
            <w:r>
              <w:rPr>
                <w:rFonts w:hint="eastAsia" w:ascii="宋体" w:hAnsi="宋体" w:cs="宋体"/>
                <w:color w:val="auto"/>
                <w:sz w:val="24"/>
                <w:highlight w:val="none"/>
              </w:rPr>
              <w:t>2</w:t>
            </w:r>
          </w:p>
        </w:tc>
        <w:tc>
          <w:tcPr>
            <w:tcW w:w="947" w:type="dxa"/>
            <w:shd w:val="clear" w:color="auto" w:fill="auto"/>
          </w:tcPr>
          <w:p w14:paraId="3A7E861F">
            <w:pPr>
              <w:spacing w:line="360" w:lineRule="auto"/>
              <w:rPr>
                <w:rFonts w:ascii="宋体" w:hAnsi="宋体" w:cs="宋体"/>
                <w:color w:val="auto"/>
                <w:sz w:val="24"/>
                <w:highlight w:val="none"/>
              </w:rPr>
            </w:pPr>
          </w:p>
        </w:tc>
        <w:tc>
          <w:tcPr>
            <w:tcW w:w="1123" w:type="dxa"/>
            <w:shd w:val="clear" w:color="auto" w:fill="auto"/>
          </w:tcPr>
          <w:p w14:paraId="693EBCE0">
            <w:pPr>
              <w:spacing w:line="360" w:lineRule="auto"/>
              <w:rPr>
                <w:rFonts w:ascii="宋体" w:hAnsi="宋体" w:cs="宋体"/>
                <w:color w:val="auto"/>
                <w:sz w:val="24"/>
                <w:highlight w:val="none"/>
              </w:rPr>
            </w:pPr>
          </w:p>
        </w:tc>
        <w:tc>
          <w:tcPr>
            <w:tcW w:w="1091" w:type="dxa"/>
            <w:shd w:val="clear" w:color="auto" w:fill="auto"/>
          </w:tcPr>
          <w:p w14:paraId="7C120185">
            <w:pPr>
              <w:spacing w:line="360" w:lineRule="auto"/>
              <w:rPr>
                <w:rFonts w:ascii="宋体" w:hAnsi="宋体" w:cs="宋体"/>
                <w:color w:val="auto"/>
                <w:sz w:val="24"/>
                <w:highlight w:val="none"/>
              </w:rPr>
            </w:pPr>
          </w:p>
        </w:tc>
        <w:tc>
          <w:tcPr>
            <w:tcW w:w="1195" w:type="dxa"/>
            <w:shd w:val="clear" w:color="auto" w:fill="auto"/>
          </w:tcPr>
          <w:p w14:paraId="1C63AFE4">
            <w:pPr>
              <w:spacing w:line="360" w:lineRule="auto"/>
              <w:rPr>
                <w:rFonts w:ascii="宋体" w:hAnsi="宋体" w:cs="宋体"/>
                <w:color w:val="auto"/>
                <w:sz w:val="24"/>
                <w:highlight w:val="none"/>
              </w:rPr>
            </w:pPr>
          </w:p>
        </w:tc>
        <w:tc>
          <w:tcPr>
            <w:tcW w:w="1269" w:type="dxa"/>
            <w:shd w:val="clear" w:color="auto" w:fill="auto"/>
          </w:tcPr>
          <w:p w14:paraId="0523F9FB">
            <w:pPr>
              <w:spacing w:line="360" w:lineRule="auto"/>
              <w:rPr>
                <w:rFonts w:ascii="宋体" w:hAnsi="宋体" w:cs="宋体"/>
                <w:color w:val="auto"/>
                <w:sz w:val="24"/>
                <w:highlight w:val="none"/>
              </w:rPr>
            </w:pPr>
          </w:p>
        </w:tc>
        <w:tc>
          <w:tcPr>
            <w:tcW w:w="676" w:type="dxa"/>
            <w:shd w:val="clear" w:color="auto" w:fill="auto"/>
          </w:tcPr>
          <w:p w14:paraId="3F2B6E4C">
            <w:pPr>
              <w:spacing w:line="360" w:lineRule="auto"/>
              <w:rPr>
                <w:rFonts w:ascii="宋体" w:hAnsi="宋体" w:cs="宋体"/>
                <w:color w:val="auto"/>
                <w:sz w:val="24"/>
                <w:highlight w:val="none"/>
              </w:rPr>
            </w:pPr>
          </w:p>
        </w:tc>
      </w:tr>
      <w:tr w14:paraId="7D969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tcBorders>
            <w:shd w:val="clear" w:color="auto" w:fill="auto"/>
          </w:tcPr>
          <w:p w14:paraId="3BEE2EAA">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687FF9F8">
            <w:pPr>
              <w:spacing w:line="360" w:lineRule="auto"/>
              <w:rPr>
                <w:rFonts w:ascii="宋体" w:hAnsi="宋体" w:cs="宋体"/>
                <w:color w:val="auto"/>
                <w:sz w:val="24"/>
                <w:highlight w:val="none"/>
              </w:rPr>
            </w:pPr>
          </w:p>
        </w:tc>
        <w:tc>
          <w:tcPr>
            <w:tcW w:w="751" w:type="dxa"/>
            <w:shd w:val="clear" w:color="auto" w:fill="auto"/>
          </w:tcPr>
          <w:p w14:paraId="65906902">
            <w:pPr>
              <w:spacing w:line="360" w:lineRule="auto"/>
              <w:ind w:left="326"/>
              <w:rPr>
                <w:rFonts w:ascii="宋体" w:hAnsi="宋体" w:cs="宋体"/>
                <w:color w:val="auto"/>
                <w:sz w:val="24"/>
                <w:highlight w:val="none"/>
              </w:rPr>
            </w:pPr>
            <w:r>
              <w:rPr>
                <w:rFonts w:hint="eastAsia" w:ascii="宋体" w:hAnsi="宋体" w:cs="宋体"/>
                <w:color w:val="auto"/>
                <w:sz w:val="24"/>
                <w:highlight w:val="none"/>
              </w:rPr>
              <w:t>3</w:t>
            </w:r>
          </w:p>
        </w:tc>
        <w:tc>
          <w:tcPr>
            <w:tcW w:w="947" w:type="dxa"/>
            <w:shd w:val="clear" w:color="auto" w:fill="auto"/>
          </w:tcPr>
          <w:p w14:paraId="2E7B0185">
            <w:pPr>
              <w:spacing w:line="360" w:lineRule="auto"/>
              <w:rPr>
                <w:rFonts w:ascii="宋体" w:hAnsi="宋体" w:cs="宋体"/>
                <w:color w:val="auto"/>
                <w:sz w:val="24"/>
                <w:highlight w:val="none"/>
              </w:rPr>
            </w:pPr>
          </w:p>
        </w:tc>
        <w:tc>
          <w:tcPr>
            <w:tcW w:w="1123" w:type="dxa"/>
            <w:shd w:val="clear" w:color="auto" w:fill="auto"/>
          </w:tcPr>
          <w:p w14:paraId="3195A980">
            <w:pPr>
              <w:spacing w:line="360" w:lineRule="auto"/>
              <w:rPr>
                <w:rFonts w:ascii="宋体" w:hAnsi="宋体" w:cs="宋体"/>
                <w:color w:val="auto"/>
                <w:sz w:val="24"/>
                <w:highlight w:val="none"/>
              </w:rPr>
            </w:pPr>
          </w:p>
        </w:tc>
        <w:tc>
          <w:tcPr>
            <w:tcW w:w="1091" w:type="dxa"/>
            <w:shd w:val="clear" w:color="auto" w:fill="auto"/>
          </w:tcPr>
          <w:p w14:paraId="312C1C9A">
            <w:pPr>
              <w:spacing w:line="360" w:lineRule="auto"/>
              <w:rPr>
                <w:rFonts w:ascii="宋体" w:hAnsi="宋体" w:cs="宋体"/>
                <w:color w:val="auto"/>
                <w:sz w:val="24"/>
                <w:highlight w:val="none"/>
              </w:rPr>
            </w:pPr>
          </w:p>
        </w:tc>
        <w:tc>
          <w:tcPr>
            <w:tcW w:w="1195" w:type="dxa"/>
            <w:shd w:val="clear" w:color="auto" w:fill="auto"/>
          </w:tcPr>
          <w:p w14:paraId="00014703">
            <w:pPr>
              <w:spacing w:line="360" w:lineRule="auto"/>
              <w:rPr>
                <w:rFonts w:ascii="宋体" w:hAnsi="宋体" w:cs="宋体"/>
                <w:color w:val="auto"/>
                <w:sz w:val="24"/>
                <w:highlight w:val="none"/>
              </w:rPr>
            </w:pPr>
          </w:p>
        </w:tc>
        <w:tc>
          <w:tcPr>
            <w:tcW w:w="1269" w:type="dxa"/>
            <w:shd w:val="clear" w:color="auto" w:fill="auto"/>
          </w:tcPr>
          <w:p w14:paraId="74AEFE5C">
            <w:pPr>
              <w:spacing w:line="360" w:lineRule="auto"/>
              <w:rPr>
                <w:rFonts w:ascii="宋体" w:hAnsi="宋体" w:cs="宋体"/>
                <w:color w:val="auto"/>
                <w:sz w:val="24"/>
                <w:highlight w:val="none"/>
              </w:rPr>
            </w:pPr>
          </w:p>
        </w:tc>
        <w:tc>
          <w:tcPr>
            <w:tcW w:w="676" w:type="dxa"/>
            <w:shd w:val="clear" w:color="auto" w:fill="auto"/>
          </w:tcPr>
          <w:p w14:paraId="528B6BA0">
            <w:pPr>
              <w:spacing w:line="360" w:lineRule="auto"/>
              <w:rPr>
                <w:rFonts w:ascii="宋体" w:hAnsi="宋体" w:cs="宋体"/>
                <w:color w:val="auto"/>
                <w:sz w:val="24"/>
                <w:highlight w:val="none"/>
              </w:rPr>
            </w:pPr>
          </w:p>
        </w:tc>
      </w:tr>
      <w:tr w14:paraId="36F66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347DDAEE">
            <w:pPr>
              <w:spacing w:line="360" w:lineRule="auto"/>
              <w:rPr>
                <w:rFonts w:ascii="宋体" w:hAnsi="宋体" w:cs="宋体"/>
                <w:color w:val="auto"/>
                <w:sz w:val="24"/>
                <w:highlight w:val="none"/>
              </w:rPr>
            </w:pPr>
          </w:p>
        </w:tc>
        <w:tc>
          <w:tcPr>
            <w:tcW w:w="1693" w:type="dxa"/>
            <w:vMerge w:val="restart"/>
            <w:tcBorders>
              <w:bottom w:val="nil"/>
            </w:tcBorders>
            <w:shd w:val="clear" w:color="auto" w:fill="auto"/>
          </w:tcPr>
          <w:p w14:paraId="2139629B">
            <w:pPr>
              <w:spacing w:line="360" w:lineRule="auto"/>
              <w:rPr>
                <w:rFonts w:ascii="宋体" w:hAnsi="宋体" w:cs="宋体"/>
                <w:color w:val="auto"/>
                <w:sz w:val="24"/>
                <w:highlight w:val="none"/>
              </w:rPr>
            </w:pPr>
          </w:p>
        </w:tc>
        <w:tc>
          <w:tcPr>
            <w:tcW w:w="751" w:type="dxa"/>
            <w:shd w:val="clear" w:color="auto" w:fill="auto"/>
          </w:tcPr>
          <w:p w14:paraId="5D31F781">
            <w:pPr>
              <w:spacing w:line="360" w:lineRule="auto"/>
              <w:ind w:left="342"/>
              <w:rPr>
                <w:rFonts w:ascii="宋体" w:hAnsi="宋体" w:cs="宋体"/>
                <w:color w:val="auto"/>
                <w:sz w:val="24"/>
                <w:highlight w:val="none"/>
              </w:rPr>
            </w:pPr>
            <w:r>
              <w:rPr>
                <w:rFonts w:hint="eastAsia" w:ascii="宋体" w:hAnsi="宋体" w:cs="宋体"/>
                <w:color w:val="auto"/>
                <w:sz w:val="24"/>
                <w:highlight w:val="none"/>
              </w:rPr>
              <w:t>1</w:t>
            </w:r>
          </w:p>
        </w:tc>
        <w:tc>
          <w:tcPr>
            <w:tcW w:w="947" w:type="dxa"/>
            <w:shd w:val="clear" w:color="auto" w:fill="auto"/>
          </w:tcPr>
          <w:p w14:paraId="5695F359">
            <w:pPr>
              <w:spacing w:line="360" w:lineRule="auto"/>
              <w:rPr>
                <w:rFonts w:ascii="宋体" w:hAnsi="宋体" w:cs="宋体"/>
                <w:color w:val="auto"/>
                <w:sz w:val="24"/>
                <w:highlight w:val="none"/>
              </w:rPr>
            </w:pPr>
          </w:p>
        </w:tc>
        <w:tc>
          <w:tcPr>
            <w:tcW w:w="1123" w:type="dxa"/>
            <w:shd w:val="clear" w:color="auto" w:fill="auto"/>
          </w:tcPr>
          <w:p w14:paraId="6859EA91">
            <w:pPr>
              <w:spacing w:line="360" w:lineRule="auto"/>
              <w:rPr>
                <w:rFonts w:ascii="宋体" w:hAnsi="宋体" w:cs="宋体"/>
                <w:color w:val="auto"/>
                <w:sz w:val="24"/>
                <w:highlight w:val="none"/>
              </w:rPr>
            </w:pPr>
          </w:p>
        </w:tc>
        <w:tc>
          <w:tcPr>
            <w:tcW w:w="1091" w:type="dxa"/>
            <w:shd w:val="clear" w:color="auto" w:fill="auto"/>
          </w:tcPr>
          <w:p w14:paraId="73EB694E">
            <w:pPr>
              <w:spacing w:line="360" w:lineRule="auto"/>
              <w:rPr>
                <w:rFonts w:ascii="宋体" w:hAnsi="宋体" w:cs="宋体"/>
                <w:color w:val="auto"/>
                <w:sz w:val="24"/>
                <w:highlight w:val="none"/>
              </w:rPr>
            </w:pPr>
          </w:p>
        </w:tc>
        <w:tc>
          <w:tcPr>
            <w:tcW w:w="1195" w:type="dxa"/>
            <w:shd w:val="clear" w:color="auto" w:fill="auto"/>
          </w:tcPr>
          <w:p w14:paraId="4417DE22">
            <w:pPr>
              <w:spacing w:line="360" w:lineRule="auto"/>
              <w:rPr>
                <w:rFonts w:ascii="宋体" w:hAnsi="宋体" w:cs="宋体"/>
                <w:color w:val="auto"/>
                <w:sz w:val="24"/>
                <w:highlight w:val="none"/>
              </w:rPr>
            </w:pPr>
          </w:p>
        </w:tc>
        <w:tc>
          <w:tcPr>
            <w:tcW w:w="1269" w:type="dxa"/>
            <w:shd w:val="clear" w:color="auto" w:fill="auto"/>
          </w:tcPr>
          <w:p w14:paraId="502F2938">
            <w:pPr>
              <w:spacing w:line="360" w:lineRule="auto"/>
              <w:rPr>
                <w:rFonts w:ascii="宋体" w:hAnsi="宋体" w:cs="宋体"/>
                <w:color w:val="auto"/>
                <w:sz w:val="24"/>
                <w:highlight w:val="none"/>
              </w:rPr>
            </w:pPr>
          </w:p>
        </w:tc>
        <w:tc>
          <w:tcPr>
            <w:tcW w:w="676" w:type="dxa"/>
            <w:shd w:val="clear" w:color="auto" w:fill="auto"/>
          </w:tcPr>
          <w:p w14:paraId="4E79A11C">
            <w:pPr>
              <w:spacing w:line="360" w:lineRule="auto"/>
              <w:rPr>
                <w:rFonts w:ascii="宋体" w:hAnsi="宋体" w:cs="宋体"/>
                <w:color w:val="auto"/>
                <w:sz w:val="24"/>
                <w:highlight w:val="none"/>
              </w:rPr>
            </w:pPr>
          </w:p>
        </w:tc>
      </w:tr>
      <w:tr w14:paraId="2F05E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199AD648">
            <w:pPr>
              <w:spacing w:line="360" w:lineRule="auto"/>
              <w:rPr>
                <w:rFonts w:ascii="宋体" w:hAnsi="宋体" w:cs="宋体"/>
                <w:color w:val="auto"/>
                <w:sz w:val="24"/>
                <w:highlight w:val="none"/>
              </w:rPr>
            </w:pPr>
          </w:p>
        </w:tc>
        <w:tc>
          <w:tcPr>
            <w:tcW w:w="1693" w:type="dxa"/>
            <w:vMerge w:val="continue"/>
            <w:tcBorders>
              <w:top w:val="nil"/>
              <w:bottom w:val="nil"/>
            </w:tcBorders>
            <w:shd w:val="clear" w:color="auto" w:fill="auto"/>
          </w:tcPr>
          <w:p w14:paraId="70BEEFFF">
            <w:pPr>
              <w:spacing w:line="360" w:lineRule="auto"/>
              <w:rPr>
                <w:rFonts w:ascii="宋体" w:hAnsi="宋体" w:cs="宋体"/>
                <w:color w:val="auto"/>
                <w:sz w:val="24"/>
                <w:highlight w:val="none"/>
              </w:rPr>
            </w:pPr>
          </w:p>
        </w:tc>
        <w:tc>
          <w:tcPr>
            <w:tcW w:w="751" w:type="dxa"/>
            <w:shd w:val="clear" w:color="auto" w:fill="auto"/>
          </w:tcPr>
          <w:p w14:paraId="50E44816">
            <w:pPr>
              <w:spacing w:line="360" w:lineRule="auto"/>
              <w:ind w:left="322"/>
              <w:rPr>
                <w:rFonts w:ascii="宋体" w:hAnsi="宋体" w:cs="宋体"/>
                <w:color w:val="auto"/>
                <w:sz w:val="24"/>
                <w:highlight w:val="none"/>
              </w:rPr>
            </w:pPr>
            <w:r>
              <w:rPr>
                <w:rFonts w:hint="eastAsia" w:ascii="宋体" w:hAnsi="宋体" w:cs="宋体"/>
                <w:color w:val="auto"/>
                <w:sz w:val="24"/>
                <w:highlight w:val="none"/>
              </w:rPr>
              <w:t>2</w:t>
            </w:r>
          </w:p>
        </w:tc>
        <w:tc>
          <w:tcPr>
            <w:tcW w:w="947" w:type="dxa"/>
            <w:shd w:val="clear" w:color="auto" w:fill="auto"/>
          </w:tcPr>
          <w:p w14:paraId="7644D15A">
            <w:pPr>
              <w:spacing w:line="360" w:lineRule="auto"/>
              <w:rPr>
                <w:rFonts w:ascii="宋体" w:hAnsi="宋体" w:cs="宋体"/>
                <w:color w:val="auto"/>
                <w:sz w:val="24"/>
                <w:highlight w:val="none"/>
              </w:rPr>
            </w:pPr>
          </w:p>
        </w:tc>
        <w:tc>
          <w:tcPr>
            <w:tcW w:w="1123" w:type="dxa"/>
            <w:shd w:val="clear" w:color="auto" w:fill="auto"/>
          </w:tcPr>
          <w:p w14:paraId="16D32613">
            <w:pPr>
              <w:spacing w:line="360" w:lineRule="auto"/>
              <w:rPr>
                <w:rFonts w:ascii="宋体" w:hAnsi="宋体" w:cs="宋体"/>
                <w:color w:val="auto"/>
                <w:sz w:val="24"/>
                <w:highlight w:val="none"/>
              </w:rPr>
            </w:pPr>
          </w:p>
        </w:tc>
        <w:tc>
          <w:tcPr>
            <w:tcW w:w="1091" w:type="dxa"/>
            <w:shd w:val="clear" w:color="auto" w:fill="auto"/>
          </w:tcPr>
          <w:p w14:paraId="02B83451">
            <w:pPr>
              <w:spacing w:line="360" w:lineRule="auto"/>
              <w:rPr>
                <w:rFonts w:ascii="宋体" w:hAnsi="宋体" w:cs="宋体"/>
                <w:color w:val="auto"/>
                <w:sz w:val="24"/>
                <w:highlight w:val="none"/>
              </w:rPr>
            </w:pPr>
          </w:p>
        </w:tc>
        <w:tc>
          <w:tcPr>
            <w:tcW w:w="1195" w:type="dxa"/>
            <w:shd w:val="clear" w:color="auto" w:fill="auto"/>
          </w:tcPr>
          <w:p w14:paraId="5A80B6A8">
            <w:pPr>
              <w:spacing w:line="360" w:lineRule="auto"/>
              <w:rPr>
                <w:rFonts w:ascii="宋体" w:hAnsi="宋体" w:cs="宋体"/>
                <w:color w:val="auto"/>
                <w:sz w:val="24"/>
                <w:highlight w:val="none"/>
              </w:rPr>
            </w:pPr>
          </w:p>
        </w:tc>
        <w:tc>
          <w:tcPr>
            <w:tcW w:w="1269" w:type="dxa"/>
            <w:shd w:val="clear" w:color="auto" w:fill="auto"/>
          </w:tcPr>
          <w:p w14:paraId="0B68B233">
            <w:pPr>
              <w:spacing w:line="360" w:lineRule="auto"/>
              <w:rPr>
                <w:rFonts w:ascii="宋体" w:hAnsi="宋体" w:cs="宋体"/>
                <w:color w:val="auto"/>
                <w:sz w:val="24"/>
                <w:highlight w:val="none"/>
              </w:rPr>
            </w:pPr>
          </w:p>
        </w:tc>
        <w:tc>
          <w:tcPr>
            <w:tcW w:w="676" w:type="dxa"/>
            <w:shd w:val="clear" w:color="auto" w:fill="auto"/>
          </w:tcPr>
          <w:p w14:paraId="491786A3">
            <w:pPr>
              <w:spacing w:line="360" w:lineRule="auto"/>
              <w:rPr>
                <w:rFonts w:ascii="宋体" w:hAnsi="宋体" w:cs="宋体"/>
                <w:color w:val="auto"/>
                <w:sz w:val="24"/>
                <w:highlight w:val="none"/>
              </w:rPr>
            </w:pPr>
          </w:p>
        </w:tc>
      </w:tr>
      <w:tr w14:paraId="62D2B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continue"/>
            <w:tcBorders>
              <w:top w:val="nil"/>
            </w:tcBorders>
            <w:shd w:val="clear" w:color="auto" w:fill="auto"/>
          </w:tcPr>
          <w:p w14:paraId="7D622A4B">
            <w:pPr>
              <w:spacing w:line="360" w:lineRule="auto"/>
              <w:rPr>
                <w:rFonts w:ascii="宋体" w:hAnsi="宋体" w:cs="宋体"/>
                <w:color w:val="auto"/>
                <w:sz w:val="24"/>
                <w:highlight w:val="none"/>
              </w:rPr>
            </w:pPr>
          </w:p>
        </w:tc>
        <w:tc>
          <w:tcPr>
            <w:tcW w:w="1693" w:type="dxa"/>
            <w:vMerge w:val="continue"/>
            <w:tcBorders>
              <w:top w:val="nil"/>
            </w:tcBorders>
            <w:shd w:val="clear" w:color="auto" w:fill="auto"/>
          </w:tcPr>
          <w:p w14:paraId="1CBF353E">
            <w:pPr>
              <w:spacing w:line="360" w:lineRule="auto"/>
              <w:rPr>
                <w:rFonts w:ascii="宋体" w:hAnsi="宋体" w:cs="宋体"/>
                <w:color w:val="auto"/>
                <w:sz w:val="24"/>
                <w:highlight w:val="none"/>
              </w:rPr>
            </w:pPr>
          </w:p>
        </w:tc>
        <w:tc>
          <w:tcPr>
            <w:tcW w:w="751" w:type="dxa"/>
            <w:shd w:val="clear" w:color="auto" w:fill="auto"/>
          </w:tcPr>
          <w:p w14:paraId="588554EE">
            <w:pPr>
              <w:spacing w:line="360" w:lineRule="auto"/>
              <w:ind w:left="326"/>
              <w:rPr>
                <w:rFonts w:ascii="宋体" w:hAnsi="宋体" w:cs="宋体"/>
                <w:color w:val="auto"/>
                <w:sz w:val="24"/>
                <w:highlight w:val="none"/>
              </w:rPr>
            </w:pPr>
            <w:r>
              <w:rPr>
                <w:rFonts w:hint="eastAsia" w:ascii="宋体" w:hAnsi="宋体" w:cs="宋体"/>
                <w:color w:val="auto"/>
                <w:sz w:val="24"/>
                <w:highlight w:val="none"/>
              </w:rPr>
              <w:t>3</w:t>
            </w:r>
          </w:p>
        </w:tc>
        <w:tc>
          <w:tcPr>
            <w:tcW w:w="947" w:type="dxa"/>
            <w:shd w:val="clear" w:color="auto" w:fill="auto"/>
          </w:tcPr>
          <w:p w14:paraId="29A30849">
            <w:pPr>
              <w:spacing w:line="360" w:lineRule="auto"/>
              <w:rPr>
                <w:rFonts w:ascii="宋体" w:hAnsi="宋体" w:cs="宋体"/>
                <w:color w:val="auto"/>
                <w:sz w:val="24"/>
                <w:highlight w:val="none"/>
              </w:rPr>
            </w:pPr>
          </w:p>
        </w:tc>
        <w:tc>
          <w:tcPr>
            <w:tcW w:w="1123" w:type="dxa"/>
            <w:shd w:val="clear" w:color="auto" w:fill="auto"/>
          </w:tcPr>
          <w:p w14:paraId="0FDB13A4">
            <w:pPr>
              <w:spacing w:line="360" w:lineRule="auto"/>
              <w:rPr>
                <w:rFonts w:ascii="宋体" w:hAnsi="宋体" w:cs="宋体"/>
                <w:color w:val="auto"/>
                <w:sz w:val="24"/>
                <w:highlight w:val="none"/>
              </w:rPr>
            </w:pPr>
          </w:p>
        </w:tc>
        <w:tc>
          <w:tcPr>
            <w:tcW w:w="1091" w:type="dxa"/>
            <w:shd w:val="clear" w:color="auto" w:fill="auto"/>
          </w:tcPr>
          <w:p w14:paraId="196B6619">
            <w:pPr>
              <w:spacing w:line="360" w:lineRule="auto"/>
              <w:rPr>
                <w:rFonts w:ascii="宋体" w:hAnsi="宋体" w:cs="宋体"/>
                <w:color w:val="auto"/>
                <w:sz w:val="24"/>
                <w:highlight w:val="none"/>
              </w:rPr>
            </w:pPr>
          </w:p>
        </w:tc>
        <w:tc>
          <w:tcPr>
            <w:tcW w:w="1195" w:type="dxa"/>
            <w:shd w:val="clear" w:color="auto" w:fill="auto"/>
          </w:tcPr>
          <w:p w14:paraId="1F69317E">
            <w:pPr>
              <w:spacing w:line="360" w:lineRule="auto"/>
              <w:rPr>
                <w:rFonts w:ascii="宋体" w:hAnsi="宋体" w:cs="宋体"/>
                <w:color w:val="auto"/>
                <w:sz w:val="24"/>
                <w:highlight w:val="none"/>
              </w:rPr>
            </w:pPr>
          </w:p>
        </w:tc>
        <w:tc>
          <w:tcPr>
            <w:tcW w:w="1269" w:type="dxa"/>
            <w:shd w:val="clear" w:color="auto" w:fill="auto"/>
          </w:tcPr>
          <w:p w14:paraId="5151561E">
            <w:pPr>
              <w:spacing w:line="360" w:lineRule="auto"/>
              <w:rPr>
                <w:rFonts w:ascii="宋体" w:hAnsi="宋体" w:cs="宋体"/>
                <w:color w:val="auto"/>
                <w:sz w:val="24"/>
                <w:highlight w:val="none"/>
              </w:rPr>
            </w:pPr>
          </w:p>
        </w:tc>
        <w:tc>
          <w:tcPr>
            <w:tcW w:w="676" w:type="dxa"/>
            <w:shd w:val="clear" w:color="auto" w:fill="auto"/>
          </w:tcPr>
          <w:p w14:paraId="4833A161">
            <w:pPr>
              <w:spacing w:line="360" w:lineRule="auto"/>
              <w:rPr>
                <w:rFonts w:ascii="宋体" w:hAnsi="宋体" w:cs="宋体"/>
                <w:color w:val="auto"/>
                <w:sz w:val="24"/>
                <w:highlight w:val="none"/>
              </w:rPr>
            </w:pPr>
          </w:p>
        </w:tc>
      </w:tr>
    </w:tbl>
    <w:p w14:paraId="2140959C">
      <w:pPr>
        <w:spacing w:line="360" w:lineRule="auto"/>
        <w:ind w:left="713"/>
        <w:rPr>
          <w:rFonts w:ascii="宋体" w:hAnsi="宋体" w:cs="宋体"/>
          <w:color w:val="auto"/>
          <w:sz w:val="24"/>
          <w:highlight w:val="none"/>
        </w:rPr>
      </w:pPr>
      <w:r>
        <w:rPr>
          <w:rFonts w:hint="eastAsia" w:ascii="宋体" w:hAnsi="宋体" w:cs="宋体"/>
          <w:color w:val="auto"/>
          <w:spacing w:val="-6"/>
          <w:sz w:val="24"/>
          <w:highlight w:val="none"/>
        </w:rPr>
        <w:t>备注： 1.若无分包计划，则供应商应在本表填写</w:t>
      </w:r>
      <w:r>
        <w:rPr>
          <w:rFonts w:hint="eastAsia" w:ascii="宋体" w:hAnsi="宋体" w:cs="宋体"/>
          <w:color w:val="auto"/>
          <w:spacing w:val="-7"/>
          <w:sz w:val="24"/>
          <w:highlight w:val="none"/>
        </w:rPr>
        <w:t>“无”。</w:t>
      </w:r>
    </w:p>
    <w:p w14:paraId="5DEFBA7C">
      <w:pPr>
        <w:numPr>
          <w:ilvl w:val="0"/>
          <w:numId w:val="5"/>
        </w:numPr>
        <w:spacing w:line="360" w:lineRule="auto"/>
        <w:ind w:firstLine="1428" w:firstLineChars="600"/>
        <w:rPr>
          <w:rFonts w:hint="eastAsia" w:ascii="宋体" w:hAnsi="宋体" w:cs="宋体"/>
          <w:color w:val="auto"/>
          <w:spacing w:val="-2"/>
          <w:sz w:val="24"/>
          <w:highlight w:val="none"/>
        </w:rPr>
      </w:pPr>
      <w:r>
        <w:rPr>
          <w:rFonts w:hint="eastAsia" w:ascii="宋体" w:hAnsi="宋体" w:cs="宋体"/>
          <w:color w:val="auto"/>
          <w:spacing w:val="-1"/>
          <w:sz w:val="24"/>
          <w:highlight w:val="none"/>
        </w:rPr>
        <w:t>本表所列分包仅限于承包人自行施工范围内的非主体</w:t>
      </w:r>
      <w:r>
        <w:rPr>
          <w:rFonts w:hint="eastAsia" w:ascii="宋体" w:hAnsi="宋体" w:cs="宋体"/>
          <w:color w:val="auto"/>
          <w:spacing w:val="-2"/>
          <w:sz w:val="24"/>
          <w:highlight w:val="none"/>
        </w:rPr>
        <w:t>、非关键工程。</w:t>
      </w:r>
    </w:p>
    <w:p w14:paraId="5C3A4820">
      <w:pPr>
        <w:widowControl w:val="0"/>
        <w:numPr>
          <w:ilvl w:val="0"/>
          <w:numId w:val="0"/>
        </w:numPr>
        <w:spacing w:line="360" w:lineRule="auto"/>
        <w:jc w:val="both"/>
        <w:rPr>
          <w:rFonts w:hint="eastAsia" w:ascii="宋体" w:hAnsi="宋体" w:cs="宋体"/>
          <w:color w:val="auto"/>
          <w:spacing w:val="-2"/>
          <w:sz w:val="24"/>
          <w:highlight w:val="none"/>
        </w:rPr>
      </w:pPr>
    </w:p>
    <w:p w14:paraId="289D042B">
      <w:pPr>
        <w:widowControl w:val="0"/>
        <w:numPr>
          <w:ilvl w:val="0"/>
          <w:numId w:val="0"/>
        </w:numPr>
        <w:spacing w:line="360" w:lineRule="auto"/>
        <w:jc w:val="both"/>
        <w:rPr>
          <w:rFonts w:hint="eastAsia" w:ascii="宋体" w:hAnsi="宋体" w:cs="宋体"/>
          <w:color w:val="auto"/>
          <w:spacing w:val="-2"/>
          <w:sz w:val="24"/>
          <w:highlight w:val="none"/>
        </w:rPr>
      </w:pPr>
    </w:p>
    <w:p w14:paraId="08AF9E9B">
      <w:pPr>
        <w:widowControl w:val="0"/>
        <w:numPr>
          <w:ilvl w:val="0"/>
          <w:numId w:val="0"/>
        </w:numPr>
        <w:spacing w:line="360" w:lineRule="auto"/>
        <w:jc w:val="both"/>
        <w:rPr>
          <w:rFonts w:hint="eastAsia" w:ascii="宋体" w:hAnsi="宋体" w:cs="宋体"/>
          <w:color w:val="auto"/>
          <w:spacing w:val="-2"/>
          <w:sz w:val="24"/>
          <w:highlight w:val="none"/>
        </w:rPr>
      </w:pPr>
    </w:p>
    <w:p w14:paraId="7C7A1FD1">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6B049A57">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7FFEEA2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5177129F">
      <w:pPr>
        <w:widowControl w:val="0"/>
        <w:numPr>
          <w:ilvl w:val="0"/>
          <w:numId w:val="0"/>
        </w:numPr>
        <w:spacing w:line="360" w:lineRule="auto"/>
        <w:jc w:val="both"/>
        <w:rPr>
          <w:rFonts w:hint="eastAsia" w:ascii="宋体" w:hAnsi="宋体" w:cs="宋体"/>
          <w:color w:val="auto"/>
          <w:spacing w:val="-2"/>
          <w:sz w:val="24"/>
          <w:highlight w:val="none"/>
        </w:rPr>
        <w:sectPr>
          <w:pgSz w:w="11906" w:h="16838"/>
          <w:pgMar w:top="1247" w:right="1247" w:bottom="1247" w:left="1247"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0A3AEF5E">
      <w:pPr>
        <w:tabs>
          <w:tab w:val="left" w:pos="5387"/>
        </w:tabs>
        <w:spacing w:line="360" w:lineRule="auto"/>
        <w:jc w:val="left"/>
        <w:rPr>
          <w:rFonts w:ascii="宋体" w:hAnsi="宋体"/>
          <w:b/>
          <w:color w:val="auto"/>
          <w:sz w:val="24"/>
          <w:highlight w:val="none"/>
        </w:rPr>
      </w:pPr>
      <w:r>
        <w:rPr>
          <w:rFonts w:hint="eastAsia" w:ascii="宋体" w:hAnsi="宋体"/>
          <w:b/>
          <w:color w:val="auto"/>
          <w:sz w:val="24"/>
          <w:highlight w:val="none"/>
        </w:rPr>
        <w:t>附件12</w:t>
      </w:r>
    </w:p>
    <w:p w14:paraId="79937719">
      <w:pPr>
        <w:tabs>
          <w:tab w:val="left" w:pos="5387"/>
        </w:tabs>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建设工程项目管理承诺书</w:t>
      </w:r>
    </w:p>
    <w:p w14:paraId="127A693D">
      <w:pPr>
        <w:spacing w:line="360" w:lineRule="auto"/>
        <w:jc w:val="lef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（采购人名称）：</w:t>
      </w:r>
    </w:p>
    <w:p w14:paraId="3B7FAFDA">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作为参与</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（工程名称）项目的磋商供应商，根据国家、自治区相关文件规定，我方在此向采购人承诺：</w:t>
      </w:r>
    </w:p>
    <w:p w14:paraId="384995DE">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1、一旦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7D878F6A">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7A90D27C">
      <w:pPr>
        <w:spacing w:line="360" w:lineRule="auto"/>
        <w:ind w:left="-2" w:leftChars="-1" w:firstLine="513" w:firstLineChars="214"/>
        <w:jc w:val="left"/>
        <w:rPr>
          <w:rFonts w:ascii="宋体" w:hAnsi="宋体" w:cs="宋体"/>
          <w:color w:val="auto"/>
          <w:sz w:val="24"/>
          <w:highlight w:val="none"/>
        </w:rPr>
      </w:pPr>
      <w:r>
        <w:rPr>
          <w:rFonts w:hint="eastAsia" w:ascii="宋体" w:hAnsi="宋体" w:cs="宋体"/>
          <w:color w:val="auto"/>
          <w:sz w:val="24"/>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47F4B10D">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1C689633">
      <w:pPr>
        <w:spacing w:line="360" w:lineRule="auto"/>
        <w:ind w:left="-10" w:firstLine="520" w:firstLineChars="217"/>
        <w:jc w:val="left"/>
        <w:rPr>
          <w:rFonts w:ascii="宋体" w:hAnsi="宋体" w:cs="宋体"/>
          <w:color w:val="auto"/>
          <w:sz w:val="24"/>
          <w:highlight w:val="none"/>
        </w:rPr>
      </w:pPr>
      <w:r>
        <w:rPr>
          <w:rFonts w:hint="eastAsia" w:ascii="宋体" w:hAnsi="宋体" w:cs="宋体"/>
          <w:color w:val="auto"/>
          <w:sz w:val="24"/>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C4BCBE8">
      <w:pPr>
        <w:pStyle w:val="8"/>
        <w:overflowPunct w:val="0"/>
        <w:spacing w:line="360" w:lineRule="auto"/>
        <w:ind w:firstLine="0"/>
        <w:contextualSpacing/>
        <w:jc w:val="left"/>
        <w:rPr>
          <w:rFonts w:ascii="宋体" w:hAnsi="宋体" w:cs="方正小标宋简体"/>
          <w:color w:val="auto"/>
          <w:sz w:val="24"/>
          <w:szCs w:val="24"/>
          <w:highlight w:val="none"/>
        </w:rPr>
      </w:pPr>
    </w:p>
    <w:p w14:paraId="5FD03D1C">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磋商供应商名称(公章)： </w:t>
      </w:r>
    </w:p>
    <w:p w14:paraId="21C30811">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法定代表人（负责人）或委托代理人(签名)：                          </w:t>
      </w:r>
    </w:p>
    <w:p w14:paraId="647EDB29">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日期：  年   月   日</w:t>
      </w:r>
    </w:p>
    <w:p w14:paraId="06A47A4C">
      <w:pPr>
        <w:spacing w:line="360" w:lineRule="auto"/>
        <w:jc w:val="center"/>
        <w:rPr>
          <w:rFonts w:ascii="宋体" w:hAnsi="宋体"/>
          <w:b/>
          <w:color w:val="auto"/>
          <w:sz w:val="28"/>
          <w:szCs w:val="28"/>
          <w:highlight w:val="none"/>
        </w:rPr>
      </w:pPr>
    </w:p>
    <w:p w14:paraId="392518CE">
      <w:pPr>
        <w:spacing w:line="360" w:lineRule="auto"/>
        <w:jc w:val="center"/>
        <w:rPr>
          <w:rFonts w:ascii="宋体" w:hAnsi="宋体"/>
          <w:b/>
          <w:color w:val="auto"/>
          <w:sz w:val="28"/>
          <w:szCs w:val="28"/>
          <w:highlight w:val="none"/>
        </w:rPr>
      </w:pPr>
    </w:p>
    <w:p w14:paraId="2CA9C256">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广西壮族自治区建筑工程安全文明施工措施项目清单内容</w:t>
      </w:r>
    </w:p>
    <w:p w14:paraId="5B0E61BD">
      <w:pPr>
        <w:spacing w:line="360" w:lineRule="auto"/>
        <w:jc w:val="center"/>
        <w:rPr>
          <w:rFonts w:ascii="宋体" w:hAnsi="宋体"/>
          <w:bCs/>
          <w:color w:val="auto"/>
          <w:sz w:val="24"/>
          <w:highlight w:val="none"/>
        </w:rPr>
      </w:pPr>
      <w:r>
        <w:rPr>
          <w:rFonts w:hint="eastAsia" w:ascii="宋体" w:hAnsi="宋体"/>
          <w:bCs/>
          <w:color w:val="auto"/>
          <w:sz w:val="24"/>
          <w:highlight w:val="none"/>
        </w:rPr>
        <w:t>（桂建质〔2015〕16号文附件一）</w:t>
      </w:r>
    </w:p>
    <w:p w14:paraId="427798A5">
      <w:pPr>
        <w:spacing w:line="360" w:lineRule="auto"/>
        <w:jc w:val="center"/>
        <w:rPr>
          <w:rFonts w:ascii="宋体" w:hAnsi="宋体"/>
          <w:b/>
          <w:color w:val="auto"/>
          <w:sz w:val="24"/>
          <w:highlight w:val="none"/>
        </w:rPr>
      </w:pPr>
      <w:r>
        <w:rPr>
          <w:rFonts w:hint="eastAsia" w:ascii="宋体" w:hAnsi="宋体"/>
          <w:b/>
          <w:color w:val="auto"/>
          <w:sz w:val="24"/>
          <w:highlight w:val="none"/>
        </w:rPr>
        <w:t>广西壮族自治区</w:t>
      </w:r>
    </w:p>
    <w:p w14:paraId="1C84E0FC">
      <w:pPr>
        <w:spacing w:line="360" w:lineRule="auto"/>
        <w:jc w:val="center"/>
        <w:rPr>
          <w:rFonts w:ascii="宋体" w:hAnsi="宋体"/>
          <w:b/>
          <w:color w:val="auto"/>
          <w:sz w:val="24"/>
          <w:highlight w:val="none"/>
        </w:rPr>
      </w:pPr>
      <w:r>
        <w:rPr>
          <w:rFonts w:hint="eastAsia" w:ascii="宋体" w:hAnsi="宋体"/>
          <w:b/>
          <w:color w:val="auto"/>
          <w:sz w:val="24"/>
          <w:highlight w:val="none"/>
        </w:rPr>
        <w:t>建设工程安全文明施工措施项目清单内容</w:t>
      </w:r>
    </w:p>
    <w:tbl>
      <w:tblPr>
        <w:tblStyle w:val="38"/>
        <w:tblpPr w:leftFromText="180" w:rightFromText="180" w:vertAnchor="text" w:horzAnchor="page" w:tblpX="1320" w:tblpY="4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260"/>
        <w:gridCol w:w="6930"/>
      </w:tblGrid>
      <w:tr w14:paraId="6CB4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blHeader/>
        </w:trPr>
        <w:tc>
          <w:tcPr>
            <w:tcW w:w="738" w:type="dxa"/>
            <w:tcBorders>
              <w:top w:val="single" w:color="auto" w:sz="4" w:space="0"/>
              <w:left w:val="single" w:color="auto" w:sz="4" w:space="0"/>
              <w:bottom w:val="single" w:color="auto" w:sz="4" w:space="0"/>
              <w:right w:val="single" w:color="auto" w:sz="4" w:space="0"/>
            </w:tcBorders>
            <w:vAlign w:val="center"/>
          </w:tcPr>
          <w:p w14:paraId="5F15A561">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类别</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9C3122C">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项目名称</w:t>
            </w:r>
          </w:p>
        </w:tc>
        <w:tc>
          <w:tcPr>
            <w:tcW w:w="6930" w:type="dxa"/>
            <w:tcBorders>
              <w:top w:val="single" w:color="auto" w:sz="4" w:space="0"/>
              <w:left w:val="single" w:color="auto" w:sz="4" w:space="0"/>
              <w:bottom w:val="single" w:color="auto" w:sz="4" w:space="0"/>
              <w:right w:val="single" w:color="auto" w:sz="4" w:space="0"/>
            </w:tcBorders>
            <w:vAlign w:val="center"/>
          </w:tcPr>
          <w:p w14:paraId="57917721">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主要内容和要求</w:t>
            </w:r>
          </w:p>
        </w:tc>
      </w:tr>
      <w:tr w14:paraId="6795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4C5CD32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文明</w:t>
            </w:r>
          </w:p>
          <w:p w14:paraId="7E4C965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施工</w:t>
            </w:r>
          </w:p>
          <w:p w14:paraId="7558FECD">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与</w:t>
            </w:r>
          </w:p>
          <w:p w14:paraId="4FA2D4C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环境</w:t>
            </w:r>
          </w:p>
          <w:p w14:paraId="23D0803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保护</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DD815C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安全警示</w:t>
            </w:r>
          </w:p>
          <w:p w14:paraId="3639F7B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标志牌</w:t>
            </w:r>
          </w:p>
        </w:tc>
        <w:tc>
          <w:tcPr>
            <w:tcW w:w="6930" w:type="dxa"/>
            <w:tcBorders>
              <w:top w:val="single" w:color="auto" w:sz="4" w:space="0"/>
              <w:left w:val="single" w:color="auto" w:sz="4" w:space="0"/>
              <w:bottom w:val="single" w:color="auto" w:sz="4" w:space="0"/>
              <w:right w:val="single" w:color="auto" w:sz="4" w:space="0"/>
            </w:tcBorders>
            <w:vAlign w:val="center"/>
          </w:tcPr>
          <w:p w14:paraId="26021BD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在易发伤亡事故（或危险）处设置明显的、符合国家标准要求的安全警示标志牌。</w:t>
            </w:r>
          </w:p>
        </w:tc>
      </w:tr>
      <w:tr w14:paraId="4153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5E53E71">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23C9F4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现场围挡</w:t>
            </w:r>
          </w:p>
        </w:tc>
        <w:tc>
          <w:tcPr>
            <w:tcW w:w="6930" w:type="dxa"/>
            <w:tcBorders>
              <w:top w:val="single" w:color="auto" w:sz="4" w:space="0"/>
              <w:left w:val="single" w:color="auto" w:sz="4" w:space="0"/>
              <w:bottom w:val="single" w:color="auto" w:sz="4" w:space="0"/>
              <w:right w:val="single" w:color="auto" w:sz="4" w:space="0"/>
            </w:tcBorders>
            <w:vAlign w:val="center"/>
          </w:tcPr>
          <w:p w14:paraId="65B50D6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1.现场采用封闭围挡，高度不小于1.8m。</w:t>
            </w:r>
          </w:p>
          <w:p w14:paraId="542CCC3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2.围挡材料可用彩色、定型钢板，砖、砼砌块等墙体。</w:t>
            </w:r>
          </w:p>
        </w:tc>
      </w:tr>
      <w:tr w14:paraId="2FA5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6F3883F">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DE0354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七牌二图</w:t>
            </w:r>
          </w:p>
        </w:tc>
        <w:tc>
          <w:tcPr>
            <w:tcW w:w="6930" w:type="dxa"/>
            <w:tcBorders>
              <w:top w:val="single" w:color="auto" w:sz="4" w:space="0"/>
              <w:left w:val="single" w:color="auto" w:sz="4" w:space="0"/>
              <w:bottom w:val="single" w:color="auto" w:sz="4" w:space="0"/>
              <w:right w:val="single" w:color="auto" w:sz="4" w:space="0"/>
            </w:tcBorders>
            <w:vAlign w:val="center"/>
          </w:tcPr>
          <w:p w14:paraId="07E2515D">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在进门处悬挂工程概况、现场出入制度、管理人员名单及监督电话、安全生产规定、文明施工、消防保卫、节能公示等七牌以及；施工现场总平面图、工程效果图。</w:t>
            </w:r>
          </w:p>
        </w:tc>
      </w:tr>
      <w:tr w14:paraId="7323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6B17A1B">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F4FCD7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企业标志</w:t>
            </w:r>
          </w:p>
        </w:tc>
        <w:tc>
          <w:tcPr>
            <w:tcW w:w="6930" w:type="dxa"/>
            <w:tcBorders>
              <w:top w:val="single" w:color="auto" w:sz="4" w:space="0"/>
              <w:left w:val="single" w:color="auto" w:sz="4" w:space="0"/>
              <w:bottom w:val="single" w:color="auto" w:sz="4" w:space="0"/>
              <w:right w:val="single" w:color="auto" w:sz="4" w:space="0"/>
            </w:tcBorders>
            <w:vAlign w:val="center"/>
          </w:tcPr>
          <w:p w14:paraId="2613A467">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现场出入的大门应设有本企业标志或企业标识。</w:t>
            </w:r>
          </w:p>
        </w:tc>
      </w:tr>
      <w:tr w14:paraId="40E9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19A053C">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D77D91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场容场貌</w:t>
            </w:r>
          </w:p>
        </w:tc>
        <w:tc>
          <w:tcPr>
            <w:tcW w:w="6930" w:type="dxa"/>
            <w:tcBorders>
              <w:top w:val="single" w:color="auto" w:sz="4" w:space="0"/>
              <w:left w:val="single" w:color="auto" w:sz="4" w:space="0"/>
              <w:bottom w:val="single" w:color="auto" w:sz="4" w:space="0"/>
              <w:right w:val="single" w:color="auto" w:sz="4" w:space="0"/>
            </w:tcBorders>
            <w:vAlign w:val="center"/>
          </w:tcPr>
          <w:p w14:paraId="07430BE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1.道路畅通；</w:t>
            </w:r>
          </w:p>
          <w:p w14:paraId="454D55A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2.排水沟、排水设施畅通；</w:t>
            </w:r>
          </w:p>
          <w:p w14:paraId="55E9E31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3.工地地面硬化处理（办公区，生活区，现场道路，材料堆放、混凝土搅拌、砂浆搅拌、钢筋加工等场地，外脚手架基础等）。</w:t>
            </w:r>
          </w:p>
        </w:tc>
      </w:tr>
      <w:tr w14:paraId="48BA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837D0F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DD4772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材料堆放</w:t>
            </w:r>
          </w:p>
        </w:tc>
        <w:tc>
          <w:tcPr>
            <w:tcW w:w="6930" w:type="dxa"/>
            <w:tcBorders>
              <w:top w:val="single" w:color="auto" w:sz="4" w:space="0"/>
              <w:left w:val="single" w:color="auto" w:sz="4" w:space="0"/>
              <w:bottom w:val="single" w:color="auto" w:sz="4" w:space="0"/>
              <w:right w:val="single" w:color="auto" w:sz="4" w:space="0"/>
            </w:tcBorders>
            <w:vAlign w:val="center"/>
          </w:tcPr>
          <w:p w14:paraId="56F3C73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（1）材料、构件、料具等堆放时，悬挂有名称、品种、规格等标牌；</w:t>
            </w:r>
          </w:p>
          <w:p w14:paraId="7B0D265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（2）水泥和其他易飞扬细颗粒建筑材料应封闭存放或采取覆盖等措施；</w:t>
            </w:r>
          </w:p>
          <w:p w14:paraId="28121E8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（3）易燃、易爆和有毒有害物品分类存放。</w:t>
            </w:r>
          </w:p>
        </w:tc>
      </w:tr>
      <w:tr w14:paraId="54F6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E167786">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484C0E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现场防火</w:t>
            </w:r>
          </w:p>
        </w:tc>
        <w:tc>
          <w:tcPr>
            <w:tcW w:w="6930" w:type="dxa"/>
            <w:tcBorders>
              <w:top w:val="single" w:color="auto" w:sz="4" w:space="0"/>
              <w:left w:val="single" w:color="auto" w:sz="4" w:space="0"/>
              <w:bottom w:val="single" w:color="auto" w:sz="4" w:space="0"/>
              <w:right w:val="single" w:color="auto" w:sz="4" w:space="0"/>
            </w:tcBorders>
            <w:vAlign w:val="center"/>
          </w:tcPr>
          <w:p w14:paraId="3B3DAB9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消防器材配置合理，符合消防要求。</w:t>
            </w:r>
          </w:p>
        </w:tc>
      </w:tr>
      <w:tr w14:paraId="6530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4F10050">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E6A388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垃圾清运</w:t>
            </w:r>
          </w:p>
        </w:tc>
        <w:tc>
          <w:tcPr>
            <w:tcW w:w="6930" w:type="dxa"/>
            <w:tcBorders>
              <w:top w:val="single" w:color="auto" w:sz="4" w:space="0"/>
              <w:left w:val="single" w:color="auto" w:sz="4" w:space="0"/>
              <w:bottom w:val="single" w:color="auto" w:sz="4" w:space="0"/>
              <w:right w:val="single" w:color="auto" w:sz="4" w:space="0"/>
            </w:tcBorders>
            <w:vAlign w:val="center"/>
          </w:tcPr>
          <w:p w14:paraId="63BD320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1.施工现场应设置密闭式垃圾站，施工垃圾、生活垃圾应分类存放。</w:t>
            </w:r>
          </w:p>
          <w:p w14:paraId="277C151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2.施工垃圾必须采用相应容器或管道运输。</w:t>
            </w:r>
          </w:p>
        </w:tc>
      </w:tr>
      <w:tr w14:paraId="37FF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EDF3214">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D60F48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宣传栏、环保及不扰民措施</w:t>
            </w:r>
          </w:p>
        </w:tc>
        <w:tc>
          <w:tcPr>
            <w:tcW w:w="6930" w:type="dxa"/>
            <w:tcBorders>
              <w:top w:val="single" w:color="auto" w:sz="4" w:space="0"/>
              <w:left w:val="single" w:color="auto" w:sz="4" w:space="0"/>
              <w:bottom w:val="single" w:color="auto" w:sz="4" w:space="0"/>
              <w:right w:val="single" w:color="auto" w:sz="4" w:space="0"/>
            </w:tcBorders>
            <w:vAlign w:val="center"/>
          </w:tcPr>
          <w:p w14:paraId="316D26AF">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宣传栏、安全宣传标语等，洗车（防止污染市区道路）、粉尘、噪声控制，排污（污水、废气）措施等。</w:t>
            </w:r>
          </w:p>
        </w:tc>
      </w:tr>
      <w:tr w14:paraId="5E92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4327A8A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临时设施</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B12BC77">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现场办公</w:t>
            </w:r>
          </w:p>
          <w:p w14:paraId="05F4FAB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生活设施</w:t>
            </w:r>
          </w:p>
        </w:tc>
        <w:tc>
          <w:tcPr>
            <w:tcW w:w="6930" w:type="dxa"/>
            <w:tcBorders>
              <w:top w:val="single" w:color="auto" w:sz="4" w:space="0"/>
              <w:left w:val="single" w:color="auto" w:sz="4" w:space="0"/>
              <w:bottom w:val="single" w:color="auto" w:sz="4" w:space="0"/>
              <w:right w:val="single" w:color="auto" w:sz="4" w:space="0"/>
            </w:tcBorders>
            <w:vAlign w:val="center"/>
          </w:tcPr>
          <w:p w14:paraId="39FDBE38">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1.施工现场办公、生活区与作业区分开设置，保持安全距离。</w:t>
            </w:r>
          </w:p>
          <w:p w14:paraId="52A9E99F">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2.工地办公室、现场宿舍、食堂、厕所、饮水、沐浴、休息场所等符合卫生、消防安全要求；</w:t>
            </w:r>
          </w:p>
        </w:tc>
      </w:tr>
      <w:tr w14:paraId="5AF9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54D0DBC">
            <w:pPr>
              <w:spacing w:line="360" w:lineRule="auto"/>
              <w:jc w:val="center"/>
              <w:rPr>
                <w:rFonts w:ascii="宋体" w:hAnsi="宋体" w:cs="宋体"/>
                <w:bCs/>
                <w:color w:val="auto"/>
                <w:sz w:val="24"/>
                <w:highlight w:val="none"/>
              </w:rPr>
            </w:pP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3C28A79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施工现场</w:t>
            </w:r>
          </w:p>
          <w:p w14:paraId="70ACC860">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临时用电</w:t>
            </w:r>
          </w:p>
        </w:tc>
        <w:tc>
          <w:tcPr>
            <w:tcW w:w="1260" w:type="dxa"/>
            <w:tcBorders>
              <w:top w:val="single" w:color="auto" w:sz="4" w:space="0"/>
              <w:left w:val="single" w:color="auto" w:sz="4" w:space="0"/>
              <w:bottom w:val="single" w:color="auto" w:sz="4" w:space="0"/>
              <w:right w:val="single" w:color="auto" w:sz="4" w:space="0"/>
            </w:tcBorders>
            <w:vAlign w:val="center"/>
          </w:tcPr>
          <w:p w14:paraId="5509CDD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配电线路</w:t>
            </w:r>
          </w:p>
        </w:tc>
        <w:tc>
          <w:tcPr>
            <w:tcW w:w="6930" w:type="dxa"/>
            <w:tcBorders>
              <w:top w:val="single" w:color="auto" w:sz="4" w:space="0"/>
              <w:left w:val="single" w:color="auto" w:sz="4" w:space="0"/>
              <w:bottom w:val="single" w:color="auto" w:sz="4" w:space="0"/>
              <w:right w:val="single" w:color="auto" w:sz="4" w:space="0"/>
            </w:tcBorders>
            <w:vAlign w:val="center"/>
          </w:tcPr>
          <w:p w14:paraId="4360F6B9">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1.按照TN-S系统要求配备五芯电缆、四芯电缆和三芯电缆。</w:t>
            </w:r>
          </w:p>
          <w:p w14:paraId="7DEE864D">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2.按要求架设临时用电线路的电杆、横担、瓷夹、瓷瓶等，或电缆埋地的地沟。</w:t>
            </w:r>
          </w:p>
          <w:p w14:paraId="1368687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3.对靠近施工现场的外电线路，设置木质、塑料等绝缘体的防护设施。</w:t>
            </w:r>
          </w:p>
        </w:tc>
      </w:tr>
      <w:tr w14:paraId="5E3B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D8B1717">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CCC808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80B3B4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配电箱</w:t>
            </w:r>
          </w:p>
          <w:p w14:paraId="7F0CBAF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开关箱</w:t>
            </w:r>
          </w:p>
        </w:tc>
        <w:tc>
          <w:tcPr>
            <w:tcW w:w="6930" w:type="dxa"/>
            <w:tcBorders>
              <w:top w:val="single" w:color="auto" w:sz="4" w:space="0"/>
              <w:left w:val="single" w:color="auto" w:sz="4" w:space="0"/>
              <w:bottom w:val="single" w:color="auto" w:sz="4" w:space="0"/>
              <w:right w:val="single" w:color="auto" w:sz="4" w:space="0"/>
            </w:tcBorders>
            <w:vAlign w:val="center"/>
          </w:tcPr>
          <w:p w14:paraId="6D441E7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1.按三级配电要求，配备总配电箱、分配电箱、开关箱三类（铁质）标准电箱。开关箱应符合一机、一箱、一闸、一漏。三类电箱中的各类电器应是合格品。</w:t>
            </w:r>
          </w:p>
          <w:p w14:paraId="7C1BCD51">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2.按两级保护的要求，选取符合容量要求和质量合格的总配电箱和开关箱中的漏电保护器。</w:t>
            </w:r>
          </w:p>
          <w:p w14:paraId="6953CA9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3.对大型、落地式分配电箱、开关箱设置防护棚和通透式围挡。</w:t>
            </w:r>
          </w:p>
        </w:tc>
      </w:tr>
      <w:tr w14:paraId="73D0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49765B7">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2E484A19">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28DEAA6">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接地装置</w:t>
            </w:r>
          </w:p>
        </w:tc>
        <w:tc>
          <w:tcPr>
            <w:tcW w:w="6930" w:type="dxa"/>
            <w:tcBorders>
              <w:top w:val="single" w:color="auto" w:sz="4" w:space="0"/>
              <w:left w:val="single" w:color="auto" w:sz="4" w:space="0"/>
              <w:bottom w:val="single" w:color="auto" w:sz="4" w:space="0"/>
              <w:right w:val="single" w:color="auto" w:sz="4" w:space="0"/>
            </w:tcBorders>
            <w:vAlign w:val="center"/>
          </w:tcPr>
          <w:p w14:paraId="66ADF22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施工现场应设置不少于三处的接地保护装置。</w:t>
            </w:r>
          </w:p>
        </w:tc>
      </w:tr>
      <w:tr w14:paraId="7BBD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1"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D0C7102">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01B7CA34">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72725FC">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现场变配电装置</w:t>
            </w:r>
          </w:p>
        </w:tc>
        <w:tc>
          <w:tcPr>
            <w:tcW w:w="6930" w:type="dxa"/>
            <w:tcBorders>
              <w:top w:val="single" w:color="auto" w:sz="4" w:space="0"/>
              <w:left w:val="single" w:color="auto" w:sz="4" w:space="0"/>
              <w:bottom w:val="single" w:color="auto" w:sz="4" w:space="0"/>
              <w:right w:val="single" w:color="auto" w:sz="4" w:space="0"/>
            </w:tcBorders>
            <w:vAlign w:val="center"/>
          </w:tcPr>
          <w:p w14:paraId="690FAE6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总配电室建筑材料必须达到三级防火要求，室内做硬地坪、电缆沟、吊顶。</w:t>
            </w:r>
          </w:p>
        </w:tc>
      </w:tr>
      <w:tr w14:paraId="202A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2F46B4A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安全施工</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4037FFB8">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临边洞口交叉高处作业防护</w:t>
            </w:r>
          </w:p>
        </w:tc>
        <w:tc>
          <w:tcPr>
            <w:tcW w:w="1260" w:type="dxa"/>
            <w:tcBorders>
              <w:top w:val="single" w:color="auto" w:sz="4" w:space="0"/>
              <w:left w:val="single" w:color="auto" w:sz="4" w:space="0"/>
              <w:bottom w:val="single" w:color="auto" w:sz="4" w:space="0"/>
              <w:right w:val="single" w:color="auto" w:sz="4" w:space="0"/>
            </w:tcBorders>
            <w:vAlign w:val="center"/>
          </w:tcPr>
          <w:p w14:paraId="0C90C05B">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楼层、屋面、阳台等临边</w:t>
            </w:r>
          </w:p>
        </w:tc>
        <w:tc>
          <w:tcPr>
            <w:tcW w:w="6930" w:type="dxa"/>
            <w:tcBorders>
              <w:top w:val="single" w:color="auto" w:sz="4" w:space="0"/>
              <w:left w:val="single" w:color="auto" w:sz="4" w:space="0"/>
              <w:bottom w:val="single" w:color="auto" w:sz="4" w:space="0"/>
              <w:right w:val="single" w:color="auto" w:sz="4" w:space="0"/>
            </w:tcBorders>
            <w:vAlign w:val="center"/>
          </w:tcPr>
          <w:p w14:paraId="7C6E16C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 xml:space="preserve">设两道防护栏杆和18cm高的踢脚板，用密目式安全立网全封闭。 </w:t>
            </w:r>
          </w:p>
        </w:tc>
      </w:tr>
      <w:tr w14:paraId="155D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A971960">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785C8057">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1B1A8F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通道口</w:t>
            </w:r>
          </w:p>
        </w:tc>
        <w:tc>
          <w:tcPr>
            <w:tcW w:w="6930" w:type="dxa"/>
            <w:tcBorders>
              <w:top w:val="single" w:color="auto" w:sz="4" w:space="0"/>
              <w:left w:val="single" w:color="auto" w:sz="4" w:space="0"/>
              <w:bottom w:val="single" w:color="auto" w:sz="4" w:space="0"/>
              <w:right w:val="single" w:color="auto" w:sz="4" w:space="0"/>
            </w:tcBorders>
            <w:vAlign w:val="center"/>
          </w:tcPr>
          <w:p w14:paraId="42698725">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设防护棚，防护棚应为不小于5cm厚的木板或两道相距50cm的竹笆。两侧应沿栏杆架用密目式安全网封闭。</w:t>
            </w:r>
          </w:p>
        </w:tc>
      </w:tr>
      <w:tr w14:paraId="7CC2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B45771A">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6592E561">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7862157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预留洞口</w:t>
            </w:r>
          </w:p>
        </w:tc>
        <w:tc>
          <w:tcPr>
            <w:tcW w:w="6930" w:type="dxa"/>
            <w:tcBorders>
              <w:top w:val="single" w:color="auto" w:sz="4" w:space="0"/>
              <w:left w:val="single" w:color="auto" w:sz="4" w:space="0"/>
              <w:bottom w:val="single" w:color="auto" w:sz="4" w:space="0"/>
              <w:right w:val="single" w:color="auto" w:sz="4" w:space="0"/>
            </w:tcBorders>
            <w:vAlign w:val="center"/>
          </w:tcPr>
          <w:p w14:paraId="1973C52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用硬质材料全封闭；短边超过1.5m长的洞口，除封闭外四周还应设有防护栏杆。</w:t>
            </w:r>
          </w:p>
        </w:tc>
      </w:tr>
      <w:tr w14:paraId="3241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454FB0C">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CBA973C">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667F55A">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电梯井口</w:t>
            </w:r>
          </w:p>
        </w:tc>
        <w:tc>
          <w:tcPr>
            <w:tcW w:w="6930" w:type="dxa"/>
            <w:tcBorders>
              <w:top w:val="single" w:color="auto" w:sz="4" w:space="0"/>
              <w:left w:val="single" w:color="auto" w:sz="4" w:space="0"/>
              <w:bottom w:val="single" w:color="auto" w:sz="4" w:space="0"/>
              <w:right w:val="single" w:color="auto" w:sz="4" w:space="0"/>
            </w:tcBorders>
            <w:vAlign w:val="center"/>
          </w:tcPr>
          <w:p w14:paraId="070B2C6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设置定型化、工具化的防护门。在电梯井内每隔2层（不大于10m）设置一道水平防护。</w:t>
            </w:r>
          </w:p>
        </w:tc>
      </w:tr>
      <w:tr w14:paraId="0C7A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F678815">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493CD20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37770B50">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楼梯边</w:t>
            </w:r>
          </w:p>
        </w:tc>
        <w:tc>
          <w:tcPr>
            <w:tcW w:w="6930" w:type="dxa"/>
            <w:tcBorders>
              <w:top w:val="single" w:color="auto" w:sz="4" w:space="0"/>
              <w:left w:val="single" w:color="auto" w:sz="4" w:space="0"/>
              <w:bottom w:val="single" w:color="auto" w:sz="4" w:space="0"/>
              <w:right w:val="single" w:color="auto" w:sz="4" w:space="0"/>
            </w:tcBorders>
            <w:vAlign w:val="center"/>
          </w:tcPr>
          <w:p w14:paraId="4E6AE73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设1.2m高的定型化、工具化、标准化的防护栏，18cm高的踢脚板。</w:t>
            </w:r>
          </w:p>
        </w:tc>
      </w:tr>
      <w:tr w14:paraId="2AE6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8BA44E8">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7F04E432">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2079D8D">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垂直方向交叉作业</w:t>
            </w:r>
          </w:p>
        </w:tc>
        <w:tc>
          <w:tcPr>
            <w:tcW w:w="6930" w:type="dxa"/>
            <w:tcBorders>
              <w:top w:val="single" w:color="auto" w:sz="4" w:space="0"/>
              <w:left w:val="single" w:color="auto" w:sz="4" w:space="0"/>
              <w:bottom w:val="single" w:color="auto" w:sz="4" w:space="0"/>
              <w:right w:val="single" w:color="auto" w:sz="4" w:space="0"/>
            </w:tcBorders>
            <w:vAlign w:val="center"/>
          </w:tcPr>
          <w:p w14:paraId="1D7AA6E2">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设置防护隔离棚或其他设施。</w:t>
            </w:r>
          </w:p>
        </w:tc>
      </w:tr>
      <w:tr w14:paraId="38BB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D7528E0">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2C4026F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A05099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高空作业</w:t>
            </w:r>
          </w:p>
        </w:tc>
        <w:tc>
          <w:tcPr>
            <w:tcW w:w="6930" w:type="dxa"/>
            <w:tcBorders>
              <w:top w:val="single" w:color="auto" w:sz="4" w:space="0"/>
              <w:left w:val="single" w:color="auto" w:sz="4" w:space="0"/>
              <w:bottom w:val="single" w:color="auto" w:sz="4" w:space="0"/>
              <w:right w:val="single" w:color="auto" w:sz="4" w:space="0"/>
            </w:tcBorders>
            <w:vAlign w:val="center"/>
          </w:tcPr>
          <w:p w14:paraId="32E71050">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有悬挂安全带的悬索或其他设施；有操作平台；有上下的梯子或其他形式的通道。</w:t>
            </w:r>
          </w:p>
        </w:tc>
      </w:tr>
      <w:tr w14:paraId="6F06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252923A">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E98E2A6">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079A111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基坑、物料平台</w:t>
            </w:r>
          </w:p>
        </w:tc>
        <w:tc>
          <w:tcPr>
            <w:tcW w:w="6930" w:type="dxa"/>
            <w:tcBorders>
              <w:top w:val="single" w:color="auto" w:sz="4" w:space="0"/>
              <w:left w:val="single" w:color="auto" w:sz="4" w:space="0"/>
              <w:bottom w:val="single" w:color="auto" w:sz="4" w:space="0"/>
              <w:right w:val="single" w:color="auto" w:sz="4" w:space="0"/>
            </w:tcBorders>
            <w:vAlign w:val="center"/>
          </w:tcPr>
          <w:p w14:paraId="3B0F501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设1.2m高标准化的防护栏，用密目式安全立网封闭，悬挂标识。</w:t>
            </w:r>
          </w:p>
        </w:tc>
      </w:tr>
      <w:tr w14:paraId="01B8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E88B55D">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40CE6A5">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安全防护用品</w:t>
            </w:r>
          </w:p>
        </w:tc>
        <w:tc>
          <w:tcPr>
            <w:tcW w:w="6930" w:type="dxa"/>
            <w:tcBorders>
              <w:top w:val="single" w:color="auto" w:sz="4" w:space="0"/>
              <w:left w:val="single" w:color="auto" w:sz="4" w:space="0"/>
              <w:bottom w:val="single" w:color="auto" w:sz="4" w:space="0"/>
              <w:right w:val="single" w:color="auto" w:sz="4" w:space="0"/>
            </w:tcBorders>
            <w:vAlign w:val="center"/>
          </w:tcPr>
          <w:p w14:paraId="60C34B7C">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安全帽、安全带、特种作业人员（电工、焊工、架子工等）防护服装、用品等。</w:t>
            </w:r>
          </w:p>
        </w:tc>
      </w:tr>
      <w:tr w14:paraId="2AB1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37A32FF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其他</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1C4D7482">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机械设备防护</w:t>
            </w:r>
          </w:p>
        </w:tc>
        <w:tc>
          <w:tcPr>
            <w:tcW w:w="1260" w:type="dxa"/>
            <w:tcBorders>
              <w:top w:val="single" w:color="auto" w:sz="4" w:space="0"/>
              <w:left w:val="single" w:color="auto" w:sz="4" w:space="0"/>
              <w:bottom w:val="single" w:color="auto" w:sz="4" w:space="0"/>
              <w:right w:val="single" w:color="auto" w:sz="4" w:space="0"/>
            </w:tcBorders>
            <w:vAlign w:val="center"/>
          </w:tcPr>
          <w:p w14:paraId="48A4D2C6">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中小型机械</w:t>
            </w:r>
          </w:p>
        </w:tc>
        <w:tc>
          <w:tcPr>
            <w:tcW w:w="6930" w:type="dxa"/>
            <w:tcBorders>
              <w:top w:val="single" w:color="auto" w:sz="4" w:space="0"/>
              <w:left w:val="single" w:color="auto" w:sz="4" w:space="0"/>
              <w:bottom w:val="single" w:color="auto" w:sz="4" w:space="0"/>
              <w:right w:val="single" w:color="auto" w:sz="4" w:space="0"/>
            </w:tcBorders>
            <w:vAlign w:val="center"/>
          </w:tcPr>
          <w:p w14:paraId="2939C0A3">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设防护棚（同通道口防护并有防雨措施）。</w:t>
            </w:r>
          </w:p>
        </w:tc>
      </w:tr>
      <w:tr w14:paraId="6C001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1AC7EC4">
            <w:pPr>
              <w:spacing w:line="360" w:lineRule="auto"/>
              <w:jc w:val="center"/>
              <w:rPr>
                <w:rFonts w:ascii="宋体" w:hAnsi="宋体" w:cs="宋体"/>
                <w:bCs/>
                <w:color w:val="auto"/>
                <w:sz w:val="24"/>
                <w:highlight w:val="none"/>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7F08575">
            <w:pPr>
              <w:spacing w:line="360" w:lineRule="auto"/>
              <w:jc w:val="center"/>
              <w:rPr>
                <w:rFonts w:ascii="宋体" w:hAnsi="宋体" w:cs="宋体"/>
                <w:bCs/>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A7CF88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垂直运输设备防护</w:t>
            </w:r>
          </w:p>
        </w:tc>
        <w:tc>
          <w:tcPr>
            <w:tcW w:w="6930" w:type="dxa"/>
            <w:tcBorders>
              <w:top w:val="single" w:color="auto" w:sz="4" w:space="0"/>
              <w:left w:val="single" w:color="auto" w:sz="4" w:space="0"/>
              <w:bottom w:val="single" w:color="auto" w:sz="4" w:space="0"/>
              <w:right w:val="single" w:color="auto" w:sz="4" w:space="0"/>
            </w:tcBorders>
            <w:vAlign w:val="center"/>
          </w:tcPr>
          <w:p w14:paraId="62B06B7E">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（1）垂直运输设备检测、检验。</w:t>
            </w:r>
          </w:p>
          <w:p w14:paraId="4EE15D9A">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（2）物料提升机、施工电梯等物料平台搭设、外侧用密目式安全立网全封闭，安全防护门、防护棚等。</w:t>
            </w:r>
          </w:p>
        </w:tc>
      </w:tr>
      <w:tr w14:paraId="7CF1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A9C72DF">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C07B6A1">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专家论证审查</w:t>
            </w:r>
          </w:p>
        </w:tc>
        <w:tc>
          <w:tcPr>
            <w:tcW w:w="6930" w:type="dxa"/>
            <w:tcBorders>
              <w:top w:val="single" w:color="auto" w:sz="4" w:space="0"/>
              <w:left w:val="single" w:color="auto" w:sz="4" w:space="0"/>
              <w:bottom w:val="single" w:color="auto" w:sz="4" w:space="0"/>
              <w:right w:val="single" w:color="auto" w:sz="4" w:space="0"/>
            </w:tcBorders>
            <w:vAlign w:val="center"/>
          </w:tcPr>
          <w:p w14:paraId="5B4E3E14">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超过一定规模的危险性较大分部分项工程专家论证审查。</w:t>
            </w:r>
          </w:p>
        </w:tc>
      </w:tr>
      <w:tr w14:paraId="0472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4922985">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5F5902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应急救援预案</w:t>
            </w:r>
          </w:p>
        </w:tc>
        <w:tc>
          <w:tcPr>
            <w:tcW w:w="6930" w:type="dxa"/>
            <w:tcBorders>
              <w:top w:val="single" w:color="auto" w:sz="4" w:space="0"/>
              <w:left w:val="single" w:color="auto" w:sz="4" w:space="0"/>
              <w:bottom w:val="single" w:color="auto" w:sz="4" w:space="0"/>
              <w:right w:val="single" w:color="auto" w:sz="4" w:space="0"/>
            </w:tcBorders>
            <w:vAlign w:val="center"/>
          </w:tcPr>
          <w:p w14:paraId="7C33AFBB">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救援器材准备及演练等。</w:t>
            </w:r>
          </w:p>
        </w:tc>
      </w:tr>
      <w:tr w14:paraId="6234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C376DAB">
            <w:pPr>
              <w:spacing w:line="360" w:lineRule="auto"/>
              <w:jc w:val="center"/>
              <w:rPr>
                <w:rFonts w:ascii="宋体" w:hAnsi="宋体" w:cs="宋体"/>
                <w:bCs/>
                <w:color w:val="auto"/>
                <w:sz w:val="24"/>
                <w:highlight w:val="none"/>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555EE24">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非正常情况施工</w:t>
            </w:r>
          </w:p>
        </w:tc>
        <w:tc>
          <w:tcPr>
            <w:tcW w:w="6930" w:type="dxa"/>
            <w:tcBorders>
              <w:top w:val="single" w:color="auto" w:sz="4" w:space="0"/>
              <w:left w:val="single" w:color="auto" w:sz="4" w:space="0"/>
              <w:bottom w:val="single" w:color="auto" w:sz="4" w:space="0"/>
              <w:right w:val="single" w:color="auto" w:sz="4" w:space="0"/>
            </w:tcBorders>
            <w:vAlign w:val="center"/>
          </w:tcPr>
          <w:p w14:paraId="20103FE6">
            <w:pPr>
              <w:spacing w:line="360" w:lineRule="auto"/>
              <w:jc w:val="left"/>
              <w:rPr>
                <w:rFonts w:ascii="宋体" w:hAnsi="宋体" w:cs="宋体"/>
                <w:bCs/>
                <w:color w:val="auto"/>
                <w:sz w:val="24"/>
                <w:highlight w:val="none"/>
              </w:rPr>
            </w:pPr>
            <w:r>
              <w:rPr>
                <w:rFonts w:hint="eastAsia" w:ascii="宋体" w:hAnsi="宋体" w:cs="宋体"/>
                <w:bCs/>
                <w:color w:val="auto"/>
                <w:sz w:val="24"/>
                <w:highlight w:val="none"/>
              </w:rPr>
              <w:t>其它特殊情况下的防护费用，如：城市主干道、人流密集、河边等处施工及文物、古建筑、古树保护等。</w:t>
            </w:r>
          </w:p>
        </w:tc>
      </w:tr>
    </w:tbl>
    <w:p w14:paraId="0F9147BA">
      <w:pPr>
        <w:spacing w:line="360" w:lineRule="auto"/>
        <w:ind w:firstLine="480" w:firstLineChars="200"/>
        <w:rPr>
          <w:rFonts w:ascii="宋体" w:hAnsi="宋体" w:cs="宋体"/>
          <w:color w:val="auto"/>
          <w:sz w:val="24"/>
          <w:highlight w:val="none"/>
        </w:rPr>
      </w:pPr>
    </w:p>
    <w:p w14:paraId="1F6B49C4">
      <w:p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注：本表所列建筑工程安全、文明施工，是依据现行法律法规及标准规范确定的。如法律法规和标准规范修订，本表所列项目应按照修订后的法律法规和标准规范进行调整。</w:t>
      </w:r>
    </w:p>
    <w:p w14:paraId="7A0D092B">
      <w:pPr>
        <w:pStyle w:val="19"/>
        <w:spacing w:line="360" w:lineRule="auto"/>
        <w:rPr>
          <w:rFonts w:ascii="宋体" w:hAnsi="宋体"/>
          <w:color w:val="auto"/>
          <w:highlight w:val="none"/>
        </w:rPr>
      </w:pPr>
    </w:p>
    <w:p w14:paraId="2D0D3F73">
      <w:pPr>
        <w:pStyle w:val="28"/>
        <w:spacing w:line="360" w:lineRule="auto"/>
        <w:rPr>
          <w:rFonts w:ascii="宋体" w:hAnsi="宋体"/>
          <w:color w:val="auto"/>
          <w:highlight w:val="none"/>
        </w:rPr>
      </w:pPr>
    </w:p>
    <w:p w14:paraId="02F6BBEA">
      <w:pPr>
        <w:pStyle w:val="24"/>
        <w:spacing w:line="360" w:lineRule="auto"/>
        <w:rPr>
          <w:rFonts w:hAnsi="宋体"/>
          <w:color w:val="auto"/>
          <w:highlight w:val="none"/>
        </w:rPr>
        <w:sectPr>
          <w:pgSz w:w="11906" w:h="16838"/>
          <w:pgMar w:top="1247" w:right="1247" w:bottom="1247" w:left="1247"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367B8CFF">
      <w:pPr>
        <w:adjustRightInd w:val="0"/>
        <w:snapToGrid w:val="0"/>
        <w:spacing w:line="360" w:lineRule="auto"/>
        <w:rPr>
          <w:rFonts w:ascii="宋体" w:hAnsi="宋体"/>
          <w:b/>
          <w:color w:val="auto"/>
          <w:sz w:val="24"/>
          <w:highlight w:val="none"/>
        </w:rPr>
      </w:pPr>
      <w:r>
        <w:rPr>
          <w:rFonts w:hint="eastAsia" w:ascii="宋体" w:hAnsi="宋体"/>
          <w:b/>
          <w:color w:val="auto"/>
          <w:sz w:val="24"/>
          <w:highlight w:val="none"/>
        </w:rPr>
        <w:t>附件13</w:t>
      </w:r>
    </w:p>
    <w:p w14:paraId="253F3B0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中小企业声明函（工程）</w:t>
      </w:r>
    </w:p>
    <w:p w14:paraId="59FE58B6">
      <w:pPr>
        <w:spacing w:line="360" w:lineRule="auto"/>
        <w:ind w:firstLine="708" w:firstLineChars="294"/>
        <w:rPr>
          <w:rFonts w:ascii="宋体" w:hAnsi="宋体" w:cs="宋体"/>
          <w:b/>
          <w:bCs/>
          <w:color w:val="auto"/>
          <w:sz w:val="24"/>
          <w:highlight w:val="none"/>
        </w:rPr>
      </w:pPr>
    </w:p>
    <w:p w14:paraId="00D82AB9">
      <w:pPr>
        <w:spacing w:line="360" w:lineRule="auto"/>
        <w:ind w:firstLine="420"/>
        <w:rPr>
          <w:rFonts w:ascii="宋体" w:hAnsi="宋体"/>
          <w:bCs/>
          <w:color w:val="auto"/>
          <w:sz w:val="24"/>
          <w:highlight w:val="none"/>
        </w:rPr>
      </w:pPr>
      <w:r>
        <w:rPr>
          <w:rFonts w:ascii="宋体" w:hAnsi="宋体"/>
          <w:bCs/>
          <w:color w:val="auto"/>
          <w:sz w:val="24"/>
          <w:highlight w:val="none"/>
        </w:rPr>
        <w:t>本公司（联合体）郑重声明，根据《政府采购促进中小企业发展管理办法》（财库﹝2020﹞46 号）的规定，本公司（联合体）参加（单位名称）的（项目名称）采购活动，工程的施工单位全部为符合政策要求的中小企业。相关企业（含联合体中的中小企业、签订分包意向协议的中小企业）的具体情况如下：</w:t>
      </w:r>
    </w:p>
    <w:p w14:paraId="588F07CF">
      <w:pPr>
        <w:spacing w:line="360" w:lineRule="auto"/>
        <w:ind w:firstLine="420"/>
        <w:rPr>
          <w:rFonts w:ascii="宋体" w:hAnsi="宋体"/>
          <w:bCs/>
          <w:color w:val="auto"/>
          <w:sz w:val="24"/>
          <w:highlight w:val="none"/>
        </w:rPr>
      </w:pPr>
      <w:r>
        <w:rPr>
          <w:rFonts w:ascii="宋体" w:hAnsi="宋体"/>
          <w:bCs/>
          <w:color w:val="auto"/>
          <w:sz w:val="24"/>
          <w:highlight w:val="none"/>
        </w:rPr>
        <w:t>1.</w:t>
      </w:r>
      <w:r>
        <w:rPr>
          <w:rFonts w:hint="eastAsia" w:ascii="宋体" w:hAnsi="宋体"/>
          <w:bCs/>
          <w:color w:val="auto"/>
          <w:sz w:val="24"/>
          <w:highlight w:val="none"/>
          <w:u w:val="single"/>
        </w:rPr>
        <w:t>（标的名称）</w:t>
      </w:r>
      <w:r>
        <w:rPr>
          <w:rFonts w:hint="eastAsia" w:ascii="宋体" w:hAnsi="宋体"/>
          <w:bCs/>
          <w:color w:val="auto"/>
          <w:sz w:val="24"/>
          <w:highlight w:val="none"/>
        </w:rPr>
        <w:t>，属于</w:t>
      </w:r>
      <w:r>
        <w:rPr>
          <w:rFonts w:hint="eastAsia" w:ascii="宋体" w:hAnsi="宋体"/>
          <w:bCs/>
          <w:color w:val="auto"/>
          <w:sz w:val="24"/>
          <w:highlight w:val="none"/>
          <w:u w:val="single"/>
        </w:rPr>
        <w:t>（采购文件中明确的所属行业）</w:t>
      </w:r>
      <w:r>
        <w:rPr>
          <w:rFonts w:hint="eastAsia" w:ascii="宋体" w:hAnsi="宋体"/>
          <w:bCs/>
          <w:color w:val="auto"/>
          <w:sz w:val="24"/>
          <w:highlight w:val="none"/>
        </w:rPr>
        <w:t>行业；承建企业为</w:t>
      </w:r>
      <w:r>
        <w:rPr>
          <w:rFonts w:hint="eastAsia" w:ascii="宋体" w:hAnsi="宋体"/>
          <w:bCs/>
          <w:color w:val="auto"/>
          <w:sz w:val="24"/>
          <w:highlight w:val="none"/>
          <w:u w:val="single"/>
        </w:rPr>
        <w:t>（企业名称）</w:t>
      </w:r>
      <w:r>
        <w:rPr>
          <w:rFonts w:hint="eastAsia" w:ascii="宋体" w:hAnsi="宋体"/>
          <w:bCs/>
          <w:color w:val="auto"/>
          <w:sz w:val="24"/>
          <w:highlight w:val="none"/>
        </w:rPr>
        <w:t>，从业人员</w:t>
      </w:r>
      <w:r>
        <w:rPr>
          <w:rFonts w:ascii="宋体" w:hAnsi="宋体"/>
          <w:bCs/>
          <w:color w:val="auto"/>
          <w:sz w:val="24"/>
          <w:highlight w:val="none"/>
          <w:u w:val="single"/>
        </w:rPr>
        <w:t xml:space="preserve">    </w:t>
      </w:r>
      <w:r>
        <w:rPr>
          <w:rFonts w:hint="eastAsia" w:ascii="宋体" w:hAnsi="宋体"/>
          <w:bCs/>
          <w:color w:val="auto"/>
          <w:sz w:val="24"/>
          <w:highlight w:val="none"/>
        </w:rPr>
        <w:t>人，营业收入为</w:t>
      </w:r>
      <w:r>
        <w:rPr>
          <w:rFonts w:ascii="宋体" w:hAnsi="宋体"/>
          <w:bCs/>
          <w:color w:val="auto"/>
          <w:sz w:val="24"/>
          <w:highlight w:val="none"/>
          <w:u w:val="single"/>
        </w:rPr>
        <w:t xml:space="preserve">    </w:t>
      </w:r>
      <w:r>
        <w:rPr>
          <w:rFonts w:hint="eastAsia" w:ascii="宋体" w:hAnsi="宋体"/>
          <w:bCs/>
          <w:color w:val="auto"/>
          <w:sz w:val="24"/>
          <w:highlight w:val="none"/>
        </w:rPr>
        <w:t>万元，资产总额为</w:t>
      </w:r>
      <w:r>
        <w:rPr>
          <w:rFonts w:ascii="宋体" w:hAnsi="宋体"/>
          <w:bCs/>
          <w:color w:val="auto"/>
          <w:sz w:val="24"/>
          <w:highlight w:val="none"/>
          <w:u w:val="single"/>
        </w:rPr>
        <w:t xml:space="preserve">    </w:t>
      </w:r>
      <w:r>
        <w:rPr>
          <w:rFonts w:hint="eastAsia" w:ascii="宋体" w:hAnsi="宋体"/>
          <w:bCs/>
          <w:color w:val="auto"/>
          <w:sz w:val="24"/>
          <w:highlight w:val="none"/>
        </w:rPr>
        <w:t>万元，属于</w:t>
      </w:r>
      <w:r>
        <w:rPr>
          <w:rFonts w:hint="eastAsia" w:ascii="宋体" w:hAnsi="宋体"/>
          <w:bCs/>
          <w:color w:val="auto"/>
          <w:sz w:val="24"/>
          <w:highlight w:val="none"/>
          <w:u w:val="single"/>
        </w:rPr>
        <w:t>（中型企业、小型企业、微型企业）</w:t>
      </w:r>
      <w:r>
        <w:rPr>
          <w:rFonts w:hint="eastAsia" w:ascii="宋体" w:hAnsi="宋体"/>
          <w:bCs/>
          <w:color w:val="auto"/>
          <w:sz w:val="24"/>
          <w:highlight w:val="none"/>
        </w:rPr>
        <w:t>；</w:t>
      </w:r>
    </w:p>
    <w:p w14:paraId="1B3811F9">
      <w:pPr>
        <w:spacing w:line="360" w:lineRule="auto"/>
        <w:ind w:firstLine="420"/>
        <w:rPr>
          <w:rFonts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u w:val="single"/>
        </w:rPr>
        <w:t>（标的名称）</w:t>
      </w:r>
      <w:r>
        <w:rPr>
          <w:rFonts w:hint="eastAsia" w:ascii="宋体" w:hAnsi="宋体"/>
          <w:bCs/>
          <w:color w:val="auto"/>
          <w:sz w:val="24"/>
          <w:highlight w:val="none"/>
        </w:rPr>
        <w:t>，属于</w:t>
      </w:r>
      <w:r>
        <w:rPr>
          <w:rFonts w:hint="eastAsia" w:ascii="宋体" w:hAnsi="宋体"/>
          <w:bCs/>
          <w:color w:val="auto"/>
          <w:sz w:val="24"/>
          <w:highlight w:val="none"/>
          <w:u w:val="single"/>
        </w:rPr>
        <w:t>（采购文件中明确的所属行业）</w:t>
      </w:r>
      <w:r>
        <w:rPr>
          <w:rFonts w:hint="eastAsia" w:ascii="宋体" w:hAnsi="宋体"/>
          <w:bCs/>
          <w:color w:val="auto"/>
          <w:sz w:val="24"/>
          <w:highlight w:val="none"/>
        </w:rPr>
        <w:t>行业；承建企业为</w:t>
      </w:r>
      <w:r>
        <w:rPr>
          <w:rFonts w:hint="eastAsia" w:ascii="宋体" w:hAnsi="宋体"/>
          <w:bCs/>
          <w:color w:val="auto"/>
          <w:sz w:val="24"/>
          <w:highlight w:val="none"/>
          <w:u w:val="single"/>
        </w:rPr>
        <w:t>（企业名称）</w:t>
      </w:r>
      <w:r>
        <w:rPr>
          <w:rFonts w:hint="eastAsia" w:ascii="宋体" w:hAnsi="宋体"/>
          <w:bCs/>
          <w:color w:val="auto"/>
          <w:sz w:val="24"/>
          <w:highlight w:val="none"/>
        </w:rPr>
        <w:t>，从业人员</w:t>
      </w:r>
      <w:r>
        <w:rPr>
          <w:rFonts w:ascii="宋体" w:hAnsi="宋体"/>
          <w:bCs/>
          <w:color w:val="auto"/>
          <w:sz w:val="24"/>
          <w:highlight w:val="none"/>
          <w:u w:val="single"/>
        </w:rPr>
        <w:t xml:space="preserve">    </w:t>
      </w:r>
      <w:r>
        <w:rPr>
          <w:rFonts w:hint="eastAsia" w:ascii="宋体" w:hAnsi="宋体"/>
          <w:bCs/>
          <w:color w:val="auto"/>
          <w:sz w:val="24"/>
          <w:highlight w:val="none"/>
        </w:rPr>
        <w:t>人，营业收入为</w:t>
      </w:r>
      <w:r>
        <w:rPr>
          <w:rFonts w:ascii="宋体" w:hAnsi="宋体"/>
          <w:bCs/>
          <w:color w:val="auto"/>
          <w:sz w:val="24"/>
          <w:highlight w:val="none"/>
          <w:u w:val="single"/>
        </w:rPr>
        <w:t xml:space="preserve">    </w:t>
      </w:r>
      <w:r>
        <w:rPr>
          <w:rFonts w:hint="eastAsia" w:ascii="宋体" w:hAnsi="宋体"/>
          <w:bCs/>
          <w:color w:val="auto"/>
          <w:sz w:val="24"/>
          <w:highlight w:val="none"/>
        </w:rPr>
        <w:t>万元，资产总额为</w:t>
      </w:r>
      <w:r>
        <w:rPr>
          <w:rFonts w:ascii="宋体" w:hAnsi="宋体"/>
          <w:bCs/>
          <w:color w:val="auto"/>
          <w:sz w:val="24"/>
          <w:highlight w:val="none"/>
          <w:u w:val="single"/>
        </w:rPr>
        <w:t xml:space="preserve">    </w:t>
      </w:r>
      <w:r>
        <w:rPr>
          <w:rFonts w:hint="eastAsia" w:ascii="宋体" w:hAnsi="宋体"/>
          <w:bCs/>
          <w:color w:val="auto"/>
          <w:sz w:val="24"/>
          <w:highlight w:val="none"/>
        </w:rPr>
        <w:t>万元，属于</w:t>
      </w:r>
      <w:r>
        <w:rPr>
          <w:rFonts w:hint="eastAsia" w:ascii="宋体" w:hAnsi="宋体"/>
          <w:bCs/>
          <w:color w:val="auto"/>
          <w:sz w:val="24"/>
          <w:highlight w:val="none"/>
          <w:u w:val="single"/>
        </w:rPr>
        <w:t>（中型企业、小型企业、微型企业）</w:t>
      </w:r>
      <w:r>
        <w:rPr>
          <w:rFonts w:hint="eastAsia" w:ascii="宋体" w:hAnsi="宋体"/>
          <w:bCs/>
          <w:color w:val="auto"/>
          <w:sz w:val="24"/>
          <w:highlight w:val="none"/>
        </w:rPr>
        <w:t>；</w:t>
      </w:r>
    </w:p>
    <w:p w14:paraId="48D2068C">
      <w:pPr>
        <w:spacing w:line="360" w:lineRule="auto"/>
        <w:ind w:firstLine="420"/>
        <w:rPr>
          <w:rFonts w:ascii="宋体" w:hAnsi="宋体"/>
          <w:bCs/>
          <w:color w:val="auto"/>
          <w:sz w:val="24"/>
          <w:highlight w:val="none"/>
        </w:rPr>
      </w:pPr>
      <w:r>
        <w:rPr>
          <w:rFonts w:hint="eastAsia" w:ascii="宋体" w:hAnsi="宋体"/>
          <w:bCs/>
          <w:color w:val="auto"/>
          <w:sz w:val="24"/>
          <w:highlight w:val="none"/>
        </w:rPr>
        <w:t>……</w:t>
      </w:r>
    </w:p>
    <w:p w14:paraId="795C99FC">
      <w:pPr>
        <w:spacing w:line="360" w:lineRule="auto"/>
        <w:ind w:firstLine="420"/>
        <w:rPr>
          <w:rFonts w:ascii="宋体" w:hAnsi="宋体"/>
          <w:bCs/>
          <w:color w:val="auto"/>
          <w:sz w:val="24"/>
          <w:highlight w:val="none"/>
        </w:rPr>
      </w:pPr>
      <w:r>
        <w:rPr>
          <w:rFonts w:hint="eastAsia" w:ascii="宋体" w:hAnsi="宋体"/>
          <w:bCs/>
          <w:color w:val="auto"/>
          <w:sz w:val="24"/>
          <w:highlight w:val="none"/>
        </w:rPr>
        <w:t>以上企业，不属于大企业的分支机构，不存在控股股东为大企业的情形，也不存在与大企业的负责人为同一人的情形。</w:t>
      </w:r>
    </w:p>
    <w:p w14:paraId="34639724">
      <w:pPr>
        <w:spacing w:line="360" w:lineRule="auto"/>
        <w:ind w:firstLine="420"/>
        <w:rPr>
          <w:rFonts w:ascii="宋体" w:hAnsi="宋体"/>
          <w:bCs/>
          <w:color w:val="auto"/>
          <w:sz w:val="24"/>
          <w:highlight w:val="none"/>
        </w:rPr>
      </w:pPr>
      <w:r>
        <w:rPr>
          <w:rFonts w:hint="eastAsia" w:ascii="宋体" w:hAnsi="宋体"/>
          <w:bCs/>
          <w:color w:val="auto"/>
          <w:sz w:val="24"/>
          <w:highlight w:val="none"/>
        </w:rPr>
        <w:t>本企业对上述声明内容的真实性负责。如有虚假，将依法承担相应责任。</w:t>
      </w:r>
    </w:p>
    <w:p w14:paraId="1FFC9214">
      <w:pPr>
        <w:adjustRightInd w:val="0"/>
        <w:snapToGrid w:val="0"/>
        <w:spacing w:line="360" w:lineRule="auto"/>
        <w:ind w:firstLine="4200" w:firstLineChars="1750"/>
        <w:jc w:val="left"/>
        <w:rPr>
          <w:rFonts w:ascii="宋体" w:hAnsi="宋体"/>
          <w:color w:val="auto"/>
          <w:sz w:val="24"/>
          <w:highlight w:val="none"/>
        </w:rPr>
      </w:pPr>
    </w:p>
    <w:p w14:paraId="0B8D4167">
      <w:pPr>
        <w:adjustRightInd w:val="0"/>
        <w:snapToGrid w:val="0"/>
        <w:spacing w:line="360" w:lineRule="auto"/>
        <w:ind w:firstLine="4200" w:firstLineChars="1750"/>
        <w:jc w:val="left"/>
        <w:rPr>
          <w:rFonts w:ascii="宋体" w:hAnsi="宋体"/>
          <w:color w:val="auto"/>
          <w:sz w:val="24"/>
          <w:highlight w:val="none"/>
        </w:rPr>
      </w:pPr>
      <w:r>
        <w:rPr>
          <w:rFonts w:hint="eastAsia" w:ascii="宋体" w:hAnsi="宋体"/>
          <w:color w:val="auto"/>
          <w:kern w:val="0"/>
          <w:sz w:val="24"/>
          <w:highlight w:val="none"/>
          <w:lang w:val="en-US" w:eastAsia="zh-CN"/>
        </w:rPr>
        <w:t>磋商</w:t>
      </w:r>
      <w:r>
        <w:rPr>
          <w:rFonts w:hint="eastAsia" w:ascii="宋体" w:hAnsi="宋体"/>
          <w:color w:val="auto"/>
          <w:sz w:val="24"/>
          <w:highlight w:val="none"/>
        </w:rPr>
        <w:t xml:space="preserve">供应商名称（公章）：                          </w:t>
      </w:r>
    </w:p>
    <w:p w14:paraId="02B1A484">
      <w:pPr>
        <w:spacing w:line="360" w:lineRule="auto"/>
        <w:ind w:firstLine="3600" w:firstLineChars="1500"/>
        <w:rPr>
          <w:rFonts w:ascii="宋体" w:hAnsi="宋体"/>
          <w:bCs/>
          <w:color w:val="auto"/>
          <w:sz w:val="24"/>
          <w:highlight w:val="none"/>
        </w:rPr>
      </w:pPr>
      <w:r>
        <w:rPr>
          <w:rFonts w:hint="eastAsia" w:ascii="宋体" w:hAnsi="宋体"/>
          <w:color w:val="auto"/>
          <w:sz w:val="24"/>
          <w:highlight w:val="none"/>
        </w:rPr>
        <w:t xml:space="preserve">     日期：  年   月   日</w:t>
      </w:r>
    </w:p>
    <w:p w14:paraId="7CB5403D">
      <w:pPr>
        <w:spacing w:line="360" w:lineRule="auto"/>
        <w:jc w:val="left"/>
        <w:rPr>
          <w:rFonts w:ascii="宋体" w:hAnsi="宋体"/>
          <w:bCs/>
          <w:color w:val="auto"/>
          <w:sz w:val="24"/>
          <w:highlight w:val="none"/>
        </w:rPr>
      </w:pPr>
    </w:p>
    <w:p w14:paraId="7A0B03A3">
      <w:pPr>
        <w:spacing w:line="360" w:lineRule="auto"/>
        <w:jc w:val="left"/>
        <w:rPr>
          <w:rFonts w:ascii="宋体" w:hAnsi="宋体"/>
          <w:bCs/>
          <w:color w:val="auto"/>
          <w:sz w:val="24"/>
          <w:highlight w:val="none"/>
        </w:rPr>
      </w:pPr>
      <w:r>
        <w:rPr>
          <w:rFonts w:hint="eastAsia" w:ascii="宋体" w:hAnsi="宋体"/>
          <w:bCs/>
          <w:color w:val="auto"/>
          <w:sz w:val="24"/>
          <w:highlight w:val="none"/>
        </w:rPr>
        <w:t>注：（</w:t>
      </w:r>
      <w:r>
        <w:rPr>
          <w:rFonts w:ascii="宋体" w:hAnsi="宋体"/>
          <w:bCs/>
          <w:color w:val="auto"/>
          <w:sz w:val="24"/>
          <w:highlight w:val="none"/>
        </w:rPr>
        <w:t>1</w:t>
      </w:r>
      <w:r>
        <w:rPr>
          <w:rFonts w:hint="eastAsia" w:ascii="宋体" w:hAnsi="宋体"/>
          <w:bCs/>
          <w:color w:val="auto"/>
          <w:sz w:val="24"/>
          <w:highlight w:val="none"/>
        </w:rPr>
        <w:t>）如磋商供应商为联合体或分包的，声明函中“项目名称”应填写联合体中中小企业承担的具体内容或者中小企业具体分包内容。</w:t>
      </w:r>
    </w:p>
    <w:p w14:paraId="19E23289">
      <w:pPr>
        <w:spacing w:line="360" w:lineRule="auto"/>
        <w:jc w:val="left"/>
        <w:rPr>
          <w:rFonts w:ascii="宋体" w:hAnsi="宋体"/>
          <w:bCs/>
          <w:color w:val="auto"/>
          <w:sz w:val="24"/>
          <w:highlight w:val="none"/>
        </w:rPr>
      </w:pPr>
      <w:r>
        <w:rPr>
          <w:rFonts w:hint="eastAsia" w:ascii="宋体" w:hAnsi="宋体"/>
          <w:bCs/>
          <w:color w:val="auto"/>
          <w:sz w:val="24"/>
          <w:highlight w:val="none"/>
        </w:rPr>
        <w:t>（</w:t>
      </w:r>
      <w:r>
        <w:rPr>
          <w:rFonts w:ascii="宋体" w:hAnsi="宋体"/>
          <w:bCs/>
          <w:color w:val="auto"/>
          <w:sz w:val="24"/>
          <w:highlight w:val="none"/>
        </w:rPr>
        <w:t>2</w:t>
      </w:r>
      <w:r>
        <w:rPr>
          <w:rFonts w:hint="eastAsia" w:ascii="宋体" w:hAnsi="宋体"/>
          <w:bCs/>
          <w:color w:val="auto"/>
          <w:sz w:val="24"/>
          <w:highlight w:val="none"/>
        </w:rPr>
        <w:t>）请根据真实情况出具《中小企业声明函》。</w:t>
      </w:r>
      <w:r>
        <w:rPr>
          <w:rFonts w:hint="eastAsia" w:ascii="宋体" w:hAnsi="宋体"/>
          <w:color w:val="auto"/>
          <w:sz w:val="24"/>
          <w:highlight w:val="none"/>
        </w:rPr>
        <w:t>成交候选人享受《政府采购促进中小企业发展管理办法》（财库〔2020〕46号）</w:t>
      </w:r>
      <w:r>
        <w:rPr>
          <w:rFonts w:hint="eastAsia" w:ascii="宋体" w:hAnsi="宋体" w:cs="宋体"/>
          <w:color w:val="auto"/>
          <w:sz w:val="24"/>
          <w:highlight w:val="none"/>
        </w:rPr>
        <w:t>、</w:t>
      </w:r>
      <w:r>
        <w:rPr>
          <w:rFonts w:hint="eastAsia" w:ascii="宋体" w:hAnsi="宋体" w:cs="宋体"/>
          <w:color w:val="auto"/>
          <w:sz w:val="24"/>
          <w:highlight w:val="none"/>
          <w:lang w:bidi="ar"/>
        </w:rPr>
        <w:t>财政部《关于进一步加大政府采购支持中小企业力度的通知》（财库〔2022〕19号）</w:t>
      </w:r>
      <w:r>
        <w:rPr>
          <w:rFonts w:hint="eastAsia" w:ascii="宋体" w:hAnsi="宋体"/>
          <w:color w:val="auto"/>
          <w:sz w:val="24"/>
          <w:highlight w:val="none"/>
        </w:rPr>
        <w:t>规定的中小企业扶持政策的，采购人、采购代理机构应当随成交结果公开成交供应商的《中小企业声明函》</w:t>
      </w:r>
      <w:r>
        <w:rPr>
          <w:rFonts w:hint="eastAsia" w:ascii="宋体" w:hAnsi="宋体"/>
          <w:bCs/>
          <w:color w:val="auto"/>
          <w:sz w:val="24"/>
          <w:highlight w:val="none"/>
        </w:rPr>
        <w:t>，接受社会监督。</w:t>
      </w:r>
    </w:p>
    <w:p w14:paraId="5F81288E">
      <w:pPr>
        <w:spacing w:line="360" w:lineRule="auto"/>
        <w:jc w:val="left"/>
        <w:rPr>
          <w:rFonts w:ascii="宋体" w:hAnsi="宋体"/>
          <w:bCs/>
          <w:color w:val="auto"/>
          <w:sz w:val="24"/>
          <w:highlight w:val="none"/>
        </w:rPr>
      </w:pPr>
      <w:r>
        <w:rPr>
          <w:rFonts w:hint="eastAsia" w:ascii="宋体" w:hAnsi="宋体"/>
          <w:bCs/>
          <w:color w:val="auto"/>
          <w:sz w:val="24"/>
          <w:highlight w:val="none"/>
        </w:rPr>
        <w:t>（</w:t>
      </w:r>
      <w:r>
        <w:rPr>
          <w:rFonts w:ascii="宋体" w:hAnsi="宋体"/>
          <w:bCs/>
          <w:color w:val="auto"/>
          <w:sz w:val="24"/>
          <w:highlight w:val="none"/>
        </w:rPr>
        <w:t>3</w:t>
      </w:r>
      <w:r>
        <w:rPr>
          <w:rFonts w:hint="eastAsia" w:ascii="宋体" w:hAnsi="宋体"/>
          <w:bCs/>
          <w:color w:val="auto"/>
          <w:sz w:val="24"/>
          <w:highlight w:val="none"/>
        </w:rPr>
        <w:t>）从业人员、营业收入、资产总额填报上一年度数据，无上一年度数据的新成立企业可不填报。</w:t>
      </w:r>
    </w:p>
    <w:p w14:paraId="0765ACA0">
      <w:pPr>
        <w:spacing w:line="360" w:lineRule="auto"/>
        <w:ind w:left="420" w:hanging="420"/>
        <w:rPr>
          <w:rFonts w:ascii="宋体" w:hAnsi="宋体"/>
          <w:color w:val="auto"/>
          <w:sz w:val="24"/>
          <w:highlight w:val="none"/>
        </w:rPr>
      </w:pPr>
      <w:r>
        <w:rPr>
          <w:rFonts w:hint="eastAsia" w:ascii="宋体" w:hAnsi="宋体"/>
          <w:b/>
          <w:color w:val="auto"/>
          <w:sz w:val="24"/>
          <w:highlight w:val="none"/>
        </w:rPr>
        <w:t>附件14</w:t>
      </w:r>
    </w:p>
    <w:p w14:paraId="386D101E">
      <w:pPr>
        <w:pStyle w:val="35"/>
        <w:widowControl w:val="0"/>
        <w:adjustRightInd w:val="0"/>
        <w:snapToGrid w:val="0"/>
        <w:spacing w:before="0" w:beforeAutospacing="0" w:after="0" w:afterAutospacing="0" w:line="360" w:lineRule="auto"/>
        <w:jc w:val="center"/>
        <w:rPr>
          <w:b/>
          <w:color w:val="auto"/>
          <w:kern w:val="2"/>
          <w:sz w:val="36"/>
          <w:szCs w:val="36"/>
          <w:highlight w:val="none"/>
        </w:rPr>
      </w:pPr>
    </w:p>
    <w:p w14:paraId="31F8290E">
      <w:pPr>
        <w:pStyle w:val="35"/>
        <w:widowControl w:val="0"/>
        <w:adjustRightInd w:val="0"/>
        <w:snapToGrid w:val="0"/>
        <w:spacing w:before="0" w:beforeAutospacing="0" w:after="0" w:afterAutospacing="0" w:line="360" w:lineRule="auto"/>
        <w:jc w:val="center"/>
        <w:rPr>
          <w:b/>
          <w:color w:val="auto"/>
          <w:kern w:val="2"/>
          <w:sz w:val="36"/>
          <w:szCs w:val="36"/>
          <w:highlight w:val="none"/>
        </w:rPr>
      </w:pPr>
    </w:p>
    <w:p w14:paraId="04345554">
      <w:pPr>
        <w:pStyle w:val="35"/>
        <w:widowControl w:val="0"/>
        <w:adjustRightInd w:val="0"/>
        <w:snapToGrid w:val="0"/>
        <w:spacing w:before="0" w:beforeAutospacing="0" w:after="0" w:afterAutospacing="0" w:line="360" w:lineRule="auto"/>
        <w:jc w:val="center"/>
        <w:rPr>
          <w:b/>
          <w:color w:val="auto"/>
          <w:kern w:val="2"/>
          <w:sz w:val="36"/>
          <w:szCs w:val="36"/>
          <w:highlight w:val="none"/>
        </w:rPr>
      </w:pPr>
      <w:r>
        <w:rPr>
          <w:rFonts w:hint="eastAsia"/>
          <w:b/>
          <w:color w:val="auto"/>
          <w:kern w:val="2"/>
          <w:sz w:val="36"/>
          <w:szCs w:val="36"/>
          <w:highlight w:val="none"/>
        </w:rPr>
        <w:t>残疾人福利性单位声明函</w:t>
      </w:r>
    </w:p>
    <w:p w14:paraId="2F8050B4">
      <w:pPr>
        <w:spacing w:line="360" w:lineRule="auto"/>
        <w:rPr>
          <w:rFonts w:ascii="宋体" w:hAnsi="宋体"/>
          <w:color w:val="auto"/>
          <w:szCs w:val="21"/>
          <w:highlight w:val="none"/>
        </w:rPr>
      </w:pPr>
    </w:p>
    <w:p w14:paraId="7014B7A9">
      <w:pPr>
        <w:spacing w:line="360" w:lineRule="auto"/>
        <w:rPr>
          <w:rFonts w:ascii="宋体" w:hAnsi="宋体"/>
          <w:bCs/>
          <w:color w:val="auto"/>
          <w:spacing w:val="6"/>
          <w:sz w:val="24"/>
          <w:highlight w:val="none"/>
        </w:rPr>
      </w:pPr>
    </w:p>
    <w:p w14:paraId="31CC2E9F">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w:t>
      </w:r>
      <w:r>
        <w:rPr>
          <w:rFonts w:hint="eastAsia" w:ascii="宋体" w:hAnsi="宋体"/>
          <w:color w:val="auto"/>
          <w:spacing w:val="6"/>
          <w:sz w:val="24"/>
          <w:highlight w:val="none"/>
          <w:u w:val="single"/>
        </w:rPr>
        <w:t>______</w:t>
      </w:r>
      <w:r>
        <w:rPr>
          <w:rFonts w:hint="eastAsia" w:ascii="宋体" w:hAnsi="宋体"/>
          <w:color w:val="auto"/>
          <w:spacing w:val="6"/>
          <w:sz w:val="24"/>
          <w:highlight w:val="none"/>
        </w:rPr>
        <w:t>单位的</w:t>
      </w:r>
      <w:r>
        <w:rPr>
          <w:rFonts w:hint="eastAsia" w:ascii="宋体" w:hAnsi="宋体"/>
          <w:color w:val="auto"/>
          <w:spacing w:val="6"/>
          <w:sz w:val="24"/>
          <w:highlight w:val="none"/>
          <w:u w:val="single"/>
        </w:rPr>
        <w:t>______</w:t>
      </w:r>
      <w:r>
        <w:rPr>
          <w:rFonts w:hint="eastAsia" w:ascii="宋体" w:hAnsi="宋体"/>
          <w:color w:val="auto"/>
          <w:spacing w:val="6"/>
          <w:sz w:val="24"/>
          <w:highlight w:val="none"/>
        </w:rPr>
        <w:t>项目采购活动由本单位承担工程</w:t>
      </w:r>
      <w:r>
        <w:rPr>
          <w:rFonts w:hint="eastAsia" w:ascii="宋体" w:hAnsi="宋体"/>
          <w:color w:val="auto"/>
          <w:spacing w:val="-6"/>
          <w:sz w:val="24"/>
          <w:highlight w:val="none"/>
        </w:rPr>
        <w:t>。</w:t>
      </w:r>
    </w:p>
    <w:p w14:paraId="0E403715">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4A64824E">
      <w:pPr>
        <w:spacing w:line="360" w:lineRule="auto"/>
        <w:ind w:firstLine="480" w:firstLineChars="200"/>
        <w:rPr>
          <w:rFonts w:ascii="宋体" w:hAnsi="宋体"/>
          <w:color w:val="auto"/>
          <w:sz w:val="24"/>
          <w:highlight w:val="none"/>
        </w:rPr>
      </w:pPr>
    </w:p>
    <w:p w14:paraId="4F4D8964">
      <w:pPr>
        <w:spacing w:line="360" w:lineRule="auto"/>
        <w:ind w:firstLine="480" w:firstLineChars="200"/>
        <w:rPr>
          <w:rFonts w:ascii="宋体" w:hAnsi="宋体"/>
          <w:color w:val="auto"/>
          <w:sz w:val="24"/>
          <w:highlight w:val="none"/>
        </w:rPr>
      </w:pPr>
    </w:p>
    <w:p w14:paraId="6EA4906F">
      <w:pPr>
        <w:adjustRightInd w:val="0"/>
        <w:snapToGrid w:val="0"/>
        <w:spacing w:line="360" w:lineRule="auto"/>
        <w:ind w:firstLine="960" w:firstLineChars="400"/>
        <w:jc w:val="lef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kern w:val="0"/>
          <w:sz w:val="24"/>
          <w:highlight w:val="none"/>
          <w:lang w:val="en-US" w:eastAsia="zh-CN"/>
        </w:rPr>
        <w:t>磋商</w:t>
      </w:r>
      <w:r>
        <w:rPr>
          <w:rFonts w:hint="eastAsia" w:ascii="宋体" w:hAnsi="宋体"/>
          <w:color w:val="auto"/>
          <w:sz w:val="24"/>
          <w:highlight w:val="none"/>
        </w:rPr>
        <w:t xml:space="preserve">供应商名称（公章）：                          </w:t>
      </w:r>
    </w:p>
    <w:p w14:paraId="4BD4F343">
      <w:pPr>
        <w:tabs>
          <w:tab w:val="left" w:pos="4860"/>
        </w:tabs>
        <w:spacing w:line="360" w:lineRule="auto"/>
        <w:ind w:right="1560" w:firstLine="480" w:firstLineChars="200"/>
        <w:jc w:val="center"/>
        <w:rPr>
          <w:rFonts w:ascii="宋体" w:hAnsi="宋体"/>
          <w:color w:val="auto"/>
          <w:sz w:val="24"/>
          <w:highlight w:val="none"/>
        </w:rPr>
      </w:pPr>
      <w:r>
        <w:rPr>
          <w:rFonts w:hint="eastAsia" w:ascii="宋体" w:hAnsi="宋体"/>
          <w:color w:val="auto"/>
          <w:sz w:val="24"/>
          <w:highlight w:val="none"/>
        </w:rPr>
        <w:t xml:space="preserve">     日期：  年   月   日</w:t>
      </w:r>
    </w:p>
    <w:p w14:paraId="67BF2FB6">
      <w:pPr>
        <w:tabs>
          <w:tab w:val="left" w:pos="4860"/>
        </w:tabs>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说明：符合条件的残疾人福利性单位在参加政府采购活动时，应当提供本通知规定的《残疾人福利性单位声明函》，并对声明的真实性负责。</w:t>
      </w:r>
    </w:p>
    <w:p w14:paraId="545A0583">
      <w:pPr>
        <w:snapToGrid w:val="0"/>
        <w:spacing w:line="360" w:lineRule="auto"/>
        <w:ind w:firstLine="361" w:firstLineChars="150"/>
        <w:jc w:val="left"/>
        <w:rPr>
          <w:rFonts w:ascii="宋体" w:hAnsi="宋体" w:cs="宋体"/>
          <w:b/>
          <w:color w:val="auto"/>
          <w:kern w:val="0"/>
          <w:sz w:val="24"/>
          <w:highlight w:val="none"/>
        </w:rPr>
      </w:pPr>
      <w:r>
        <w:rPr>
          <w:rFonts w:hint="eastAsia" w:ascii="宋体" w:hAnsi="宋体" w:cs="宋体"/>
          <w:b/>
          <w:color w:val="auto"/>
          <w:kern w:val="0"/>
          <w:sz w:val="24"/>
          <w:highlight w:val="none"/>
        </w:rPr>
        <w:t>成交供应商为残疾人福利性单位的，采购人或者其委托的采购代理机构应当随成交结果同时公告其《残疾人福利性单位声明函》，接受社会监督。</w:t>
      </w:r>
    </w:p>
    <w:p w14:paraId="10DCA9F6">
      <w:pPr>
        <w:snapToGrid w:val="0"/>
        <w:spacing w:line="360" w:lineRule="auto"/>
        <w:ind w:firstLine="361" w:firstLineChars="150"/>
        <w:jc w:val="left"/>
        <w:rPr>
          <w:rFonts w:ascii="宋体" w:hAnsi="宋体" w:cs="宋体"/>
          <w:b/>
          <w:color w:val="auto"/>
          <w:kern w:val="0"/>
          <w:sz w:val="24"/>
          <w:highlight w:val="none"/>
        </w:rPr>
      </w:pPr>
      <w:r>
        <w:rPr>
          <w:rFonts w:hint="eastAsia" w:ascii="宋体" w:hAnsi="宋体" w:cs="宋体"/>
          <w:b/>
          <w:color w:val="auto"/>
          <w:kern w:val="0"/>
          <w:sz w:val="24"/>
          <w:highlight w:val="none"/>
        </w:rPr>
        <w:t>供应商提供的《残疾人福利性单位声明函》与事实不符的，依照《政府采购法》第七十七条第一款的规定追究法律责任。</w:t>
      </w:r>
    </w:p>
    <w:p w14:paraId="1EB3AB58">
      <w:pPr>
        <w:spacing w:line="360" w:lineRule="auto"/>
        <w:ind w:firstLine="7680" w:firstLineChars="3200"/>
        <w:rPr>
          <w:rFonts w:ascii="宋体" w:hAnsi="宋体" w:cs="Courier New"/>
          <w:color w:val="auto"/>
          <w:sz w:val="24"/>
          <w:highlight w:val="none"/>
        </w:rPr>
      </w:pPr>
    </w:p>
    <w:p w14:paraId="24AB64B4">
      <w:pPr>
        <w:spacing w:line="360" w:lineRule="auto"/>
        <w:ind w:firstLine="7680" w:firstLineChars="3200"/>
        <w:rPr>
          <w:rFonts w:ascii="宋体" w:hAnsi="宋体" w:cs="Courier New"/>
          <w:color w:val="auto"/>
          <w:sz w:val="24"/>
          <w:highlight w:val="none"/>
        </w:rPr>
      </w:pPr>
    </w:p>
    <w:p w14:paraId="7F19151F">
      <w:pPr>
        <w:spacing w:line="360" w:lineRule="auto"/>
        <w:ind w:firstLine="6720" w:firstLineChars="3200"/>
        <w:rPr>
          <w:rFonts w:ascii="宋体" w:hAnsi="宋体" w:cs="Courier New"/>
          <w:color w:val="auto"/>
          <w:szCs w:val="21"/>
          <w:highlight w:val="none"/>
        </w:rPr>
      </w:pPr>
    </w:p>
    <w:p w14:paraId="79E16212">
      <w:pPr>
        <w:spacing w:line="360" w:lineRule="auto"/>
        <w:ind w:firstLine="6720" w:firstLineChars="3200"/>
        <w:rPr>
          <w:rFonts w:ascii="宋体" w:hAnsi="宋体" w:cs="Courier New"/>
          <w:color w:val="auto"/>
          <w:szCs w:val="21"/>
          <w:highlight w:val="none"/>
        </w:rPr>
      </w:pPr>
    </w:p>
    <w:p w14:paraId="5E56BBE3">
      <w:pPr>
        <w:spacing w:line="360" w:lineRule="auto"/>
        <w:rPr>
          <w:rFonts w:ascii="宋体" w:hAnsi="宋体" w:cs="宋体"/>
          <w:b/>
          <w:color w:val="auto"/>
          <w:spacing w:val="6"/>
          <w:sz w:val="28"/>
          <w:szCs w:val="28"/>
          <w:highlight w:val="none"/>
        </w:rPr>
      </w:pPr>
    </w:p>
    <w:p w14:paraId="4E120EF6">
      <w:pPr>
        <w:spacing w:line="360" w:lineRule="auto"/>
        <w:rPr>
          <w:rFonts w:ascii="宋体" w:hAnsi="宋体" w:cs="宋体"/>
          <w:b/>
          <w:color w:val="auto"/>
          <w:spacing w:val="6"/>
          <w:sz w:val="28"/>
          <w:szCs w:val="28"/>
          <w:highlight w:val="none"/>
        </w:rPr>
      </w:pPr>
      <w:r>
        <w:rPr>
          <w:rFonts w:hint="eastAsia" w:ascii="宋体" w:hAnsi="宋体" w:cs="宋体"/>
          <w:b/>
          <w:color w:val="auto"/>
          <w:spacing w:val="6"/>
          <w:sz w:val="28"/>
          <w:szCs w:val="28"/>
          <w:highlight w:val="none"/>
        </w:rPr>
        <w:br w:type="page"/>
      </w:r>
    </w:p>
    <w:p w14:paraId="31D74A05">
      <w:pPr>
        <w:pStyle w:val="95"/>
        <w:ind w:left="0" w:leftChars="0" w:firstLine="0" w:firstLineChars="0"/>
        <w:rPr>
          <w:color w:val="auto"/>
          <w:highlight w:val="none"/>
        </w:rPr>
      </w:pPr>
    </w:p>
    <w:p w14:paraId="72D6C93E">
      <w:pPr>
        <w:pStyle w:val="95"/>
        <w:rPr>
          <w:color w:val="auto"/>
          <w:highlight w:val="none"/>
        </w:rPr>
      </w:pPr>
    </w:p>
    <w:p w14:paraId="4717CB57">
      <w:pPr>
        <w:pStyle w:val="95"/>
        <w:rPr>
          <w:color w:val="auto"/>
          <w:highlight w:val="none"/>
        </w:rPr>
      </w:pPr>
    </w:p>
    <w:p w14:paraId="0AAE1D74">
      <w:pPr>
        <w:pStyle w:val="95"/>
        <w:rPr>
          <w:color w:val="auto"/>
          <w:highlight w:val="none"/>
        </w:rPr>
      </w:pPr>
    </w:p>
    <w:p w14:paraId="461AE032">
      <w:pPr>
        <w:pStyle w:val="95"/>
        <w:rPr>
          <w:color w:val="auto"/>
          <w:highlight w:val="none"/>
        </w:rPr>
      </w:pPr>
    </w:p>
    <w:p w14:paraId="43EE86D0">
      <w:pPr>
        <w:pStyle w:val="95"/>
        <w:rPr>
          <w:color w:val="auto"/>
          <w:highlight w:val="none"/>
        </w:rPr>
      </w:pPr>
    </w:p>
    <w:p w14:paraId="2FD7F425">
      <w:pPr>
        <w:pStyle w:val="95"/>
        <w:rPr>
          <w:color w:val="auto"/>
          <w:highlight w:val="none"/>
        </w:rPr>
      </w:pPr>
    </w:p>
    <w:p w14:paraId="722C881F">
      <w:pPr>
        <w:pStyle w:val="95"/>
        <w:rPr>
          <w:color w:val="auto"/>
          <w:highlight w:val="none"/>
        </w:rPr>
      </w:pPr>
    </w:p>
    <w:p w14:paraId="7D30244C">
      <w:pPr>
        <w:pStyle w:val="95"/>
        <w:rPr>
          <w:color w:val="auto"/>
          <w:highlight w:val="none"/>
        </w:rPr>
      </w:pPr>
    </w:p>
    <w:p w14:paraId="44B3EC82">
      <w:pPr>
        <w:pStyle w:val="95"/>
        <w:rPr>
          <w:color w:val="auto"/>
          <w:highlight w:val="none"/>
        </w:rPr>
      </w:pPr>
    </w:p>
    <w:p w14:paraId="21449321">
      <w:pPr>
        <w:pStyle w:val="95"/>
        <w:rPr>
          <w:color w:val="auto"/>
          <w:highlight w:val="none"/>
        </w:rPr>
      </w:pPr>
    </w:p>
    <w:p w14:paraId="45F9A1A0">
      <w:pPr>
        <w:pStyle w:val="3"/>
        <w:spacing w:before="0" w:after="0" w:line="240" w:lineRule="auto"/>
        <w:jc w:val="center"/>
        <w:rPr>
          <w:rFonts w:ascii="宋体" w:hAnsi="宋体"/>
          <w:color w:val="auto"/>
          <w:highlight w:val="none"/>
        </w:rPr>
      </w:pPr>
      <w:bookmarkStart w:id="35" w:name="_Toc176861409"/>
      <w:r>
        <w:rPr>
          <w:rFonts w:hint="eastAsia" w:ascii="宋体" w:hAnsi="宋体"/>
          <w:color w:val="auto"/>
          <w:highlight w:val="none"/>
        </w:rPr>
        <w:t>第四章  采购项目需求</w:t>
      </w:r>
      <w:bookmarkEnd w:id="35"/>
    </w:p>
    <w:p w14:paraId="22BE1CC1">
      <w:pPr>
        <w:rPr>
          <w:color w:val="auto"/>
          <w:highlight w:val="none"/>
        </w:rPr>
      </w:pPr>
    </w:p>
    <w:p w14:paraId="2091DD84">
      <w:pPr>
        <w:rPr>
          <w:color w:val="auto"/>
          <w:highlight w:val="none"/>
        </w:rPr>
      </w:pPr>
    </w:p>
    <w:p w14:paraId="2973A77F">
      <w:pPr>
        <w:spacing w:line="440" w:lineRule="exact"/>
        <w:jc w:val="center"/>
        <w:rPr>
          <w:color w:val="auto"/>
          <w:sz w:val="36"/>
          <w:szCs w:val="36"/>
          <w:highlight w:val="none"/>
        </w:rPr>
      </w:pPr>
    </w:p>
    <w:p w14:paraId="51DE530B">
      <w:pPr>
        <w:pStyle w:val="24"/>
        <w:rPr>
          <w:color w:val="auto"/>
          <w:highlight w:val="none"/>
        </w:rPr>
      </w:pPr>
    </w:p>
    <w:p w14:paraId="120B485D">
      <w:pPr>
        <w:pStyle w:val="24"/>
        <w:rPr>
          <w:color w:val="auto"/>
          <w:highlight w:val="none"/>
        </w:rPr>
      </w:pPr>
    </w:p>
    <w:p w14:paraId="03C448E2">
      <w:pPr>
        <w:pStyle w:val="24"/>
        <w:rPr>
          <w:color w:val="auto"/>
          <w:highlight w:val="none"/>
        </w:rPr>
      </w:pPr>
    </w:p>
    <w:p w14:paraId="6619D858">
      <w:pPr>
        <w:pStyle w:val="24"/>
        <w:rPr>
          <w:color w:val="auto"/>
          <w:highlight w:val="none"/>
        </w:rPr>
      </w:pPr>
    </w:p>
    <w:p w14:paraId="5CD3E39C">
      <w:pPr>
        <w:pStyle w:val="24"/>
        <w:rPr>
          <w:color w:val="auto"/>
          <w:highlight w:val="none"/>
        </w:rPr>
      </w:pPr>
    </w:p>
    <w:p w14:paraId="7667F7B9">
      <w:pPr>
        <w:pStyle w:val="24"/>
        <w:rPr>
          <w:color w:val="auto"/>
          <w:highlight w:val="none"/>
        </w:rPr>
      </w:pPr>
    </w:p>
    <w:p w14:paraId="17D23F52">
      <w:pPr>
        <w:pStyle w:val="24"/>
        <w:rPr>
          <w:color w:val="auto"/>
          <w:highlight w:val="none"/>
        </w:rPr>
      </w:pPr>
    </w:p>
    <w:p w14:paraId="3BADE184">
      <w:pPr>
        <w:pStyle w:val="24"/>
        <w:rPr>
          <w:color w:val="auto"/>
          <w:highlight w:val="none"/>
        </w:rPr>
      </w:pPr>
    </w:p>
    <w:p w14:paraId="42017D21">
      <w:pPr>
        <w:pStyle w:val="24"/>
        <w:rPr>
          <w:color w:val="auto"/>
          <w:highlight w:val="none"/>
        </w:rPr>
      </w:pPr>
    </w:p>
    <w:p w14:paraId="77AA464F">
      <w:pPr>
        <w:pStyle w:val="24"/>
        <w:rPr>
          <w:color w:val="auto"/>
          <w:highlight w:val="none"/>
        </w:rPr>
      </w:pPr>
    </w:p>
    <w:p w14:paraId="01EB76B1">
      <w:pPr>
        <w:pStyle w:val="24"/>
        <w:rPr>
          <w:color w:val="auto"/>
          <w:highlight w:val="none"/>
        </w:rPr>
      </w:pPr>
    </w:p>
    <w:p w14:paraId="1F843F87">
      <w:pPr>
        <w:pStyle w:val="24"/>
        <w:rPr>
          <w:color w:val="auto"/>
          <w:highlight w:val="none"/>
        </w:rPr>
      </w:pPr>
    </w:p>
    <w:p w14:paraId="184F4B08">
      <w:pPr>
        <w:pStyle w:val="24"/>
        <w:rPr>
          <w:color w:val="auto"/>
          <w:highlight w:val="none"/>
        </w:rPr>
      </w:pPr>
    </w:p>
    <w:p w14:paraId="55F98B7B">
      <w:pPr>
        <w:pStyle w:val="24"/>
        <w:rPr>
          <w:color w:val="auto"/>
          <w:highlight w:val="none"/>
        </w:rPr>
      </w:pPr>
    </w:p>
    <w:p w14:paraId="46D2812C">
      <w:pPr>
        <w:pStyle w:val="24"/>
        <w:rPr>
          <w:color w:val="auto"/>
          <w:highlight w:val="none"/>
        </w:rPr>
      </w:pPr>
    </w:p>
    <w:p w14:paraId="78356E97">
      <w:pPr>
        <w:pStyle w:val="24"/>
        <w:rPr>
          <w:color w:val="auto"/>
          <w:highlight w:val="none"/>
        </w:rPr>
      </w:pPr>
    </w:p>
    <w:p w14:paraId="3D341448">
      <w:pPr>
        <w:pStyle w:val="24"/>
        <w:rPr>
          <w:color w:val="auto"/>
          <w:highlight w:val="none"/>
        </w:rPr>
      </w:pPr>
    </w:p>
    <w:p w14:paraId="2E2D0625">
      <w:pPr>
        <w:pStyle w:val="24"/>
        <w:rPr>
          <w:color w:val="auto"/>
          <w:highlight w:val="none"/>
        </w:rPr>
      </w:pPr>
    </w:p>
    <w:p w14:paraId="6B0A8452">
      <w:pPr>
        <w:pStyle w:val="24"/>
        <w:rPr>
          <w:color w:val="auto"/>
          <w:highlight w:val="none"/>
        </w:rPr>
      </w:pPr>
    </w:p>
    <w:p w14:paraId="22D241A9">
      <w:pPr>
        <w:pStyle w:val="24"/>
        <w:rPr>
          <w:color w:val="auto"/>
          <w:highlight w:val="none"/>
        </w:rPr>
      </w:pPr>
    </w:p>
    <w:p w14:paraId="589C36AA">
      <w:pPr>
        <w:pStyle w:val="24"/>
        <w:rPr>
          <w:color w:val="auto"/>
          <w:highlight w:val="none"/>
        </w:rPr>
      </w:pPr>
    </w:p>
    <w:p w14:paraId="700280F7">
      <w:pPr>
        <w:pStyle w:val="24"/>
        <w:rPr>
          <w:color w:val="auto"/>
          <w:highlight w:val="none"/>
        </w:rPr>
      </w:pPr>
    </w:p>
    <w:p w14:paraId="759E2E8C">
      <w:pPr>
        <w:rPr>
          <w:rFonts w:hint="eastAsia" w:ascii="宋体" w:hAnsi="宋体" w:cs="宋体"/>
          <w:b/>
          <w:bCs/>
          <w:color w:val="auto"/>
          <w:kern w:val="0"/>
          <w:sz w:val="32"/>
          <w:szCs w:val="32"/>
          <w:highlight w:val="none"/>
          <w:lang w:val="zh-CN"/>
        </w:rPr>
      </w:pPr>
      <w:r>
        <w:rPr>
          <w:rFonts w:hint="eastAsia" w:ascii="宋体" w:hAnsi="宋体" w:cs="宋体"/>
          <w:b/>
          <w:bCs/>
          <w:color w:val="auto"/>
          <w:kern w:val="0"/>
          <w:sz w:val="32"/>
          <w:szCs w:val="32"/>
          <w:highlight w:val="none"/>
          <w:lang w:val="zh-CN"/>
        </w:rPr>
        <w:br w:type="page"/>
      </w:r>
    </w:p>
    <w:p w14:paraId="3AA3027C">
      <w:pPr>
        <w:autoSpaceDE w:val="0"/>
        <w:autoSpaceDN w:val="0"/>
        <w:adjustRightInd w:val="0"/>
        <w:jc w:val="center"/>
        <w:rPr>
          <w:rFonts w:ascii="宋体" w:hAnsi="宋体" w:cs="宋体"/>
          <w:b/>
          <w:bCs/>
          <w:color w:val="auto"/>
          <w:kern w:val="0"/>
          <w:sz w:val="32"/>
          <w:szCs w:val="32"/>
          <w:highlight w:val="none"/>
          <w:lang w:val="zh-CN"/>
        </w:rPr>
      </w:pPr>
      <w:r>
        <w:rPr>
          <w:rFonts w:hint="eastAsia" w:ascii="宋体" w:hAnsi="宋体" w:cs="宋体"/>
          <w:b/>
          <w:bCs/>
          <w:color w:val="auto"/>
          <w:kern w:val="0"/>
          <w:sz w:val="32"/>
          <w:szCs w:val="32"/>
          <w:highlight w:val="none"/>
          <w:lang w:val="zh-CN"/>
        </w:rPr>
        <w:t>项目采购需求</w:t>
      </w:r>
    </w:p>
    <w:p w14:paraId="4C3DC121">
      <w:pPr>
        <w:numPr>
          <w:ilvl w:val="0"/>
          <w:numId w:val="6"/>
        </w:numPr>
        <w:adjustRightInd w:val="0"/>
        <w:spacing w:line="360" w:lineRule="auto"/>
        <w:jc w:val="left"/>
        <w:rPr>
          <w:rFonts w:hint="eastAsia" w:ascii="宋体" w:hAnsi="宋体" w:cs="仿宋_GB2312"/>
          <w:b/>
          <w:bCs/>
          <w:color w:val="auto"/>
          <w:sz w:val="24"/>
          <w:highlight w:val="none"/>
        </w:rPr>
      </w:pPr>
      <w:r>
        <w:rPr>
          <w:rFonts w:hint="eastAsia" w:ascii="宋体" w:hAnsi="宋体" w:cs="仿宋_GB2312"/>
          <w:b/>
          <w:bCs/>
          <w:color w:val="auto"/>
          <w:sz w:val="24"/>
          <w:highlight w:val="none"/>
        </w:rPr>
        <w:t>工程概况：</w:t>
      </w:r>
    </w:p>
    <w:p w14:paraId="23608BCC">
      <w:p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1、项目名称：</w:t>
      </w:r>
      <w:r>
        <w:rPr>
          <w:rFonts w:hint="eastAsia" w:ascii="宋体" w:hAnsi="宋体"/>
          <w:color w:val="auto"/>
          <w:sz w:val="24"/>
          <w:highlight w:val="none"/>
          <w:lang w:eastAsia="zh-CN"/>
        </w:rPr>
        <w:t>北海市海城区第二十一小学项目（二期）场地平整工程</w:t>
      </w:r>
    </w:p>
    <w:p w14:paraId="6F0CFBF7">
      <w:pPr>
        <w:adjustRightInd w:val="0"/>
        <w:spacing w:line="360" w:lineRule="auto"/>
        <w:ind w:firstLine="480" w:firstLineChars="200"/>
        <w:jc w:val="left"/>
        <w:rPr>
          <w:rFonts w:hint="default"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2、项目编号：BHZC2026-C2-020024-BBWH</w:t>
      </w:r>
    </w:p>
    <w:p w14:paraId="0BFC2A18">
      <w:p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3、建设地点：</w:t>
      </w:r>
      <w:r>
        <w:rPr>
          <w:rFonts w:hint="eastAsia" w:ascii="宋体" w:hAnsi="宋体"/>
          <w:color w:val="auto"/>
          <w:sz w:val="24"/>
          <w:highlight w:val="none"/>
          <w:lang w:eastAsia="zh-CN"/>
        </w:rPr>
        <w:t>北海市海城区第二十一小学</w:t>
      </w:r>
      <w:r>
        <w:rPr>
          <w:rFonts w:hint="eastAsia" w:ascii="宋体" w:hAnsi="宋体"/>
          <w:color w:val="auto"/>
          <w:sz w:val="24"/>
          <w:highlight w:val="none"/>
          <w:lang w:val="en-US" w:eastAsia="zh-CN"/>
        </w:rPr>
        <w:t>。</w:t>
      </w:r>
    </w:p>
    <w:p w14:paraId="5A9BF65C">
      <w:pPr>
        <w:adjustRightInd w:val="0"/>
        <w:spacing w:line="360" w:lineRule="auto"/>
        <w:ind w:firstLine="480" w:firstLineChars="200"/>
        <w:jc w:val="left"/>
        <w:rPr>
          <w:rFonts w:hint="eastAsia" w:ascii="宋体" w:hAnsi="宋体"/>
          <w:color w:val="auto"/>
          <w:sz w:val="24"/>
          <w:highlight w:val="none"/>
          <w:lang w:eastAsia="zh-CN"/>
        </w:rPr>
      </w:pPr>
      <w:r>
        <w:rPr>
          <w:rFonts w:hint="eastAsia" w:ascii="宋体" w:hAnsi="宋体"/>
          <w:color w:val="auto"/>
          <w:sz w:val="24"/>
          <w:highlight w:val="none"/>
          <w:lang w:val="en-US" w:eastAsia="zh-CN"/>
        </w:rPr>
        <w:t>4、建设规模及建设内容：本工程为北海市海城区第二十一小学项目（二期）场地平整工程，核心施工内容包含场地清理、土方调配、构筑物新建、原有设施拆除及场地清理等多项作业。具体施工内容为：清除并外运场地表土与鱼塘淤泥、外购土方进行回填及场地平整、新建场地挡土墙，同时拆除场地内原有混凝土基础、混凝土路面、混凝土电杆，并完成场地内树木砍伐清理工作。</w:t>
      </w:r>
    </w:p>
    <w:p w14:paraId="1856724B">
      <w:pPr>
        <w:adjustRightInd w:val="0"/>
        <w:spacing w:line="360" w:lineRule="auto"/>
        <w:ind w:firstLine="480" w:firstLineChars="200"/>
        <w:jc w:val="left"/>
        <w:rPr>
          <w:rFonts w:hint="eastAsia" w:ascii="宋体" w:hAnsi="宋体"/>
          <w:color w:val="auto"/>
          <w:sz w:val="24"/>
          <w:highlight w:val="none"/>
          <w:lang w:eastAsia="zh-CN"/>
        </w:rPr>
      </w:pPr>
      <w:r>
        <w:rPr>
          <w:rFonts w:hint="eastAsia" w:ascii="宋体" w:hAnsi="宋体"/>
          <w:color w:val="auto"/>
          <w:sz w:val="24"/>
          <w:highlight w:val="none"/>
          <w:lang w:val="en-US" w:eastAsia="zh-CN"/>
        </w:rPr>
        <w:t>本项目各地块用地面积及土方工程量明细如下：场地面积17598.72㎡，土方开挖预估总量25442.24m³，土方回填预估总量33716.65m³。工程具体施工细则、作业范围及工程量标准，以施工图纸及工程量清单为准。</w:t>
      </w:r>
    </w:p>
    <w:p w14:paraId="748C59B8">
      <w:pPr>
        <w:numPr>
          <w:ilvl w:val="0"/>
          <w:numId w:val="0"/>
        </w:numPr>
        <w:adjustRightInd w:val="0"/>
        <w:spacing w:line="360" w:lineRule="auto"/>
        <w:ind w:firstLine="480" w:firstLineChars="200"/>
        <w:jc w:val="left"/>
        <w:rPr>
          <w:rFonts w:hint="eastAsia" w:ascii="宋体" w:hAnsi="宋体"/>
          <w:color w:val="auto"/>
          <w:sz w:val="24"/>
          <w:highlight w:val="none"/>
          <w:lang w:val="en-US" w:eastAsia="zh-CN"/>
        </w:rPr>
      </w:pPr>
      <w:r>
        <w:rPr>
          <w:rFonts w:hint="eastAsia" w:ascii="宋体" w:hAnsi="宋体" w:cs="仿宋_GB2312"/>
          <w:color w:val="auto"/>
          <w:sz w:val="24"/>
          <w:highlight w:val="none"/>
          <w:lang w:val="en-US" w:eastAsia="zh-CN"/>
        </w:rPr>
        <w:t>5、采购预算（预算控制价）：</w:t>
      </w:r>
      <w:r>
        <w:rPr>
          <w:rFonts w:hint="eastAsia" w:ascii="宋体" w:hAnsi="宋体"/>
          <w:color w:val="auto"/>
          <w:sz w:val="24"/>
          <w:highlight w:val="none"/>
          <w:lang w:val="en-US" w:eastAsia="zh-CN"/>
        </w:rPr>
        <w:t>2186958.72</w:t>
      </w:r>
      <w:r>
        <w:rPr>
          <w:rFonts w:hint="eastAsia" w:ascii="宋体" w:hAnsi="宋体" w:cs="仿宋_GB2312"/>
          <w:color w:val="auto"/>
          <w:sz w:val="24"/>
          <w:highlight w:val="none"/>
          <w:lang w:val="en-US" w:eastAsia="zh-CN"/>
        </w:rPr>
        <w:t>元。</w:t>
      </w:r>
    </w:p>
    <w:p w14:paraId="46B324FF">
      <w:pPr>
        <w:adjustRightInd w:val="0"/>
        <w:spacing w:line="360" w:lineRule="auto"/>
        <w:jc w:val="left"/>
        <w:rPr>
          <w:rFonts w:hint="default" w:ascii="宋体" w:hAnsi="宋体" w:eastAsia="宋体" w:cs="仿宋_GB2312"/>
          <w:color w:val="auto"/>
          <w:sz w:val="24"/>
          <w:highlight w:val="none"/>
          <w:lang w:val="en-US" w:eastAsia="zh-CN"/>
        </w:rPr>
      </w:pPr>
      <w:r>
        <w:rPr>
          <w:rFonts w:hint="eastAsia" w:ascii="宋体" w:hAnsi="宋体" w:cs="仿宋_GB2312"/>
          <w:b/>
          <w:bCs/>
          <w:color w:val="auto"/>
          <w:sz w:val="24"/>
          <w:highlight w:val="none"/>
        </w:rPr>
        <w:t>二、</w:t>
      </w:r>
      <w:r>
        <w:rPr>
          <w:rFonts w:hint="eastAsia" w:ascii="宋体" w:hAnsi="宋体" w:cs="仿宋_GB2312"/>
          <w:b/>
          <w:bCs/>
          <w:color w:val="auto"/>
          <w:sz w:val="24"/>
          <w:highlight w:val="none"/>
          <w:lang w:val="en-US" w:eastAsia="zh-CN"/>
        </w:rPr>
        <w:t>基本要求</w:t>
      </w:r>
    </w:p>
    <w:p w14:paraId="35C4E8BD">
      <w:pPr>
        <w:numPr>
          <w:ilvl w:val="0"/>
          <w:numId w:val="0"/>
        </w:numPr>
        <w:adjustRightInd w:val="0"/>
        <w:spacing w:line="360" w:lineRule="auto"/>
        <w:ind w:firstLine="480" w:firstLineChars="200"/>
        <w:jc w:val="left"/>
        <w:rPr>
          <w:rFonts w:hint="default" w:ascii="宋体" w:hAnsi="宋体"/>
          <w:color w:val="auto"/>
          <w:sz w:val="24"/>
          <w:highlight w:val="none"/>
          <w:lang w:val="en-US" w:eastAsia="zh-CN"/>
        </w:rPr>
      </w:pPr>
      <w:r>
        <w:rPr>
          <w:rFonts w:hint="eastAsia" w:ascii="宋体" w:hAnsi="宋体" w:cs="仿宋_GB2312"/>
          <w:color w:val="auto"/>
          <w:sz w:val="24"/>
          <w:highlight w:val="none"/>
          <w:lang w:val="en-US" w:eastAsia="zh-CN"/>
        </w:rPr>
        <w:t>1、采购预算（预算控制价）：</w:t>
      </w:r>
      <w:r>
        <w:rPr>
          <w:rFonts w:hint="eastAsia" w:ascii="宋体" w:hAnsi="宋体"/>
          <w:color w:val="auto"/>
          <w:sz w:val="24"/>
          <w:highlight w:val="none"/>
          <w:lang w:val="en-US" w:eastAsia="zh-CN"/>
        </w:rPr>
        <w:t>2186958.72</w:t>
      </w:r>
      <w:r>
        <w:rPr>
          <w:rFonts w:hint="eastAsia" w:ascii="宋体" w:hAnsi="宋体" w:cs="仿宋_GB2312"/>
          <w:color w:val="auto"/>
          <w:sz w:val="24"/>
          <w:highlight w:val="none"/>
          <w:lang w:val="en-US" w:eastAsia="zh-CN"/>
        </w:rPr>
        <w:t>元。供应商报价不得高于采购预算（预算控制价），否则报价无效。</w:t>
      </w:r>
    </w:p>
    <w:p w14:paraId="13F3046F">
      <w:pPr>
        <w:adjustRightInd w:val="0"/>
        <w:spacing w:line="360" w:lineRule="auto"/>
        <w:ind w:firstLine="480" w:firstLineChars="200"/>
        <w:jc w:val="left"/>
        <w:rPr>
          <w:rFonts w:hint="default"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2、要求工期：30日历天。</w:t>
      </w:r>
    </w:p>
    <w:p w14:paraId="40B2BA5F">
      <w:pPr>
        <w:adjustRightInd w:val="0"/>
        <w:spacing w:line="360" w:lineRule="auto"/>
        <w:ind w:firstLine="480" w:firstLineChars="200"/>
        <w:jc w:val="left"/>
        <w:rPr>
          <w:rFonts w:hint="eastAsia" w:ascii="宋体" w:hAnsi="宋体" w:cs="宋体"/>
          <w:color w:val="auto"/>
          <w:spacing w:val="2"/>
          <w:sz w:val="24"/>
          <w:highlight w:val="none"/>
        </w:rPr>
      </w:pPr>
      <w:r>
        <w:rPr>
          <w:rFonts w:hint="eastAsia" w:ascii="宋体" w:hAnsi="宋体" w:cs="仿宋_GB2312"/>
          <w:color w:val="auto"/>
          <w:sz w:val="24"/>
          <w:highlight w:val="none"/>
          <w:lang w:val="en-US" w:eastAsia="zh-CN"/>
        </w:rPr>
        <w:t>3、质量标准：</w:t>
      </w:r>
      <w:r>
        <w:rPr>
          <w:rFonts w:hint="eastAsia" w:ascii="宋体" w:hAnsi="宋体" w:cs="宋体"/>
          <w:color w:val="auto"/>
          <w:spacing w:val="2"/>
          <w:sz w:val="24"/>
          <w:highlight w:val="none"/>
        </w:rPr>
        <w:t>达到国家工程施工验收规范合格标准</w:t>
      </w:r>
    </w:p>
    <w:p w14:paraId="3D99711C">
      <w:pPr>
        <w:adjustRightInd w:val="0"/>
        <w:spacing w:line="360" w:lineRule="auto"/>
        <w:ind w:firstLine="48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4、合同方式：固定单价合同。</w:t>
      </w:r>
    </w:p>
    <w:p w14:paraId="6465C686">
      <w:pPr>
        <w:adjustRightInd w:val="0"/>
        <w:spacing w:line="360" w:lineRule="auto"/>
        <w:ind w:firstLine="480"/>
        <w:jc w:val="left"/>
        <w:rPr>
          <w:rFonts w:hint="default"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5、承包方式：包工包料。</w:t>
      </w:r>
    </w:p>
    <w:p w14:paraId="1A7F05E2">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6、拟投入人员配备要求：项目管理机构需满足以下最低人员配备要求，并提供身份证及相关证书复印件。</w:t>
      </w:r>
    </w:p>
    <w:p w14:paraId="66A1E1B9">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项目经理：1名，</w:t>
      </w:r>
      <w:r>
        <w:rPr>
          <w:rFonts w:hint="eastAsia" w:ascii="宋体" w:hAnsi="宋体" w:cs="宋体"/>
          <w:color w:val="auto"/>
          <w:sz w:val="24"/>
          <w:highlight w:val="none"/>
          <w:lang w:val="en-US" w:eastAsia="zh-CN"/>
        </w:rPr>
        <w:t>具备建筑工程专业贰级(含)以上注册建造师执业资格及有效的安全生产考核合格证书（B类）。本项目不接受有在建、已中标未开工或已列为其他项目中标候选人第一名的建造师作为项目经理（符合《广西壮族自治区建筑市场诚信卡管理暂行办法》第十六条第一款及桂建管﹝2016﹞70号、桂建管〔2020〕11号文除外）。</w:t>
      </w:r>
    </w:p>
    <w:p w14:paraId="3737E255">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专职安全员：1名，具备有效的安全生产考核合格证（C证）。</w:t>
      </w:r>
    </w:p>
    <w:p w14:paraId="676FE563">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施工员：1名，具有有效的岗位资格证书。</w:t>
      </w:r>
    </w:p>
    <w:p w14:paraId="6E2C161F">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以上人员必须是磋商供应商在职人员，需提供本单位为其缴纳的距响应文件递交截止时间近半年来任意一个月的社保缴费证明</w:t>
      </w:r>
      <w:r>
        <w:rPr>
          <w:rFonts w:hint="eastAsia" w:ascii="宋体" w:hAnsi="宋体" w:eastAsia="宋体" w:cs="仿宋_GB2312"/>
          <w:color w:val="auto"/>
          <w:sz w:val="24"/>
          <w:highlight w:val="none"/>
          <w:lang w:val="en-US" w:eastAsia="zh-CN"/>
        </w:rPr>
        <w:t>（已退休未满65岁的项目经理不用提供社保缴费证明，但应附退休证明文件）复印件并加盖公章</w:t>
      </w:r>
      <w:r>
        <w:rPr>
          <w:rFonts w:hint="eastAsia" w:ascii="宋体" w:hAnsi="宋体" w:cs="仿宋_GB2312"/>
          <w:color w:val="auto"/>
          <w:sz w:val="24"/>
          <w:highlight w:val="none"/>
          <w:lang w:val="en-US" w:eastAsia="zh-CN"/>
        </w:rPr>
        <w:t>。</w:t>
      </w:r>
    </w:p>
    <w:p w14:paraId="4F4FDC6E">
      <w:pPr>
        <w:adjustRightInd w:val="0"/>
        <w:spacing w:line="360" w:lineRule="auto"/>
        <w:jc w:val="left"/>
        <w:rPr>
          <w:rFonts w:ascii="宋体" w:hAnsi="宋体" w:cs="仿宋_GB2312"/>
          <w:b/>
          <w:bCs/>
          <w:color w:val="auto"/>
          <w:sz w:val="24"/>
          <w:highlight w:val="none"/>
        </w:rPr>
      </w:pPr>
      <w:r>
        <w:rPr>
          <w:rFonts w:hint="eastAsia" w:ascii="宋体" w:hAnsi="宋体" w:cs="仿宋_GB2312"/>
          <w:b/>
          <w:bCs/>
          <w:color w:val="auto"/>
          <w:sz w:val="24"/>
          <w:highlight w:val="none"/>
        </w:rPr>
        <w:t>三、商务要求</w:t>
      </w:r>
    </w:p>
    <w:p w14:paraId="79B51C7F">
      <w:pPr>
        <w:adjustRightInd w:val="0"/>
        <w:spacing w:line="360" w:lineRule="auto"/>
        <w:ind w:firstLine="48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1、报价要求：本项目采用工程量清单报价，磋商报价应符合《建设工程工程量清单计价标准》（GB/T50500-2024）的相关规定，采用总价优惠或以总价百分比优惠的方式进行的竞标报价，将被视为无效报价。</w:t>
      </w:r>
    </w:p>
    <w:p w14:paraId="4ACBD662">
      <w:pPr>
        <w:widowControl w:val="0"/>
        <w:kinsoku/>
        <w:autoSpaceDE/>
        <w:autoSpaceDN/>
        <w:adjustRightInd/>
        <w:snapToGrid/>
        <w:spacing w:line="360" w:lineRule="auto"/>
        <w:ind w:firstLine="480" w:firstLineChars="200"/>
        <w:textAlignment w:val="auto"/>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2、付款方式：</w:t>
      </w:r>
    </w:p>
    <w:p w14:paraId="4BCB0EFF">
      <w:pPr>
        <w:widowControl w:val="0"/>
        <w:kinsoku/>
        <w:autoSpaceDE/>
        <w:autoSpaceDN/>
        <w:adjustRightInd/>
        <w:snapToGrid/>
        <w:spacing w:line="360" w:lineRule="auto"/>
        <w:ind w:firstLine="480" w:firstLineChars="200"/>
        <w:textAlignment w:val="auto"/>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预付款：合同签订后，支付合同金额的30%作为预付款。</w:t>
      </w:r>
    </w:p>
    <w:p w14:paraId="26CCD70B">
      <w:pPr>
        <w:widowControl w:val="0"/>
        <w:kinsoku/>
        <w:autoSpaceDE/>
        <w:autoSpaceDN/>
        <w:adjustRightInd/>
        <w:snapToGrid/>
        <w:spacing w:line="360" w:lineRule="auto"/>
        <w:ind w:firstLine="480" w:firstLineChars="200"/>
        <w:textAlignment w:val="auto"/>
        <w:rPr>
          <w:rFonts w:hint="eastAsia" w:ascii="宋体" w:hAnsi="宋体" w:eastAsia="宋体" w:cs="仿宋_GB2312"/>
          <w:color w:val="auto"/>
          <w:sz w:val="24"/>
          <w:highlight w:val="none"/>
          <w:lang w:val="en-US" w:eastAsia="zh-CN"/>
        </w:rPr>
      </w:pPr>
      <w:r>
        <w:rPr>
          <w:rFonts w:hint="eastAsia" w:ascii="宋体" w:hAnsi="宋体" w:eastAsia="宋体" w:cs="仿宋_GB2312"/>
          <w:color w:val="auto"/>
          <w:sz w:val="24"/>
          <w:highlight w:val="none"/>
          <w:lang w:val="en-US" w:eastAsia="zh-CN"/>
        </w:rPr>
        <w:t>进度款：</w:t>
      </w:r>
      <w:r>
        <w:rPr>
          <w:rFonts w:hint="eastAsia" w:ascii="宋体" w:hAnsi="宋体" w:eastAsia="宋体" w:cs="仿宋_GB2312"/>
          <w:color w:val="auto"/>
          <w:sz w:val="24"/>
          <w:highlight w:val="none"/>
          <w:lang w:val="en-US" w:eastAsia="zh-CN"/>
        </w:rPr>
        <w:fldChar w:fldCharType="begin"/>
      </w:r>
      <w:r>
        <w:rPr>
          <w:rFonts w:hint="eastAsia" w:ascii="宋体" w:hAnsi="宋体" w:eastAsia="宋体" w:cs="仿宋_GB2312"/>
          <w:color w:val="auto"/>
          <w:sz w:val="24"/>
          <w:highlight w:val="none"/>
          <w:lang w:val="en-US" w:eastAsia="zh-CN"/>
        </w:rPr>
        <w:instrText xml:space="preserve">= 1 \* GB3</w:instrText>
      </w:r>
      <w:r>
        <w:rPr>
          <w:rFonts w:hint="eastAsia" w:ascii="宋体" w:hAnsi="宋体" w:eastAsia="宋体" w:cs="仿宋_GB2312"/>
          <w:color w:val="auto"/>
          <w:sz w:val="24"/>
          <w:highlight w:val="none"/>
          <w:lang w:val="en-US" w:eastAsia="zh-CN"/>
        </w:rPr>
        <w:fldChar w:fldCharType="separate"/>
      </w:r>
      <w:r>
        <w:rPr>
          <w:rFonts w:hint="eastAsia" w:ascii="宋体" w:hAnsi="宋体" w:eastAsia="宋体" w:cs="仿宋_GB2312"/>
          <w:color w:val="auto"/>
          <w:sz w:val="24"/>
          <w:highlight w:val="none"/>
          <w:lang w:val="en-US" w:eastAsia="zh-CN"/>
        </w:rPr>
        <w:t>①</w:t>
      </w:r>
      <w:r>
        <w:rPr>
          <w:rFonts w:hint="eastAsia" w:ascii="宋体" w:hAnsi="宋体" w:eastAsia="宋体" w:cs="仿宋_GB2312"/>
          <w:color w:val="auto"/>
          <w:sz w:val="24"/>
          <w:highlight w:val="none"/>
          <w:lang w:val="en-US" w:eastAsia="zh-CN"/>
        </w:rPr>
        <w:fldChar w:fldCharType="end"/>
      </w:r>
      <w:r>
        <w:rPr>
          <w:rFonts w:hint="eastAsia" w:ascii="宋体" w:hAnsi="宋体" w:eastAsia="宋体" w:cs="仿宋_GB2312"/>
          <w:color w:val="auto"/>
          <w:sz w:val="24"/>
          <w:highlight w:val="none"/>
          <w:lang w:val="en-US" w:eastAsia="zh-CN"/>
        </w:rPr>
        <w:t>工程款按月支付，工程进度款支付限额为已完成工程量的85%；工程变更部分进度款支付限额为已完成工程量的70%。</w:t>
      </w:r>
    </w:p>
    <w:p w14:paraId="29CF4B76">
      <w:pPr>
        <w:widowControl w:val="0"/>
        <w:kinsoku/>
        <w:autoSpaceDE/>
        <w:autoSpaceDN/>
        <w:adjustRightInd/>
        <w:snapToGrid/>
        <w:spacing w:line="360" w:lineRule="auto"/>
        <w:ind w:firstLine="480" w:firstLineChars="200"/>
        <w:textAlignment w:val="auto"/>
        <w:rPr>
          <w:rFonts w:hint="eastAsia" w:ascii="宋体" w:hAnsi="宋体" w:eastAsia="宋体" w:cs="仿宋_GB2312"/>
          <w:color w:val="auto"/>
          <w:sz w:val="24"/>
          <w:highlight w:val="none"/>
          <w:lang w:val="en-US" w:eastAsia="zh-CN"/>
        </w:rPr>
      </w:pPr>
      <w:r>
        <w:rPr>
          <w:rFonts w:hint="eastAsia" w:ascii="宋体" w:hAnsi="宋体" w:eastAsia="宋体" w:cs="仿宋_GB2312"/>
          <w:color w:val="auto"/>
          <w:sz w:val="24"/>
          <w:highlight w:val="none"/>
          <w:lang w:val="en-US" w:eastAsia="zh-CN"/>
        </w:rPr>
        <w:fldChar w:fldCharType="begin"/>
      </w:r>
      <w:r>
        <w:rPr>
          <w:rFonts w:hint="eastAsia" w:ascii="宋体" w:hAnsi="宋体" w:eastAsia="宋体" w:cs="仿宋_GB2312"/>
          <w:color w:val="auto"/>
          <w:sz w:val="24"/>
          <w:highlight w:val="none"/>
          <w:lang w:val="en-US" w:eastAsia="zh-CN"/>
        </w:rPr>
        <w:instrText xml:space="preserve">= 2 \* GB3</w:instrText>
      </w:r>
      <w:r>
        <w:rPr>
          <w:rFonts w:hint="eastAsia" w:ascii="宋体" w:hAnsi="宋体" w:eastAsia="宋体" w:cs="仿宋_GB2312"/>
          <w:color w:val="auto"/>
          <w:sz w:val="24"/>
          <w:highlight w:val="none"/>
          <w:lang w:val="en-US" w:eastAsia="zh-CN"/>
        </w:rPr>
        <w:fldChar w:fldCharType="separate"/>
      </w:r>
      <w:r>
        <w:rPr>
          <w:rFonts w:hint="eastAsia" w:ascii="宋体" w:hAnsi="宋体" w:eastAsia="宋体" w:cs="仿宋_GB2312"/>
          <w:color w:val="auto"/>
          <w:sz w:val="24"/>
          <w:highlight w:val="none"/>
          <w:lang w:val="en-US" w:eastAsia="zh-CN"/>
        </w:rPr>
        <w:t>②</w:t>
      </w:r>
      <w:r>
        <w:rPr>
          <w:rFonts w:hint="eastAsia" w:ascii="宋体" w:hAnsi="宋体" w:eastAsia="宋体" w:cs="仿宋_GB2312"/>
          <w:color w:val="auto"/>
          <w:sz w:val="24"/>
          <w:highlight w:val="none"/>
          <w:lang w:val="en-US" w:eastAsia="zh-CN"/>
        </w:rPr>
        <w:fldChar w:fldCharType="end"/>
      </w:r>
      <w:r>
        <w:rPr>
          <w:rFonts w:hint="eastAsia" w:ascii="宋体" w:hAnsi="宋体" w:eastAsia="宋体" w:cs="仿宋_GB2312"/>
          <w:color w:val="auto"/>
          <w:sz w:val="24"/>
          <w:highlight w:val="none"/>
          <w:lang w:val="en-US" w:eastAsia="zh-CN"/>
        </w:rPr>
        <w:t>工程完工验收达到质量要求，结算经</w:t>
      </w:r>
      <w:r>
        <w:rPr>
          <w:rFonts w:hint="eastAsia" w:ascii="宋体" w:hAnsi="宋体" w:cs="仿宋_GB2312"/>
          <w:color w:val="auto"/>
          <w:sz w:val="24"/>
          <w:highlight w:val="none"/>
          <w:lang w:val="en-US" w:eastAsia="zh-CN"/>
        </w:rPr>
        <w:t>采购人</w:t>
      </w:r>
      <w:r>
        <w:rPr>
          <w:rFonts w:hint="eastAsia" w:ascii="宋体" w:hAnsi="宋体" w:eastAsia="宋体" w:cs="仿宋_GB2312"/>
          <w:color w:val="auto"/>
          <w:sz w:val="24"/>
          <w:highlight w:val="none"/>
          <w:lang w:val="en-US" w:eastAsia="zh-CN"/>
        </w:rPr>
        <w:t>及合同约定的财政或审计部门（如有）审定后，工程款支付至结算总价的 97%。</w:t>
      </w:r>
      <w:r>
        <w:rPr>
          <w:rFonts w:hint="eastAsia" w:ascii="宋体" w:hAnsi="宋体" w:cs="仿宋_GB2312"/>
          <w:color w:val="auto"/>
          <w:sz w:val="24"/>
          <w:highlight w:val="none"/>
          <w:lang w:val="en-US" w:eastAsia="zh-CN"/>
        </w:rPr>
        <w:t>采购人</w:t>
      </w:r>
      <w:r>
        <w:rPr>
          <w:rFonts w:hint="eastAsia" w:ascii="宋体" w:hAnsi="宋体" w:eastAsia="宋体" w:cs="仿宋_GB2312"/>
          <w:color w:val="auto"/>
          <w:sz w:val="24"/>
          <w:highlight w:val="none"/>
          <w:lang w:val="en-US" w:eastAsia="zh-CN"/>
        </w:rPr>
        <w:t>按工程价款结算总额的3%预留工程质量保证金。</w:t>
      </w:r>
    </w:p>
    <w:p w14:paraId="580A1864">
      <w:pPr>
        <w:widowControl w:val="0"/>
        <w:kinsoku/>
        <w:autoSpaceDE/>
        <w:autoSpaceDN/>
        <w:adjustRightInd/>
        <w:snapToGrid/>
        <w:spacing w:line="360" w:lineRule="auto"/>
        <w:ind w:firstLine="480" w:firstLineChars="200"/>
        <w:textAlignment w:val="auto"/>
        <w:rPr>
          <w:rFonts w:hint="default" w:ascii="宋体" w:hAnsi="宋体" w:cs="仿宋_GB2312"/>
          <w:color w:val="auto"/>
          <w:sz w:val="24"/>
          <w:highlight w:val="none"/>
          <w:lang w:val="en-US" w:eastAsia="zh-CN"/>
        </w:rPr>
      </w:pPr>
      <w:r>
        <w:rPr>
          <w:rFonts w:hint="eastAsia" w:ascii="宋体" w:hAnsi="宋体" w:eastAsia="宋体" w:cs="仿宋_GB2312"/>
          <w:color w:val="auto"/>
          <w:sz w:val="24"/>
          <w:highlight w:val="none"/>
          <w:lang w:val="en-US" w:eastAsia="zh-CN"/>
        </w:rPr>
        <w:fldChar w:fldCharType="begin"/>
      </w:r>
      <w:r>
        <w:rPr>
          <w:rFonts w:hint="eastAsia" w:ascii="宋体" w:hAnsi="宋体" w:eastAsia="宋体" w:cs="仿宋_GB2312"/>
          <w:color w:val="auto"/>
          <w:sz w:val="24"/>
          <w:highlight w:val="none"/>
          <w:lang w:val="en-US" w:eastAsia="zh-CN"/>
        </w:rPr>
        <w:instrText xml:space="preserve">= 3 \* GB3</w:instrText>
      </w:r>
      <w:r>
        <w:rPr>
          <w:rFonts w:hint="eastAsia" w:ascii="宋体" w:hAnsi="宋体" w:eastAsia="宋体" w:cs="仿宋_GB2312"/>
          <w:color w:val="auto"/>
          <w:sz w:val="24"/>
          <w:highlight w:val="none"/>
          <w:lang w:val="en-US" w:eastAsia="zh-CN"/>
        </w:rPr>
        <w:fldChar w:fldCharType="separate"/>
      </w:r>
      <w:r>
        <w:rPr>
          <w:rFonts w:hint="eastAsia" w:ascii="宋体" w:hAnsi="宋体" w:eastAsia="宋体" w:cs="仿宋_GB2312"/>
          <w:color w:val="auto"/>
          <w:sz w:val="24"/>
          <w:highlight w:val="none"/>
          <w:lang w:val="en-US" w:eastAsia="zh-CN"/>
        </w:rPr>
        <w:t>③</w:t>
      </w:r>
      <w:r>
        <w:rPr>
          <w:rFonts w:hint="eastAsia" w:ascii="宋体" w:hAnsi="宋体" w:eastAsia="宋体" w:cs="仿宋_GB2312"/>
          <w:color w:val="auto"/>
          <w:sz w:val="24"/>
          <w:highlight w:val="none"/>
          <w:lang w:val="en-US" w:eastAsia="zh-CN"/>
        </w:rPr>
        <w:fldChar w:fldCharType="end"/>
      </w:r>
      <w:r>
        <w:rPr>
          <w:rFonts w:hint="eastAsia" w:ascii="宋体" w:hAnsi="宋体" w:eastAsia="宋体" w:cs="仿宋_GB2312"/>
          <w:color w:val="auto"/>
          <w:sz w:val="24"/>
          <w:highlight w:val="none"/>
          <w:lang w:val="en-US" w:eastAsia="zh-CN"/>
        </w:rPr>
        <w:t>合同约定的工程质量缺陷责任期满后由</w:t>
      </w:r>
      <w:r>
        <w:rPr>
          <w:rFonts w:hint="eastAsia" w:ascii="宋体" w:hAnsi="宋体" w:cs="仿宋_GB2312"/>
          <w:color w:val="auto"/>
          <w:sz w:val="24"/>
          <w:highlight w:val="none"/>
          <w:lang w:val="en-US" w:eastAsia="zh-CN"/>
        </w:rPr>
        <w:t>成交供应商</w:t>
      </w:r>
      <w:r>
        <w:rPr>
          <w:rFonts w:hint="eastAsia" w:ascii="宋体" w:hAnsi="宋体" w:eastAsia="宋体" w:cs="仿宋_GB2312"/>
          <w:color w:val="auto"/>
          <w:sz w:val="24"/>
          <w:highlight w:val="none"/>
          <w:lang w:val="en-US" w:eastAsia="zh-CN"/>
        </w:rPr>
        <w:t>向</w:t>
      </w:r>
      <w:r>
        <w:rPr>
          <w:rFonts w:hint="eastAsia" w:ascii="宋体" w:hAnsi="宋体" w:cs="仿宋_GB2312"/>
          <w:color w:val="auto"/>
          <w:sz w:val="24"/>
          <w:highlight w:val="none"/>
          <w:lang w:val="en-US" w:eastAsia="zh-CN"/>
        </w:rPr>
        <w:t>采购人</w:t>
      </w:r>
      <w:r>
        <w:rPr>
          <w:rFonts w:hint="eastAsia" w:ascii="宋体" w:hAnsi="宋体" w:eastAsia="宋体" w:cs="仿宋_GB2312"/>
          <w:color w:val="auto"/>
          <w:sz w:val="24"/>
          <w:highlight w:val="none"/>
          <w:lang w:val="en-US" w:eastAsia="zh-CN"/>
        </w:rPr>
        <w:t>提出返还质量保证金的申请，</w:t>
      </w:r>
      <w:r>
        <w:rPr>
          <w:rFonts w:hint="eastAsia" w:ascii="宋体" w:hAnsi="宋体" w:cs="仿宋_GB2312"/>
          <w:color w:val="auto"/>
          <w:sz w:val="24"/>
          <w:highlight w:val="none"/>
          <w:lang w:val="en-US" w:eastAsia="zh-CN"/>
        </w:rPr>
        <w:t>采购人</w:t>
      </w:r>
      <w:r>
        <w:rPr>
          <w:rFonts w:hint="eastAsia" w:ascii="宋体" w:hAnsi="宋体" w:eastAsia="宋体" w:cs="仿宋_GB2312"/>
          <w:color w:val="auto"/>
          <w:sz w:val="24"/>
          <w:highlight w:val="none"/>
          <w:lang w:val="en-US" w:eastAsia="zh-CN"/>
        </w:rPr>
        <w:t>在接到</w:t>
      </w:r>
      <w:r>
        <w:rPr>
          <w:rFonts w:hint="eastAsia" w:ascii="宋体" w:hAnsi="宋体" w:cs="仿宋_GB2312"/>
          <w:color w:val="auto"/>
          <w:sz w:val="24"/>
          <w:highlight w:val="none"/>
          <w:lang w:val="en-US" w:eastAsia="zh-CN"/>
        </w:rPr>
        <w:t>成交供应商</w:t>
      </w:r>
      <w:r>
        <w:rPr>
          <w:rFonts w:hint="eastAsia" w:ascii="宋体" w:hAnsi="宋体" w:eastAsia="宋体" w:cs="仿宋_GB2312"/>
          <w:color w:val="auto"/>
          <w:sz w:val="24"/>
          <w:highlight w:val="none"/>
          <w:lang w:val="en-US" w:eastAsia="zh-CN"/>
        </w:rPr>
        <w:t>返还质量保证金申请后，于 14 天内会同</w:t>
      </w:r>
      <w:r>
        <w:rPr>
          <w:rFonts w:hint="eastAsia" w:ascii="宋体" w:hAnsi="宋体" w:cs="仿宋_GB2312"/>
          <w:color w:val="auto"/>
          <w:sz w:val="24"/>
          <w:highlight w:val="none"/>
          <w:lang w:val="en-US" w:eastAsia="zh-CN"/>
        </w:rPr>
        <w:t>成交供应商</w:t>
      </w:r>
      <w:r>
        <w:rPr>
          <w:rFonts w:hint="eastAsia" w:ascii="宋体" w:hAnsi="宋体" w:eastAsia="宋体" w:cs="仿宋_GB2312"/>
          <w:color w:val="auto"/>
          <w:sz w:val="24"/>
          <w:highlight w:val="none"/>
          <w:lang w:val="en-US" w:eastAsia="zh-CN"/>
        </w:rPr>
        <w:t>按照合同约定的内容进行核实。如无异议，</w:t>
      </w:r>
      <w:r>
        <w:rPr>
          <w:rFonts w:hint="eastAsia" w:ascii="宋体" w:hAnsi="宋体" w:cs="仿宋_GB2312"/>
          <w:color w:val="auto"/>
          <w:sz w:val="24"/>
          <w:highlight w:val="none"/>
          <w:lang w:val="en-US" w:eastAsia="zh-CN"/>
        </w:rPr>
        <w:t>采购人</w:t>
      </w:r>
      <w:r>
        <w:rPr>
          <w:rFonts w:hint="eastAsia" w:ascii="宋体" w:hAnsi="宋体" w:eastAsia="宋体" w:cs="仿宋_GB2312"/>
          <w:color w:val="auto"/>
          <w:sz w:val="24"/>
          <w:highlight w:val="none"/>
          <w:lang w:val="en-US" w:eastAsia="zh-CN"/>
        </w:rPr>
        <w:t>在核实后 14 天内将质量保证金返还</w:t>
      </w:r>
      <w:r>
        <w:rPr>
          <w:rFonts w:hint="eastAsia" w:ascii="宋体" w:hAnsi="宋体" w:cs="仿宋_GB2312"/>
          <w:color w:val="auto"/>
          <w:sz w:val="24"/>
          <w:highlight w:val="none"/>
          <w:lang w:val="en-US" w:eastAsia="zh-CN"/>
        </w:rPr>
        <w:t>成交供应商</w:t>
      </w:r>
      <w:r>
        <w:rPr>
          <w:rFonts w:hint="eastAsia" w:ascii="宋体" w:hAnsi="宋体" w:eastAsia="宋体" w:cs="仿宋_GB2312"/>
          <w:color w:val="auto"/>
          <w:sz w:val="24"/>
          <w:highlight w:val="none"/>
          <w:lang w:val="en-US" w:eastAsia="zh-CN"/>
        </w:rPr>
        <w:t>。</w:t>
      </w:r>
    </w:p>
    <w:p w14:paraId="4AF74E9A">
      <w:pPr>
        <w:adjustRightInd w:val="0"/>
        <w:spacing w:line="360" w:lineRule="auto"/>
        <w:ind w:firstLine="480"/>
        <w:jc w:val="left"/>
        <w:rPr>
          <w:rFonts w:hint="default" w:ascii="宋体" w:hAnsi="宋体" w:cs="仿宋_GB2312"/>
          <w:color w:val="auto"/>
          <w:sz w:val="24"/>
          <w:highlight w:val="none"/>
          <w:lang w:val="en-US" w:eastAsia="zh-CN"/>
        </w:rPr>
      </w:pPr>
    </w:p>
    <w:p w14:paraId="748C80A8">
      <w:pPr>
        <w:rPr>
          <w:color w:val="auto"/>
          <w:highlight w:val="none"/>
        </w:rPr>
      </w:pPr>
      <w:r>
        <w:rPr>
          <w:color w:val="auto"/>
          <w:highlight w:val="none"/>
        </w:rPr>
        <w:br w:type="page"/>
      </w:r>
    </w:p>
    <w:p w14:paraId="644938E2">
      <w:pPr>
        <w:pStyle w:val="3"/>
        <w:spacing w:before="0" w:after="0" w:line="240" w:lineRule="auto"/>
        <w:jc w:val="center"/>
        <w:rPr>
          <w:rFonts w:ascii="宋体" w:hAnsi="宋体"/>
          <w:color w:val="auto"/>
          <w:sz w:val="36"/>
          <w:szCs w:val="36"/>
          <w:highlight w:val="none"/>
        </w:rPr>
      </w:pPr>
      <w:bookmarkStart w:id="36" w:name="_Toc176861410"/>
      <w:r>
        <w:rPr>
          <w:rFonts w:hint="eastAsia" w:ascii="宋体" w:hAnsi="宋体"/>
          <w:color w:val="auto"/>
          <w:sz w:val="36"/>
          <w:szCs w:val="36"/>
          <w:highlight w:val="none"/>
        </w:rPr>
        <w:t>第五章  工程量清单及图纸</w:t>
      </w:r>
      <w:bookmarkEnd w:id="36"/>
    </w:p>
    <w:p w14:paraId="61C2ED12">
      <w:pPr>
        <w:rPr>
          <w:color w:val="auto"/>
          <w:highlight w:val="none"/>
        </w:rPr>
      </w:pPr>
    </w:p>
    <w:p w14:paraId="64C2FC93">
      <w:pPr>
        <w:rPr>
          <w:color w:val="auto"/>
          <w:highlight w:val="none"/>
        </w:rPr>
      </w:pPr>
    </w:p>
    <w:p w14:paraId="118126BF">
      <w:pPr>
        <w:spacing w:line="440" w:lineRule="exact"/>
        <w:jc w:val="center"/>
        <w:rPr>
          <w:color w:val="auto"/>
          <w:sz w:val="36"/>
          <w:szCs w:val="36"/>
          <w:highlight w:val="none"/>
        </w:rPr>
      </w:pPr>
      <w:r>
        <w:rPr>
          <w:rFonts w:hint="eastAsia"/>
          <w:color w:val="auto"/>
          <w:sz w:val="36"/>
          <w:szCs w:val="36"/>
          <w:highlight w:val="none"/>
        </w:rPr>
        <w:t>工程量清单及图纸（另册）</w:t>
      </w:r>
    </w:p>
    <w:p w14:paraId="10B2FD61">
      <w:pPr>
        <w:spacing w:line="440" w:lineRule="exact"/>
        <w:jc w:val="center"/>
        <w:rPr>
          <w:rFonts w:eastAsia="仿宋_GB2312"/>
          <w:color w:val="auto"/>
          <w:sz w:val="36"/>
          <w:szCs w:val="36"/>
          <w:highlight w:val="none"/>
        </w:rPr>
      </w:pPr>
    </w:p>
    <w:p w14:paraId="1E99EBF1">
      <w:pPr>
        <w:pStyle w:val="4"/>
        <w:spacing w:before="0" w:after="0" w:line="360" w:lineRule="auto"/>
        <w:rPr>
          <w:color w:val="auto"/>
          <w:highlight w:val="none"/>
        </w:rPr>
      </w:pPr>
      <w:r>
        <w:rPr>
          <w:color w:val="auto"/>
          <w:highlight w:val="none"/>
        </w:rPr>
        <w:br w:type="page"/>
      </w:r>
    </w:p>
    <w:p w14:paraId="6B931311">
      <w:pPr>
        <w:autoSpaceDE w:val="0"/>
        <w:autoSpaceDN w:val="0"/>
        <w:adjustRightInd w:val="0"/>
        <w:snapToGrid w:val="0"/>
        <w:spacing w:line="300" w:lineRule="auto"/>
        <w:ind w:firstLine="2685" w:firstLineChars="743"/>
        <w:outlineLvl w:val="0"/>
        <w:rPr>
          <w:rFonts w:ascii="宋体" w:hAnsi="宋体"/>
          <w:b/>
          <w:color w:val="auto"/>
          <w:kern w:val="0"/>
          <w:sz w:val="36"/>
          <w:szCs w:val="36"/>
          <w:highlight w:val="none"/>
        </w:rPr>
      </w:pPr>
      <w:bookmarkStart w:id="37" w:name="_Toc3994507"/>
      <w:bookmarkStart w:id="38" w:name="_Toc31815"/>
      <w:bookmarkStart w:id="39" w:name="_Toc176861411"/>
      <w:r>
        <w:rPr>
          <w:rFonts w:hint="eastAsia" w:ascii="宋体" w:hAnsi="宋体"/>
          <w:b/>
          <w:color w:val="auto"/>
          <w:kern w:val="0"/>
          <w:sz w:val="36"/>
          <w:szCs w:val="36"/>
          <w:highlight w:val="none"/>
        </w:rPr>
        <w:t>第六章  合同格式</w:t>
      </w:r>
      <w:bookmarkEnd w:id="37"/>
      <w:bookmarkEnd w:id="38"/>
      <w:bookmarkEnd w:id="39"/>
    </w:p>
    <w:p w14:paraId="16DE54E9">
      <w:pPr>
        <w:spacing w:line="360" w:lineRule="auto"/>
        <w:jc w:val="both"/>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 xml:space="preserve">（GF—2017—0201）-001           </w:t>
      </w:r>
    </w:p>
    <w:p w14:paraId="4666F94C">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5BAA4E5B">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03AD5E2F">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6823BAFE">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08A3810A">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建设工程施工合同</w:t>
      </w:r>
    </w:p>
    <w:p w14:paraId="5896DCE0">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582C14D9">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2E834381">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181D6651">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6119606F">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33258435">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34405513">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p>
    <w:p w14:paraId="0D2E8AA8">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住房城乡建设部</w:t>
      </w:r>
    </w:p>
    <w:p w14:paraId="26E70385">
      <w:pPr>
        <w:spacing w:line="360" w:lineRule="auto"/>
        <w:ind w:firstLine="896" w:firstLineChars="200"/>
        <w:jc w:val="center"/>
        <w:outlineLvl w:val="0"/>
        <w:rPr>
          <w:rFonts w:ascii="宋体" w:hAnsi="宋体" w:eastAsia="宋体" w:cs="宋体"/>
          <w:color w:val="auto"/>
          <w:spacing w:val="9"/>
          <w:sz w:val="43"/>
          <w:szCs w:val="43"/>
          <w:highlight w:val="none"/>
          <w:lang w:eastAsia="zh-CN"/>
        </w:rPr>
      </w:pPr>
      <w:r>
        <w:rPr>
          <w:rFonts w:hint="eastAsia" w:ascii="宋体" w:hAnsi="宋体" w:eastAsia="宋体" w:cs="宋体"/>
          <w:color w:val="auto"/>
          <w:spacing w:val="9"/>
          <w:sz w:val="43"/>
          <w:szCs w:val="43"/>
          <w:highlight w:val="none"/>
          <w:lang w:eastAsia="zh-CN"/>
        </w:rPr>
        <w:t>国家工商行政管理总局</w:t>
      </w:r>
    </w:p>
    <w:p w14:paraId="0FAD7046">
      <w:pPr>
        <w:spacing w:line="360" w:lineRule="auto"/>
        <w:ind w:firstLine="896" w:firstLineChars="200"/>
        <w:jc w:val="center"/>
        <w:outlineLvl w:val="0"/>
        <w:rPr>
          <w:rFonts w:ascii="宋体" w:hAnsi="宋体" w:eastAsia="宋体" w:cs="宋体"/>
          <w:color w:val="auto"/>
          <w:spacing w:val="9"/>
          <w:sz w:val="43"/>
          <w:szCs w:val="43"/>
          <w:highlight w:val="none"/>
          <w:lang w:eastAsia="zh-CN"/>
        </w:rPr>
        <w:sectPr>
          <w:footerReference r:id="rId6" w:type="default"/>
          <w:pgSz w:w="11907" w:h="16841"/>
          <w:pgMar w:top="1427" w:right="1435" w:bottom="1272" w:left="1785" w:header="0" w:footer="1108" w:gutter="0"/>
          <w:pgBorders>
            <w:top w:val="none" w:sz="0" w:space="0"/>
            <w:left w:val="none" w:sz="0" w:space="0"/>
            <w:bottom w:val="none" w:sz="0" w:space="0"/>
            <w:right w:val="none" w:sz="0" w:space="0"/>
          </w:pgBorders>
          <w:pgNumType w:fmt="decimal"/>
          <w:cols w:equalWidth="0" w:num="1">
            <w:col w:w="8685"/>
          </w:cols>
        </w:sectPr>
      </w:pPr>
    </w:p>
    <w:p w14:paraId="1326CC8F">
      <w:pPr>
        <w:spacing w:line="360" w:lineRule="auto"/>
        <w:ind w:firstLine="896" w:firstLineChars="200"/>
        <w:jc w:val="center"/>
        <w:outlineLvl w:val="0"/>
        <w:rPr>
          <w:rFonts w:ascii="宋体" w:hAnsi="宋体" w:eastAsia="宋体" w:cs="宋体"/>
          <w:color w:val="auto"/>
          <w:sz w:val="43"/>
          <w:szCs w:val="43"/>
          <w:highlight w:val="none"/>
          <w:lang w:eastAsia="zh-CN"/>
        </w:rPr>
      </w:pPr>
      <w:r>
        <w:rPr>
          <w:rFonts w:hint="eastAsia" w:ascii="宋体" w:hAnsi="宋体" w:eastAsia="宋体" w:cs="宋体"/>
          <w:color w:val="auto"/>
          <w:spacing w:val="9"/>
          <w:sz w:val="43"/>
          <w:szCs w:val="43"/>
          <w:highlight w:val="none"/>
          <w:lang w:eastAsia="zh-CN"/>
        </w:rPr>
        <w:t>第一部分</w:t>
      </w:r>
      <w:r>
        <w:rPr>
          <w:rFonts w:hint="eastAsia" w:ascii="宋体" w:hAnsi="宋体" w:eastAsia="宋体" w:cs="宋体"/>
          <w:color w:val="auto"/>
          <w:spacing w:val="9"/>
          <w:sz w:val="43"/>
          <w:szCs w:val="43"/>
          <w:highlight w:val="none"/>
          <w:lang w:val="en-US" w:eastAsia="zh-CN"/>
        </w:rPr>
        <w:t xml:space="preserve"> </w:t>
      </w:r>
      <w:r>
        <w:rPr>
          <w:rFonts w:hint="eastAsia" w:ascii="宋体" w:hAnsi="宋体" w:eastAsia="宋体" w:cs="宋体"/>
          <w:color w:val="auto"/>
          <w:spacing w:val="9"/>
          <w:sz w:val="43"/>
          <w:szCs w:val="43"/>
          <w:highlight w:val="none"/>
          <w:lang w:eastAsia="zh-CN"/>
        </w:rPr>
        <w:t>合同协议书</w:t>
      </w:r>
    </w:p>
    <w:p w14:paraId="770B7A0C">
      <w:pPr>
        <w:spacing w:line="360" w:lineRule="auto"/>
        <w:ind w:firstLine="420" w:firstLineChars="200"/>
        <w:rPr>
          <w:rFonts w:ascii="宋体" w:hAnsi="宋体" w:eastAsia="宋体" w:cs="宋体"/>
          <w:color w:val="auto"/>
          <w:highlight w:val="none"/>
          <w:lang w:eastAsia="zh-CN"/>
        </w:rPr>
      </w:pPr>
    </w:p>
    <w:p w14:paraId="1A277939">
      <w:pPr>
        <w:spacing w:line="360" w:lineRule="auto"/>
        <w:ind w:firstLine="480" w:firstLineChars="200"/>
        <w:rPr>
          <w:rFonts w:ascii="宋体" w:hAnsi="宋体" w:eastAsia="宋体" w:cs="宋体"/>
          <w:color w:val="auto"/>
          <w:sz w:val="24"/>
          <w:szCs w:val="24"/>
          <w:highlight w:val="none"/>
          <w:lang w:eastAsia="zh-CN"/>
        </w:rPr>
      </w:pPr>
    </w:p>
    <w:p w14:paraId="3946DABF">
      <w:pPr>
        <w:pStyle w:val="19"/>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发包人（全称）：</w:t>
      </w:r>
      <w:r>
        <w:rPr>
          <w:rFonts w:hint="eastAsia"/>
          <w:color w:val="auto"/>
          <w:spacing w:val="-12"/>
          <w:sz w:val="24"/>
          <w:szCs w:val="24"/>
          <w:highlight w:val="none"/>
          <w:u w:val="single"/>
          <w:lang w:eastAsia="zh-CN"/>
        </w:rPr>
        <w:t xml:space="preserve">      北海市海城区教育局          </w:t>
      </w:r>
    </w:p>
    <w:p w14:paraId="09A07DC5">
      <w:pPr>
        <w:pStyle w:val="19"/>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承包人（全称）：</w:t>
      </w:r>
      <w:r>
        <w:rPr>
          <w:rFonts w:hint="eastAsia"/>
          <w:color w:val="auto"/>
          <w:spacing w:val="-12"/>
          <w:sz w:val="24"/>
          <w:szCs w:val="24"/>
          <w:highlight w:val="none"/>
          <w:u w:val="single"/>
          <w:lang w:eastAsia="zh-CN"/>
        </w:rPr>
        <w:t xml:space="preserve">                    </w:t>
      </w:r>
    </w:p>
    <w:p w14:paraId="6730149D">
      <w:pPr>
        <w:pStyle w:val="19"/>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根据《中华人民共和国民法典》、《中华人民共和国建筑法》及有关法律规定，遵循平等、自愿、公平和诚实信用的原则，双方就</w:t>
      </w:r>
      <w:r>
        <w:rPr>
          <w:rFonts w:hint="eastAsia"/>
          <w:color w:val="auto"/>
          <w:spacing w:val="-12"/>
          <w:sz w:val="24"/>
          <w:szCs w:val="24"/>
          <w:highlight w:val="none"/>
          <w:u w:val="single"/>
          <w:lang w:eastAsia="zh-CN"/>
        </w:rPr>
        <w:t xml:space="preserve">              </w:t>
      </w:r>
      <w:r>
        <w:rPr>
          <w:rFonts w:hint="eastAsia"/>
          <w:color w:val="auto"/>
          <w:spacing w:val="-12"/>
          <w:sz w:val="24"/>
          <w:szCs w:val="24"/>
          <w:highlight w:val="none"/>
          <w:lang w:eastAsia="zh-CN"/>
        </w:rPr>
        <w:t>工程施工及有关事项协商一致，共同达成如下协议：</w:t>
      </w:r>
    </w:p>
    <w:p w14:paraId="01B522E7">
      <w:pPr>
        <w:pStyle w:val="19"/>
        <w:spacing w:line="360" w:lineRule="auto"/>
        <w:ind w:firstLine="468" w:firstLineChars="200"/>
        <w:outlineLvl w:val="0"/>
        <w:rPr>
          <w:color w:val="auto"/>
          <w:sz w:val="24"/>
          <w:szCs w:val="24"/>
          <w:highlight w:val="none"/>
          <w:lang w:eastAsia="zh-CN"/>
        </w:rPr>
      </w:pPr>
      <w:r>
        <w:rPr>
          <w:rFonts w:hint="eastAsia"/>
          <w:color w:val="auto"/>
          <w:spacing w:val="-3"/>
          <w:sz w:val="24"/>
          <w:szCs w:val="24"/>
          <w:highlight w:val="none"/>
          <w:lang w:eastAsia="zh-CN"/>
        </w:rPr>
        <w:t>一、工程概况</w:t>
      </w:r>
    </w:p>
    <w:p w14:paraId="7C30F236">
      <w:pPr>
        <w:pStyle w:val="19"/>
        <w:spacing w:line="360" w:lineRule="auto"/>
        <w:ind w:firstLine="432" w:firstLineChars="200"/>
        <w:rPr>
          <w:color w:val="auto"/>
          <w:spacing w:val="-12"/>
          <w:sz w:val="24"/>
          <w:szCs w:val="24"/>
          <w:highlight w:val="none"/>
          <w:lang w:eastAsia="zh-CN"/>
        </w:rPr>
      </w:pPr>
      <w:r>
        <w:rPr>
          <w:rFonts w:hint="eastAsia"/>
          <w:color w:val="auto"/>
          <w:spacing w:val="-12"/>
          <w:sz w:val="24"/>
          <w:szCs w:val="24"/>
          <w:highlight w:val="none"/>
          <w:lang w:eastAsia="zh-CN"/>
        </w:rPr>
        <w:t>1.工程名称：</w:t>
      </w:r>
      <w:r>
        <w:rPr>
          <w:rFonts w:hint="eastAsia"/>
          <w:color w:val="auto"/>
          <w:spacing w:val="-12"/>
          <w:sz w:val="24"/>
          <w:szCs w:val="24"/>
          <w:highlight w:val="none"/>
          <w:u w:val="single"/>
          <w:lang w:eastAsia="zh-CN"/>
        </w:rPr>
        <w:t xml:space="preserve">                            </w:t>
      </w:r>
      <w:r>
        <w:rPr>
          <w:rFonts w:hint="eastAsia"/>
          <w:color w:val="auto"/>
          <w:spacing w:val="-12"/>
          <w:sz w:val="24"/>
          <w:szCs w:val="24"/>
          <w:highlight w:val="none"/>
          <w:lang w:eastAsia="zh-CN"/>
        </w:rPr>
        <w:t>。</w:t>
      </w:r>
    </w:p>
    <w:p w14:paraId="67F9A1C0">
      <w:pPr>
        <w:pStyle w:val="19"/>
        <w:spacing w:line="360" w:lineRule="auto"/>
        <w:ind w:firstLine="432" w:firstLineChars="200"/>
        <w:rPr>
          <w:color w:val="auto"/>
          <w:sz w:val="24"/>
          <w:szCs w:val="24"/>
          <w:highlight w:val="none"/>
          <w:lang w:eastAsia="zh-CN"/>
        </w:rPr>
      </w:pPr>
      <w:r>
        <w:rPr>
          <w:rFonts w:hint="eastAsia"/>
          <w:color w:val="auto"/>
          <w:spacing w:val="-12"/>
          <w:sz w:val="24"/>
          <w:szCs w:val="24"/>
          <w:highlight w:val="none"/>
          <w:lang w:eastAsia="zh-CN"/>
        </w:rPr>
        <w:t>2.工程地点</w:t>
      </w:r>
      <w:r>
        <w:rPr>
          <w:rFonts w:hint="eastAsia"/>
          <w:color w:val="auto"/>
          <w:sz w:val="24"/>
          <w:szCs w:val="24"/>
          <w:highlight w:val="none"/>
          <w:lang w:eastAsia="zh-CN"/>
        </w:rPr>
        <w:t>：</w:t>
      </w:r>
      <w:r>
        <w:rPr>
          <w:rFonts w:hint="eastAsia"/>
          <w:color w:val="auto"/>
          <w:sz w:val="24"/>
          <w:szCs w:val="24"/>
          <w:highlight w:val="none"/>
          <w:u w:val="single"/>
          <w:lang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eastAsia="zh-CN"/>
        </w:rPr>
        <w:t xml:space="preserve">   </w:t>
      </w:r>
      <w:r>
        <w:rPr>
          <w:rFonts w:hint="eastAsia"/>
          <w:color w:val="auto"/>
          <w:sz w:val="24"/>
          <w:szCs w:val="24"/>
          <w:highlight w:val="none"/>
          <w:lang w:eastAsia="zh-CN"/>
        </w:rPr>
        <w:t>。</w:t>
      </w:r>
    </w:p>
    <w:p w14:paraId="7917C8A0">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3.工程立项批准文号：</w:t>
      </w:r>
      <w:r>
        <w:rPr>
          <w:rFonts w:hint="eastAsia"/>
          <w:color w:val="auto"/>
          <w:spacing w:val="3"/>
          <w:sz w:val="24"/>
          <w:szCs w:val="24"/>
          <w:highlight w:val="none"/>
          <w:u w:val="single"/>
          <w:lang w:eastAsia="zh-CN"/>
        </w:rPr>
        <w:t xml:space="preserve">  </w:t>
      </w:r>
      <w:r>
        <w:rPr>
          <w:rFonts w:hint="eastAsia"/>
          <w:color w:val="auto"/>
          <w:spacing w:val="3"/>
          <w:sz w:val="24"/>
          <w:szCs w:val="24"/>
          <w:highlight w:val="none"/>
          <w:u w:val="single"/>
          <w:lang w:val="en-US" w:eastAsia="zh-CN"/>
        </w:rPr>
        <w:t xml:space="preserve">               </w:t>
      </w:r>
      <w:r>
        <w:rPr>
          <w:rFonts w:hint="eastAsia"/>
          <w:color w:val="auto"/>
          <w:spacing w:val="-6"/>
          <w:sz w:val="24"/>
          <w:szCs w:val="24"/>
          <w:highlight w:val="none"/>
          <w:lang w:eastAsia="zh-CN"/>
        </w:rPr>
        <w:t>。</w:t>
      </w:r>
    </w:p>
    <w:p w14:paraId="4A066146">
      <w:pPr>
        <w:pStyle w:val="19"/>
        <w:spacing w:line="360" w:lineRule="auto"/>
        <w:ind w:firstLine="432" w:firstLineChars="200"/>
        <w:rPr>
          <w:color w:val="auto"/>
          <w:sz w:val="24"/>
          <w:szCs w:val="24"/>
          <w:highlight w:val="none"/>
          <w:lang w:eastAsia="zh-CN"/>
        </w:rPr>
      </w:pPr>
      <w:r>
        <w:rPr>
          <w:rFonts w:hint="eastAsia"/>
          <w:color w:val="auto"/>
          <w:spacing w:val="-12"/>
          <w:sz w:val="24"/>
          <w:szCs w:val="24"/>
          <w:highlight w:val="none"/>
          <w:lang w:eastAsia="zh-CN"/>
        </w:rPr>
        <w:t>4.资金来源：</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 xml:space="preserve">                    </w:t>
      </w:r>
      <w:r>
        <w:rPr>
          <w:rFonts w:hint="eastAsia"/>
          <w:color w:val="auto"/>
          <w:spacing w:val="-12"/>
          <w:sz w:val="24"/>
          <w:szCs w:val="24"/>
          <w:highlight w:val="none"/>
          <w:lang w:eastAsia="zh-CN"/>
        </w:rPr>
        <w:t>。</w:t>
      </w:r>
    </w:p>
    <w:p w14:paraId="475AF1D2">
      <w:pPr>
        <w:pStyle w:val="19"/>
        <w:spacing w:line="360" w:lineRule="auto"/>
        <w:ind w:firstLine="432" w:firstLineChars="200"/>
        <w:rPr>
          <w:color w:val="auto"/>
          <w:spacing w:val="2"/>
          <w:sz w:val="24"/>
          <w:szCs w:val="24"/>
          <w:highlight w:val="none"/>
          <w:u w:val="single"/>
          <w:lang w:eastAsia="zh-CN"/>
        </w:rPr>
      </w:pPr>
      <w:r>
        <w:rPr>
          <w:rFonts w:hint="eastAsia"/>
          <w:color w:val="auto"/>
          <w:spacing w:val="-12"/>
          <w:sz w:val="24"/>
          <w:szCs w:val="24"/>
          <w:highlight w:val="none"/>
          <w:lang w:eastAsia="zh-CN"/>
        </w:rPr>
        <w:t>5.工程内容：</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w:t>
      </w:r>
    </w:p>
    <w:p w14:paraId="6EDCD5AE">
      <w:pPr>
        <w:spacing w:line="360" w:lineRule="auto"/>
        <w:ind w:firstLine="470" w:firstLineChars="196"/>
        <w:rPr>
          <w:color w:val="auto"/>
          <w:spacing w:val="2"/>
          <w:sz w:val="24"/>
          <w:szCs w:val="24"/>
          <w:highlight w:val="none"/>
          <w:u w:val="single"/>
          <w:lang w:eastAsia="zh-CN"/>
        </w:rPr>
      </w:pPr>
      <w:r>
        <w:rPr>
          <w:rFonts w:hint="eastAsia" w:hAnsi="宋体" w:cs="宋体"/>
          <w:color w:val="auto"/>
          <w:sz w:val="24"/>
          <w:szCs w:val="24"/>
          <w:highlight w:val="none"/>
          <w:lang w:eastAsia="zh-CN"/>
        </w:rPr>
        <w:t>群体工程应附《承包人承揽工程项目一览表》（附件</w:t>
      </w:r>
      <w:r>
        <w:rPr>
          <w:color w:val="auto"/>
          <w:sz w:val="24"/>
          <w:szCs w:val="24"/>
          <w:highlight w:val="none"/>
          <w:lang w:eastAsia="zh-CN"/>
        </w:rPr>
        <w:t>1</w:t>
      </w:r>
      <w:r>
        <w:rPr>
          <w:rFonts w:hint="eastAsia" w:hAnsi="宋体" w:cs="宋体"/>
          <w:color w:val="auto"/>
          <w:sz w:val="24"/>
          <w:szCs w:val="24"/>
          <w:highlight w:val="none"/>
          <w:lang w:eastAsia="zh-CN"/>
        </w:rPr>
        <w:t>）。</w:t>
      </w:r>
    </w:p>
    <w:p w14:paraId="51808CC6">
      <w:pPr>
        <w:pStyle w:val="17"/>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6.工程承包范围：</w:t>
      </w:r>
      <w:r>
        <w:rPr>
          <w:rFonts w:hint="eastAsia"/>
          <w:color w:val="auto"/>
          <w:sz w:val="24"/>
          <w:szCs w:val="24"/>
          <w:highlight w:val="none"/>
          <w:u w:val="single"/>
          <w:lang w:eastAsia="zh-CN"/>
        </w:rPr>
        <w:t>施工图纸范围内所涵盖的工程，详见施工设计图纸及工程量清单</w:t>
      </w:r>
      <w:r>
        <w:rPr>
          <w:rFonts w:hint="eastAsia"/>
          <w:color w:val="auto"/>
          <w:spacing w:val="2"/>
          <w:sz w:val="24"/>
          <w:szCs w:val="24"/>
          <w:highlight w:val="none"/>
          <w:u w:val="single"/>
          <w:lang w:eastAsia="zh-CN"/>
        </w:rPr>
        <w:t>。</w:t>
      </w:r>
    </w:p>
    <w:p w14:paraId="4CAA4B56">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二、合同工期</w:t>
      </w:r>
    </w:p>
    <w:p w14:paraId="562C896B">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计划开工日期：</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lang w:eastAsia="zh-CN"/>
        </w:rPr>
        <w:t>年</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lang w:eastAsia="zh-CN"/>
        </w:rPr>
        <w:t>月</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lang w:eastAsia="zh-CN"/>
        </w:rPr>
        <w:t>日。（具体以发包人书面通知为准）</w:t>
      </w:r>
    </w:p>
    <w:p w14:paraId="2C4A7B6B">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计划竣工日期：</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lang w:eastAsia="zh-CN"/>
        </w:rPr>
        <w:t>年</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lang w:eastAsia="zh-CN"/>
        </w:rPr>
        <w:t>月</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lang w:eastAsia="zh-CN"/>
        </w:rPr>
        <w:t>日</w:t>
      </w:r>
    </w:p>
    <w:p w14:paraId="72D9D629">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工期总日历天数：</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lang w:eastAsia="zh-CN"/>
        </w:rPr>
        <w:t>天。工期总日历天数与根据前述计划开竣工日期计算的工期</w:t>
      </w:r>
    </w:p>
    <w:p w14:paraId="4566470B">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天数不一致的，以工期总日历天数为准。</w:t>
      </w:r>
    </w:p>
    <w:p w14:paraId="452C851C">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三、质量标准</w:t>
      </w:r>
    </w:p>
    <w:p w14:paraId="4423D40E">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工程质量符合</w:t>
      </w:r>
      <w:r>
        <w:rPr>
          <w:rFonts w:hint="eastAsia"/>
          <w:color w:val="auto"/>
          <w:sz w:val="24"/>
          <w:szCs w:val="24"/>
          <w:highlight w:val="none"/>
          <w:u w:val="single"/>
          <w:lang w:eastAsia="zh-CN"/>
        </w:rPr>
        <w:t xml:space="preserve"> 合格 </w:t>
      </w:r>
      <w:r>
        <w:rPr>
          <w:rFonts w:hint="eastAsia"/>
          <w:color w:val="auto"/>
          <w:spacing w:val="-4"/>
          <w:sz w:val="24"/>
          <w:szCs w:val="24"/>
          <w:highlight w:val="none"/>
          <w:lang w:eastAsia="zh-CN"/>
        </w:rPr>
        <w:t>标准。</w:t>
      </w:r>
    </w:p>
    <w:p w14:paraId="49B00F1A">
      <w:pPr>
        <w:pStyle w:val="19"/>
        <w:spacing w:line="360" w:lineRule="auto"/>
        <w:ind w:firstLine="472" w:firstLineChars="200"/>
        <w:outlineLvl w:val="0"/>
        <w:rPr>
          <w:color w:val="auto"/>
          <w:sz w:val="24"/>
          <w:szCs w:val="24"/>
          <w:highlight w:val="none"/>
          <w:lang w:eastAsia="zh-CN"/>
        </w:rPr>
      </w:pPr>
      <w:r>
        <w:rPr>
          <w:rFonts w:hint="eastAsia"/>
          <w:color w:val="auto"/>
          <w:spacing w:val="-2"/>
          <w:sz w:val="24"/>
          <w:szCs w:val="24"/>
          <w:highlight w:val="none"/>
          <w:lang w:eastAsia="zh-CN"/>
        </w:rPr>
        <w:t>四、签约合同价与合同价格形式</w:t>
      </w:r>
    </w:p>
    <w:p w14:paraId="30811BAA">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1.签约合同价为：</w:t>
      </w:r>
    </w:p>
    <w:p w14:paraId="46382ABA">
      <w:pPr>
        <w:pStyle w:val="19"/>
        <w:spacing w:line="360" w:lineRule="auto"/>
        <w:ind w:firstLine="452" w:firstLineChars="200"/>
        <w:rPr>
          <w:color w:val="auto"/>
          <w:spacing w:val="-56"/>
          <w:w w:val="99"/>
          <w:sz w:val="24"/>
          <w:szCs w:val="24"/>
          <w:highlight w:val="none"/>
          <w:lang w:eastAsia="zh-CN"/>
        </w:rPr>
      </w:pPr>
      <w:r>
        <w:rPr>
          <w:rFonts w:hint="eastAsia"/>
          <w:color w:val="auto"/>
          <w:spacing w:val="-7"/>
          <w:sz w:val="24"/>
          <w:szCs w:val="24"/>
          <w:highlight w:val="none"/>
          <w:lang w:eastAsia="zh-CN"/>
        </w:rPr>
        <w:t>人民币（大写）</w:t>
      </w:r>
      <w:r>
        <w:rPr>
          <w:rFonts w:hint="eastAsia"/>
          <w:color w:val="auto"/>
          <w:sz w:val="24"/>
          <w:szCs w:val="24"/>
          <w:highlight w:val="none"/>
          <w:u w:val="single"/>
          <w:lang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u w:val="single"/>
          <w:lang w:eastAsia="zh-CN"/>
        </w:rPr>
        <w:t xml:space="preserve"> </w:t>
      </w:r>
      <w:r>
        <w:rPr>
          <w:rFonts w:hint="eastAsia"/>
          <w:color w:val="auto"/>
          <w:spacing w:val="-7"/>
          <w:sz w:val="24"/>
          <w:szCs w:val="24"/>
          <w:highlight w:val="none"/>
          <w:lang w:eastAsia="zh-CN"/>
        </w:rPr>
        <w:t>(¥</w:t>
      </w:r>
      <w:r>
        <w:rPr>
          <w:rFonts w:hint="eastAsia"/>
          <w:color w:val="auto"/>
          <w:spacing w:val="2"/>
          <w:sz w:val="24"/>
          <w:szCs w:val="24"/>
          <w:highlight w:val="none"/>
          <w:u w:val="single"/>
          <w:lang w:val="en-US" w:eastAsia="zh-CN"/>
        </w:rPr>
        <w:t xml:space="preserve">          </w:t>
      </w:r>
      <w:r>
        <w:rPr>
          <w:rFonts w:hint="eastAsia"/>
          <w:color w:val="auto"/>
          <w:spacing w:val="2"/>
          <w:sz w:val="24"/>
          <w:szCs w:val="24"/>
          <w:highlight w:val="none"/>
          <w:u w:val="single"/>
          <w:lang w:eastAsia="zh-CN"/>
        </w:rPr>
        <w:t xml:space="preserve"> </w:t>
      </w:r>
      <w:r>
        <w:rPr>
          <w:rFonts w:hint="eastAsia"/>
          <w:color w:val="auto"/>
          <w:spacing w:val="-7"/>
          <w:sz w:val="24"/>
          <w:szCs w:val="24"/>
          <w:highlight w:val="none"/>
          <w:lang w:eastAsia="zh-CN"/>
        </w:rPr>
        <w:t>元</w:t>
      </w:r>
      <w:r>
        <w:rPr>
          <w:rFonts w:hint="eastAsia"/>
          <w:color w:val="auto"/>
          <w:spacing w:val="-56"/>
          <w:w w:val="99"/>
          <w:sz w:val="24"/>
          <w:szCs w:val="24"/>
          <w:highlight w:val="none"/>
          <w:lang w:eastAsia="zh-CN"/>
        </w:rPr>
        <w:t>）；</w:t>
      </w:r>
    </w:p>
    <w:p w14:paraId="6E36FC6F">
      <w:pPr>
        <w:pStyle w:val="19"/>
        <w:spacing w:line="360" w:lineRule="auto"/>
        <w:ind w:firstLine="460" w:firstLineChars="200"/>
        <w:rPr>
          <w:color w:val="auto"/>
          <w:spacing w:val="-5"/>
          <w:sz w:val="24"/>
          <w:szCs w:val="24"/>
          <w:highlight w:val="none"/>
          <w:lang w:eastAsia="zh-CN"/>
        </w:rPr>
      </w:pPr>
      <w:r>
        <w:rPr>
          <w:rFonts w:hint="eastAsia"/>
          <w:color w:val="auto"/>
          <w:spacing w:val="-5"/>
          <w:sz w:val="24"/>
          <w:szCs w:val="24"/>
          <w:highlight w:val="none"/>
          <w:lang w:eastAsia="zh-CN"/>
        </w:rPr>
        <w:t>其中：</w:t>
      </w:r>
    </w:p>
    <w:p w14:paraId="17560B53">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（1）安全文明施工费：</w:t>
      </w:r>
    </w:p>
    <w:p w14:paraId="13C750F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人民币（大写）</w:t>
      </w:r>
      <w:r>
        <w:rPr>
          <w:rFonts w:hint="eastAsia"/>
          <w:color w:val="auto"/>
          <w:sz w:val="24"/>
          <w:szCs w:val="24"/>
          <w:highlight w:val="none"/>
          <w:u w:val="single"/>
          <w:lang w:val="en-US" w:eastAsia="zh-CN"/>
        </w:rPr>
        <w:t xml:space="preserve">                   </w:t>
      </w:r>
      <w:r>
        <w:rPr>
          <w:rFonts w:hint="eastAsia"/>
          <w:color w:val="auto"/>
          <w:spacing w:val="-2"/>
          <w:sz w:val="24"/>
          <w:szCs w:val="24"/>
          <w:highlight w:val="none"/>
          <w:lang w:eastAsia="zh-CN"/>
        </w:rPr>
        <w:t>(¥</w:t>
      </w:r>
      <w:r>
        <w:rPr>
          <w:rFonts w:hint="eastAsia"/>
          <w:color w:val="auto"/>
          <w:spacing w:val="-2"/>
          <w:sz w:val="24"/>
          <w:szCs w:val="24"/>
          <w:highlight w:val="none"/>
          <w:u w:val="single"/>
          <w:lang w:eastAsia="zh-CN"/>
        </w:rPr>
        <w:t xml:space="preserve"> </w:t>
      </w:r>
      <w:r>
        <w:rPr>
          <w:rFonts w:hint="eastAsia"/>
          <w:color w:val="auto"/>
          <w:spacing w:val="-2"/>
          <w:sz w:val="24"/>
          <w:szCs w:val="24"/>
          <w:highlight w:val="none"/>
          <w:u w:val="single"/>
          <w:lang w:val="en-US" w:eastAsia="zh-CN"/>
        </w:rPr>
        <w:t xml:space="preserve">         </w:t>
      </w:r>
      <w:r>
        <w:rPr>
          <w:rFonts w:hint="eastAsia"/>
          <w:color w:val="auto"/>
          <w:spacing w:val="-3"/>
          <w:sz w:val="24"/>
          <w:szCs w:val="24"/>
          <w:highlight w:val="none"/>
          <w:lang w:eastAsia="zh-CN"/>
        </w:rPr>
        <w:t>元</w:t>
      </w:r>
      <w:r>
        <w:rPr>
          <w:rFonts w:hint="eastAsia"/>
          <w:color w:val="auto"/>
          <w:spacing w:val="-54"/>
          <w:w w:val="97"/>
          <w:sz w:val="24"/>
          <w:szCs w:val="24"/>
          <w:highlight w:val="none"/>
          <w:lang w:eastAsia="zh-CN"/>
        </w:rPr>
        <w:t>）；</w:t>
      </w:r>
    </w:p>
    <w:p w14:paraId="6546BE09">
      <w:pPr>
        <w:pStyle w:val="19"/>
        <w:spacing w:line="360" w:lineRule="auto"/>
        <w:ind w:firstLine="476" w:firstLineChars="200"/>
        <w:rPr>
          <w:color w:val="auto"/>
          <w:spacing w:val="-1"/>
          <w:sz w:val="24"/>
          <w:szCs w:val="24"/>
          <w:highlight w:val="none"/>
          <w:lang w:eastAsia="zh-CN"/>
        </w:rPr>
      </w:pPr>
      <w:r>
        <w:rPr>
          <w:rFonts w:hint="eastAsia"/>
          <w:color w:val="auto"/>
          <w:spacing w:val="-1"/>
          <w:sz w:val="24"/>
          <w:szCs w:val="24"/>
          <w:highlight w:val="none"/>
          <w:lang w:eastAsia="zh-CN"/>
        </w:rPr>
        <w:t>（2）材料和工程设备暂估价金额：</w:t>
      </w:r>
    </w:p>
    <w:p w14:paraId="27022649">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人民币（大写）</w:t>
      </w:r>
      <w:r>
        <w:rPr>
          <w:rFonts w:hint="eastAsia"/>
          <w:color w:val="auto"/>
          <w:sz w:val="24"/>
          <w:szCs w:val="24"/>
          <w:highlight w:val="none"/>
          <w:u w:val="single"/>
          <w:lang w:val="en-US" w:eastAsia="zh-CN"/>
        </w:rPr>
        <w:t xml:space="preserve">         </w:t>
      </w:r>
      <w:r>
        <w:rPr>
          <w:rFonts w:hint="eastAsia"/>
          <w:color w:val="auto"/>
          <w:spacing w:val="-7"/>
          <w:sz w:val="24"/>
          <w:szCs w:val="24"/>
          <w:highlight w:val="none"/>
          <w:lang w:eastAsia="zh-CN"/>
        </w:rPr>
        <w:t>(¥</w:t>
      </w:r>
      <w:r>
        <w:rPr>
          <w:rFonts w:hint="eastAsia"/>
          <w:color w:val="auto"/>
          <w:spacing w:val="2"/>
          <w:sz w:val="24"/>
          <w:szCs w:val="24"/>
          <w:highlight w:val="none"/>
          <w:u w:val="single"/>
          <w:lang w:val="en-US" w:eastAsia="zh-CN"/>
        </w:rPr>
        <w:t xml:space="preserve">         </w:t>
      </w:r>
      <w:r>
        <w:rPr>
          <w:rFonts w:hint="eastAsia"/>
          <w:color w:val="auto"/>
          <w:spacing w:val="-7"/>
          <w:sz w:val="24"/>
          <w:szCs w:val="24"/>
          <w:highlight w:val="none"/>
          <w:lang w:eastAsia="zh-CN"/>
        </w:rPr>
        <w:t>元</w:t>
      </w:r>
      <w:r>
        <w:rPr>
          <w:rFonts w:hint="eastAsia"/>
          <w:color w:val="auto"/>
          <w:spacing w:val="-56"/>
          <w:w w:val="99"/>
          <w:sz w:val="24"/>
          <w:szCs w:val="24"/>
          <w:highlight w:val="none"/>
          <w:lang w:eastAsia="zh-CN"/>
        </w:rPr>
        <w:t>）；</w:t>
      </w:r>
    </w:p>
    <w:p w14:paraId="4AA2686A">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（3）专业工程暂估价金额：</w:t>
      </w:r>
    </w:p>
    <w:p w14:paraId="3D9E06F1">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人民币（大写）</w:t>
      </w:r>
      <w:r>
        <w:rPr>
          <w:rFonts w:hint="eastAsia"/>
          <w:color w:val="auto"/>
          <w:spacing w:val="-7"/>
          <w:sz w:val="24"/>
          <w:szCs w:val="24"/>
          <w:highlight w:val="none"/>
          <w:u w:val="single"/>
          <w:lang w:val="en-US" w:eastAsia="zh-CN"/>
        </w:rPr>
        <w:t xml:space="preserve">              </w:t>
      </w:r>
      <w:r>
        <w:rPr>
          <w:rFonts w:hint="eastAsia"/>
          <w:color w:val="auto"/>
          <w:spacing w:val="-7"/>
          <w:sz w:val="24"/>
          <w:szCs w:val="24"/>
          <w:highlight w:val="none"/>
          <w:u w:val="single"/>
          <w:lang w:eastAsia="zh-CN"/>
        </w:rPr>
        <w:t>(</w:t>
      </w:r>
      <w:r>
        <w:rPr>
          <w:rFonts w:hint="eastAsia"/>
          <w:color w:val="auto"/>
          <w:spacing w:val="-7"/>
          <w:sz w:val="24"/>
          <w:szCs w:val="24"/>
          <w:highlight w:val="none"/>
          <w:lang w:eastAsia="zh-CN"/>
        </w:rPr>
        <w:t>¥</w:t>
      </w:r>
      <w:r>
        <w:rPr>
          <w:rFonts w:hint="eastAsia"/>
          <w:color w:val="auto"/>
          <w:spacing w:val="2"/>
          <w:sz w:val="24"/>
          <w:szCs w:val="24"/>
          <w:highlight w:val="none"/>
          <w:u w:val="single"/>
          <w:lang w:val="en-US" w:eastAsia="zh-CN"/>
        </w:rPr>
        <w:t xml:space="preserve">          </w:t>
      </w:r>
      <w:r>
        <w:rPr>
          <w:rFonts w:hint="eastAsia"/>
          <w:color w:val="auto"/>
          <w:spacing w:val="-7"/>
          <w:sz w:val="24"/>
          <w:szCs w:val="24"/>
          <w:highlight w:val="none"/>
          <w:lang w:eastAsia="zh-CN"/>
        </w:rPr>
        <w:t>元</w:t>
      </w:r>
      <w:r>
        <w:rPr>
          <w:rFonts w:hint="eastAsia"/>
          <w:color w:val="auto"/>
          <w:spacing w:val="-56"/>
          <w:w w:val="99"/>
          <w:sz w:val="24"/>
          <w:szCs w:val="24"/>
          <w:highlight w:val="none"/>
          <w:lang w:eastAsia="zh-CN"/>
        </w:rPr>
        <w:t>）；</w:t>
      </w:r>
    </w:p>
    <w:p w14:paraId="5C0D3E5F">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（4）暂列金额：</w:t>
      </w:r>
    </w:p>
    <w:p w14:paraId="3D90CAE9">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人民币（大写）</w:t>
      </w:r>
      <w:r>
        <w:rPr>
          <w:rFonts w:hint="eastAsia"/>
          <w:color w:val="auto"/>
          <w:sz w:val="24"/>
          <w:szCs w:val="24"/>
          <w:highlight w:val="none"/>
          <w:u w:val="single"/>
          <w:lang w:val="en-US" w:eastAsia="zh-CN"/>
        </w:rPr>
        <w:t xml:space="preserve">     </w:t>
      </w:r>
      <w:r>
        <w:rPr>
          <w:rFonts w:hint="eastAsia"/>
          <w:color w:val="auto"/>
          <w:spacing w:val="-6"/>
          <w:sz w:val="24"/>
          <w:szCs w:val="24"/>
          <w:highlight w:val="none"/>
          <w:lang w:eastAsia="zh-CN"/>
        </w:rPr>
        <w:t>(¥</w:t>
      </w:r>
      <w:r>
        <w:rPr>
          <w:rFonts w:hint="eastAsia"/>
          <w:color w:val="auto"/>
          <w:spacing w:val="-6"/>
          <w:sz w:val="24"/>
          <w:szCs w:val="24"/>
          <w:highlight w:val="none"/>
          <w:u w:val="single"/>
          <w:lang w:val="en-US" w:eastAsia="zh-CN"/>
        </w:rPr>
        <w:t xml:space="preserve">       </w:t>
      </w:r>
      <w:r>
        <w:rPr>
          <w:rFonts w:hint="eastAsia"/>
          <w:color w:val="auto"/>
          <w:spacing w:val="-7"/>
          <w:sz w:val="24"/>
          <w:szCs w:val="24"/>
          <w:highlight w:val="none"/>
          <w:lang w:eastAsia="zh-CN"/>
        </w:rPr>
        <w:t>元）。</w:t>
      </w:r>
    </w:p>
    <w:p w14:paraId="2E0130C2">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 xml:space="preserve">2.合同价格形式： </w:t>
      </w:r>
      <w:r>
        <w:rPr>
          <w:rFonts w:hint="eastAsia"/>
          <w:color w:val="auto"/>
          <w:spacing w:val="7"/>
          <w:sz w:val="24"/>
          <w:szCs w:val="24"/>
          <w:highlight w:val="none"/>
          <w:u w:val="single"/>
          <w:lang w:val="en-US" w:eastAsia="zh-CN"/>
        </w:rPr>
        <w:t xml:space="preserve">           </w:t>
      </w:r>
      <w:r>
        <w:rPr>
          <w:rFonts w:hint="eastAsia"/>
          <w:color w:val="auto"/>
          <w:spacing w:val="-7"/>
          <w:sz w:val="24"/>
          <w:szCs w:val="24"/>
          <w:highlight w:val="none"/>
          <w:lang w:eastAsia="zh-CN"/>
        </w:rPr>
        <w:t>。</w:t>
      </w:r>
    </w:p>
    <w:p w14:paraId="07819945">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五、项目经理</w:t>
      </w:r>
    </w:p>
    <w:p w14:paraId="5E8CBA3F">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承包人项目经理：</w:t>
      </w:r>
      <w:r>
        <w:rPr>
          <w:rFonts w:hint="eastAsia"/>
          <w:color w:val="auto"/>
          <w:sz w:val="24"/>
          <w:szCs w:val="24"/>
          <w:highlight w:val="none"/>
          <w:u w:val="single"/>
          <w:lang w:val="en-US" w:eastAsia="zh-CN"/>
        </w:rPr>
        <w:t xml:space="preserve">           </w:t>
      </w:r>
      <w:r>
        <w:rPr>
          <w:rFonts w:hint="eastAsia"/>
          <w:color w:val="auto"/>
          <w:spacing w:val="-1"/>
          <w:sz w:val="24"/>
          <w:szCs w:val="24"/>
          <w:highlight w:val="none"/>
          <w:lang w:eastAsia="zh-CN"/>
        </w:rPr>
        <w:t>。</w:t>
      </w:r>
    </w:p>
    <w:p w14:paraId="3CFF86FC">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六、合同文件构成</w:t>
      </w:r>
    </w:p>
    <w:p w14:paraId="09E35DCB">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本协议书与下列文件一起构成合同文件：</w:t>
      </w:r>
    </w:p>
    <w:p w14:paraId="274A423D">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（1）成交通知书（如有）；</w:t>
      </w:r>
    </w:p>
    <w:p w14:paraId="1DB98F10">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（2）投标函及其附录（如有）；</w:t>
      </w:r>
    </w:p>
    <w:p w14:paraId="08882A03">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（3）专用合同条款及其附件；</w:t>
      </w:r>
    </w:p>
    <w:p w14:paraId="11FFCB80">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（4）通用合同条款；</w:t>
      </w:r>
    </w:p>
    <w:p w14:paraId="2954A382">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（5）</w:t>
      </w:r>
      <w:r>
        <w:rPr>
          <w:rFonts w:hint="eastAsia"/>
          <w:color w:val="auto"/>
          <w:spacing w:val="2"/>
          <w:sz w:val="24"/>
          <w:szCs w:val="24"/>
          <w:highlight w:val="none"/>
          <w:u w:val="single"/>
          <w:lang w:eastAsia="zh-CN"/>
        </w:rPr>
        <w:t xml:space="preserve"> /；</w:t>
      </w:r>
    </w:p>
    <w:p w14:paraId="5EB0F60E">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（6）</w:t>
      </w:r>
      <w:r>
        <w:rPr>
          <w:rFonts w:hint="eastAsia"/>
          <w:color w:val="auto"/>
          <w:spacing w:val="2"/>
          <w:sz w:val="24"/>
          <w:szCs w:val="24"/>
          <w:highlight w:val="none"/>
          <w:u w:val="single"/>
          <w:lang w:eastAsia="zh-CN"/>
        </w:rPr>
        <w:t>/；</w:t>
      </w:r>
    </w:p>
    <w:p w14:paraId="6F669484">
      <w:pPr>
        <w:pStyle w:val="19"/>
        <w:spacing w:line="360" w:lineRule="auto"/>
        <w:ind w:firstLine="488" w:firstLineChars="200"/>
        <w:rPr>
          <w:color w:val="auto"/>
          <w:spacing w:val="2"/>
          <w:sz w:val="24"/>
          <w:szCs w:val="24"/>
          <w:highlight w:val="none"/>
          <w:u w:val="single"/>
          <w:lang w:eastAsia="zh-CN"/>
        </w:rPr>
      </w:pPr>
      <w:r>
        <w:rPr>
          <w:rFonts w:hint="eastAsia"/>
          <w:color w:val="auto"/>
          <w:spacing w:val="2"/>
          <w:sz w:val="24"/>
          <w:szCs w:val="24"/>
          <w:highlight w:val="none"/>
          <w:lang w:eastAsia="zh-CN"/>
        </w:rPr>
        <w:t>（7）</w:t>
      </w:r>
      <w:r>
        <w:rPr>
          <w:rFonts w:hint="eastAsia"/>
          <w:color w:val="auto"/>
          <w:spacing w:val="2"/>
          <w:sz w:val="24"/>
          <w:szCs w:val="24"/>
          <w:highlight w:val="none"/>
          <w:u w:val="single"/>
          <w:lang w:eastAsia="zh-CN"/>
        </w:rPr>
        <w:t>/   ；</w:t>
      </w:r>
    </w:p>
    <w:p w14:paraId="564A584C">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（8）</w:t>
      </w:r>
      <w:r>
        <w:rPr>
          <w:rFonts w:hint="eastAsia"/>
          <w:color w:val="auto"/>
          <w:spacing w:val="2"/>
          <w:sz w:val="24"/>
          <w:szCs w:val="24"/>
          <w:highlight w:val="none"/>
          <w:u w:val="single"/>
          <w:lang w:eastAsia="zh-CN"/>
        </w:rPr>
        <w:t>/ ；</w:t>
      </w:r>
    </w:p>
    <w:p w14:paraId="519C9842">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（9）其他合同文件：</w:t>
      </w:r>
    </w:p>
    <w:p w14:paraId="55B120A4">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1B2BCFE4">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七、承诺</w:t>
      </w:r>
    </w:p>
    <w:p w14:paraId="1FC2B480">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1.发包人承诺按照法律规定履行项目审批手续、筹集工程建设资金并按照合同约定的期限和方式支付合同价款。</w:t>
      </w:r>
    </w:p>
    <w:p w14:paraId="1E801D1E">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2.承包人承诺按照法律规定及合同约定组织完成工程施工，确保工程质量和安全，不进行转包及违法分包，并在缺陷责任期及保修期内承担相应的工程维修责任。</w:t>
      </w:r>
    </w:p>
    <w:p w14:paraId="559E052D">
      <w:pPr>
        <w:pStyle w:val="19"/>
        <w:spacing w:line="360" w:lineRule="auto"/>
        <w:ind w:firstLine="488" w:firstLineChars="200"/>
        <w:rPr>
          <w:color w:val="auto"/>
          <w:spacing w:val="2"/>
          <w:sz w:val="24"/>
          <w:szCs w:val="24"/>
          <w:highlight w:val="none"/>
          <w:lang w:eastAsia="zh-CN"/>
        </w:rPr>
      </w:pPr>
      <w:r>
        <w:rPr>
          <w:rFonts w:hint="eastAsia"/>
          <w:color w:val="auto"/>
          <w:spacing w:val="2"/>
          <w:sz w:val="24"/>
          <w:szCs w:val="24"/>
          <w:highlight w:val="none"/>
          <w:lang w:eastAsia="zh-CN"/>
        </w:rPr>
        <w:t>3.发包人和承包人通过招投标形式签订合同的， 双方理解并承诺不再就同一工程另行签订与合同实质性内容相背离的协议。</w:t>
      </w:r>
    </w:p>
    <w:p w14:paraId="3B86C17B">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八、词语含义</w:t>
      </w:r>
    </w:p>
    <w:p w14:paraId="1ACB31EE">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本协议书中词语含义与第二部分通用合同条款中赋予的含义相同。</w:t>
      </w:r>
    </w:p>
    <w:p w14:paraId="3397FDBB">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九、签订时间</w:t>
      </w:r>
    </w:p>
    <w:p w14:paraId="725879D4">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本合同于</w:t>
      </w:r>
      <w:r>
        <w:rPr>
          <w:rFonts w:hint="eastAsia"/>
          <w:color w:val="auto"/>
          <w:spacing w:val="14"/>
          <w:sz w:val="24"/>
          <w:szCs w:val="24"/>
          <w:highlight w:val="none"/>
          <w:u w:val="single"/>
          <w:lang w:eastAsia="zh-CN"/>
        </w:rPr>
        <w:t xml:space="preserve">  </w:t>
      </w:r>
      <w:r>
        <w:rPr>
          <w:rFonts w:hint="eastAsia"/>
          <w:color w:val="auto"/>
          <w:spacing w:val="14"/>
          <w:sz w:val="24"/>
          <w:szCs w:val="24"/>
          <w:highlight w:val="none"/>
          <w:u w:val="single"/>
          <w:lang w:val="en-US" w:eastAsia="zh-CN"/>
        </w:rPr>
        <w:t xml:space="preserve">   </w:t>
      </w:r>
      <w:r>
        <w:rPr>
          <w:rFonts w:hint="eastAsia"/>
          <w:color w:val="auto"/>
          <w:spacing w:val="14"/>
          <w:sz w:val="24"/>
          <w:szCs w:val="24"/>
          <w:highlight w:val="none"/>
          <w:u w:val="single"/>
          <w:lang w:eastAsia="zh-CN"/>
        </w:rPr>
        <w:t xml:space="preserve"> </w:t>
      </w:r>
      <w:r>
        <w:rPr>
          <w:rFonts w:hint="eastAsia"/>
          <w:color w:val="auto"/>
          <w:spacing w:val="-7"/>
          <w:sz w:val="24"/>
          <w:szCs w:val="24"/>
          <w:highlight w:val="none"/>
          <w:lang w:eastAsia="zh-CN"/>
        </w:rPr>
        <w:t xml:space="preserve">年 </w:t>
      </w:r>
      <w:r>
        <w:rPr>
          <w:rFonts w:hint="eastAsia"/>
          <w:color w:val="auto"/>
          <w:spacing w:val="-7"/>
          <w:sz w:val="24"/>
          <w:szCs w:val="24"/>
          <w:highlight w:val="none"/>
          <w:u w:val="single"/>
          <w:lang w:eastAsia="zh-CN"/>
        </w:rPr>
        <w:t xml:space="preserve">    </w:t>
      </w:r>
      <w:r>
        <w:rPr>
          <w:rFonts w:hint="eastAsia"/>
          <w:color w:val="auto"/>
          <w:spacing w:val="-7"/>
          <w:sz w:val="24"/>
          <w:szCs w:val="24"/>
          <w:highlight w:val="none"/>
          <w:lang w:eastAsia="zh-CN"/>
        </w:rPr>
        <w:t>月</w:t>
      </w:r>
      <w:r>
        <w:rPr>
          <w:rFonts w:hint="eastAsia"/>
          <w:color w:val="auto"/>
          <w:spacing w:val="-7"/>
          <w:sz w:val="24"/>
          <w:szCs w:val="24"/>
          <w:highlight w:val="none"/>
          <w:u w:val="single"/>
          <w:lang w:eastAsia="zh-CN"/>
        </w:rPr>
        <w:t xml:space="preserve">    </w:t>
      </w:r>
      <w:r>
        <w:rPr>
          <w:rFonts w:hint="eastAsia"/>
          <w:color w:val="auto"/>
          <w:spacing w:val="-7"/>
          <w:sz w:val="24"/>
          <w:szCs w:val="24"/>
          <w:highlight w:val="none"/>
          <w:lang w:eastAsia="zh-CN"/>
        </w:rPr>
        <w:t>日签订。</w:t>
      </w:r>
    </w:p>
    <w:p w14:paraId="71028ABC">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十、签订地点</w:t>
      </w:r>
    </w:p>
    <w:p w14:paraId="6918E5F1">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本合同在</w:t>
      </w:r>
      <w:r>
        <w:rPr>
          <w:rFonts w:hint="eastAsia"/>
          <w:color w:val="auto"/>
          <w:spacing w:val="3"/>
          <w:sz w:val="24"/>
          <w:szCs w:val="24"/>
          <w:highlight w:val="none"/>
          <w:u w:val="single"/>
          <w:lang w:eastAsia="zh-CN"/>
        </w:rPr>
        <w:t>北海市</w:t>
      </w:r>
      <w:r>
        <w:rPr>
          <w:rFonts w:hint="eastAsia"/>
          <w:color w:val="auto"/>
          <w:spacing w:val="-5"/>
          <w:sz w:val="24"/>
          <w:szCs w:val="24"/>
          <w:highlight w:val="none"/>
          <w:lang w:eastAsia="zh-CN"/>
        </w:rPr>
        <w:t>签订。</w:t>
      </w:r>
    </w:p>
    <w:p w14:paraId="748DC35E">
      <w:pPr>
        <w:pStyle w:val="19"/>
        <w:spacing w:line="360" w:lineRule="auto"/>
        <w:ind w:firstLine="476" w:firstLineChars="200"/>
        <w:outlineLvl w:val="0"/>
        <w:rPr>
          <w:color w:val="auto"/>
          <w:spacing w:val="-1"/>
          <w:sz w:val="24"/>
          <w:szCs w:val="24"/>
          <w:highlight w:val="none"/>
          <w:lang w:eastAsia="zh-CN"/>
        </w:rPr>
      </w:pPr>
      <w:r>
        <w:rPr>
          <w:rFonts w:hint="eastAsia"/>
          <w:color w:val="auto"/>
          <w:spacing w:val="-1"/>
          <w:sz w:val="24"/>
          <w:szCs w:val="24"/>
          <w:highlight w:val="none"/>
          <w:lang w:eastAsia="zh-CN"/>
        </w:rPr>
        <w:t>十一、补充协议</w:t>
      </w:r>
    </w:p>
    <w:p w14:paraId="3A272BA0">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合同未尽事宜，合同当事人另行签订补充协议，补充协议是合同的组成部分。</w:t>
      </w:r>
    </w:p>
    <w:p w14:paraId="785EDBB8">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十二、合同生效</w:t>
      </w:r>
    </w:p>
    <w:p w14:paraId="70F8E6A5">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本合同自</w:t>
      </w:r>
      <w:r>
        <w:rPr>
          <w:rFonts w:hint="eastAsia"/>
          <w:color w:val="auto"/>
          <w:sz w:val="24"/>
          <w:szCs w:val="24"/>
          <w:highlight w:val="none"/>
          <w:u w:val="single"/>
          <w:lang w:eastAsia="zh-CN"/>
        </w:rPr>
        <w:t xml:space="preserve">  签订之日起  </w:t>
      </w:r>
      <w:r>
        <w:rPr>
          <w:rFonts w:hint="eastAsia"/>
          <w:color w:val="auto"/>
          <w:spacing w:val="-5"/>
          <w:sz w:val="24"/>
          <w:szCs w:val="24"/>
          <w:highlight w:val="none"/>
          <w:lang w:eastAsia="zh-CN"/>
        </w:rPr>
        <w:t>生效。</w:t>
      </w:r>
    </w:p>
    <w:p w14:paraId="05DB2A91">
      <w:pPr>
        <w:pStyle w:val="19"/>
        <w:spacing w:line="360" w:lineRule="auto"/>
        <w:ind w:firstLine="476" w:firstLineChars="200"/>
        <w:outlineLvl w:val="0"/>
        <w:rPr>
          <w:color w:val="auto"/>
          <w:sz w:val="24"/>
          <w:szCs w:val="24"/>
          <w:highlight w:val="none"/>
          <w:lang w:eastAsia="zh-CN"/>
        </w:rPr>
      </w:pPr>
      <w:r>
        <w:rPr>
          <w:rFonts w:hint="eastAsia"/>
          <w:color w:val="auto"/>
          <w:spacing w:val="-1"/>
          <w:sz w:val="24"/>
          <w:szCs w:val="24"/>
          <w:highlight w:val="none"/>
          <w:lang w:eastAsia="zh-CN"/>
        </w:rPr>
        <w:t>十三、合同份数</w:t>
      </w:r>
    </w:p>
    <w:p w14:paraId="18EFAAE7">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本合同一式</w:t>
      </w:r>
      <w:r>
        <w:rPr>
          <w:rFonts w:hint="eastAsia"/>
          <w:color w:val="auto"/>
          <w:spacing w:val="-5"/>
          <w:sz w:val="24"/>
          <w:szCs w:val="24"/>
          <w:highlight w:val="none"/>
          <w:u w:val="single"/>
          <w:lang w:eastAsia="zh-CN"/>
        </w:rPr>
        <w:t xml:space="preserve">  陆  </w:t>
      </w:r>
      <w:r>
        <w:rPr>
          <w:rFonts w:hint="eastAsia"/>
          <w:color w:val="auto"/>
          <w:spacing w:val="-5"/>
          <w:sz w:val="24"/>
          <w:szCs w:val="24"/>
          <w:highlight w:val="none"/>
          <w:lang w:eastAsia="zh-CN"/>
        </w:rPr>
        <w:t>份，均具有同等法律效力，</w:t>
      </w:r>
      <w:r>
        <w:rPr>
          <w:rFonts w:hint="eastAsia"/>
          <w:color w:val="auto"/>
          <w:spacing w:val="-6"/>
          <w:sz w:val="24"/>
          <w:szCs w:val="24"/>
          <w:highlight w:val="none"/>
          <w:lang w:eastAsia="zh-CN"/>
        </w:rPr>
        <w:t>发包人执</w:t>
      </w:r>
      <w:r>
        <w:rPr>
          <w:rFonts w:hint="eastAsia"/>
          <w:color w:val="auto"/>
          <w:sz w:val="24"/>
          <w:szCs w:val="24"/>
          <w:highlight w:val="none"/>
          <w:u w:val="single"/>
          <w:lang w:eastAsia="zh-CN"/>
        </w:rPr>
        <w:t xml:space="preserve">  叁  </w:t>
      </w:r>
      <w:r>
        <w:rPr>
          <w:rFonts w:hint="eastAsia"/>
          <w:color w:val="auto"/>
          <w:spacing w:val="-6"/>
          <w:sz w:val="24"/>
          <w:szCs w:val="24"/>
          <w:highlight w:val="none"/>
          <w:lang w:eastAsia="zh-CN"/>
        </w:rPr>
        <w:t>份，承包人执</w:t>
      </w:r>
      <w:r>
        <w:rPr>
          <w:rFonts w:hint="eastAsia"/>
          <w:color w:val="auto"/>
          <w:spacing w:val="-6"/>
          <w:sz w:val="24"/>
          <w:szCs w:val="24"/>
          <w:highlight w:val="none"/>
          <w:u w:val="single"/>
          <w:lang w:eastAsia="zh-CN"/>
        </w:rPr>
        <w:t xml:space="preserve">   叁  </w:t>
      </w:r>
      <w:r>
        <w:rPr>
          <w:rFonts w:hint="eastAsia"/>
          <w:color w:val="auto"/>
          <w:spacing w:val="-6"/>
          <w:sz w:val="24"/>
          <w:szCs w:val="24"/>
          <w:highlight w:val="none"/>
          <w:lang w:eastAsia="zh-CN"/>
        </w:rPr>
        <w:t>份。</w:t>
      </w:r>
    </w:p>
    <w:p w14:paraId="33FCCACB">
      <w:pPr>
        <w:spacing w:line="360" w:lineRule="auto"/>
        <w:ind w:firstLine="480" w:firstLineChars="200"/>
        <w:rPr>
          <w:rFonts w:ascii="宋体" w:hAnsi="宋体" w:eastAsia="宋体" w:cs="宋体"/>
          <w:color w:val="auto"/>
          <w:sz w:val="24"/>
          <w:szCs w:val="24"/>
          <w:highlight w:val="none"/>
          <w:lang w:eastAsia="zh-CN"/>
        </w:rPr>
      </w:pPr>
    </w:p>
    <w:p w14:paraId="41DAE305">
      <w:pPr>
        <w:pStyle w:val="19"/>
        <w:spacing w:line="360" w:lineRule="auto"/>
        <w:rPr>
          <w:color w:val="auto"/>
          <w:sz w:val="24"/>
          <w:szCs w:val="24"/>
          <w:highlight w:val="none"/>
          <w:lang w:eastAsia="zh-CN"/>
        </w:rPr>
      </w:pPr>
      <w:r>
        <w:rPr>
          <w:rFonts w:hint="eastAsia"/>
          <w:color w:val="auto"/>
          <w:spacing w:val="-1"/>
          <w:sz w:val="24"/>
          <w:szCs w:val="24"/>
          <w:highlight w:val="none"/>
          <w:lang w:eastAsia="zh-CN"/>
        </w:rPr>
        <w:t>发包人</w:t>
      </w:r>
      <w:r>
        <w:rPr>
          <w:rFonts w:hint="eastAsia"/>
          <w:color w:val="auto"/>
          <w:spacing w:val="-11"/>
          <w:sz w:val="24"/>
          <w:szCs w:val="24"/>
          <w:highlight w:val="none"/>
          <w:lang w:eastAsia="zh-CN"/>
        </w:rPr>
        <w:t>：（</w:t>
      </w:r>
      <w:r>
        <w:rPr>
          <w:rFonts w:hint="eastAsia"/>
          <w:color w:val="auto"/>
          <w:spacing w:val="-1"/>
          <w:sz w:val="24"/>
          <w:szCs w:val="24"/>
          <w:highlight w:val="none"/>
          <w:lang w:eastAsia="zh-CN"/>
        </w:rPr>
        <w:t>公章）北海市海城区教育局     承包人</w:t>
      </w:r>
      <w:r>
        <w:rPr>
          <w:rFonts w:hint="eastAsia"/>
          <w:color w:val="auto"/>
          <w:spacing w:val="-11"/>
          <w:sz w:val="24"/>
          <w:szCs w:val="24"/>
          <w:highlight w:val="none"/>
          <w:lang w:eastAsia="zh-CN"/>
        </w:rPr>
        <w:t>：（</w:t>
      </w:r>
      <w:r>
        <w:rPr>
          <w:rFonts w:hint="eastAsia"/>
          <w:color w:val="auto"/>
          <w:spacing w:val="-1"/>
          <w:sz w:val="24"/>
          <w:szCs w:val="24"/>
          <w:highlight w:val="none"/>
          <w:lang w:eastAsia="zh-CN"/>
        </w:rPr>
        <w:t xml:space="preserve">公章）         </w:t>
      </w:r>
    </w:p>
    <w:p w14:paraId="0400D096">
      <w:pPr>
        <w:spacing w:line="360" w:lineRule="auto"/>
        <w:ind w:firstLine="480" w:firstLineChars="200"/>
        <w:rPr>
          <w:rFonts w:ascii="宋体" w:hAnsi="宋体" w:eastAsia="宋体" w:cs="宋体"/>
          <w:color w:val="auto"/>
          <w:sz w:val="24"/>
          <w:szCs w:val="24"/>
          <w:highlight w:val="none"/>
          <w:lang w:eastAsia="zh-CN"/>
        </w:rPr>
        <w:sectPr>
          <w:footerReference r:id="rId7" w:type="default"/>
          <w:pgSz w:w="11907" w:h="16841"/>
          <w:pgMar w:top="1427" w:right="1435" w:bottom="1272" w:left="1785" w:header="0" w:footer="1108" w:gutter="0"/>
          <w:pgBorders>
            <w:top w:val="none" w:sz="0" w:space="0"/>
            <w:left w:val="none" w:sz="0" w:space="0"/>
            <w:bottom w:val="none" w:sz="0" w:space="0"/>
            <w:right w:val="none" w:sz="0" w:space="0"/>
          </w:pgBorders>
          <w:pgNumType w:fmt="decimal"/>
          <w:cols w:equalWidth="0" w:num="1">
            <w:col w:w="8685"/>
          </w:cols>
        </w:sectPr>
      </w:pPr>
    </w:p>
    <w:p w14:paraId="53BA001D">
      <w:pPr>
        <w:pStyle w:val="19"/>
        <w:spacing w:line="360" w:lineRule="auto"/>
        <w:rPr>
          <w:color w:val="auto"/>
          <w:spacing w:val="-3"/>
          <w:position w:val="14"/>
          <w:sz w:val="24"/>
          <w:szCs w:val="24"/>
          <w:highlight w:val="none"/>
          <w:lang w:eastAsia="zh-CN"/>
        </w:rPr>
      </w:pPr>
      <w:r>
        <w:rPr>
          <w:rFonts w:hint="eastAsia"/>
          <w:color w:val="auto"/>
          <w:spacing w:val="-3"/>
          <w:position w:val="14"/>
          <w:sz w:val="24"/>
          <w:szCs w:val="24"/>
          <w:highlight w:val="none"/>
          <w:lang w:eastAsia="zh-CN"/>
        </w:rPr>
        <w:t>法定代表人或其委托代理人：              法定代表人或其委托代理人：</w:t>
      </w:r>
    </w:p>
    <w:p w14:paraId="21AF01A9">
      <w:pPr>
        <w:pStyle w:val="19"/>
        <w:spacing w:line="360" w:lineRule="auto"/>
        <w:rPr>
          <w:color w:val="auto"/>
          <w:sz w:val="24"/>
          <w:szCs w:val="24"/>
          <w:highlight w:val="none"/>
          <w:lang w:eastAsia="zh-CN"/>
        </w:rPr>
      </w:pPr>
    </w:p>
    <w:p w14:paraId="3AD8E52A">
      <w:pPr>
        <w:spacing w:line="360" w:lineRule="auto"/>
        <w:rPr>
          <w:rFonts w:ascii="宋体" w:hAnsi="宋体" w:eastAsia="宋体" w:cs="宋体"/>
          <w:color w:val="auto"/>
          <w:sz w:val="24"/>
          <w:szCs w:val="24"/>
          <w:highlight w:val="none"/>
          <w:lang w:eastAsia="zh-CN"/>
        </w:rPr>
        <w:sectPr>
          <w:type w:val="continuous"/>
          <w:pgSz w:w="11907" w:h="16841"/>
          <w:pgMar w:top="1427" w:right="1435" w:bottom="1272" w:left="1785" w:header="0" w:footer="1108" w:gutter="0"/>
          <w:pgBorders>
            <w:top w:val="none" w:sz="0" w:space="0"/>
            <w:left w:val="none" w:sz="0" w:space="0"/>
            <w:bottom w:val="none" w:sz="0" w:space="0"/>
            <w:right w:val="none" w:sz="0" w:space="0"/>
          </w:pgBorders>
          <w:pgNumType w:fmt="decimal"/>
          <w:cols w:equalWidth="0" w:num="1">
            <w:col w:w="8685"/>
          </w:cols>
        </w:sectPr>
      </w:pPr>
    </w:p>
    <w:p w14:paraId="7D35FDDA">
      <w:pPr>
        <w:pStyle w:val="19"/>
        <w:spacing w:line="360" w:lineRule="auto"/>
        <w:rPr>
          <w:color w:val="auto"/>
          <w:spacing w:val="-1"/>
          <w:sz w:val="24"/>
          <w:szCs w:val="24"/>
          <w:highlight w:val="none"/>
          <w:lang w:eastAsia="zh-CN"/>
        </w:rPr>
      </w:pPr>
      <w:r>
        <w:rPr>
          <w:rFonts w:hint="eastAsia"/>
          <w:color w:val="auto"/>
          <w:spacing w:val="-1"/>
          <w:sz w:val="24"/>
          <w:szCs w:val="24"/>
          <w:highlight w:val="none"/>
          <w:lang w:eastAsia="zh-CN"/>
        </w:rPr>
        <w:t>统一社会信用代码：</w:t>
      </w:r>
      <w:r>
        <w:rPr>
          <w:rFonts w:hint="eastAsia"/>
          <w:color w:val="auto"/>
          <w:spacing w:val="-1"/>
          <w:sz w:val="24"/>
          <w:szCs w:val="24"/>
          <w:highlight w:val="none"/>
          <w:u w:val="single"/>
          <w:lang w:eastAsia="zh-CN"/>
        </w:rPr>
        <w:t>114505020076911150</w:t>
      </w:r>
    </w:p>
    <w:p w14:paraId="10DA9E1F">
      <w:pPr>
        <w:pStyle w:val="19"/>
        <w:spacing w:line="360" w:lineRule="auto"/>
        <w:rPr>
          <w:color w:val="auto"/>
          <w:sz w:val="24"/>
          <w:szCs w:val="24"/>
          <w:highlight w:val="none"/>
          <w:lang w:eastAsia="zh-CN"/>
        </w:rPr>
      </w:pPr>
      <w:r>
        <w:rPr>
          <w:rFonts w:hint="eastAsia"/>
          <w:color w:val="auto"/>
          <w:spacing w:val="-1"/>
          <w:sz w:val="24"/>
          <w:szCs w:val="24"/>
          <w:highlight w:val="none"/>
          <w:lang w:eastAsia="zh-CN"/>
        </w:rPr>
        <w:t>地址：</w:t>
      </w:r>
      <w:r>
        <w:rPr>
          <w:rFonts w:hint="eastAsia"/>
          <w:color w:val="auto"/>
          <w:sz w:val="24"/>
          <w:szCs w:val="24"/>
          <w:highlight w:val="none"/>
          <w:u w:val="single"/>
          <w:lang w:eastAsia="zh-CN"/>
        </w:rPr>
        <w:t>北海市海城区贵州路52号</w:t>
      </w:r>
    </w:p>
    <w:p w14:paraId="1C127A4D">
      <w:pPr>
        <w:pStyle w:val="19"/>
        <w:spacing w:line="360" w:lineRule="auto"/>
        <w:rPr>
          <w:color w:val="auto"/>
          <w:sz w:val="24"/>
          <w:szCs w:val="24"/>
          <w:highlight w:val="none"/>
          <w:lang w:eastAsia="zh-CN"/>
        </w:rPr>
      </w:pPr>
      <w:r>
        <w:rPr>
          <w:rFonts w:hint="eastAsia"/>
          <w:color w:val="auto"/>
          <w:spacing w:val="-20"/>
          <w:sz w:val="24"/>
          <w:szCs w:val="24"/>
          <w:highlight w:val="none"/>
          <w:lang w:eastAsia="zh-CN"/>
        </w:rPr>
        <w:t>邮政编码：</w:t>
      </w:r>
      <w:r>
        <w:rPr>
          <w:rFonts w:hint="eastAsia"/>
          <w:color w:val="auto"/>
          <w:sz w:val="24"/>
          <w:szCs w:val="24"/>
          <w:highlight w:val="none"/>
          <w:u w:val="single"/>
          <w:lang w:eastAsia="zh-CN"/>
        </w:rPr>
        <w:t>536000</w:t>
      </w:r>
    </w:p>
    <w:p w14:paraId="499DDF08">
      <w:pPr>
        <w:pStyle w:val="19"/>
        <w:spacing w:line="360" w:lineRule="auto"/>
        <w:rPr>
          <w:color w:val="auto"/>
          <w:sz w:val="24"/>
          <w:szCs w:val="24"/>
          <w:highlight w:val="none"/>
          <w:lang w:eastAsia="zh-CN"/>
        </w:rPr>
      </w:pPr>
      <w:r>
        <w:rPr>
          <w:rFonts w:hint="eastAsia"/>
          <w:color w:val="auto"/>
          <w:spacing w:val="-2"/>
          <w:sz w:val="24"/>
          <w:szCs w:val="24"/>
          <w:highlight w:val="none"/>
          <w:lang w:eastAsia="zh-CN"/>
        </w:rPr>
        <w:t>法定代表人：</w:t>
      </w:r>
      <w:r>
        <w:rPr>
          <w:rFonts w:hint="eastAsia"/>
          <w:color w:val="auto"/>
          <w:sz w:val="24"/>
          <w:szCs w:val="24"/>
          <w:highlight w:val="none"/>
          <w:u w:val="single"/>
          <w:lang w:eastAsia="zh-CN"/>
        </w:rPr>
        <w:tab/>
      </w:r>
      <w:r>
        <w:rPr>
          <w:rFonts w:hint="eastAsia"/>
          <w:color w:val="auto"/>
          <w:sz w:val="24"/>
          <w:szCs w:val="24"/>
          <w:highlight w:val="none"/>
          <w:u w:val="single"/>
          <w:lang w:eastAsia="zh-CN"/>
        </w:rPr>
        <w:tab/>
      </w:r>
    </w:p>
    <w:p w14:paraId="0F1760D2">
      <w:pPr>
        <w:pStyle w:val="19"/>
        <w:spacing w:line="360" w:lineRule="auto"/>
        <w:rPr>
          <w:color w:val="auto"/>
          <w:sz w:val="24"/>
          <w:szCs w:val="24"/>
          <w:highlight w:val="none"/>
          <w:lang w:eastAsia="zh-CN"/>
        </w:rPr>
      </w:pPr>
      <w:r>
        <w:rPr>
          <w:rFonts w:hint="eastAsia"/>
          <w:color w:val="auto"/>
          <w:spacing w:val="-1"/>
          <w:sz w:val="24"/>
          <w:szCs w:val="24"/>
          <w:highlight w:val="none"/>
          <w:lang w:eastAsia="zh-CN"/>
        </w:rPr>
        <w:t>委托代理人：</w:t>
      </w:r>
      <w:r>
        <w:rPr>
          <w:rFonts w:hint="eastAsia"/>
          <w:color w:val="auto"/>
          <w:sz w:val="24"/>
          <w:szCs w:val="24"/>
          <w:highlight w:val="none"/>
          <w:u w:val="single"/>
          <w:lang w:eastAsia="zh-CN"/>
        </w:rPr>
        <w:tab/>
      </w:r>
      <w:r>
        <w:rPr>
          <w:rFonts w:hint="eastAsia"/>
          <w:color w:val="auto"/>
          <w:sz w:val="24"/>
          <w:szCs w:val="24"/>
          <w:highlight w:val="none"/>
          <w:u w:val="single"/>
          <w:lang w:eastAsia="zh-CN"/>
        </w:rPr>
        <w:tab/>
      </w:r>
    </w:p>
    <w:p w14:paraId="5C77C251">
      <w:pPr>
        <w:pStyle w:val="19"/>
        <w:spacing w:line="360" w:lineRule="auto"/>
        <w:rPr>
          <w:color w:val="auto"/>
          <w:sz w:val="24"/>
          <w:szCs w:val="24"/>
          <w:highlight w:val="none"/>
          <w:lang w:eastAsia="zh-CN"/>
        </w:rPr>
      </w:pPr>
      <w:r>
        <w:rPr>
          <w:rFonts w:hint="eastAsia"/>
          <w:color w:val="auto"/>
          <w:spacing w:val="-22"/>
          <w:sz w:val="24"/>
          <w:szCs w:val="24"/>
          <w:highlight w:val="none"/>
          <w:lang w:eastAsia="zh-CN"/>
        </w:rPr>
        <w:t>电话：</w:t>
      </w:r>
      <w:r>
        <w:rPr>
          <w:rFonts w:hint="eastAsia"/>
          <w:color w:val="auto"/>
          <w:sz w:val="24"/>
          <w:szCs w:val="24"/>
          <w:highlight w:val="none"/>
          <w:u w:val="single"/>
          <w:lang w:eastAsia="zh-CN"/>
        </w:rPr>
        <w:t>0779-2039586</w:t>
      </w:r>
    </w:p>
    <w:p w14:paraId="70546AE1">
      <w:pPr>
        <w:pStyle w:val="19"/>
        <w:spacing w:line="360" w:lineRule="auto"/>
        <w:rPr>
          <w:color w:val="auto"/>
          <w:spacing w:val="-22"/>
          <w:sz w:val="24"/>
          <w:szCs w:val="24"/>
          <w:highlight w:val="none"/>
          <w:lang w:eastAsia="zh-CN"/>
        </w:rPr>
      </w:pPr>
      <w:r>
        <w:rPr>
          <w:rFonts w:hint="eastAsia"/>
          <w:color w:val="auto"/>
          <w:spacing w:val="-22"/>
          <w:sz w:val="24"/>
          <w:szCs w:val="24"/>
          <w:highlight w:val="none"/>
          <w:lang w:eastAsia="zh-CN"/>
        </w:rPr>
        <w:t>传真：</w:t>
      </w:r>
    </w:p>
    <w:p w14:paraId="0B1D318B">
      <w:pPr>
        <w:pStyle w:val="19"/>
        <w:spacing w:line="360" w:lineRule="auto"/>
        <w:rPr>
          <w:color w:val="auto"/>
          <w:sz w:val="24"/>
          <w:szCs w:val="24"/>
          <w:highlight w:val="none"/>
          <w:lang w:eastAsia="zh-CN"/>
        </w:rPr>
      </w:pPr>
      <w:r>
        <w:rPr>
          <w:rFonts w:hint="eastAsia"/>
          <w:color w:val="auto"/>
          <w:spacing w:val="-22"/>
          <w:sz w:val="24"/>
          <w:szCs w:val="24"/>
          <w:highlight w:val="none"/>
          <w:lang w:eastAsia="zh-CN"/>
        </w:rPr>
        <w:t>电子信箱：</w:t>
      </w:r>
    </w:p>
    <w:p w14:paraId="099B91C9">
      <w:pPr>
        <w:pStyle w:val="19"/>
        <w:spacing w:line="360" w:lineRule="auto"/>
        <w:rPr>
          <w:color w:val="auto"/>
          <w:sz w:val="24"/>
          <w:szCs w:val="24"/>
          <w:highlight w:val="none"/>
          <w:lang w:eastAsia="zh-CN"/>
        </w:rPr>
      </w:pPr>
      <w:r>
        <w:rPr>
          <w:rFonts w:hint="eastAsia"/>
          <w:color w:val="auto"/>
          <w:spacing w:val="-17"/>
          <w:sz w:val="24"/>
          <w:szCs w:val="24"/>
          <w:highlight w:val="none"/>
          <w:lang w:eastAsia="zh-CN"/>
        </w:rPr>
        <w:t>开户银行：</w:t>
      </w:r>
      <w:r>
        <w:rPr>
          <w:rFonts w:hint="eastAsia"/>
          <w:color w:val="auto"/>
          <w:sz w:val="24"/>
          <w:szCs w:val="24"/>
          <w:highlight w:val="none"/>
          <w:u w:val="single"/>
          <w:lang w:eastAsia="zh-CN"/>
        </w:rPr>
        <w:t xml:space="preserve"> 建行北海解放路支行      </w:t>
      </w:r>
    </w:p>
    <w:p w14:paraId="5FE70EB3">
      <w:pPr>
        <w:pStyle w:val="19"/>
        <w:spacing w:line="360" w:lineRule="auto"/>
        <w:rPr>
          <w:color w:val="auto"/>
          <w:sz w:val="24"/>
          <w:szCs w:val="24"/>
          <w:highlight w:val="none"/>
          <w:lang w:eastAsia="zh-CN"/>
        </w:rPr>
      </w:pPr>
      <w:r>
        <w:rPr>
          <w:rFonts w:hint="eastAsia"/>
          <w:color w:val="auto"/>
          <w:spacing w:val="-32"/>
          <w:sz w:val="24"/>
          <w:szCs w:val="24"/>
          <w:highlight w:val="none"/>
          <w:lang w:eastAsia="zh-CN"/>
        </w:rPr>
        <w:t>账号：</w:t>
      </w:r>
      <w:r>
        <w:rPr>
          <w:rFonts w:hint="eastAsia"/>
          <w:color w:val="auto"/>
          <w:sz w:val="24"/>
          <w:szCs w:val="24"/>
          <w:highlight w:val="none"/>
          <w:u w:val="single"/>
          <w:lang w:eastAsia="zh-CN"/>
        </w:rPr>
        <w:t>45001655111050501814</w:t>
      </w:r>
    </w:p>
    <w:p w14:paraId="29EAD09F">
      <w:pPr>
        <w:spacing w:line="360" w:lineRule="auto"/>
        <w:rPr>
          <w:rFonts w:hint="default"/>
          <w:color w:val="auto"/>
          <w:sz w:val="24"/>
          <w:szCs w:val="24"/>
          <w:highlight w:val="none"/>
          <w:u w:val="single"/>
          <w:lang w:val="en-US" w:eastAsia="zh-CN"/>
        </w:rPr>
      </w:pPr>
      <w:r>
        <w:rPr>
          <w:rFonts w:hint="eastAsia" w:ascii="宋体" w:hAnsi="宋体" w:eastAsia="宋体" w:cs="宋体"/>
          <w:color w:val="auto"/>
          <w:sz w:val="24"/>
          <w:szCs w:val="24"/>
          <w:highlight w:val="none"/>
          <w:lang w:eastAsia="zh-CN"/>
        </w:rPr>
        <w:br w:type="column"/>
      </w:r>
      <w:r>
        <w:rPr>
          <w:rFonts w:hint="eastAsia"/>
          <w:color w:val="auto"/>
          <w:sz w:val="24"/>
          <w:szCs w:val="24"/>
          <w:highlight w:val="none"/>
          <w:lang w:eastAsia="zh-CN"/>
        </w:rPr>
        <w:t>统一社会信用代码：</w:t>
      </w:r>
      <w:r>
        <w:rPr>
          <w:rFonts w:hint="eastAsia"/>
          <w:color w:val="auto"/>
          <w:sz w:val="24"/>
          <w:szCs w:val="24"/>
          <w:highlight w:val="none"/>
          <w:u w:val="single"/>
          <w:lang w:val="en-US" w:eastAsia="zh-CN"/>
        </w:rPr>
        <w:t xml:space="preserve">                              </w:t>
      </w:r>
    </w:p>
    <w:p w14:paraId="17A56CA1">
      <w:pPr>
        <w:pStyle w:val="19"/>
        <w:tabs>
          <w:tab w:val="left" w:pos="3667"/>
          <w:tab w:val="left" w:pos="3730"/>
        </w:tabs>
        <w:spacing w:line="360" w:lineRule="auto"/>
        <w:rPr>
          <w:rFonts w:hint="eastAsia"/>
          <w:color w:val="auto"/>
          <w:sz w:val="24"/>
          <w:szCs w:val="24"/>
          <w:highlight w:val="none"/>
          <w:lang w:eastAsia="zh-CN"/>
        </w:rPr>
      </w:pPr>
      <w:r>
        <w:rPr>
          <w:rFonts w:hint="eastAsia"/>
          <w:color w:val="auto"/>
          <w:sz w:val="24"/>
          <w:szCs w:val="24"/>
          <w:highlight w:val="none"/>
          <w:lang w:eastAsia="zh-CN"/>
        </w:rPr>
        <w:t>地址：</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 xml:space="preserve"> </w:t>
      </w:r>
    </w:p>
    <w:p w14:paraId="0E6EEB5B">
      <w:pPr>
        <w:pStyle w:val="19"/>
        <w:tabs>
          <w:tab w:val="left" w:pos="3667"/>
          <w:tab w:val="left" w:pos="3730"/>
        </w:tabs>
        <w:spacing w:line="360" w:lineRule="auto"/>
        <w:rPr>
          <w:color w:val="auto"/>
          <w:sz w:val="24"/>
          <w:szCs w:val="24"/>
          <w:highlight w:val="none"/>
          <w:lang w:eastAsia="zh-CN"/>
        </w:rPr>
      </w:pPr>
      <w:r>
        <w:rPr>
          <w:rFonts w:hint="eastAsia"/>
          <w:color w:val="auto"/>
          <w:sz w:val="24"/>
          <w:szCs w:val="24"/>
          <w:highlight w:val="none"/>
          <w:lang w:eastAsia="zh-CN"/>
        </w:rPr>
        <w:t>邮政编码：</w:t>
      </w:r>
      <w:r>
        <w:rPr>
          <w:rFonts w:hint="eastAsia"/>
          <w:color w:val="auto"/>
          <w:sz w:val="24"/>
          <w:szCs w:val="24"/>
          <w:highlight w:val="none"/>
          <w:u w:val="single"/>
          <w:lang w:eastAsia="zh-CN"/>
        </w:rPr>
        <w:tab/>
      </w:r>
      <w:r>
        <w:rPr>
          <w:rFonts w:hint="eastAsia"/>
          <w:color w:val="auto"/>
          <w:sz w:val="24"/>
          <w:szCs w:val="24"/>
          <w:highlight w:val="none"/>
          <w:u w:val="single"/>
          <w:lang w:eastAsia="zh-CN"/>
        </w:rPr>
        <w:tab/>
      </w:r>
      <w:r>
        <w:rPr>
          <w:rFonts w:hint="eastAsia"/>
          <w:color w:val="auto"/>
          <w:sz w:val="24"/>
          <w:szCs w:val="24"/>
          <w:highlight w:val="none"/>
          <w:lang w:eastAsia="zh-CN"/>
        </w:rPr>
        <w:t xml:space="preserve"> 法定代表人：</w:t>
      </w:r>
      <w:r>
        <w:rPr>
          <w:rFonts w:hint="eastAsia"/>
          <w:color w:val="auto"/>
          <w:sz w:val="24"/>
          <w:szCs w:val="24"/>
          <w:highlight w:val="none"/>
          <w:u w:val="single"/>
          <w:lang w:eastAsia="zh-CN"/>
        </w:rPr>
        <w:tab/>
      </w:r>
      <w:r>
        <w:rPr>
          <w:rFonts w:hint="eastAsia"/>
          <w:color w:val="auto"/>
          <w:sz w:val="24"/>
          <w:szCs w:val="24"/>
          <w:highlight w:val="none"/>
          <w:u w:val="single"/>
          <w:lang w:eastAsia="zh-CN"/>
        </w:rPr>
        <w:tab/>
      </w:r>
      <w:r>
        <w:rPr>
          <w:rFonts w:hint="eastAsia"/>
          <w:color w:val="auto"/>
          <w:sz w:val="24"/>
          <w:szCs w:val="24"/>
          <w:highlight w:val="none"/>
          <w:lang w:eastAsia="zh-CN"/>
        </w:rPr>
        <w:t xml:space="preserve"> 委托代理人：</w:t>
      </w:r>
    </w:p>
    <w:p w14:paraId="70BED379">
      <w:pPr>
        <w:pStyle w:val="19"/>
        <w:tabs>
          <w:tab w:val="left" w:pos="3667"/>
          <w:tab w:val="left" w:pos="3730"/>
        </w:tabs>
        <w:spacing w:line="360" w:lineRule="auto"/>
        <w:rPr>
          <w:rFonts w:hint="default"/>
          <w:color w:val="auto"/>
          <w:sz w:val="24"/>
          <w:szCs w:val="24"/>
          <w:highlight w:val="none"/>
          <w:u w:val="single"/>
          <w:lang w:val="en-US" w:eastAsia="zh-CN"/>
        </w:rPr>
      </w:pPr>
      <w:r>
        <w:rPr>
          <w:rFonts w:hint="eastAsia"/>
          <w:color w:val="auto"/>
          <w:sz w:val="24"/>
          <w:szCs w:val="24"/>
          <w:highlight w:val="none"/>
          <w:lang w:eastAsia="zh-CN"/>
        </w:rPr>
        <w:t>电话：</w:t>
      </w:r>
      <w:r>
        <w:rPr>
          <w:rFonts w:hint="eastAsia"/>
          <w:color w:val="auto"/>
          <w:sz w:val="24"/>
          <w:szCs w:val="24"/>
          <w:highlight w:val="none"/>
          <w:u w:val="single"/>
          <w:lang w:val="en-US" w:eastAsia="zh-CN"/>
        </w:rPr>
        <w:t xml:space="preserve">               </w:t>
      </w:r>
    </w:p>
    <w:p w14:paraId="3F37020C">
      <w:pPr>
        <w:pStyle w:val="19"/>
        <w:tabs>
          <w:tab w:val="left" w:pos="3667"/>
          <w:tab w:val="left" w:pos="3730"/>
        </w:tabs>
        <w:spacing w:line="360" w:lineRule="auto"/>
        <w:rPr>
          <w:rFonts w:hint="eastAsia"/>
          <w:color w:val="auto"/>
          <w:sz w:val="24"/>
          <w:szCs w:val="24"/>
          <w:highlight w:val="none"/>
          <w:lang w:eastAsia="zh-CN"/>
        </w:rPr>
      </w:pPr>
      <w:r>
        <w:rPr>
          <w:rFonts w:hint="eastAsia"/>
          <w:color w:val="auto"/>
          <w:spacing w:val="-22"/>
          <w:sz w:val="24"/>
          <w:szCs w:val="24"/>
          <w:highlight w:val="none"/>
          <w:lang w:eastAsia="zh-CN"/>
        </w:rPr>
        <w:t>传真</w:t>
      </w:r>
      <w:r>
        <w:rPr>
          <w:rFonts w:hint="eastAsia"/>
          <w:color w:val="auto"/>
          <w:w w:val="99"/>
          <w:sz w:val="24"/>
          <w:szCs w:val="24"/>
          <w:highlight w:val="none"/>
          <w:lang w:eastAsia="zh-CN"/>
        </w:rPr>
        <w:t>：</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 xml:space="preserve"> </w:t>
      </w:r>
    </w:p>
    <w:p w14:paraId="4FE06569">
      <w:pPr>
        <w:pStyle w:val="19"/>
        <w:tabs>
          <w:tab w:val="left" w:pos="3667"/>
          <w:tab w:val="left" w:pos="3730"/>
        </w:tabs>
        <w:spacing w:line="360" w:lineRule="auto"/>
        <w:rPr>
          <w:color w:val="auto"/>
          <w:sz w:val="24"/>
          <w:szCs w:val="24"/>
          <w:highlight w:val="none"/>
          <w:lang w:eastAsia="zh-CN"/>
        </w:rPr>
      </w:pPr>
      <w:r>
        <w:rPr>
          <w:rFonts w:hint="eastAsia"/>
          <w:color w:val="auto"/>
          <w:sz w:val="24"/>
          <w:szCs w:val="24"/>
          <w:highlight w:val="none"/>
          <w:lang w:eastAsia="zh-CN"/>
        </w:rPr>
        <w:t>电子信箱：</w:t>
      </w:r>
      <w:r>
        <w:rPr>
          <w:rFonts w:hint="eastAsia"/>
          <w:color w:val="auto"/>
          <w:sz w:val="24"/>
          <w:szCs w:val="24"/>
          <w:highlight w:val="none"/>
          <w:u w:val="single"/>
          <w:lang w:eastAsia="zh-CN"/>
        </w:rPr>
        <w:tab/>
      </w:r>
      <w:r>
        <w:rPr>
          <w:rFonts w:hint="eastAsia"/>
          <w:color w:val="auto"/>
          <w:sz w:val="24"/>
          <w:szCs w:val="24"/>
          <w:highlight w:val="none"/>
          <w:lang w:eastAsia="zh-CN"/>
        </w:rPr>
        <w:t xml:space="preserve"> 开户银行：</w:t>
      </w:r>
      <w:r>
        <w:rPr>
          <w:rFonts w:hint="eastAsia"/>
          <w:color w:val="auto"/>
          <w:sz w:val="24"/>
          <w:szCs w:val="24"/>
          <w:highlight w:val="none"/>
          <w:u w:val="single"/>
          <w:lang w:eastAsia="zh-CN"/>
        </w:rPr>
        <w:t xml:space="preserve">                        </w:t>
      </w:r>
    </w:p>
    <w:p w14:paraId="7AFC3EA9">
      <w:pPr>
        <w:pStyle w:val="19"/>
        <w:spacing w:line="360" w:lineRule="auto"/>
        <w:rPr>
          <w:color w:val="auto"/>
          <w:sz w:val="24"/>
          <w:szCs w:val="24"/>
          <w:highlight w:val="none"/>
          <w:lang w:eastAsia="zh-CN"/>
        </w:rPr>
      </w:pPr>
      <w:r>
        <w:rPr>
          <w:rFonts w:hint="eastAsia"/>
          <w:color w:val="auto"/>
          <w:sz w:val="24"/>
          <w:szCs w:val="24"/>
          <w:highlight w:val="none"/>
          <w:lang w:eastAsia="zh-CN"/>
        </w:rPr>
        <w:t>账  号：</w:t>
      </w:r>
      <w:r>
        <w:rPr>
          <w:rFonts w:hint="eastAsia"/>
          <w:color w:val="auto"/>
          <w:sz w:val="24"/>
          <w:szCs w:val="24"/>
          <w:highlight w:val="none"/>
          <w:u w:val="single"/>
          <w:lang w:eastAsia="zh-CN"/>
        </w:rPr>
        <w:t xml:space="preserve">          </w:t>
      </w:r>
    </w:p>
    <w:p w14:paraId="3F27DDAA">
      <w:pPr>
        <w:spacing w:line="360" w:lineRule="auto"/>
        <w:ind w:firstLine="480" w:firstLineChars="200"/>
        <w:rPr>
          <w:rFonts w:ascii="宋体" w:hAnsi="宋体" w:eastAsia="宋体" w:cs="宋体"/>
          <w:color w:val="auto"/>
          <w:sz w:val="24"/>
          <w:szCs w:val="24"/>
          <w:highlight w:val="none"/>
          <w:lang w:eastAsia="zh-CN"/>
        </w:rPr>
        <w:sectPr>
          <w:type w:val="continuous"/>
          <w:pgSz w:w="11907" w:h="16841"/>
          <w:pgMar w:top="1427" w:right="1435" w:bottom="1272" w:left="1785" w:header="0" w:footer="1108" w:gutter="0"/>
          <w:pgBorders>
            <w:top w:val="none" w:sz="0" w:space="0"/>
            <w:left w:val="none" w:sz="0" w:space="0"/>
            <w:bottom w:val="none" w:sz="0" w:space="0"/>
            <w:right w:val="none" w:sz="0" w:space="0"/>
          </w:pgBorders>
          <w:pgNumType w:fmt="decimal"/>
          <w:cols w:equalWidth="0" w:num="2">
            <w:col w:w="4854" w:space="100"/>
            <w:col w:w="3731"/>
          </w:cols>
        </w:sectPr>
      </w:pPr>
    </w:p>
    <w:p w14:paraId="6309281C">
      <w:pPr>
        <w:spacing w:line="360" w:lineRule="auto"/>
        <w:ind w:firstLine="896" w:firstLineChars="200"/>
        <w:jc w:val="center"/>
        <w:outlineLvl w:val="0"/>
        <w:rPr>
          <w:rFonts w:ascii="宋体" w:hAnsi="宋体" w:eastAsia="宋体" w:cs="宋体"/>
          <w:color w:val="auto"/>
          <w:sz w:val="43"/>
          <w:szCs w:val="43"/>
          <w:highlight w:val="none"/>
          <w:lang w:eastAsia="zh-CN"/>
        </w:rPr>
      </w:pPr>
      <w:r>
        <w:rPr>
          <w:rFonts w:hint="eastAsia" w:ascii="宋体" w:hAnsi="宋体" w:eastAsia="宋体" w:cs="宋体"/>
          <w:color w:val="auto"/>
          <w:spacing w:val="9"/>
          <w:sz w:val="43"/>
          <w:szCs w:val="43"/>
          <w:highlight w:val="none"/>
          <w:lang w:eastAsia="zh-CN"/>
        </w:rPr>
        <w:t>第二部分通用合同条款</w:t>
      </w:r>
    </w:p>
    <w:p w14:paraId="14ACEEF7">
      <w:pPr>
        <w:spacing w:line="360" w:lineRule="auto"/>
        <w:ind w:firstLine="420" w:firstLineChars="200"/>
        <w:rPr>
          <w:rFonts w:ascii="宋体" w:hAnsi="宋体" w:eastAsia="宋体" w:cs="宋体"/>
          <w:color w:val="auto"/>
          <w:highlight w:val="none"/>
          <w:lang w:eastAsia="zh-CN"/>
        </w:rPr>
      </w:pPr>
    </w:p>
    <w:p w14:paraId="424291C3">
      <w:pPr>
        <w:spacing w:line="360" w:lineRule="auto"/>
        <w:ind w:firstLine="420" w:firstLineChars="200"/>
        <w:rPr>
          <w:rFonts w:ascii="宋体" w:hAnsi="宋体" w:eastAsia="宋体" w:cs="宋体"/>
          <w:color w:val="auto"/>
          <w:highlight w:val="none"/>
          <w:lang w:eastAsia="zh-CN"/>
        </w:rPr>
      </w:pPr>
    </w:p>
    <w:p w14:paraId="5C38EF31">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采用《建设工程施工合同（示范文本）》（</w:t>
      </w:r>
      <w:r>
        <w:rPr>
          <w:rFonts w:hint="eastAsia"/>
          <w:b/>
          <w:bCs/>
          <w:color w:val="auto"/>
          <w:sz w:val="24"/>
          <w:szCs w:val="24"/>
          <w:highlight w:val="none"/>
          <w:lang w:eastAsia="zh-CN"/>
        </w:rPr>
        <w:t>GF</w:t>
      </w:r>
      <w:r>
        <w:rPr>
          <w:rFonts w:hint="eastAsia"/>
          <w:color w:val="auto"/>
          <w:sz w:val="24"/>
          <w:szCs w:val="24"/>
          <w:highlight w:val="none"/>
          <w:lang w:eastAsia="zh-CN"/>
        </w:rPr>
        <w:t>—</w:t>
      </w:r>
      <w:r>
        <w:rPr>
          <w:rFonts w:hint="eastAsia"/>
          <w:b/>
          <w:bCs/>
          <w:color w:val="auto"/>
          <w:sz w:val="24"/>
          <w:szCs w:val="24"/>
          <w:highlight w:val="none"/>
          <w:lang w:eastAsia="zh-CN"/>
        </w:rPr>
        <w:t>2017</w:t>
      </w:r>
      <w:r>
        <w:rPr>
          <w:rFonts w:hint="eastAsia"/>
          <w:color w:val="auto"/>
          <w:sz w:val="24"/>
          <w:szCs w:val="24"/>
          <w:highlight w:val="none"/>
          <w:lang w:eastAsia="zh-CN"/>
        </w:rPr>
        <w:t>—</w:t>
      </w:r>
      <w:r>
        <w:rPr>
          <w:rFonts w:hint="eastAsia"/>
          <w:b/>
          <w:bCs/>
          <w:color w:val="auto"/>
          <w:sz w:val="24"/>
          <w:szCs w:val="24"/>
          <w:highlight w:val="none"/>
          <w:lang w:eastAsia="zh-CN"/>
        </w:rPr>
        <w:t>020</w:t>
      </w:r>
      <w:r>
        <w:rPr>
          <w:rFonts w:hint="eastAsia"/>
          <w:b/>
          <w:bCs/>
          <w:color w:val="auto"/>
          <w:spacing w:val="-1"/>
          <w:sz w:val="24"/>
          <w:szCs w:val="24"/>
          <w:highlight w:val="none"/>
          <w:lang w:eastAsia="zh-CN"/>
        </w:rPr>
        <w:t>1</w:t>
      </w:r>
      <w:r>
        <w:rPr>
          <w:rFonts w:hint="eastAsia"/>
          <w:color w:val="auto"/>
          <w:spacing w:val="-1"/>
          <w:sz w:val="24"/>
          <w:szCs w:val="24"/>
          <w:highlight w:val="none"/>
          <w:lang w:eastAsia="zh-CN"/>
        </w:rPr>
        <w:t>）。</w:t>
      </w:r>
    </w:p>
    <w:p w14:paraId="63C66293">
      <w:pPr>
        <w:spacing w:line="360" w:lineRule="auto"/>
        <w:ind w:firstLine="596" w:firstLineChars="200"/>
        <w:outlineLvl w:val="0"/>
        <w:rPr>
          <w:rFonts w:ascii="宋体" w:hAnsi="宋体" w:eastAsia="宋体" w:cs="宋体"/>
          <w:color w:val="auto"/>
          <w:spacing w:val="-1"/>
          <w:sz w:val="30"/>
          <w:szCs w:val="30"/>
          <w:highlight w:val="none"/>
          <w:lang w:eastAsia="zh-CN"/>
        </w:rPr>
      </w:pPr>
    </w:p>
    <w:p w14:paraId="5A86247F">
      <w:pPr>
        <w:spacing w:line="360" w:lineRule="auto"/>
        <w:ind w:firstLine="596" w:firstLineChars="200"/>
        <w:outlineLvl w:val="0"/>
        <w:rPr>
          <w:rFonts w:ascii="宋体" w:hAnsi="宋体" w:eastAsia="宋体" w:cs="宋体"/>
          <w:color w:val="auto"/>
          <w:spacing w:val="-1"/>
          <w:sz w:val="30"/>
          <w:szCs w:val="30"/>
          <w:highlight w:val="none"/>
          <w:lang w:eastAsia="zh-CN"/>
        </w:rPr>
      </w:pPr>
    </w:p>
    <w:p w14:paraId="43B4948F">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9C54D06">
      <w:pPr>
        <w:spacing w:line="360" w:lineRule="auto"/>
        <w:ind w:firstLine="596" w:firstLineChars="200"/>
        <w:outlineLvl w:val="0"/>
        <w:rPr>
          <w:rFonts w:ascii="宋体" w:hAnsi="宋体" w:eastAsia="宋体" w:cs="宋体"/>
          <w:color w:val="auto"/>
          <w:spacing w:val="-1"/>
          <w:sz w:val="30"/>
          <w:szCs w:val="30"/>
          <w:highlight w:val="none"/>
          <w:lang w:eastAsia="zh-CN"/>
        </w:rPr>
      </w:pPr>
    </w:p>
    <w:p w14:paraId="54628582">
      <w:pPr>
        <w:spacing w:line="360" w:lineRule="auto"/>
        <w:ind w:firstLine="596" w:firstLineChars="200"/>
        <w:outlineLvl w:val="0"/>
        <w:rPr>
          <w:rFonts w:ascii="宋体" w:hAnsi="宋体" w:eastAsia="宋体" w:cs="宋体"/>
          <w:color w:val="auto"/>
          <w:spacing w:val="-1"/>
          <w:sz w:val="30"/>
          <w:szCs w:val="30"/>
          <w:highlight w:val="none"/>
          <w:lang w:eastAsia="zh-CN"/>
        </w:rPr>
      </w:pPr>
    </w:p>
    <w:p w14:paraId="32C36814">
      <w:pPr>
        <w:spacing w:line="360" w:lineRule="auto"/>
        <w:ind w:firstLine="596" w:firstLineChars="200"/>
        <w:outlineLvl w:val="0"/>
        <w:rPr>
          <w:rFonts w:ascii="宋体" w:hAnsi="宋体" w:eastAsia="宋体" w:cs="宋体"/>
          <w:color w:val="auto"/>
          <w:spacing w:val="-1"/>
          <w:sz w:val="30"/>
          <w:szCs w:val="30"/>
          <w:highlight w:val="none"/>
          <w:lang w:eastAsia="zh-CN"/>
        </w:rPr>
      </w:pPr>
    </w:p>
    <w:p w14:paraId="1B98467F">
      <w:pPr>
        <w:spacing w:line="360" w:lineRule="auto"/>
        <w:ind w:firstLine="596" w:firstLineChars="200"/>
        <w:outlineLvl w:val="0"/>
        <w:rPr>
          <w:rFonts w:ascii="宋体" w:hAnsi="宋体" w:eastAsia="宋体" w:cs="宋体"/>
          <w:color w:val="auto"/>
          <w:spacing w:val="-1"/>
          <w:sz w:val="30"/>
          <w:szCs w:val="30"/>
          <w:highlight w:val="none"/>
          <w:lang w:eastAsia="zh-CN"/>
        </w:rPr>
      </w:pPr>
    </w:p>
    <w:p w14:paraId="32105474">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E91128B">
      <w:pPr>
        <w:spacing w:line="360" w:lineRule="auto"/>
        <w:ind w:firstLine="596" w:firstLineChars="200"/>
        <w:outlineLvl w:val="0"/>
        <w:rPr>
          <w:rFonts w:ascii="宋体" w:hAnsi="宋体" w:eastAsia="宋体" w:cs="宋体"/>
          <w:color w:val="auto"/>
          <w:spacing w:val="-1"/>
          <w:sz w:val="30"/>
          <w:szCs w:val="30"/>
          <w:highlight w:val="none"/>
          <w:lang w:eastAsia="zh-CN"/>
        </w:rPr>
      </w:pPr>
    </w:p>
    <w:p w14:paraId="0498FF4E">
      <w:pPr>
        <w:spacing w:line="360" w:lineRule="auto"/>
        <w:ind w:firstLine="596" w:firstLineChars="200"/>
        <w:outlineLvl w:val="0"/>
        <w:rPr>
          <w:rFonts w:ascii="宋体" w:hAnsi="宋体" w:eastAsia="宋体" w:cs="宋体"/>
          <w:color w:val="auto"/>
          <w:spacing w:val="-1"/>
          <w:sz w:val="30"/>
          <w:szCs w:val="30"/>
          <w:highlight w:val="none"/>
          <w:lang w:eastAsia="zh-CN"/>
        </w:rPr>
      </w:pPr>
    </w:p>
    <w:p w14:paraId="59F6A5E8">
      <w:pPr>
        <w:spacing w:line="360" w:lineRule="auto"/>
        <w:ind w:firstLine="596" w:firstLineChars="200"/>
        <w:outlineLvl w:val="0"/>
        <w:rPr>
          <w:rFonts w:ascii="宋体" w:hAnsi="宋体" w:eastAsia="宋体" w:cs="宋体"/>
          <w:color w:val="auto"/>
          <w:spacing w:val="-1"/>
          <w:sz w:val="30"/>
          <w:szCs w:val="30"/>
          <w:highlight w:val="none"/>
          <w:lang w:eastAsia="zh-CN"/>
        </w:rPr>
      </w:pPr>
    </w:p>
    <w:p w14:paraId="1914A942">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77DD510">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833414D">
      <w:pPr>
        <w:spacing w:line="360" w:lineRule="auto"/>
        <w:ind w:firstLine="596" w:firstLineChars="200"/>
        <w:outlineLvl w:val="0"/>
        <w:rPr>
          <w:rFonts w:ascii="宋体" w:hAnsi="宋体" w:eastAsia="宋体" w:cs="宋体"/>
          <w:color w:val="auto"/>
          <w:spacing w:val="-1"/>
          <w:sz w:val="30"/>
          <w:szCs w:val="30"/>
          <w:highlight w:val="none"/>
          <w:lang w:eastAsia="zh-CN"/>
        </w:rPr>
      </w:pPr>
    </w:p>
    <w:p w14:paraId="05D4A06C">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A4092D1">
      <w:pPr>
        <w:spacing w:line="360" w:lineRule="auto"/>
        <w:ind w:firstLine="596" w:firstLineChars="200"/>
        <w:outlineLvl w:val="0"/>
        <w:rPr>
          <w:rFonts w:ascii="宋体" w:hAnsi="宋体" w:eastAsia="宋体" w:cs="宋体"/>
          <w:color w:val="auto"/>
          <w:spacing w:val="-1"/>
          <w:sz w:val="30"/>
          <w:szCs w:val="30"/>
          <w:highlight w:val="none"/>
          <w:lang w:eastAsia="zh-CN"/>
        </w:rPr>
      </w:pPr>
    </w:p>
    <w:p w14:paraId="7DDFA589">
      <w:pPr>
        <w:spacing w:line="360" w:lineRule="auto"/>
        <w:ind w:firstLine="596" w:firstLineChars="200"/>
        <w:outlineLvl w:val="0"/>
        <w:rPr>
          <w:rFonts w:ascii="宋体" w:hAnsi="宋体" w:eastAsia="宋体" w:cs="宋体"/>
          <w:color w:val="auto"/>
          <w:spacing w:val="-1"/>
          <w:sz w:val="30"/>
          <w:szCs w:val="30"/>
          <w:highlight w:val="none"/>
          <w:lang w:eastAsia="zh-CN"/>
        </w:rPr>
      </w:pPr>
    </w:p>
    <w:p w14:paraId="0DCB5A49">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2076EEE">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3BA38B6">
      <w:pPr>
        <w:spacing w:line="360" w:lineRule="auto"/>
        <w:ind w:firstLine="596" w:firstLineChars="200"/>
        <w:outlineLvl w:val="0"/>
        <w:rPr>
          <w:rFonts w:ascii="宋体" w:hAnsi="宋体" w:eastAsia="宋体" w:cs="宋体"/>
          <w:color w:val="auto"/>
          <w:spacing w:val="-1"/>
          <w:sz w:val="30"/>
          <w:szCs w:val="30"/>
          <w:highlight w:val="none"/>
          <w:lang w:eastAsia="zh-CN"/>
        </w:rPr>
      </w:pPr>
    </w:p>
    <w:p w14:paraId="207A26AD">
      <w:pPr>
        <w:spacing w:line="360" w:lineRule="auto"/>
        <w:ind w:firstLine="596" w:firstLineChars="200"/>
        <w:outlineLvl w:val="0"/>
        <w:rPr>
          <w:rFonts w:ascii="宋体" w:hAnsi="宋体" w:eastAsia="宋体" w:cs="宋体"/>
          <w:color w:val="auto"/>
          <w:spacing w:val="-1"/>
          <w:sz w:val="30"/>
          <w:szCs w:val="30"/>
          <w:highlight w:val="none"/>
          <w:lang w:eastAsia="zh-CN"/>
        </w:rPr>
      </w:pPr>
    </w:p>
    <w:p w14:paraId="4E83BC39">
      <w:pPr>
        <w:spacing w:line="360" w:lineRule="auto"/>
        <w:ind w:firstLine="596" w:firstLineChars="200"/>
        <w:jc w:val="center"/>
        <w:outlineLvl w:val="0"/>
        <w:rPr>
          <w:rFonts w:ascii="宋体" w:hAnsi="宋体" w:eastAsia="宋体" w:cs="宋体"/>
          <w:color w:val="auto"/>
          <w:sz w:val="30"/>
          <w:szCs w:val="30"/>
          <w:highlight w:val="none"/>
          <w:lang w:eastAsia="zh-CN"/>
        </w:rPr>
      </w:pPr>
      <w:r>
        <w:rPr>
          <w:rFonts w:hint="eastAsia" w:ascii="宋体" w:hAnsi="宋体" w:eastAsia="宋体" w:cs="宋体"/>
          <w:color w:val="auto"/>
          <w:spacing w:val="-1"/>
          <w:sz w:val="30"/>
          <w:szCs w:val="30"/>
          <w:highlight w:val="none"/>
          <w:lang w:eastAsia="zh-CN"/>
        </w:rPr>
        <w:t>第三部分专用合同条款</w:t>
      </w:r>
    </w:p>
    <w:p w14:paraId="55AFA26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  一般约定</w:t>
      </w:r>
    </w:p>
    <w:p w14:paraId="2086311A">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  词语定义</w:t>
      </w:r>
    </w:p>
    <w:p w14:paraId="6BBCD30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1.1.1  合同</w:t>
      </w:r>
    </w:p>
    <w:p w14:paraId="539396D4">
      <w:pPr>
        <w:pStyle w:val="19"/>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"1.1.1.10" </w:instrText>
      </w:r>
      <w:r>
        <w:rPr>
          <w:color w:val="auto"/>
          <w:sz w:val="24"/>
          <w:szCs w:val="24"/>
          <w:highlight w:val="none"/>
        </w:rPr>
        <w:fldChar w:fldCharType="separate"/>
      </w:r>
      <w:r>
        <w:rPr>
          <w:rFonts w:hint="eastAsia"/>
          <w:color w:val="auto"/>
          <w:spacing w:val="-3"/>
          <w:sz w:val="24"/>
          <w:szCs w:val="24"/>
          <w:highlight w:val="none"/>
          <w:lang w:eastAsia="zh-CN"/>
        </w:rPr>
        <w:t>1.1.1.10</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其他合同文件包括：</w:t>
      </w:r>
      <w:r>
        <w:rPr>
          <w:rFonts w:hint="eastAsia"/>
          <w:color w:val="auto"/>
          <w:spacing w:val="-3"/>
          <w:sz w:val="24"/>
          <w:szCs w:val="24"/>
          <w:highlight w:val="none"/>
          <w:u w:val="single"/>
          <w:lang w:eastAsia="zh-CN"/>
        </w:rPr>
        <w:t xml:space="preserve"> 招标文件及附件（含所有补充通知）</w:t>
      </w:r>
      <w:r>
        <w:rPr>
          <w:rFonts w:hint="eastAsia"/>
          <w:color w:val="auto"/>
          <w:spacing w:val="-3"/>
          <w:sz w:val="24"/>
          <w:szCs w:val="24"/>
          <w:highlight w:val="none"/>
          <w:lang w:eastAsia="zh-CN"/>
        </w:rPr>
        <w:t>。</w:t>
      </w:r>
    </w:p>
    <w:p w14:paraId="5914D743">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1.1.2  合同当事人及其他相关方</w:t>
      </w:r>
    </w:p>
    <w:p w14:paraId="6479E8ED">
      <w:pPr>
        <w:pStyle w:val="19"/>
        <w:spacing w:line="360" w:lineRule="auto"/>
        <w:ind w:firstLine="480" w:firstLineChars="200"/>
        <w:outlineLvl w:val="0"/>
        <w:rPr>
          <w:color w:val="auto"/>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"1.1.2.4" </w:instrText>
      </w:r>
      <w:r>
        <w:rPr>
          <w:color w:val="auto"/>
          <w:sz w:val="24"/>
          <w:szCs w:val="24"/>
          <w:highlight w:val="none"/>
        </w:rPr>
        <w:fldChar w:fldCharType="separate"/>
      </w:r>
      <w:r>
        <w:rPr>
          <w:rFonts w:hint="eastAsia"/>
          <w:color w:val="auto"/>
          <w:spacing w:val="-3"/>
          <w:sz w:val="24"/>
          <w:szCs w:val="24"/>
          <w:highlight w:val="none"/>
          <w:lang w:eastAsia="zh-CN"/>
        </w:rPr>
        <w:t>1.1.2.4</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监理人：</w:t>
      </w:r>
    </w:p>
    <w:p w14:paraId="3DEBD3B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名    称：</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1820FD9E">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资质类别和等级：</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4C70DF6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联系电话：</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710C782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电子信箱：</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58CF6F79">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通信地址：</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4EAA43F2">
      <w:pPr>
        <w:pStyle w:val="19"/>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"1.1.2.5" </w:instrText>
      </w:r>
      <w:r>
        <w:rPr>
          <w:color w:val="auto"/>
          <w:sz w:val="24"/>
          <w:szCs w:val="24"/>
          <w:highlight w:val="none"/>
        </w:rPr>
        <w:fldChar w:fldCharType="separate"/>
      </w:r>
      <w:r>
        <w:rPr>
          <w:rFonts w:hint="eastAsia"/>
          <w:color w:val="auto"/>
          <w:spacing w:val="-3"/>
          <w:sz w:val="24"/>
          <w:szCs w:val="24"/>
          <w:highlight w:val="none"/>
          <w:lang w:eastAsia="zh-CN"/>
        </w:rPr>
        <w:t>1.1.2.5</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设计人：</w:t>
      </w:r>
    </w:p>
    <w:p w14:paraId="5C652D9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名    称：</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2FA4E960">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资质类别和等级：</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2D52C555">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联系电话：</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06995765">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电子信箱：</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5FD5CA1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通信地址：</w:t>
      </w:r>
      <w:r>
        <w:rPr>
          <w:rFonts w:hint="eastAsia"/>
          <w:color w:val="auto"/>
          <w:spacing w:val="-3"/>
          <w:sz w:val="24"/>
          <w:szCs w:val="24"/>
          <w:highlight w:val="none"/>
          <w:lang w:val="en-US" w:eastAsia="zh-CN"/>
        </w:rPr>
        <w:t xml:space="preserve">          </w:t>
      </w:r>
      <w:r>
        <w:rPr>
          <w:rFonts w:hint="eastAsia"/>
          <w:color w:val="auto"/>
          <w:spacing w:val="-3"/>
          <w:sz w:val="24"/>
          <w:szCs w:val="24"/>
          <w:highlight w:val="none"/>
          <w:lang w:eastAsia="zh-CN"/>
        </w:rPr>
        <w:t>。</w:t>
      </w:r>
    </w:p>
    <w:p w14:paraId="3E4EF57B">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1.1.3  工程和设备</w:t>
      </w:r>
    </w:p>
    <w:p w14:paraId="34CC06A8">
      <w:pPr>
        <w:pStyle w:val="19"/>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"1.1.3.7" </w:instrText>
      </w:r>
      <w:r>
        <w:rPr>
          <w:color w:val="auto"/>
          <w:sz w:val="24"/>
          <w:szCs w:val="24"/>
          <w:highlight w:val="none"/>
        </w:rPr>
        <w:fldChar w:fldCharType="separate"/>
      </w:r>
      <w:r>
        <w:rPr>
          <w:rFonts w:hint="eastAsia"/>
          <w:color w:val="auto"/>
          <w:spacing w:val="-3"/>
          <w:sz w:val="24"/>
          <w:szCs w:val="24"/>
          <w:highlight w:val="none"/>
          <w:lang w:eastAsia="zh-CN"/>
        </w:rPr>
        <w:t>1.1.3.7</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作为施工现场组成部分的其他场所包括：</w:t>
      </w:r>
      <w:r>
        <w:rPr>
          <w:rFonts w:hint="eastAsia"/>
          <w:color w:val="auto"/>
          <w:spacing w:val="-3"/>
          <w:sz w:val="24"/>
          <w:szCs w:val="24"/>
          <w:highlight w:val="none"/>
          <w:u w:val="single"/>
          <w:lang w:eastAsia="zh-CN"/>
        </w:rPr>
        <w:t xml:space="preserve">  临时设施场地  </w:t>
      </w:r>
      <w:r>
        <w:rPr>
          <w:rFonts w:hint="eastAsia"/>
          <w:color w:val="auto"/>
          <w:spacing w:val="-3"/>
          <w:sz w:val="24"/>
          <w:szCs w:val="24"/>
          <w:highlight w:val="none"/>
          <w:lang w:eastAsia="zh-CN"/>
        </w:rPr>
        <w:t>。</w:t>
      </w:r>
    </w:p>
    <w:p w14:paraId="6B856B0E">
      <w:pPr>
        <w:pStyle w:val="19"/>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"1.1.3.9" </w:instrText>
      </w:r>
      <w:r>
        <w:rPr>
          <w:color w:val="auto"/>
          <w:sz w:val="24"/>
          <w:szCs w:val="24"/>
          <w:highlight w:val="none"/>
        </w:rPr>
        <w:fldChar w:fldCharType="separate"/>
      </w:r>
      <w:r>
        <w:rPr>
          <w:rFonts w:hint="eastAsia"/>
          <w:color w:val="auto"/>
          <w:spacing w:val="-3"/>
          <w:sz w:val="24"/>
          <w:szCs w:val="24"/>
          <w:highlight w:val="none"/>
          <w:lang w:eastAsia="zh-CN"/>
        </w:rPr>
        <w:t>1.1.3.9</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永久占地包括：</w:t>
      </w:r>
      <w:r>
        <w:rPr>
          <w:rFonts w:hint="eastAsia"/>
          <w:color w:val="auto"/>
          <w:sz w:val="24"/>
          <w:szCs w:val="24"/>
          <w:highlight w:val="none"/>
          <w:u w:val="single"/>
          <w:lang w:eastAsia="zh-CN"/>
        </w:rPr>
        <w:t>实施合同工程需永久占用的场地</w:t>
      </w:r>
      <w:r>
        <w:rPr>
          <w:rFonts w:hint="eastAsia"/>
          <w:color w:val="auto"/>
          <w:spacing w:val="-3"/>
          <w:sz w:val="24"/>
          <w:szCs w:val="24"/>
          <w:highlight w:val="none"/>
          <w:lang w:eastAsia="zh-CN"/>
        </w:rPr>
        <w:t>。</w:t>
      </w:r>
    </w:p>
    <w:p w14:paraId="2BC9DEFF">
      <w:pPr>
        <w:pStyle w:val="19"/>
        <w:spacing w:line="360" w:lineRule="auto"/>
        <w:ind w:firstLine="480" w:firstLineChars="200"/>
        <w:rPr>
          <w:color w:val="auto"/>
          <w:spacing w:val="-3"/>
          <w:sz w:val="24"/>
          <w:szCs w:val="24"/>
          <w:highlight w:val="none"/>
          <w:lang w:eastAsia="zh-CN"/>
        </w:rPr>
      </w:pPr>
      <w:r>
        <w:rPr>
          <w:color w:val="auto"/>
          <w:sz w:val="24"/>
          <w:szCs w:val="24"/>
          <w:highlight w:val="none"/>
        </w:rPr>
        <w:fldChar w:fldCharType="begin"/>
      </w:r>
      <w:r>
        <w:rPr>
          <w:color w:val="auto"/>
          <w:sz w:val="24"/>
          <w:szCs w:val="24"/>
          <w:highlight w:val="none"/>
        </w:rPr>
        <w:instrText xml:space="preserve"> HYPERLINK "1.1.3.10" </w:instrText>
      </w:r>
      <w:r>
        <w:rPr>
          <w:color w:val="auto"/>
          <w:sz w:val="24"/>
          <w:szCs w:val="24"/>
          <w:highlight w:val="none"/>
        </w:rPr>
        <w:fldChar w:fldCharType="separate"/>
      </w:r>
      <w:r>
        <w:rPr>
          <w:rFonts w:hint="eastAsia"/>
          <w:color w:val="auto"/>
          <w:spacing w:val="-3"/>
          <w:sz w:val="24"/>
          <w:szCs w:val="24"/>
          <w:highlight w:val="none"/>
          <w:lang w:eastAsia="zh-CN"/>
        </w:rPr>
        <w:t>1.1.3.10</w:t>
      </w:r>
      <w:r>
        <w:rPr>
          <w:rFonts w:hint="eastAsia"/>
          <w:color w:val="auto"/>
          <w:spacing w:val="-3"/>
          <w:sz w:val="24"/>
          <w:szCs w:val="24"/>
          <w:highlight w:val="none"/>
          <w:lang w:eastAsia="zh-CN"/>
        </w:rPr>
        <w:fldChar w:fldCharType="end"/>
      </w:r>
      <w:r>
        <w:rPr>
          <w:rFonts w:hint="eastAsia"/>
          <w:color w:val="auto"/>
          <w:spacing w:val="-3"/>
          <w:sz w:val="24"/>
          <w:szCs w:val="24"/>
          <w:highlight w:val="none"/>
          <w:lang w:eastAsia="zh-CN"/>
        </w:rPr>
        <w:t xml:space="preserve">  临时占地包括：</w:t>
      </w:r>
      <w:r>
        <w:rPr>
          <w:rFonts w:hint="eastAsia"/>
          <w:color w:val="auto"/>
          <w:sz w:val="24"/>
          <w:szCs w:val="24"/>
          <w:highlight w:val="none"/>
          <w:u w:val="single"/>
          <w:lang w:eastAsia="zh-CN"/>
        </w:rPr>
        <w:t>实施合同工程需临时占用的场地</w:t>
      </w:r>
      <w:r>
        <w:rPr>
          <w:rFonts w:hint="eastAsia"/>
          <w:color w:val="auto"/>
          <w:spacing w:val="-3"/>
          <w:sz w:val="24"/>
          <w:szCs w:val="24"/>
          <w:highlight w:val="none"/>
          <w:lang w:eastAsia="zh-CN"/>
        </w:rPr>
        <w:t>。</w:t>
      </w:r>
    </w:p>
    <w:p w14:paraId="6F12306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  法律</w:t>
      </w:r>
    </w:p>
    <w:p w14:paraId="157A404E">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适用于合同的其他规范性文件：</w:t>
      </w:r>
      <w:r>
        <w:rPr>
          <w:rFonts w:hint="eastAsia"/>
          <w:color w:val="auto"/>
          <w:spacing w:val="-3"/>
          <w:sz w:val="24"/>
          <w:szCs w:val="24"/>
          <w:highlight w:val="none"/>
          <w:u w:val="single"/>
          <w:lang w:eastAsia="zh-CN"/>
        </w:rPr>
        <w:t xml:space="preserve">  发包人对工程的相关管理规定和文件   </w:t>
      </w:r>
      <w:r>
        <w:rPr>
          <w:rFonts w:hint="eastAsia"/>
          <w:color w:val="auto"/>
          <w:spacing w:val="-3"/>
          <w:sz w:val="24"/>
          <w:szCs w:val="24"/>
          <w:highlight w:val="none"/>
          <w:lang w:eastAsia="zh-CN"/>
        </w:rPr>
        <w:t>。</w:t>
      </w:r>
    </w:p>
    <w:p w14:paraId="2B9ECDC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1.4  标准和规范</w:t>
      </w:r>
    </w:p>
    <w:p w14:paraId="43FEEA85">
      <w:pPr>
        <w:pStyle w:val="19"/>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1.4.1  适用于工程的标准规范包括：</w:t>
      </w:r>
      <w:r>
        <w:rPr>
          <w:rFonts w:hint="eastAsia"/>
          <w:color w:val="auto"/>
          <w:spacing w:val="-3"/>
          <w:sz w:val="24"/>
          <w:szCs w:val="24"/>
          <w:highlight w:val="none"/>
          <w:u w:val="single"/>
          <w:lang w:eastAsia="zh-CN"/>
        </w:rPr>
        <w:t xml:space="preserve"> 国家和广西区、北海市有关建设工程的相关规范、标准和要求  。</w:t>
      </w:r>
    </w:p>
    <w:p w14:paraId="1EAD9D0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1.4.2 发包人提供国外标准、规范的名称：</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 xml:space="preserve">； </w:t>
      </w:r>
    </w:p>
    <w:p w14:paraId="2CA54384">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发包人提供国外标准、规范的份数：</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 xml:space="preserve">； </w:t>
      </w:r>
    </w:p>
    <w:p w14:paraId="6AD739E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发包人提供国外标准、规范的名称：</w:t>
      </w:r>
      <w:r>
        <w:rPr>
          <w:rFonts w:hint="eastAsia"/>
          <w:color w:val="auto"/>
          <w:spacing w:val="-3"/>
          <w:sz w:val="24"/>
          <w:szCs w:val="24"/>
          <w:highlight w:val="none"/>
          <w:u w:val="single"/>
          <w:lang w:eastAsia="zh-CN"/>
        </w:rPr>
        <w:t xml:space="preserve">   无 </w:t>
      </w:r>
      <w:r>
        <w:rPr>
          <w:rFonts w:hint="eastAsia"/>
          <w:color w:val="auto"/>
          <w:spacing w:val="-3"/>
          <w:sz w:val="24"/>
          <w:szCs w:val="24"/>
          <w:highlight w:val="none"/>
          <w:lang w:eastAsia="zh-CN"/>
        </w:rPr>
        <w:t>。</w:t>
      </w:r>
    </w:p>
    <w:p w14:paraId="0F91ADF4">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1.4.3 发包人对工程的技术标准和功能要求的特殊要求：</w:t>
      </w:r>
      <w:r>
        <w:rPr>
          <w:rFonts w:hint="eastAsia"/>
          <w:color w:val="auto"/>
          <w:spacing w:val="-3"/>
          <w:sz w:val="24"/>
          <w:szCs w:val="24"/>
          <w:highlight w:val="none"/>
          <w:u w:val="single"/>
          <w:lang w:eastAsia="zh-CN"/>
        </w:rPr>
        <w:t xml:space="preserve">  满足本工程的安全生产 </w:t>
      </w:r>
      <w:r>
        <w:rPr>
          <w:rFonts w:hint="eastAsia"/>
          <w:color w:val="auto"/>
          <w:spacing w:val="-3"/>
          <w:sz w:val="24"/>
          <w:szCs w:val="24"/>
          <w:highlight w:val="none"/>
          <w:lang w:eastAsia="zh-CN"/>
        </w:rPr>
        <w:t>。</w:t>
      </w:r>
    </w:p>
    <w:p w14:paraId="009D1F3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1.5  合同文件的优先顺序</w:t>
      </w:r>
    </w:p>
    <w:p w14:paraId="7040D63B">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合同文件组成及优先顺序为：</w:t>
      </w:r>
    </w:p>
    <w:p w14:paraId="557A4A0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（1）合同协议书；</w:t>
      </w:r>
    </w:p>
    <w:p w14:paraId="27722C5F">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（2）成交通知书；</w:t>
      </w:r>
    </w:p>
    <w:p w14:paraId="35E4352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（3）竞标函及竞标函附录；</w:t>
      </w:r>
    </w:p>
    <w:p w14:paraId="6A4C773C">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（4）专用合同条款；</w:t>
      </w:r>
    </w:p>
    <w:p w14:paraId="280295CC">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（5）通用合同条款；</w:t>
      </w:r>
    </w:p>
    <w:p w14:paraId="5E7430C9">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（6）技术标准和要求；</w:t>
      </w:r>
    </w:p>
    <w:p w14:paraId="381393CB">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（7）图纸；</w:t>
      </w:r>
    </w:p>
    <w:p w14:paraId="75795A37">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（8）已标价工程量清单或预算书；</w:t>
      </w:r>
    </w:p>
    <w:p w14:paraId="7EB2ECA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（9）其他合同文件：</w:t>
      </w:r>
    </w:p>
    <w:p w14:paraId="22FDAF7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62827899">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1.6  图纸和承包人文件</w:t>
      </w:r>
    </w:p>
    <w:p w14:paraId="353DECF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1.6.1  图纸的提供</w:t>
      </w:r>
    </w:p>
    <w:p w14:paraId="0C8A28C9">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发包人向承包人提供图纸的期限：</w:t>
      </w:r>
      <w:r>
        <w:rPr>
          <w:rFonts w:hint="eastAsia"/>
          <w:color w:val="auto"/>
          <w:spacing w:val="-3"/>
          <w:sz w:val="24"/>
          <w:szCs w:val="24"/>
          <w:highlight w:val="none"/>
          <w:u w:val="single"/>
          <w:lang w:eastAsia="zh-CN"/>
        </w:rPr>
        <w:t xml:space="preserve"> 合同签订之日起 7 个工作日内 </w:t>
      </w:r>
      <w:r>
        <w:rPr>
          <w:rFonts w:hint="eastAsia"/>
          <w:color w:val="auto"/>
          <w:spacing w:val="-3"/>
          <w:sz w:val="24"/>
          <w:szCs w:val="24"/>
          <w:highlight w:val="none"/>
          <w:lang w:eastAsia="zh-CN"/>
        </w:rPr>
        <w:t>；</w:t>
      </w:r>
    </w:p>
    <w:p w14:paraId="4E7B497C">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发包人向承包人提供图纸的数量：</w:t>
      </w:r>
      <w:r>
        <w:rPr>
          <w:rFonts w:hint="eastAsia"/>
          <w:color w:val="auto"/>
          <w:spacing w:val="-3"/>
          <w:sz w:val="24"/>
          <w:szCs w:val="24"/>
          <w:highlight w:val="none"/>
          <w:u w:val="single"/>
          <w:lang w:eastAsia="zh-CN"/>
        </w:rPr>
        <w:t xml:space="preserve"> 四 </w:t>
      </w:r>
      <w:r>
        <w:rPr>
          <w:rFonts w:hint="eastAsia"/>
          <w:color w:val="auto"/>
          <w:spacing w:val="-3"/>
          <w:sz w:val="24"/>
          <w:szCs w:val="24"/>
          <w:highlight w:val="none"/>
          <w:lang w:eastAsia="zh-CN"/>
        </w:rPr>
        <w:t>套（承包人需要增加图纸套数的，发包人应代为复制，复制费用由承包人承担）；</w:t>
      </w:r>
    </w:p>
    <w:p w14:paraId="0940542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发包人向承包人提供图纸的内容：</w:t>
      </w:r>
      <w:r>
        <w:rPr>
          <w:rFonts w:hint="eastAsia"/>
          <w:color w:val="auto"/>
          <w:spacing w:val="-3"/>
          <w:sz w:val="24"/>
          <w:szCs w:val="24"/>
          <w:highlight w:val="none"/>
          <w:u w:val="single"/>
          <w:lang w:eastAsia="zh-CN"/>
        </w:rPr>
        <w:t xml:space="preserve">  招标范围内的全部图纸内容  </w:t>
      </w:r>
      <w:r>
        <w:rPr>
          <w:rFonts w:hint="eastAsia"/>
          <w:color w:val="auto"/>
          <w:spacing w:val="-3"/>
          <w:sz w:val="24"/>
          <w:szCs w:val="24"/>
          <w:highlight w:val="none"/>
          <w:lang w:eastAsia="zh-CN"/>
        </w:rPr>
        <w:t>。</w:t>
      </w:r>
    </w:p>
    <w:p w14:paraId="3852F48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1.6.4  承包人文件</w:t>
      </w:r>
    </w:p>
    <w:p w14:paraId="40512226">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需要由承包人提供的文件，包括：</w:t>
      </w:r>
      <w:r>
        <w:rPr>
          <w:rFonts w:hint="eastAsia"/>
          <w:color w:val="auto"/>
          <w:spacing w:val="-3"/>
          <w:sz w:val="24"/>
          <w:szCs w:val="24"/>
          <w:highlight w:val="none"/>
          <w:u w:val="single"/>
          <w:lang w:eastAsia="zh-CN"/>
        </w:rPr>
        <w:t xml:space="preserve"> 施工组织设计、专项施工方案、安全生产应急救援预案、开工报告、施工月报、工程洽商、当月进度报表、次月工程进度计划报表、竣工报告、竣工资料及法律、法规规定应提交的其他文件。其中施工组织设计和专项施工方案的重要节点工期必须细化到具体日历天 </w:t>
      </w:r>
      <w:r>
        <w:rPr>
          <w:rFonts w:hint="eastAsia"/>
          <w:color w:val="auto"/>
          <w:spacing w:val="-3"/>
          <w:sz w:val="24"/>
          <w:szCs w:val="24"/>
          <w:highlight w:val="none"/>
          <w:lang w:eastAsia="zh-CN"/>
        </w:rPr>
        <w:t>；</w:t>
      </w:r>
    </w:p>
    <w:p w14:paraId="7E1EC9E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承包人提供的文件的期限为：</w:t>
      </w:r>
      <w:r>
        <w:rPr>
          <w:rFonts w:hint="eastAsia"/>
          <w:color w:val="auto"/>
          <w:spacing w:val="-3"/>
          <w:sz w:val="24"/>
          <w:szCs w:val="24"/>
          <w:highlight w:val="none"/>
          <w:u w:val="single"/>
          <w:lang w:eastAsia="zh-CN"/>
        </w:rPr>
        <w:t xml:space="preserve">  构件开始施工前 7 天内 </w:t>
      </w:r>
      <w:r>
        <w:rPr>
          <w:rFonts w:hint="eastAsia"/>
          <w:color w:val="auto"/>
          <w:spacing w:val="-3"/>
          <w:sz w:val="24"/>
          <w:szCs w:val="24"/>
          <w:highlight w:val="none"/>
          <w:lang w:eastAsia="zh-CN"/>
        </w:rPr>
        <w:t>；</w:t>
      </w:r>
    </w:p>
    <w:p w14:paraId="6BB7EB63">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承包人提供的文件的数量为：</w:t>
      </w:r>
      <w:r>
        <w:rPr>
          <w:rFonts w:hint="eastAsia"/>
          <w:color w:val="auto"/>
          <w:spacing w:val="-3"/>
          <w:sz w:val="24"/>
          <w:szCs w:val="24"/>
          <w:highlight w:val="none"/>
          <w:u w:val="single"/>
          <w:lang w:eastAsia="zh-CN"/>
        </w:rPr>
        <w:t xml:space="preserve">  按发包人的要求 </w:t>
      </w:r>
      <w:r>
        <w:rPr>
          <w:rFonts w:hint="eastAsia"/>
          <w:color w:val="auto"/>
          <w:spacing w:val="-3"/>
          <w:sz w:val="24"/>
          <w:szCs w:val="24"/>
          <w:highlight w:val="none"/>
          <w:lang w:eastAsia="zh-CN"/>
        </w:rPr>
        <w:t>；</w:t>
      </w:r>
    </w:p>
    <w:p w14:paraId="7B5ACFA7">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承包人提供的文件的形式为：</w:t>
      </w:r>
      <w:r>
        <w:rPr>
          <w:rFonts w:hint="eastAsia"/>
          <w:color w:val="auto"/>
          <w:spacing w:val="-3"/>
          <w:sz w:val="24"/>
          <w:szCs w:val="24"/>
          <w:highlight w:val="none"/>
          <w:u w:val="single"/>
          <w:lang w:eastAsia="zh-CN"/>
        </w:rPr>
        <w:t xml:space="preserve">  书面 </w:t>
      </w:r>
      <w:r>
        <w:rPr>
          <w:rFonts w:hint="eastAsia"/>
          <w:color w:val="auto"/>
          <w:spacing w:val="-3"/>
          <w:sz w:val="24"/>
          <w:szCs w:val="24"/>
          <w:highlight w:val="none"/>
          <w:lang w:eastAsia="zh-CN"/>
        </w:rPr>
        <w:t>；</w:t>
      </w:r>
    </w:p>
    <w:p w14:paraId="16D1FFB3">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发包人审批承包人文件的期限：</w:t>
      </w:r>
      <w:r>
        <w:rPr>
          <w:rFonts w:hint="eastAsia"/>
          <w:color w:val="auto"/>
          <w:spacing w:val="-3"/>
          <w:sz w:val="24"/>
          <w:szCs w:val="24"/>
          <w:highlight w:val="none"/>
          <w:u w:val="single"/>
          <w:lang w:eastAsia="zh-CN"/>
        </w:rPr>
        <w:t xml:space="preserve">  按发包人的要求 </w:t>
      </w:r>
      <w:r>
        <w:rPr>
          <w:rFonts w:hint="eastAsia"/>
          <w:color w:val="auto"/>
          <w:spacing w:val="-3"/>
          <w:sz w:val="24"/>
          <w:szCs w:val="24"/>
          <w:highlight w:val="none"/>
          <w:lang w:eastAsia="zh-CN"/>
        </w:rPr>
        <w:t>。</w:t>
      </w:r>
    </w:p>
    <w:p w14:paraId="67751355">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1.6.5  现场图纸准备</w:t>
      </w:r>
    </w:p>
    <w:p w14:paraId="7716911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关于现场图纸准备的约定：</w:t>
      </w:r>
      <w:r>
        <w:rPr>
          <w:rFonts w:hint="eastAsia"/>
          <w:color w:val="auto"/>
          <w:spacing w:val="-3"/>
          <w:sz w:val="24"/>
          <w:szCs w:val="24"/>
          <w:highlight w:val="none"/>
          <w:u w:val="single"/>
          <w:lang w:eastAsia="zh-CN"/>
        </w:rPr>
        <w:t xml:space="preserve">  在该工程或相应部位施工前 15 天签发图纸修改图  </w:t>
      </w:r>
      <w:r>
        <w:rPr>
          <w:rFonts w:hint="eastAsia"/>
          <w:color w:val="auto"/>
          <w:spacing w:val="-3"/>
          <w:sz w:val="24"/>
          <w:szCs w:val="24"/>
          <w:highlight w:val="none"/>
          <w:lang w:eastAsia="zh-CN"/>
        </w:rPr>
        <w:t>。</w:t>
      </w:r>
    </w:p>
    <w:p w14:paraId="2C558F2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1.7  联络</w:t>
      </w:r>
    </w:p>
    <w:p w14:paraId="20699E8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1.7.1 发包人和承包人应当在</w:t>
      </w:r>
      <w:r>
        <w:rPr>
          <w:rFonts w:hint="eastAsia"/>
          <w:color w:val="auto"/>
          <w:spacing w:val="-3"/>
          <w:sz w:val="24"/>
          <w:szCs w:val="24"/>
          <w:highlight w:val="none"/>
          <w:u w:val="single"/>
          <w:lang w:eastAsia="zh-CN"/>
        </w:rPr>
        <w:t>3</w:t>
      </w:r>
      <w:r>
        <w:rPr>
          <w:rFonts w:hint="eastAsia"/>
          <w:color w:val="auto"/>
          <w:spacing w:val="-3"/>
          <w:sz w:val="24"/>
          <w:szCs w:val="24"/>
          <w:highlight w:val="none"/>
          <w:lang w:eastAsia="zh-CN"/>
        </w:rPr>
        <w:t>天内将与合同有关的通知、批准、证明、证书、指示、指令、要求、请求、同意、意见、确定和决定等书面函件送达对方当事人。</w:t>
      </w:r>
    </w:p>
    <w:p w14:paraId="644622EE">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1.7.2  发包人接收文件的地点：；</w:t>
      </w:r>
    </w:p>
    <w:p w14:paraId="318A9AA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发包人指定的接收人为：。</w:t>
      </w:r>
    </w:p>
    <w:p w14:paraId="47F7247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承包人接收文件的地点：；</w:t>
      </w:r>
    </w:p>
    <w:p w14:paraId="65911B92">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承包人指定的接收人为：。</w:t>
      </w:r>
    </w:p>
    <w:p w14:paraId="69BE612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监理人接收文件的地点：；</w:t>
      </w:r>
    </w:p>
    <w:p w14:paraId="62989B5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监理人指定的接收人为：。</w:t>
      </w:r>
    </w:p>
    <w:p w14:paraId="607933A2">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1.10  交通运输</w:t>
      </w:r>
    </w:p>
    <w:p w14:paraId="2591622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1.10.1  出入现场的权利</w:t>
      </w:r>
    </w:p>
    <w:p w14:paraId="050CDF1F">
      <w:pPr>
        <w:pStyle w:val="19"/>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关于出入现场的权利的约定：</w:t>
      </w:r>
      <w:r>
        <w:rPr>
          <w:rFonts w:hint="eastAsia"/>
          <w:color w:val="auto"/>
          <w:spacing w:val="-3"/>
          <w:sz w:val="24"/>
          <w:szCs w:val="24"/>
          <w:highlight w:val="none"/>
          <w:u w:val="single"/>
          <w:lang w:eastAsia="zh-CN"/>
        </w:rPr>
        <w:t xml:space="preserve"> 由承包人按发包人要求负责取得出入施工现场所需的批准手续和全部权利，以及取得因施工所需修建道路、桥梁以及其他基础设施的权利，由承包人承担相关手续费用和建设费用。</w:t>
      </w:r>
    </w:p>
    <w:p w14:paraId="3BE6444D">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1.10.3  场内交通</w:t>
      </w:r>
    </w:p>
    <w:p w14:paraId="216A1979">
      <w:pPr>
        <w:pStyle w:val="19"/>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关于场外交通和场内交通的边界的约定：</w:t>
      </w:r>
      <w:r>
        <w:rPr>
          <w:rFonts w:hint="eastAsia"/>
          <w:color w:val="auto"/>
          <w:spacing w:val="-3"/>
          <w:sz w:val="24"/>
          <w:szCs w:val="24"/>
          <w:highlight w:val="none"/>
          <w:u w:val="single"/>
          <w:lang w:eastAsia="zh-CN"/>
        </w:rPr>
        <w:t xml:space="preserve"> 以施工红线为准，红线范围内为场内交通，施工红线范围以外为场外交通。</w:t>
      </w:r>
    </w:p>
    <w:p w14:paraId="7FF9E586">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关于发包人向承包人免费提供满足工程施工需要的场内道路和交通设施的约定：</w:t>
      </w:r>
      <w:r>
        <w:rPr>
          <w:rFonts w:hint="eastAsia"/>
          <w:color w:val="auto"/>
          <w:spacing w:val="-3"/>
          <w:sz w:val="24"/>
          <w:szCs w:val="24"/>
          <w:highlight w:val="none"/>
          <w:u w:val="single"/>
          <w:lang w:eastAsia="zh-CN"/>
        </w:rPr>
        <w:t xml:space="preserve">场内交通由承包人自行解决 </w:t>
      </w:r>
      <w:r>
        <w:rPr>
          <w:rFonts w:hint="eastAsia"/>
          <w:color w:val="auto"/>
          <w:spacing w:val="-3"/>
          <w:sz w:val="24"/>
          <w:szCs w:val="24"/>
          <w:highlight w:val="none"/>
          <w:lang w:eastAsia="zh-CN"/>
        </w:rPr>
        <w:t>。</w:t>
      </w:r>
    </w:p>
    <w:p w14:paraId="0CE9CF0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1.10.4  超大件和超重件的运输</w:t>
      </w:r>
    </w:p>
    <w:p w14:paraId="40CE4BC3">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运输超大件或超重件所需的道路和桥梁临时加固改造费用和其他有关费用由</w:t>
      </w:r>
      <w:r>
        <w:rPr>
          <w:rFonts w:hint="eastAsia"/>
          <w:color w:val="auto"/>
          <w:spacing w:val="-3"/>
          <w:sz w:val="24"/>
          <w:szCs w:val="24"/>
          <w:highlight w:val="none"/>
          <w:u w:val="single"/>
          <w:lang w:eastAsia="zh-CN"/>
        </w:rPr>
        <w:t>承包人</w:t>
      </w:r>
      <w:r>
        <w:rPr>
          <w:rFonts w:hint="eastAsia"/>
          <w:color w:val="auto"/>
          <w:spacing w:val="-3"/>
          <w:sz w:val="24"/>
          <w:szCs w:val="24"/>
          <w:highlight w:val="none"/>
          <w:lang w:eastAsia="zh-CN"/>
        </w:rPr>
        <w:t>承担。</w:t>
      </w:r>
    </w:p>
    <w:p w14:paraId="52672F4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1.11  知识产权</w:t>
      </w:r>
    </w:p>
    <w:p w14:paraId="5A0A9A2B">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1.11.1  关于发包人提供给承包人的图纸、发包人为实施工程自行编制或委托编制的技术</w:t>
      </w:r>
    </w:p>
    <w:p w14:paraId="7CADFCFC">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规范以及反映发包人关于合同要求或其他类似性质的文件的著作权的归属：</w:t>
      </w:r>
      <w:r>
        <w:rPr>
          <w:rFonts w:hint="eastAsia"/>
          <w:color w:val="auto"/>
          <w:spacing w:val="1"/>
          <w:position w:val="15"/>
          <w:sz w:val="24"/>
          <w:szCs w:val="24"/>
          <w:highlight w:val="none"/>
          <w:u w:val="single"/>
          <w:lang w:eastAsia="zh-CN"/>
        </w:rPr>
        <w:t xml:space="preserve">  发包人 </w:t>
      </w:r>
      <w:r>
        <w:rPr>
          <w:rFonts w:hint="eastAsia"/>
          <w:color w:val="auto"/>
          <w:spacing w:val="1"/>
          <w:position w:val="15"/>
          <w:sz w:val="24"/>
          <w:szCs w:val="24"/>
          <w:highlight w:val="none"/>
          <w:lang w:eastAsia="zh-CN"/>
        </w:rPr>
        <w:t>。</w:t>
      </w:r>
    </w:p>
    <w:p w14:paraId="4B021E06">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关于发包人提供的上述文件的使用限制的要求：</w:t>
      </w:r>
      <w:r>
        <w:rPr>
          <w:rFonts w:hint="eastAsia"/>
          <w:color w:val="auto"/>
          <w:spacing w:val="1"/>
          <w:position w:val="15"/>
          <w:sz w:val="24"/>
          <w:szCs w:val="24"/>
          <w:highlight w:val="none"/>
          <w:u w:val="single"/>
          <w:lang w:eastAsia="zh-CN"/>
        </w:rPr>
        <w:t xml:space="preserve">未经发包人同意，承包人不得提供给第三方  </w:t>
      </w:r>
      <w:r>
        <w:rPr>
          <w:rFonts w:hint="eastAsia"/>
          <w:color w:val="auto"/>
          <w:spacing w:val="1"/>
          <w:position w:val="15"/>
          <w:sz w:val="24"/>
          <w:szCs w:val="24"/>
          <w:highlight w:val="none"/>
          <w:lang w:eastAsia="zh-CN"/>
        </w:rPr>
        <w:t>。</w:t>
      </w:r>
    </w:p>
    <w:p w14:paraId="3633EAC1">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1.11.2  关于承包人为实施工程所编制文件的著作权的归属：</w:t>
      </w:r>
      <w:r>
        <w:rPr>
          <w:rFonts w:hint="eastAsia"/>
          <w:color w:val="auto"/>
          <w:spacing w:val="1"/>
          <w:position w:val="15"/>
          <w:sz w:val="24"/>
          <w:szCs w:val="24"/>
          <w:highlight w:val="none"/>
          <w:u w:val="single"/>
          <w:lang w:eastAsia="zh-CN"/>
        </w:rPr>
        <w:t xml:space="preserve"> 见通用条款 </w:t>
      </w:r>
      <w:r>
        <w:rPr>
          <w:rFonts w:hint="eastAsia"/>
          <w:color w:val="auto"/>
          <w:spacing w:val="1"/>
          <w:position w:val="15"/>
          <w:sz w:val="24"/>
          <w:szCs w:val="24"/>
          <w:highlight w:val="none"/>
          <w:lang w:eastAsia="zh-CN"/>
        </w:rPr>
        <w:t>。</w:t>
      </w:r>
    </w:p>
    <w:p w14:paraId="7981E004">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1.11.3  关于承包人提供的上述文件的使用限制的要求：</w:t>
      </w:r>
      <w:r>
        <w:rPr>
          <w:rFonts w:hint="eastAsia"/>
          <w:color w:val="auto"/>
          <w:spacing w:val="1"/>
          <w:position w:val="15"/>
          <w:sz w:val="24"/>
          <w:szCs w:val="24"/>
          <w:highlight w:val="none"/>
          <w:u w:val="single"/>
          <w:lang w:eastAsia="zh-CN"/>
        </w:rPr>
        <w:t xml:space="preserve">  见通用条款 </w:t>
      </w:r>
      <w:r>
        <w:rPr>
          <w:rFonts w:hint="eastAsia"/>
          <w:color w:val="auto"/>
          <w:spacing w:val="1"/>
          <w:position w:val="15"/>
          <w:sz w:val="24"/>
          <w:szCs w:val="24"/>
          <w:highlight w:val="none"/>
          <w:lang w:eastAsia="zh-CN"/>
        </w:rPr>
        <w:t>。</w:t>
      </w:r>
    </w:p>
    <w:p w14:paraId="42D20F6A">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1.11.4  承包人在施工过程中所采用的专利、专有技术、技术秘密的使用费的承担方式：</w:t>
      </w:r>
      <w:r>
        <w:rPr>
          <w:rFonts w:hint="eastAsia"/>
          <w:color w:val="auto"/>
          <w:spacing w:val="1"/>
          <w:position w:val="15"/>
          <w:sz w:val="24"/>
          <w:szCs w:val="24"/>
          <w:highlight w:val="none"/>
          <w:u w:val="single"/>
          <w:lang w:eastAsia="zh-CN"/>
        </w:rPr>
        <w:t xml:space="preserve">见通用条款 </w:t>
      </w:r>
      <w:r>
        <w:rPr>
          <w:rFonts w:hint="eastAsia"/>
          <w:color w:val="auto"/>
          <w:spacing w:val="1"/>
          <w:position w:val="15"/>
          <w:sz w:val="24"/>
          <w:szCs w:val="24"/>
          <w:highlight w:val="none"/>
          <w:lang w:eastAsia="zh-CN"/>
        </w:rPr>
        <w:t>。</w:t>
      </w:r>
    </w:p>
    <w:p w14:paraId="2F015907">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1.13 工程量清单错误的修正</w:t>
      </w:r>
    </w:p>
    <w:p w14:paraId="349ACC83">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出现工程量清单工程量偏差时， 是否调整合同价格：</w:t>
      </w:r>
      <w:r>
        <w:rPr>
          <w:rFonts w:hint="eastAsia"/>
          <w:color w:val="auto"/>
          <w:spacing w:val="1"/>
          <w:position w:val="15"/>
          <w:sz w:val="24"/>
          <w:szCs w:val="24"/>
          <w:highlight w:val="none"/>
          <w:u w:val="single"/>
          <w:lang w:eastAsia="zh-CN"/>
        </w:rPr>
        <w:t>☑是 □否</w:t>
      </w:r>
      <w:r>
        <w:rPr>
          <w:rFonts w:hint="eastAsia"/>
          <w:color w:val="auto"/>
          <w:spacing w:val="1"/>
          <w:position w:val="15"/>
          <w:sz w:val="24"/>
          <w:szCs w:val="24"/>
          <w:highlight w:val="none"/>
          <w:lang w:eastAsia="zh-CN"/>
        </w:rPr>
        <w:t>。</w:t>
      </w:r>
    </w:p>
    <w:p w14:paraId="697C3C8D">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允许调整合同价格的工程量偏差范围及其调整办法：</w:t>
      </w:r>
    </w:p>
    <w:p w14:paraId="55B1DC49">
      <w:pPr>
        <w:pStyle w:val="19"/>
        <w:spacing w:line="360" w:lineRule="auto"/>
        <w:ind w:firstLine="484" w:firstLineChars="200"/>
        <w:jc w:val="both"/>
        <w:rPr>
          <w:color w:val="auto"/>
          <w:spacing w:val="1"/>
          <w:position w:val="15"/>
          <w:sz w:val="24"/>
          <w:szCs w:val="24"/>
          <w:highlight w:val="none"/>
          <w:u w:val="single"/>
          <w:lang w:eastAsia="zh-CN"/>
        </w:rPr>
      </w:pPr>
      <w:r>
        <w:rPr>
          <w:rFonts w:hint="eastAsia"/>
          <w:color w:val="auto"/>
          <w:spacing w:val="1"/>
          <w:position w:val="15"/>
          <w:sz w:val="24"/>
          <w:szCs w:val="24"/>
          <w:highlight w:val="none"/>
          <w:u w:val="single"/>
          <w:lang w:eastAsia="zh-CN"/>
        </w:rPr>
        <w:t>□ 除严重不平衡报价外，无论分部分项工程量清单项目中的工程量变化多少均不调整。</w:t>
      </w:r>
    </w:p>
    <w:p w14:paraId="30AB7503">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u w:val="single"/>
          <w:lang w:eastAsia="zh-CN"/>
        </w:rPr>
        <w:t>☑承包人实际完成的某单项清单项目工程量与招标工程量清单工程量偏差超过15%且该单项清单造价超过合同总价1%以上的，超过后增加部分工程量或减少后剩余部分工程量的综合单价按以下方法调整：有定额的套定额计算，执行本</w:t>
      </w:r>
      <w:r>
        <w:rPr>
          <w:rFonts w:hint="eastAsia"/>
          <w:color w:val="auto"/>
          <w:spacing w:val="1"/>
          <w:position w:val="15"/>
          <w:sz w:val="24"/>
          <w:szCs w:val="24"/>
          <w:highlight w:val="none"/>
          <w:u w:val="single"/>
          <w:lang w:val="en-US" w:eastAsia="zh-CN"/>
        </w:rPr>
        <w:t>采购</w:t>
      </w:r>
      <w:r>
        <w:rPr>
          <w:rFonts w:hint="eastAsia"/>
          <w:color w:val="auto"/>
          <w:spacing w:val="1"/>
          <w:position w:val="15"/>
          <w:sz w:val="24"/>
          <w:szCs w:val="24"/>
          <w:highlight w:val="none"/>
          <w:u w:val="single"/>
          <w:lang w:eastAsia="zh-CN"/>
        </w:rPr>
        <w:t>文件工程计价参考依据，并乘以下浮系数（成交价/经审定的工程预算控制价）结算， 其中材料价格有信息价的按施工期间信息价的平均价计取， 无信息价的由发包人、监理单位及承包人根据市场价格协商议定。</w:t>
      </w:r>
    </w:p>
    <w:p w14:paraId="3362C20A">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  发包人</w:t>
      </w:r>
    </w:p>
    <w:p w14:paraId="22BB9B8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2.2  发包人代表</w:t>
      </w:r>
    </w:p>
    <w:p w14:paraId="4D6EECF8">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发包人代表：</w:t>
      </w:r>
    </w:p>
    <w:p w14:paraId="31368848">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姓    名：</w:t>
      </w:r>
      <w:r>
        <w:rPr>
          <w:rFonts w:hint="eastAsia"/>
          <w:color w:val="auto"/>
          <w:spacing w:val="1"/>
          <w:position w:val="15"/>
          <w:sz w:val="24"/>
          <w:szCs w:val="24"/>
          <w:highlight w:val="none"/>
          <w:lang w:val="en-US" w:eastAsia="zh-CN"/>
        </w:rPr>
        <w:t xml:space="preserve">      </w:t>
      </w:r>
      <w:r>
        <w:rPr>
          <w:rFonts w:hint="eastAsia"/>
          <w:color w:val="auto"/>
          <w:spacing w:val="1"/>
          <w:position w:val="15"/>
          <w:sz w:val="24"/>
          <w:szCs w:val="24"/>
          <w:highlight w:val="none"/>
          <w:lang w:eastAsia="zh-CN"/>
        </w:rPr>
        <w:t>；</w:t>
      </w:r>
    </w:p>
    <w:p w14:paraId="4DA0517F">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身份证号：</w:t>
      </w:r>
      <w:r>
        <w:rPr>
          <w:rFonts w:hint="eastAsia"/>
          <w:color w:val="auto"/>
          <w:spacing w:val="1"/>
          <w:position w:val="15"/>
          <w:sz w:val="24"/>
          <w:szCs w:val="24"/>
          <w:highlight w:val="none"/>
          <w:lang w:val="en-US" w:eastAsia="zh-CN"/>
        </w:rPr>
        <w:t xml:space="preserve">           </w:t>
      </w:r>
      <w:r>
        <w:rPr>
          <w:rFonts w:hint="eastAsia"/>
          <w:color w:val="auto"/>
          <w:spacing w:val="1"/>
          <w:position w:val="15"/>
          <w:sz w:val="24"/>
          <w:szCs w:val="24"/>
          <w:highlight w:val="none"/>
          <w:lang w:eastAsia="zh-CN"/>
        </w:rPr>
        <w:t>；</w:t>
      </w:r>
    </w:p>
    <w:p w14:paraId="3F2A9621">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职    务：</w:t>
      </w:r>
      <w:r>
        <w:rPr>
          <w:rFonts w:hint="eastAsia"/>
          <w:color w:val="auto"/>
          <w:spacing w:val="1"/>
          <w:position w:val="15"/>
          <w:sz w:val="24"/>
          <w:szCs w:val="24"/>
          <w:highlight w:val="none"/>
          <w:lang w:val="en-US" w:eastAsia="zh-CN"/>
        </w:rPr>
        <w:t xml:space="preserve">           </w:t>
      </w:r>
      <w:r>
        <w:rPr>
          <w:rFonts w:hint="eastAsia"/>
          <w:color w:val="auto"/>
          <w:spacing w:val="1"/>
          <w:position w:val="15"/>
          <w:sz w:val="24"/>
          <w:szCs w:val="24"/>
          <w:highlight w:val="none"/>
          <w:lang w:eastAsia="zh-CN"/>
        </w:rPr>
        <w:t>；</w:t>
      </w:r>
    </w:p>
    <w:p w14:paraId="0523CC99">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联系电话：</w:t>
      </w:r>
      <w:r>
        <w:rPr>
          <w:rFonts w:hint="eastAsia"/>
          <w:color w:val="auto"/>
          <w:spacing w:val="1"/>
          <w:position w:val="15"/>
          <w:sz w:val="24"/>
          <w:szCs w:val="24"/>
          <w:highlight w:val="none"/>
          <w:lang w:val="en-US" w:eastAsia="zh-CN"/>
        </w:rPr>
        <w:t xml:space="preserve">             </w:t>
      </w:r>
      <w:r>
        <w:rPr>
          <w:rFonts w:hint="eastAsia"/>
          <w:color w:val="auto"/>
          <w:spacing w:val="1"/>
          <w:position w:val="15"/>
          <w:sz w:val="24"/>
          <w:szCs w:val="24"/>
          <w:highlight w:val="none"/>
          <w:lang w:eastAsia="zh-CN"/>
        </w:rPr>
        <w:t>；</w:t>
      </w:r>
    </w:p>
    <w:p w14:paraId="304528C1">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电子信箱：</w:t>
      </w:r>
      <w:r>
        <w:rPr>
          <w:rFonts w:hint="eastAsia"/>
          <w:color w:val="auto"/>
          <w:spacing w:val="1"/>
          <w:position w:val="15"/>
          <w:sz w:val="24"/>
          <w:szCs w:val="24"/>
          <w:highlight w:val="none"/>
          <w:lang w:val="en-US" w:eastAsia="zh-CN"/>
        </w:rPr>
        <w:t xml:space="preserve"> </w:t>
      </w:r>
      <w:r>
        <w:rPr>
          <w:rFonts w:hint="eastAsia"/>
          <w:color w:val="auto"/>
          <w:spacing w:val="1"/>
          <w:position w:val="15"/>
          <w:sz w:val="24"/>
          <w:szCs w:val="24"/>
          <w:highlight w:val="none"/>
          <w:lang w:eastAsia="zh-CN"/>
        </w:rPr>
        <w:t>；</w:t>
      </w:r>
    </w:p>
    <w:p w14:paraId="6BDD1A39">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通信地址：</w:t>
      </w:r>
      <w:r>
        <w:rPr>
          <w:rFonts w:hint="eastAsia"/>
          <w:color w:val="auto"/>
          <w:spacing w:val="1"/>
          <w:position w:val="15"/>
          <w:sz w:val="24"/>
          <w:szCs w:val="24"/>
          <w:highlight w:val="none"/>
          <w:lang w:val="en-US" w:eastAsia="zh-CN"/>
        </w:rPr>
        <w:t xml:space="preserve">  </w:t>
      </w:r>
      <w:r>
        <w:rPr>
          <w:rFonts w:hint="eastAsia"/>
          <w:color w:val="auto"/>
          <w:spacing w:val="1"/>
          <w:position w:val="15"/>
          <w:sz w:val="24"/>
          <w:szCs w:val="24"/>
          <w:highlight w:val="none"/>
          <w:lang w:eastAsia="zh-CN"/>
        </w:rPr>
        <w:t>。</w:t>
      </w:r>
    </w:p>
    <w:p w14:paraId="0D514550">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发包人对发包人代表的授权范围如下：</w:t>
      </w:r>
      <w:r>
        <w:rPr>
          <w:rFonts w:hint="eastAsia"/>
          <w:color w:val="auto"/>
          <w:spacing w:val="1"/>
          <w:position w:val="15"/>
          <w:sz w:val="24"/>
          <w:szCs w:val="24"/>
          <w:highlight w:val="none"/>
          <w:u w:val="single"/>
          <w:lang w:eastAsia="zh-CN"/>
        </w:rPr>
        <w:t>负责现场协调管理，质量、安全、投资和工期的控制，现场工程有关的资料签证， 对经济签证资料及时提出建议意见并交发包方组织研究后签字认可 。</w:t>
      </w:r>
    </w:p>
    <w:p w14:paraId="3ACCBCF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2.4  施工现场、施工条件和基础资料的提供</w:t>
      </w:r>
    </w:p>
    <w:p w14:paraId="586427A1">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2.4.1  提供施工现场</w:t>
      </w:r>
    </w:p>
    <w:p w14:paraId="1B8BB14F">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关于发包人移交施工现场的期限要求：</w:t>
      </w:r>
      <w:r>
        <w:rPr>
          <w:rFonts w:hint="eastAsia"/>
          <w:color w:val="auto"/>
          <w:spacing w:val="1"/>
          <w:position w:val="15"/>
          <w:sz w:val="24"/>
          <w:szCs w:val="24"/>
          <w:highlight w:val="none"/>
          <w:u w:val="single"/>
          <w:lang w:eastAsia="zh-CN"/>
        </w:rPr>
        <w:t xml:space="preserve"> 签订合同后 5  个工作日内 </w:t>
      </w:r>
      <w:r>
        <w:rPr>
          <w:rFonts w:hint="eastAsia"/>
          <w:color w:val="auto"/>
          <w:spacing w:val="1"/>
          <w:position w:val="15"/>
          <w:sz w:val="24"/>
          <w:szCs w:val="24"/>
          <w:highlight w:val="none"/>
          <w:lang w:eastAsia="zh-CN"/>
        </w:rPr>
        <w:t>。</w:t>
      </w:r>
    </w:p>
    <w:p w14:paraId="7E1628D1">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2.4.2  提供施工条件</w:t>
      </w:r>
    </w:p>
    <w:p w14:paraId="5474BC60">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关于发包人应负责提供施工所需要的条件，包括：</w:t>
      </w:r>
      <w:r>
        <w:rPr>
          <w:rFonts w:hint="eastAsia"/>
          <w:color w:val="auto"/>
          <w:spacing w:val="1"/>
          <w:position w:val="15"/>
          <w:sz w:val="24"/>
          <w:szCs w:val="24"/>
          <w:highlight w:val="none"/>
          <w:u w:val="single"/>
          <w:lang w:eastAsia="zh-CN"/>
        </w:rPr>
        <w:t xml:space="preserve"> 发包人将施工用电接至用地红线范围内指定点， 场地内的配电设施安装及使用等费用由承包人负责 </w:t>
      </w:r>
      <w:r>
        <w:rPr>
          <w:rFonts w:hint="eastAsia"/>
          <w:color w:val="auto"/>
          <w:spacing w:val="1"/>
          <w:position w:val="15"/>
          <w:sz w:val="24"/>
          <w:szCs w:val="24"/>
          <w:highlight w:val="none"/>
          <w:lang w:eastAsia="zh-CN"/>
        </w:rPr>
        <w:t>。</w:t>
      </w:r>
    </w:p>
    <w:p w14:paraId="52294B1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2.5  资金来源证明及支付担保</w:t>
      </w:r>
    </w:p>
    <w:p w14:paraId="316F55A1">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发包人提供资金来源证明的期限要求：</w:t>
      </w:r>
      <w:r>
        <w:rPr>
          <w:rFonts w:hint="eastAsia"/>
          <w:color w:val="auto"/>
          <w:spacing w:val="1"/>
          <w:position w:val="15"/>
          <w:sz w:val="24"/>
          <w:szCs w:val="24"/>
          <w:highlight w:val="none"/>
          <w:u w:val="single"/>
          <w:lang w:eastAsia="zh-CN"/>
        </w:rPr>
        <w:t xml:space="preserve">   无   </w:t>
      </w:r>
      <w:r>
        <w:rPr>
          <w:rFonts w:hint="eastAsia"/>
          <w:color w:val="auto"/>
          <w:spacing w:val="1"/>
          <w:position w:val="15"/>
          <w:sz w:val="24"/>
          <w:szCs w:val="24"/>
          <w:highlight w:val="none"/>
          <w:lang w:eastAsia="zh-CN"/>
        </w:rPr>
        <w:t xml:space="preserve"> 。</w:t>
      </w:r>
    </w:p>
    <w:p w14:paraId="1B2716A9">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发包人是否提供支付担保：</w:t>
      </w:r>
      <w:r>
        <w:rPr>
          <w:rFonts w:hint="eastAsia"/>
          <w:color w:val="auto"/>
          <w:spacing w:val="1"/>
          <w:position w:val="15"/>
          <w:sz w:val="24"/>
          <w:szCs w:val="24"/>
          <w:highlight w:val="none"/>
          <w:u w:val="single"/>
          <w:lang w:eastAsia="zh-CN"/>
        </w:rPr>
        <w:t xml:space="preserve">   否  </w:t>
      </w:r>
      <w:r>
        <w:rPr>
          <w:rFonts w:hint="eastAsia"/>
          <w:color w:val="auto"/>
          <w:spacing w:val="1"/>
          <w:position w:val="15"/>
          <w:sz w:val="24"/>
          <w:szCs w:val="24"/>
          <w:highlight w:val="none"/>
          <w:lang w:eastAsia="zh-CN"/>
        </w:rPr>
        <w:t>。【发包人要求承包人提供履约担保的，应当同时向承包人提供工程款支付担保。工程款支付担保可以全额担保，也可以分阶段担保。分阶段担保的，除保修金以外的全部款项，完成一个阶段清算后再进入下一阶段，有效期截至工程竣工结算款支付完毕。发包人未按合同约定及时支付工程款的，工程担保保证人需承担担保责任。对政府投资项目，由建设单位提供落实财政资金来源的证明文件。】</w:t>
      </w:r>
    </w:p>
    <w:p w14:paraId="25F9B4F4">
      <w:pPr>
        <w:pStyle w:val="19"/>
        <w:spacing w:line="360" w:lineRule="auto"/>
        <w:ind w:firstLine="484" w:firstLineChars="200"/>
        <w:jc w:val="both"/>
        <w:rPr>
          <w:rFonts w:hint="eastAsia"/>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发包人提供支付担保的形式：可以是银行转账、电汇或网上支付、保函（银行保函、电子保函、保证保险保函、工程担保保函） 等形式。</w:t>
      </w:r>
    </w:p>
    <w:p w14:paraId="6C3FE58C">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发包人提供的支付担保格式见合同附件 9。</w:t>
      </w:r>
    </w:p>
    <w:p w14:paraId="4D1CE62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 承包人</w:t>
      </w:r>
    </w:p>
    <w:p w14:paraId="3A7FC49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3.1  承包人的一般义务</w:t>
      </w:r>
    </w:p>
    <w:p w14:paraId="45D022EA">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（9）承包人提交的竣工资料的内容：</w:t>
      </w:r>
      <w:r>
        <w:rPr>
          <w:rFonts w:hint="eastAsia"/>
          <w:color w:val="auto"/>
          <w:spacing w:val="1"/>
          <w:position w:val="15"/>
          <w:sz w:val="24"/>
          <w:szCs w:val="24"/>
          <w:highlight w:val="none"/>
          <w:u w:val="single"/>
          <w:lang w:eastAsia="zh-CN"/>
        </w:rPr>
        <w:t xml:space="preserve">工程具备竣工验收条件，承包人按工程竣工验收有关规定，向发包人提交完整竣工资料及竣工验收报告和竣工图 </w:t>
      </w:r>
      <w:r>
        <w:rPr>
          <w:rFonts w:hint="eastAsia"/>
          <w:color w:val="auto"/>
          <w:spacing w:val="1"/>
          <w:position w:val="15"/>
          <w:sz w:val="24"/>
          <w:szCs w:val="24"/>
          <w:highlight w:val="none"/>
          <w:lang w:eastAsia="zh-CN"/>
        </w:rPr>
        <w:t>。</w:t>
      </w:r>
    </w:p>
    <w:p w14:paraId="07BFDD70">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承包人需要提交的竣工资料套数：</w:t>
      </w:r>
      <w:r>
        <w:rPr>
          <w:rFonts w:hint="eastAsia"/>
          <w:color w:val="auto"/>
          <w:spacing w:val="1"/>
          <w:position w:val="15"/>
          <w:sz w:val="24"/>
          <w:szCs w:val="24"/>
          <w:highlight w:val="none"/>
          <w:u w:val="single"/>
          <w:lang w:eastAsia="zh-CN"/>
        </w:rPr>
        <w:t xml:space="preserve"> 8 套 </w:t>
      </w:r>
      <w:r>
        <w:rPr>
          <w:rFonts w:hint="eastAsia"/>
          <w:color w:val="auto"/>
          <w:spacing w:val="1"/>
          <w:position w:val="15"/>
          <w:sz w:val="24"/>
          <w:szCs w:val="24"/>
          <w:highlight w:val="none"/>
          <w:lang w:eastAsia="zh-CN"/>
        </w:rPr>
        <w:t>。</w:t>
      </w:r>
    </w:p>
    <w:p w14:paraId="56D4418E">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承包人提交的竣工资料的费用承担：</w:t>
      </w:r>
      <w:r>
        <w:rPr>
          <w:rFonts w:hint="eastAsia"/>
          <w:color w:val="auto"/>
          <w:spacing w:val="1"/>
          <w:position w:val="15"/>
          <w:sz w:val="24"/>
          <w:szCs w:val="24"/>
          <w:highlight w:val="none"/>
          <w:u w:val="single"/>
          <w:lang w:eastAsia="zh-CN"/>
        </w:rPr>
        <w:t xml:space="preserve">  承包人自行承担 </w:t>
      </w:r>
      <w:r>
        <w:rPr>
          <w:rFonts w:hint="eastAsia"/>
          <w:color w:val="auto"/>
          <w:spacing w:val="1"/>
          <w:position w:val="15"/>
          <w:sz w:val="24"/>
          <w:szCs w:val="24"/>
          <w:highlight w:val="none"/>
          <w:lang w:eastAsia="zh-CN"/>
        </w:rPr>
        <w:t>。</w:t>
      </w:r>
    </w:p>
    <w:p w14:paraId="67279CE4">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承包人提交的竣工资料移交时间：</w:t>
      </w:r>
      <w:r>
        <w:rPr>
          <w:rFonts w:hint="eastAsia"/>
          <w:color w:val="auto"/>
          <w:spacing w:val="1"/>
          <w:position w:val="15"/>
          <w:sz w:val="24"/>
          <w:szCs w:val="24"/>
          <w:highlight w:val="none"/>
          <w:u w:val="single"/>
          <w:lang w:eastAsia="zh-CN"/>
        </w:rPr>
        <w:t xml:space="preserve"> 28 天内 </w:t>
      </w:r>
      <w:r>
        <w:rPr>
          <w:rFonts w:hint="eastAsia"/>
          <w:color w:val="auto"/>
          <w:spacing w:val="1"/>
          <w:position w:val="15"/>
          <w:sz w:val="24"/>
          <w:szCs w:val="24"/>
          <w:highlight w:val="none"/>
          <w:lang w:eastAsia="zh-CN"/>
        </w:rPr>
        <w:t>。</w:t>
      </w:r>
    </w:p>
    <w:p w14:paraId="7FE5F608">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承包人提交的竣工资料形式要求：</w:t>
      </w:r>
      <w:r>
        <w:rPr>
          <w:rFonts w:hint="eastAsia"/>
          <w:color w:val="auto"/>
          <w:spacing w:val="1"/>
          <w:position w:val="15"/>
          <w:sz w:val="24"/>
          <w:szCs w:val="24"/>
          <w:highlight w:val="none"/>
          <w:u w:val="single"/>
          <w:lang w:eastAsia="zh-CN"/>
        </w:rPr>
        <w:t xml:space="preserve"> 按竣工资料整理归档的相关要求 </w:t>
      </w:r>
      <w:r>
        <w:rPr>
          <w:rFonts w:hint="eastAsia"/>
          <w:color w:val="auto"/>
          <w:spacing w:val="1"/>
          <w:position w:val="15"/>
          <w:sz w:val="24"/>
          <w:szCs w:val="24"/>
          <w:highlight w:val="none"/>
          <w:lang w:eastAsia="zh-CN"/>
        </w:rPr>
        <w:t>。</w:t>
      </w:r>
    </w:p>
    <w:p w14:paraId="1CF02CB2">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（10）承包人应履行的其他义务：</w:t>
      </w:r>
      <w:r>
        <w:rPr>
          <w:rFonts w:hint="eastAsia"/>
          <w:color w:val="auto"/>
          <w:spacing w:val="1"/>
          <w:position w:val="15"/>
          <w:sz w:val="24"/>
          <w:szCs w:val="24"/>
          <w:highlight w:val="none"/>
          <w:u w:val="single"/>
          <w:lang w:eastAsia="zh-CN"/>
        </w:rPr>
        <w:t xml:space="preserve"> 对开工的项目，须组建项目工会 </w:t>
      </w:r>
      <w:r>
        <w:rPr>
          <w:rFonts w:hint="eastAsia"/>
          <w:color w:val="auto"/>
          <w:spacing w:val="1"/>
          <w:position w:val="15"/>
          <w:sz w:val="24"/>
          <w:szCs w:val="24"/>
          <w:highlight w:val="none"/>
          <w:lang w:eastAsia="zh-CN"/>
        </w:rPr>
        <w:t>。</w:t>
      </w:r>
    </w:p>
    <w:p w14:paraId="46A34C7E">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①配合发包人做好安全文明宣传、领导检查等工作，相关费用由承包人承担；</w:t>
      </w:r>
    </w:p>
    <w:p w14:paraId="299D2729">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②本工程施工场地范围内水、电的使用、维护、拆除、恢复等由承包人负责，相关费用由承包人承担；</w:t>
      </w:r>
    </w:p>
    <w:p w14:paraId="610127D3">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③承包人的临时占地（含项目部驻地等）租用费（含拆迁补偿）、临时用地的环保、恢复及施工范围内临时性占地的青苗补偿及地面附着物发生的费用均由承包人负责； </w:t>
      </w:r>
    </w:p>
    <w:p w14:paraId="5C908DB6">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④承包人应为监理单位、发包人现场代表对施工现场的检查监督提供必要的配合，并对这种配合对施工的影响应有充分的考虑。  </w:t>
      </w:r>
    </w:p>
    <w:p w14:paraId="4BA3BC67">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⑤经过城市道路的施工车辆， 必须按交警、城管、环卫等部门规定执行。施工车辆的营运手续办理、清洗等一切费用由承包人承担。由于车辆带泥或洒漏造成的道路、环境等污染，其责任和费用均由承包人承担。 </w:t>
      </w:r>
    </w:p>
    <w:p w14:paraId="0C26058B">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⑥取土料场和废土场的征（租）用、复耕、平整等工作由承包人负责，并负责提供检测合格的土料。  </w:t>
      </w:r>
    </w:p>
    <w:p w14:paraId="4F433CD6">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⑦承包人应负责施工场内交通管制和协调通行工作。连接施工场内外道路出口处须设洗车场，对从施工场地进入市区道路的所有车辆进行清洗，并派专人在出口处负责看守，严禁与工程施工无关的人员及车辆进出施工场地。如承包人违反以上有关规定，由此所造成的一切后果由承包人负责。  </w:t>
      </w:r>
    </w:p>
    <w:p w14:paraId="37AB741A">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⑧承包人负责其本合同段在合同实施期内临时交通道路（含场内外连接公共交通道路）和临时交通设施的修建、维修、养护和交通管理工作，并承担一切费用。</w:t>
      </w:r>
    </w:p>
    <w:p w14:paraId="4CBDD46D">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⑨承包人在实施本合同工程所使用公共道路、水源、公共设施等必须保障发包人及其他人的财产、利益和权利免受损害，造成损坏的由承包人负责维修或赔偿， 并承担一切费用。</w:t>
      </w:r>
    </w:p>
    <w:p w14:paraId="4C232526">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⑩承包人的施工管理区及施工场地应设有临时的污水处理设施和施工排水设施，生活施工垃圾等处置应妥当，施工材料如涂料、化学品等应妥善存放， 并设有防雨、防风、防火等措施，并承担一切费用。 </w:t>
      </w:r>
    </w:p>
    <w:p w14:paraId="01D05CF5">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⑪移交证书签发后， 承包人应立即从签发了移交证书的工地上将所有有关的承包人的设备、多余材料、垃圾及各种临时工程清除、移走， 并使这一部分工程及工地保持清洁。 </w:t>
      </w:r>
    </w:p>
    <w:p w14:paraId="18449F2D">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⑫承包人应全权自费负责其劳务及职员的雇佣、工资的支付、房屋、膳食及运输的安排。承包人在任何时候应采取一切合理的预防措施，以防止其职员发生任何违法的、防碍治安的行为，并维护治安和保护工程附近的单位、个人或财产免遭上述行为的破坏，否则，由此造成的后果和费用均由承包人承担。 </w:t>
      </w:r>
    </w:p>
    <w:p w14:paraId="16625835">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⑬承包人应按安全施工管理有关规定，配备安全管理机构，配备合格的专职安全员，负责处理全体工作人员和劳务人员的安全保护和防止事故等问题，如因承包人原因造成人员伤亡、财产损失等一切事故，由承包人负全责并承担费用。</w:t>
      </w:r>
    </w:p>
    <w:p w14:paraId="26E4011C">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⑭承包人在施工期间应协调好与邻近相关单位（含居民、农民）的关系，应避免发生矛盾与冲突，否则，由此造成的一切后果由承包人承担。</w:t>
      </w:r>
    </w:p>
    <w:p w14:paraId="6C26D030">
      <w:pPr>
        <w:pStyle w:val="19"/>
        <w:spacing w:line="360" w:lineRule="auto"/>
        <w:ind w:firstLine="486" w:firstLineChars="200"/>
        <w:jc w:val="both"/>
        <w:rPr>
          <w:b/>
          <w:bCs/>
          <w:color w:val="auto"/>
          <w:spacing w:val="1"/>
          <w:position w:val="15"/>
          <w:sz w:val="24"/>
          <w:szCs w:val="24"/>
          <w:highlight w:val="none"/>
          <w:u w:val="single"/>
          <w:lang w:eastAsia="zh-CN"/>
        </w:rPr>
      </w:pPr>
      <w:r>
        <w:rPr>
          <w:rFonts w:hint="eastAsia"/>
          <w:b/>
          <w:bCs/>
          <w:color w:val="auto"/>
          <w:spacing w:val="1"/>
          <w:position w:val="15"/>
          <w:sz w:val="24"/>
          <w:szCs w:val="24"/>
          <w:highlight w:val="none"/>
          <w:u w:val="single"/>
          <w:lang w:eastAsia="zh-CN"/>
        </w:rPr>
        <w:t xml:space="preserve">⑮对上述工作，费用已包括在有关单价和总价中，发包人不再另行支付由此所发生的一切费用。 </w:t>
      </w:r>
    </w:p>
    <w:p w14:paraId="11F2ADB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3.2  项目经理</w:t>
      </w:r>
    </w:p>
    <w:p w14:paraId="448B5063">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3.2.1  项目经理：</w:t>
      </w:r>
    </w:p>
    <w:p w14:paraId="62B08A9B">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姓    名：</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1B310259">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身份证号：</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lang w:eastAsia="zh-CN"/>
        </w:rPr>
        <w:t>；</w:t>
      </w:r>
    </w:p>
    <w:p w14:paraId="160818AF">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建造师执业资格等级：</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4DA84456">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建造师注册证书号：</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25F5ED0E">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安全生产考核合格证书号：</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u w:val="single"/>
          <w:lang w:val="en-US" w:eastAsia="zh-CN"/>
        </w:rPr>
        <w:t xml:space="preserve">            </w:t>
      </w:r>
      <w:r>
        <w:rPr>
          <w:rFonts w:hint="eastAsia"/>
          <w:color w:val="auto"/>
          <w:spacing w:val="1"/>
          <w:position w:val="15"/>
          <w:sz w:val="24"/>
          <w:szCs w:val="24"/>
          <w:highlight w:val="none"/>
          <w:u w:val="single"/>
          <w:lang w:eastAsia="zh-CN"/>
        </w:rPr>
        <w:t xml:space="preserve"> </w:t>
      </w:r>
      <w:r>
        <w:rPr>
          <w:rFonts w:hint="eastAsia"/>
          <w:color w:val="auto"/>
          <w:spacing w:val="1"/>
          <w:position w:val="15"/>
          <w:sz w:val="24"/>
          <w:szCs w:val="24"/>
          <w:highlight w:val="none"/>
          <w:lang w:eastAsia="zh-CN"/>
        </w:rPr>
        <w:t>；</w:t>
      </w:r>
    </w:p>
    <w:p w14:paraId="43146A6F">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联系电话：；</w:t>
      </w:r>
    </w:p>
    <w:p w14:paraId="06EB9CA9">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电子信箱：；</w:t>
      </w:r>
    </w:p>
    <w:p w14:paraId="3D7EF782">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通信地址：；</w:t>
      </w:r>
    </w:p>
    <w:p w14:paraId="3E6397CE">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劳资专管员：联系方式：。</w:t>
      </w:r>
    </w:p>
    <w:p w14:paraId="5307B502">
      <w:pPr>
        <w:pStyle w:val="19"/>
        <w:spacing w:line="360" w:lineRule="auto"/>
        <w:ind w:firstLine="484" w:firstLineChars="200"/>
        <w:jc w:val="both"/>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承包人对项目经理的授权范围如下：</w:t>
      </w:r>
      <w:r>
        <w:rPr>
          <w:rFonts w:hint="eastAsia"/>
          <w:color w:val="auto"/>
          <w:spacing w:val="1"/>
          <w:position w:val="15"/>
          <w:sz w:val="24"/>
          <w:szCs w:val="24"/>
          <w:highlight w:val="none"/>
          <w:u w:val="single"/>
          <w:lang w:eastAsia="zh-CN"/>
        </w:rPr>
        <w:t xml:space="preserve">  项目经理仅限于工程现场施工管理，未经承包人盖章同意，不得以承包人名义向外采购材料设备、租用建筑周转材料、雇用劳动力、签订分包合同等从事一切为承包人设立义务或责任的行为。</w:t>
      </w:r>
    </w:p>
    <w:p w14:paraId="777821FB">
      <w:pPr>
        <w:pStyle w:val="19"/>
        <w:spacing w:line="360" w:lineRule="auto"/>
        <w:ind w:firstLine="484" w:firstLineChars="200"/>
        <w:jc w:val="both"/>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关于项目经理每月在施工现场的时间要求：</w:t>
      </w:r>
      <w:r>
        <w:rPr>
          <w:rFonts w:hint="eastAsia"/>
          <w:color w:val="auto"/>
          <w:spacing w:val="1"/>
          <w:position w:val="15"/>
          <w:sz w:val="24"/>
          <w:szCs w:val="24"/>
          <w:highlight w:val="none"/>
          <w:u w:val="single"/>
          <w:lang w:eastAsia="zh-CN"/>
        </w:rPr>
        <w:t>项目经理须长驻施工现场（办公时间每周不少于5天，每天不少于8小时）。</w:t>
      </w:r>
    </w:p>
    <w:p w14:paraId="3CB1D808">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承包人未提交劳动合同，以及没有为项目经理缴纳社会保险证明的违约责任：</w:t>
      </w:r>
      <w:r>
        <w:rPr>
          <w:rFonts w:hint="eastAsia"/>
          <w:color w:val="auto"/>
          <w:spacing w:val="1"/>
          <w:position w:val="15"/>
          <w:sz w:val="24"/>
          <w:szCs w:val="24"/>
          <w:highlight w:val="none"/>
          <w:u w:val="single"/>
          <w:lang w:eastAsia="zh-CN"/>
        </w:rPr>
        <w:t xml:space="preserve">业主有权处罚5万元以内罚款 </w:t>
      </w:r>
      <w:r>
        <w:rPr>
          <w:rFonts w:hint="eastAsia"/>
          <w:color w:val="auto"/>
          <w:spacing w:val="1"/>
          <w:position w:val="15"/>
          <w:sz w:val="24"/>
          <w:szCs w:val="24"/>
          <w:highlight w:val="none"/>
          <w:lang w:eastAsia="zh-CN"/>
        </w:rPr>
        <w:t>。</w:t>
      </w:r>
    </w:p>
    <w:p w14:paraId="3E9C1157">
      <w:pPr>
        <w:pStyle w:val="19"/>
        <w:spacing w:line="360" w:lineRule="auto"/>
        <w:ind w:firstLine="484" w:firstLineChars="200"/>
        <w:jc w:val="both"/>
        <w:rPr>
          <w:color w:val="auto"/>
          <w:spacing w:val="1"/>
          <w:position w:val="15"/>
          <w:sz w:val="24"/>
          <w:szCs w:val="24"/>
          <w:highlight w:val="none"/>
          <w:lang w:eastAsia="zh-CN"/>
        </w:rPr>
      </w:pPr>
      <w:r>
        <w:rPr>
          <w:rFonts w:hint="eastAsia"/>
          <w:color w:val="auto"/>
          <w:spacing w:val="1"/>
          <w:position w:val="15"/>
          <w:sz w:val="24"/>
          <w:szCs w:val="24"/>
          <w:highlight w:val="none"/>
          <w:lang w:eastAsia="zh-CN"/>
        </w:rPr>
        <w:t>项目经理未经批准，擅自离开施工现场的违约责任：</w:t>
      </w:r>
      <w:r>
        <w:rPr>
          <w:rFonts w:hint="eastAsia"/>
          <w:color w:val="auto"/>
          <w:spacing w:val="1"/>
          <w:position w:val="15"/>
          <w:sz w:val="24"/>
          <w:szCs w:val="24"/>
          <w:highlight w:val="none"/>
          <w:u w:val="single"/>
          <w:lang w:eastAsia="zh-CN"/>
        </w:rPr>
        <w:t>项目经理每月在岗带班时间不得少于当月施工时间的80%。未经发包人同意或正当理由，项目经理每月在岗带班时间少于当月施工时间的80%的，少在岗带班一天， 发包人有权处违约金1500.00元/日（人民币）</w:t>
      </w:r>
      <w:r>
        <w:rPr>
          <w:rFonts w:hint="eastAsia"/>
          <w:color w:val="auto"/>
          <w:spacing w:val="1"/>
          <w:position w:val="15"/>
          <w:sz w:val="24"/>
          <w:szCs w:val="24"/>
          <w:highlight w:val="none"/>
          <w:lang w:eastAsia="zh-CN"/>
        </w:rPr>
        <w:t>。</w:t>
      </w:r>
    </w:p>
    <w:p w14:paraId="2E26108C">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3.2.3  承包人擅自更换项目经理的违约责任：</w:t>
      </w:r>
      <w:r>
        <w:rPr>
          <w:rFonts w:hint="eastAsia"/>
          <w:color w:val="auto"/>
          <w:spacing w:val="1"/>
          <w:position w:val="15"/>
          <w:sz w:val="24"/>
          <w:szCs w:val="24"/>
          <w:highlight w:val="none"/>
          <w:u w:val="single"/>
          <w:lang w:eastAsia="zh-CN"/>
        </w:rPr>
        <w:t>承包人项目经理必须与承包人投标时所承诺的人员一致，并在（开工日期）前到任。</w:t>
      </w:r>
      <w:r>
        <w:rPr>
          <w:rFonts w:hint="eastAsia"/>
          <w:color w:val="auto"/>
          <w:spacing w:val="1"/>
          <w:position w:val="15"/>
          <w:sz w:val="24"/>
          <w:szCs w:val="24"/>
          <w:highlight w:val="none"/>
          <w:lang w:eastAsia="zh-CN"/>
        </w:rPr>
        <w:t>在监理人向承包人颁发</w:t>
      </w:r>
      <w:r>
        <w:rPr>
          <w:rFonts w:hint="eastAsia"/>
          <w:color w:val="auto"/>
          <w:spacing w:val="1"/>
          <w:position w:val="15"/>
          <w:sz w:val="24"/>
          <w:szCs w:val="24"/>
          <w:highlight w:val="none"/>
          <w:u w:val="single"/>
          <w:lang w:eastAsia="zh-CN"/>
        </w:rPr>
        <w:t>（竣工证明材料名称）</w:t>
      </w:r>
      <w:r>
        <w:rPr>
          <w:rFonts w:hint="eastAsia"/>
          <w:color w:val="auto"/>
          <w:spacing w:val="1"/>
          <w:position w:val="15"/>
          <w:sz w:val="24"/>
          <w:szCs w:val="24"/>
          <w:highlight w:val="none"/>
          <w:lang w:eastAsia="zh-CN"/>
        </w:rPr>
        <w:t>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w:t>
      </w:r>
      <w:r>
        <w:rPr>
          <w:rFonts w:hint="eastAsia"/>
          <w:color w:val="auto"/>
          <w:spacing w:val="1"/>
          <w:position w:val="15"/>
          <w:sz w:val="24"/>
          <w:szCs w:val="24"/>
          <w:highlight w:val="none"/>
          <w:u w:val="single"/>
          <w:lang w:eastAsia="zh-CN"/>
        </w:rPr>
        <w:t>20000.00</w:t>
      </w:r>
      <w:r>
        <w:rPr>
          <w:rFonts w:hint="eastAsia"/>
          <w:color w:val="auto"/>
          <w:spacing w:val="1"/>
          <w:position w:val="15"/>
          <w:sz w:val="24"/>
          <w:szCs w:val="24"/>
          <w:highlight w:val="none"/>
          <w:lang w:eastAsia="zh-CN"/>
        </w:rPr>
        <w:t>元/人•次（人民币）。</w:t>
      </w:r>
    </w:p>
    <w:p w14:paraId="05CCE976">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3.2.4  承包人无正当理由拒绝更换项目经理的违约责任：</w:t>
      </w:r>
      <w:r>
        <w:rPr>
          <w:rFonts w:hint="eastAsia"/>
          <w:color w:val="auto"/>
          <w:spacing w:val="1"/>
          <w:position w:val="15"/>
          <w:sz w:val="24"/>
          <w:szCs w:val="24"/>
          <w:highlight w:val="none"/>
          <w:u w:val="single"/>
          <w:lang w:eastAsia="zh-CN"/>
        </w:rPr>
        <w:t xml:space="preserve"> 因承包人项目经理不称职，发包人要求调换而未及时调换的，视为承包人违约，必须向发包人交纳处罚金5000.00元/人•次（人民币）。</w:t>
      </w:r>
    </w:p>
    <w:p w14:paraId="17D98D5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3.3  承包人人员</w:t>
      </w:r>
    </w:p>
    <w:p w14:paraId="1C256198">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3.3.1  承包人提交项目管理机构及施工现场管理人员安排报告（格式见合同附件5）的期限：</w:t>
      </w:r>
      <w:r>
        <w:rPr>
          <w:rFonts w:hint="eastAsia"/>
          <w:color w:val="auto"/>
          <w:spacing w:val="1"/>
          <w:position w:val="15"/>
          <w:sz w:val="24"/>
          <w:szCs w:val="24"/>
          <w:highlight w:val="none"/>
          <w:u w:val="single"/>
          <w:lang w:eastAsia="zh-CN"/>
        </w:rPr>
        <w:t>签订施工合同后 5 日内提供所有现场管理人员名单及相关资质证书、上岗证书 。</w:t>
      </w:r>
    </w:p>
    <w:p w14:paraId="25F29D7F">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3.3.3  承包人无正当理由拒绝撤换主要施工管理人员的违约责任：</w:t>
      </w:r>
      <w:r>
        <w:rPr>
          <w:rFonts w:hint="eastAsia"/>
          <w:color w:val="auto"/>
          <w:spacing w:val="1"/>
          <w:position w:val="15"/>
          <w:sz w:val="24"/>
          <w:szCs w:val="24"/>
          <w:highlight w:val="none"/>
          <w:u w:val="single"/>
          <w:lang w:eastAsia="zh-CN"/>
        </w:rPr>
        <w:t>因承包人主要施工管理人员不称职，发包人要求调换而无正当理由拒绝撤换或未及时调换的，视为承包人违约，必须向发包人交纳处罚金，处罚标准：技术负责人10000.00 元/人•次（人民币）；专业工程师5000.00元/人•次（人民币）。</w:t>
      </w:r>
    </w:p>
    <w:p w14:paraId="2E362F3A">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3.3.4  承包人主要施工管理人员离开施工现场的批准要求：</w:t>
      </w:r>
      <w:r>
        <w:rPr>
          <w:rFonts w:hint="eastAsia"/>
          <w:color w:val="auto"/>
          <w:spacing w:val="1"/>
          <w:position w:val="15"/>
          <w:sz w:val="24"/>
          <w:szCs w:val="24"/>
          <w:highlight w:val="none"/>
          <w:u w:val="single"/>
          <w:lang w:eastAsia="zh-CN"/>
        </w:rPr>
        <w:t>须向发包人书面申请并经发包人书面批准同意。</w:t>
      </w:r>
    </w:p>
    <w:p w14:paraId="3CDD3F91">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3.3.5  承包人擅自更换主要施工管理人员的违约责任：</w:t>
      </w:r>
      <w:r>
        <w:rPr>
          <w:rFonts w:hint="eastAsia"/>
          <w:color w:val="auto"/>
          <w:spacing w:val="1"/>
          <w:position w:val="15"/>
          <w:sz w:val="24"/>
          <w:szCs w:val="24"/>
          <w:highlight w:val="none"/>
          <w:u w:val="single"/>
          <w:lang w:eastAsia="zh-CN"/>
        </w:rPr>
        <w:t>项目技术负责人、专职安全生产管理人员及其承诺的其它在场管理人员未经发包人书面同意不准擅自更换，擅自更换项目技术负责人处10000.00元/人•次（人民币）违约金；擅自更换专职安全生产管理人员处5000.00元/人•次（人民币）违约金；擅自更换其它在场管理人员处2000.00元/人•次（人民币）违约金。</w:t>
      </w:r>
    </w:p>
    <w:p w14:paraId="1AE7D368">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承包人主要施工管理人员擅自离开施工现场的违约责任：</w:t>
      </w:r>
      <w:r>
        <w:rPr>
          <w:rFonts w:hint="eastAsia"/>
          <w:color w:val="auto"/>
          <w:spacing w:val="1"/>
          <w:position w:val="15"/>
          <w:sz w:val="24"/>
          <w:szCs w:val="24"/>
          <w:highlight w:val="none"/>
          <w:u w:val="single"/>
          <w:lang w:eastAsia="zh-CN"/>
        </w:rPr>
        <w:t>未经发包人同意，项目技术负责人擅自离岗的，视为承包人违约，发包人有权处违约金5000.00元/人•次（人民币）；未经发包人同意，专职安全生产管理人员擅自离岗的，视为承包人违约，发包人有权处违约金2000.00元/人•次（人民币）；其它在场管理人员擅自离岗的，视为承包人违约，发包人有权处违约金1000.00元/人•次（人民币）。</w:t>
      </w:r>
    </w:p>
    <w:p w14:paraId="106768B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3.5  分包</w:t>
      </w:r>
    </w:p>
    <w:p w14:paraId="13E925BA">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3.5.1  分包的一般约定</w:t>
      </w:r>
    </w:p>
    <w:p w14:paraId="5FA9DD80">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禁止分包的工程包括：</w:t>
      </w:r>
      <w:r>
        <w:rPr>
          <w:rFonts w:hint="eastAsia"/>
          <w:color w:val="auto"/>
          <w:spacing w:val="1"/>
          <w:position w:val="15"/>
          <w:sz w:val="24"/>
          <w:szCs w:val="24"/>
          <w:highlight w:val="none"/>
          <w:u w:val="single"/>
          <w:lang w:eastAsia="zh-CN"/>
        </w:rPr>
        <w:t xml:space="preserve"> 工程量清单及施工图纸所包含的所有内容  </w:t>
      </w:r>
      <w:r>
        <w:rPr>
          <w:rFonts w:hint="eastAsia"/>
          <w:color w:val="auto"/>
          <w:spacing w:val="1"/>
          <w:position w:val="15"/>
          <w:sz w:val="24"/>
          <w:szCs w:val="24"/>
          <w:highlight w:val="none"/>
          <w:lang w:eastAsia="zh-CN"/>
        </w:rPr>
        <w:t>。</w:t>
      </w:r>
    </w:p>
    <w:p w14:paraId="5FA3A3D4">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主体结构、关键性工作的范围：</w:t>
      </w:r>
      <w:r>
        <w:rPr>
          <w:rFonts w:hint="eastAsia"/>
          <w:color w:val="auto"/>
          <w:spacing w:val="1"/>
          <w:position w:val="15"/>
          <w:sz w:val="24"/>
          <w:szCs w:val="24"/>
          <w:highlight w:val="none"/>
          <w:u w:val="single"/>
          <w:lang w:eastAsia="zh-CN"/>
        </w:rPr>
        <w:t xml:space="preserve"> 见施工图纸 </w:t>
      </w:r>
      <w:r>
        <w:rPr>
          <w:rFonts w:hint="eastAsia"/>
          <w:color w:val="auto"/>
          <w:spacing w:val="1"/>
          <w:position w:val="15"/>
          <w:sz w:val="24"/>
          <w:szCs w:val="24"/>
          <w:highlight w:val="none"/>
          <w:lang w:eastAsia="zh-CN"/>
        </w:rPr>
        <w:t>。</w:t>
      </w:r>
    </w:p>
    <w:p w14:paraId="18A66E37">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3.5.2  分包的确定</w:t>
      </w:r>
    </w:p>
    <w:p w14:paraId="0F9C4871">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允许分包的专业工程包括：</w:t>
      </w:r>
      <w:r>
        <w:rPr>
          <w:rFonts w:hint="eastAsia"/>
          <w:color w:val="auto"/>
          <w:spacing w:val="1"/>
          <w:position w:val="15"/>
          <w:sz w:val="24"/>
          <w:szCs w:val="24"/>
          <w:highlight w:val="none"/>
          <w:u w:val="single"/>
          <w:lang w:eastAsia="zh-CN"/>
        </w:rPr>
        <w:t xml:space="preserve"> 不允许分包  </w:t>
      </w:r>
      <w:r>
        <w:rPr>
          <w:rFonts w:hint="eastAsia"/>
          <w:color w:val="auto"/>
          <w:spacing w:val="1"/>
          <w:position w:val="15"/>
          <w:sz w:val="24"/>
          <w:szCs w:val="24"/>
          <w:highlight w:val="none"/>
          <w:lang w:eastAsia="zh-CN"/>
        </w:rPr>
        <w:t>。</w:t>
      </w:r>
    </w:p>
    <w:p w14:paraId="2B7E48A7">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其他关于分包的约定：</w:t>
      </w:r>
    </w:p>
    <w:p w14:paraId="67DF7B96">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1）除前款约定的分包内容外，经过发包人和监理人同意，承包人可以将其他非主体、关键性工作分包给第三人，但分包人应当经过发包人和监理人审批。发包人和监理人有权拒绝承包人的分包请求和承包人选择的分包人。本项目分包人主要施工管理人员名单详见合同附件6。</w:t>
      </w:r>
    </w:p>
    <w:p w14:paraId="54A34113">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（2）在相关分包合同签订并报送有关建设行政主管部门备案后7天内，承包人应当将一份副本提交给监理人，承包人应保障分包工作不得再次分包。</w:t>
      </w:r>
    </w:p>
    <w:p w14:paraId="3C036A3B">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（3）未经承包人和监理人审批同意的分包工程和分包人， 承包人有权拒绝验收分包工程和支付相应款项，由此引起的发包人费用增加和(或)延误的工期由发包人承担。</w:t>
      </w:r>
    </w:p>
    <w:p w14:paraId="7CEA37DF">
      <w:pPr>
        <w:pStyle w:val="19"/>
        <w:spacing w:line="360" w:lineRule="auto"/>
        <w:ind w:firstLine="484"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3.5.4  分包合同价款</w:t>
      </w:r>
    </w:p>
    <w:p w14:paraId="51018F07">
      <w:pPr>
        <w:pStyle w:val="19"/>
        <w:spacing w:line="360" w:lineRule="auto"/>
        <w:ind w:firstLine="484" w:firstLineChars="200"/>
        <w:rPr>
          <w:color w:val="auto"/>
          <w:spacing w:val="1"/>
          <w:position w:val="15"/>
          <w:sz w:val="24"/>
          <w:szCs w:val="24"/>
          <w:highlight w:val="none"/>
          <w:u w:val="single"/>
          <w:lang w:eastAsia="zh-CN"/>
        </w:rPr>
      </w:pPr>
      <w:r>
        <w:rPr>
          <w:rFonts w:hint="eastAsia"/>
          <w:color w:val="auto"/>
          <w:spacing w:val="1"/>
          <w:position w:val="15"/>
          <w:sz w:val="24"/>
          <w:szCs w:val="24"/>
          <w:highlight w:val="none"/>
          <w:lang w:eastAsia="zh-CN"/>
        </w:rPr>
        <w:t>关于分包合同价款支付的约定：</w:t>
      </w:r>
      <w:r>
        <w:rPr>
          <w:rFonts w:hint="eastAsia"/>
          <w:color w:val="auto"/>
          <w:spacing w:val="1"/>
          <w:position w:val="15"/>
          <w:sz w:val="24"/>
          <w:szCs w:val="24"/>
          <w:highlight w:val="none"/>
          <w:u w:val="single"/>
          <w:lang w:eastAsia="zh-CN"/>
        </w:rPr>
        <w:t xml:space="preserve"> 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4F91517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3.6  工程照管与成品、半成品保护</w:t>
      </w:r>
    </w:p>
    <w:p w14:paraId="511ECF17">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承包人负责照管工程及工程相关的材料、工程设备的起始时间：</w:t>
      </w:r>
      <w:r>
        <w:rPr>
          <w:rFonts w:hint="eastAsia"/>
          <w:color w:val="auto"/>
          <w:sz w:val="24"/>
          <w:szCs w:val="24"/>
          <w:highlight w:val="none"/>
          <w:u w:val="single"/>
          <w:lang w:eastAsia="zh-CN"/>
        </w:rPr>
        <w:t xml:space="preserve"> 工程开工之日起</w:t>
      </w:r>
      <w:r>
        <w:rPr>
          <w:rFonts w:hint="eastAsia"/>
          <w:color w:val="auto"/>
          <w:spacing w:val="-1"/>
          <w:sz w:val="24"/>
          <w:szCs w:val="24"/>
          <w:highlight w:val="none"/>
          <w:u w:val="single"/>
          <w:lang w:eastAsia="zh-CN"/>
        </w:rPr>
        <w:t>至工程</w:t>
      </w:r>
      <w:r>
        <w:rPr>
          <w:rFonts w:hint="eastAsia"/>
          <w:color w:val="auto"/>
          <w:sz w:val="24"/>
          <w:szCs w:val="24"/>
          <w:highlight w:val="none"/>
          <w:u w:val="single"/>
          <w:lang w:eastAsia="zh-CN"/>
        </w:rPr>
        <w:t>移交发包人之前的所有成品、半成品的保护工作均由承</w:t>
      </w:r>
      <w:r>
        <w:rPr>
          <w:rFonts w:hint="eastAsia"/>
          <w:color w:val="auto"/>
          <w:spacing w:val="-1"/>
          <w:sz w:val="24"/>
          <w:szCs w:val="24"/>
          <w:highlight w:val="none"/>
          <w:u w:val="single"/>
          <w:lang w:eastAsia="zh-CN"/>
        </w:rPr>
        <w:t xml:space="preserve">包人负责 </w:t>
      </w:r>
      <w:r>
        <w:rPr>
          <w:rFonts w:hint="eastAsia"/>
          <w:color w:val="auto"/>
          <w:spacing w:val="-1"/>
          <w:sz w:val="24"/>
          <w:szCs w:val="24"/>
          <w:highlight w:val="none"/>
          <w:lang w:eastAsia="zh-CN"/>
        </w:rPr>
        <w:t>。</w:t>
      </w:r>
    </w:p>
    <w:p w14:paraId="3A8EDAF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3.7  履约保证金</w:t>
      </w:r>
    </w:p>
    <w:p w14:paraId="686CADF7">
      <w:pPr>
        <w:pStyle w:val="19"/>
        <w:spacing w:line="360" w:lineRule="auto"/>
        <w:ind w:firstLine="460" w:firstLineChars="200"/>
        <w:jc w:val="both"/>
        <w:rPr>
          <w:color w:val="auto"/>
          <w:sz w:val="24"/>
          <w:szCs w:val="24"/>
          <w:highlight w:val="none"/>
          <w:lang w:eastAsia="zh-CN"/>
        </w:rPr>
      </w:pPr>
      <w:r>
        <w:rPr>
          <w:rFonts w:hint="eastAsia"/>
          <w:color w:val="auto"/>
          <w:spacing w:val="-5"/>
          <w:sz w:val="24"/>
          <w:szCs w:val="24"/>
          <w:highlight w:val="none"/>
          <w:lang w:eastAsia="zh-CN"/>
        </w:rPr>
        <w:t>承包人提供履约担保的形式、金额及期限的：</w:t>
      </w:r>
      <w:r>
        <w:rPr>
          <w:rFonts w:hint="eastAsia"/>
          <w:color w:val="auto"/>
          <w:spacing w:val="-5"/>
          <w:sz w:val="24"/>
          <w:szCs w:val="24"/>
          <w:highlight w:val="none"/>
          <w:u w:val="single"/>
          <w:lang w:val="en-US" w:eastAsia="zh-CN"/>
        </w:rPr>
        <w:t>/</w:t>
      </w:r>
      <w:r>
        <w:rPr>
          <w:rFonts w:hint="eastAsia"/>
          <w:color w:val="auto"/>
          <w:spacing w:val="-7"/>
          <w:sz w:val="24"/>
          <w:szCs w:val="24"/>
          <w:highlight w:val="none"/>
          <w:u w:val="single"/>
          <w:lang w:eastAsia="zh-CN"/>
        </w:rPr>
        <w:t>。</w:t>
      </w:r>
    </w:p>
    <w:p w14:paraId="00E16BE4">
      <w:pPr>
        <w:pStyle w:val="19"/>
        <w:spacing w:line="360" w:lineRule="auto"/>
        <w:ind w:firstLine="468" w:firstLineChars="200"/>
        <w:jc w:val="both"/>
        <w:rPr>
          <w:color w:val="auto"/>
          <w:sz w:val="24"/>
          <w:szCs w:val="24"/>
          <w:highlight w:val="none"/>
          <w:lang w:eastAsia="zh-CN"/>
        </w:rPr>
      </w:pPr>
      <w:r>
        <w:rPr>
          <w:rFonts w:hint="eastAsia"/>
          <w:color w:val="auto"/>
          <w:spacing w:val="-3"/>
          <w:sz w:val="24"/>
          <w:szCs w:val="24"/>
          <w:highlight w:val="none"/>
          <w:lang w:eastAsia="zh-CN"/>
        </w:rPr>
        <w:t>承包人提供履约担保的形式：</w:t>
      </w:r>
      <w:r>
        <w:rPr>
          <w:rFonts w:hint="eastAsia"/>
          <w:color w:val="auto"/>
          <w:spacing w:val="-3"/>
          <w:sz w:val="24"/>
          <w:szCs w:val="24"/>
          <w:highlight w:val="none"/>
          <w:u w:val="single"/>
          <w:lang w:val="en-US" w:eastAsia="zh-CN"/>
        </w:rPr>
        <w:t>/</w:t>
      </w:r>
      <w:r>
        <w:rPr>
          <w:rFonts w:hint="eastAsia"/>
          <w:color w:val="auto"/>
          <w:spacing w:val="-3"/>
          <w:sz w:val="24"/>
          <w:szCs w:val="24"/>
          <w:highlight w:val="none"/>
          <w:lang w:eastAsia="zh-CN"/>
        </w:rPr>
        <w:t>银行转账、电汇或网上支付、保函（银行保函、电子</w:t>
      </w:r>
      <w:r>
        <w:rPr>
          <w:rFonts w:hint="eastAsia"/>
          <w:color w:val="auto"/>
          <w:sz w:val="24"/>
          <w:szCs w:val="24"/>
          <w:highlight w:val="none"/>
          <w:lang w:eastAsia="zh-CN"/>
        </w:rPr>
        <w:t>保函、保证保险保函、工程担保保函）等形式。</w:t>
      </w:r>
    </w:p>
    <w:p w14:paraId="23491E2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4. 监理人</w:t>
      </w:r>
    </w:p>
    <w:p w14:paraId="5725CA81">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4.1  监理人的一般规定</w:t>
      </w:r>
    </w:p>
    <w:p w14:paraId="594A3287">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关于监理人的监理内容：</w:t>
      </w:r>
      <w:r>
        <w:rPr>
          <w:rFonts w:hint="eastAsia"/>
          <w:color w:val="auto"/>
          <w:spacing w:val="-5"/>
          <w:sz w:val="24"/>
          <w:szCs w:val="24"/>
          <w:highlight w:val="none"/>
          <w:lang w:eastAsia="zh-CN"/>
        </w:rPr>
        <w:t>。</w:t>
      </w:r>
    </w:p>
    <w:p w14:paraId="327EF013">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关于监理人的监理权限：</w:t>
      </w:r>
      <w:r>
        <w:rPr>
          <w:rFonts w:hint="eastAsia"/>
          <w:color w:val="auto"/>
          <w:spacing w:val="-5"/>
          <w:sz w:val="24"/>
          <w:szCs w:val="24"/>
          <w:highlight w:val="none"/>
          <w:lang w:eastAsia="zh-CN"/>
        </w:rPr>
        <w:t>。</w:t>
      </w:r>
    </w:p>
    <w:p w14:paraId="683D5DDA">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关于监理人在施工现场的办公场所、生活场所的提供和费用承担的约定：</w:t>
      </w:r>
      <w:r>
        <w:rPr>
          <w:rFonts w:hint="eastAsia"/>
          <w:color w:val="auto"/>
          <w:spacing w:val="-1"/>
          <w:sz w:val="24"/>
          <w:szCs w:val="24"/>
          <w:highlight w:val="none"/>
          <w:lang w:eastAsia="zh-CN"/>
        </w:rPr>
        <w:t>。</w:t>
      </w:r>
      <w:r>
        <w:rPr>
          <w:rFonts w:hint="eastAsia"/>
          <w:color w:val="auto"/>
          <w:sz w:val="24"/>
          <w:szCs w:val="24"/>
          <w:highlight w:val="none"/>
          <w:u w:val="single"/>
          <w:lang w:eastAsia="zh-CN"/>
        </w:rPr>
        <w:tab/>
      </w:r>
      <w:r>
        <w:rPr>
          <w:rFonts w:hint="eastAsia"/>
          <w:color w:val="auto"/>
          <w:spacing w:val="6"/>
          <w:sz w:val="24"/>
          <w:szCs w:val="24"/>
          <w:highlight w:val="none"/>
          <w:lang w:eastAsia="zh-CN"/>
        </w:rPr>
        <w:t>。</w:t>
      </w:r>
    </w:p>
    <w:p w14:paraId="6DA5CE7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4.2  监理人员</w:t>
      </w:r>
    </w:p>
    <w:p w14:paraId="59B4DDB1">
      <w:pPr>
        <w:pStyle w:val="19"/>
        <w:spacing w:line="360" w:lineRule="auto"/>
        <w:ind w:firstLine="464" w:firstLineChars="200"/>
        <w:rPr>
          <w:color w:val="auto"/>
          <w:spacing w:val="-4"/>
          <w:sz w:val="24"/>
          <w:szCs w:val="24"/>
          <w:highlight w:val="none"/>
          <w:lang w:eastAsia="zh-CN"/>
        </w:rPr>
      </w:pPr>
      <w:r>
        <w:rPr>
          <w:rFonts w:hint="eastAsia"/>
          <w:color w:val="auto"/>
          <w:spacing w:val="-4"/>
          <w:sz w:val="24"/>
          <w:szCs w:val="24"/>
          <w:highlight w:val="none"/>
          <w:lang w:eastAsia="zh-CN"/>
        </w:rPr>
        <w:t>总监理工程师：</w:t>
      </w:r>
    </w:p>
    <w:p w14:paraId="16356C49">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 xml:space="preserve">姓    名： </w:t>
      </w:r>
      <w:r>
        <w:rPr>
          <w:rFonts w:hint="eastAsia"/>
          <w:color w:val="auto"/>
          <w:sz w:val="24"/>
          <w:szCs w:val="24"/>
          <w:highlight w:val="none"/>
          <w:lang w:eastAsia="zh-CN"/>
        </w:rPr>
        <w:t>；</w:t>
      </w:r>
    </w:p>
    <w:p w14:paraId="2EFDE58D">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 xml:space="preserve">职    务： </w:t>
      </w:r>
      <w:r>
        <w:rPr>
          <w:rFonts w:hint="eastAsia"/>
          <w:color w:val="auto"/>
          <w:sz w:val="24"/>
          <w:szCs w:val="24"/>
          <w:highlight w:val="none"/>
          <w:lang w:eastAsia="zh-CN"/>
        </w:rPr>
        <w:t>；</w:t>
      </w:r>
    </w:p>
    <w:p w14:paraId="16753937">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监理工程师注册证书号：</w:t>
      </w:r>
      <w:r>
        <w:rPr>
          <w:rFonts w:hint="eastAsia"/>
          <w:color w:val="auto"/>
          <w:spacing w:val="3"/>
          <w:sz w:val="24"/>
          <w:szCs w:val="24"/>
          <w:highlight w:val="none"/>
          <w:lang w:eastAsia="zh-CN"/>
        </w:rPr>
        <w:t>；</w:t>
      </w:r>
    </w:p>
    <w:p w14:paraId="4722E4E7">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联系电话：</w:t>
      </w:r>
      <w:r>
        <w:rPr>
          <w:rFonts w:hint="eastAsia"/>
          <w:color w:val="auto"/>
          <w:spacing w:val="2"/>
          <w:sz w:val="24"/>
          <w:szCs w:val="24"/>
          <w:highlight w:val="none"/>
          <w:lang w:eastAsia="zh-CN"/>
        </w:rPr>
        <w:t>；</w:t>
      </w:r>
    </w:p>
    <w:p w14:paraId="55936B70">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电子信箱：</w:t>
      </w:r>
      <w:r>
        <w:rPr>
          <w:rFonts w:hint="eastAsia"/>
          <w:color w:val="auto"/>
          <w:spacing w:val="3"/>
          <w:sz w:val="24"/>
          <w:szCs w:val="24"/>
          <w:highlight w:val="none"/>
          <w:lang w:eastAsia="zh-CN"/>
        </w:rPr>
        <w:t>；</w:t>
      </w:r>
    </w:p>
    <w:p w14:paraId="474D91AB">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 xml:space="preserve">通信地址： </w:t>
      </w:r>
      <w:r>
        <w:rPr>
          <w:rFonts w:hint="eastAsia"/>
          <w:color w:val="auto"/>
          <w:spacing w:val="3"/>
          <w:sz w:val="24"/>
          <w:szCs w:val="24"/>
          <w:highlight w:val="none"/>
          <w:lang w:eastAsia="zh-CN"/>
        </w:rPr>
        <w:t>；</w:t>
      </w:r>
    </w:p>
    <w:p w14:paraId="6FF31E15">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关于监理人的其他约定：</w:t>
      </w:r>
      <w:r>
        <w:rPr>
          <w:rFonts w:hint="eastAsia"/>
          <w:color w:val="auto"/>
          <w:spacing w:val="-5"/>
          <w:sz w:val="24"/>
          <w:szCs w:val="24"/>
          <w:highlight w:val="none"/>
          <w:lang w:eastAsia="zh-CN"/>
        </w:rPr>
        <w:t>。</w:t>
      </w:r>
    </w:p>
    <w:p w14:paraId="78D20777">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4.4  商定或确定</w:t>
      </w:r>
    </w:p>
    <w:p w14:paraId="1CDF1D20">
      <w:pPr>
        <w:pStyle w:val="19"/>
        <w:spacing w:line="360" w:lineRule="auto"/>
        <w:ind w:firstLine="464" w:firstLineChars="200"/>
        <w:rPr>
          <w:color w:val="auto"/>
          <w:spacing w:val="-4"/>
          <w:sz w:val="24"/>
          <w:szCs w:val="24"/>
          <w:highlight w:val="none"/>
          <w:lang w:eastAsia="zh-CN"/>
        </w:rPr>
      </w:pPr>
      <w:r>
        <w:rPr>
          <w:rFonts w:hint="eastAsia"/>
          <w:color w:val="auto"/>
          <w:spacing w:val="-4"/>
          <w:sz w:val="24"/>
          <w:szCs w:val="24"/>
          <w:highlight w:val="none"/>
          <w:lang w:eastAsia="zh-CN"/>
        </w:rPr>
        <w:t>在发包人和承包人不能通过协商达成一致意见时，发包人授权监理人对以下事项进行确定：</w:t>
      </w:r>
    </w:p>
    <w:p w14:paraId="4E961578">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（1</w:t>
      </w:r>
      <w:r>
        <w:rPr>
          <w:rFonts w:hint="eastAsia"/>
          <w:color w:val="auto"/>
          <w:sz w:val="24"/>
          <w:szCs w:val="24"/>
          <w:highlight w:val="none"/>
          <w:lang w:eastAsia="zh-CN"/>
        </w:rPr>
        <w:t>）；</w:t>
      </w:r>
    </w:p>
    <w:p w14:paraId="302D4285">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（2</w:t>
      </w:r>
      <w:r>
        <w:rPr>
          <w:rFonts w:hint="eastAsia"/>
          <w:color w:val="auto"/>
          <w:sz w:val="24"/>
          <w:szCs w:val="24"/>
          <w:highlight w:val="none"/>
          <w:lang w:eastAsia="zh-CN"/>
        </w:rPr>
        <w:t>）；</w:t>
      </w:r>
    </w:p>
    <w:p w14:paraId="4AAAB0C4">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（3）。</w:t>
      </w:r>
    </w:p>
    <w:p w14:paraId="3CE01A3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5.  工程质量</w:t>
      </w:r>
    </w:p>
    <w:p w14:paraId="6DE1B5EB">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5.1  质量要求</w:t>
      </w:r>
    </w:p>
    <w:p w14:paraId="4E060F26">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5.1.1  特殊质量标准和要求：</w:t>
      </w:r>
      <w:r>
        <w:rPr>
          <w:rFonts w:hint="eastAsia"/>
          <w:color w:val="auto"/>
          <w:spacing w:val="-1"/>
          <w:sz w:val="24"/>
          <w:szCs w:val="24"/>
          <w:highlight w:val="none"/>
          <w:u w:val="single"/>
          <w:lang w:eastAsia="zh-CN"/>
        </w:rPr>
        <w:t xml:space="preserve">无  </w:t>
      </w:r>
      <w:r>
        <w:rPr>
          <w:rFonts w:hint="eastAsia"/>
          <w:color w:val="auto"/>
          <w:spacing w:val="-1"/>
          <w:sz w:val="24"/>
          <w:szCs w:val="24"/>
          <w:highlight w:val="none"/>
          <w:lang w:eastAsia="zh-CN"/>
        </w:rPr>
        <w:t>。</w:t>
      </w:r>
    </w:p>
    <w:p w14:paraId="6F2B8981">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关于工程奖项的约定：如果工程获得</w:t>
      </w:r>
      <w:r>
        <w:rPr>
          <w:rFonts w:hint="eastAsia"/>
          <w:color w:val="auto"/>
          <w:spacing w:val="-2"/>
          <w:sz w:val="24"/>
          <w:szCs w:val="24"/>
          <w:highlight w:val="none"/>
          <w:u w:val="single"/>
          <w:lang w:eastAsia="zh-CN"/>
        </w:rPr>
        <w:t>（奖项名称）</w:t>
      </w:r>
      <w:r>
        <w:rPr>
          <w:rFonts w:hint="eastAsia"/>
          <w:color w:val="auto"/>
          <w:spacing w:val="-2"/>
          <w:sz w:val="24"/>
          <w:szCs w:val="24"/>
          <w:highlight w:val="none"/>
          <w:lang w:eastAsia="zh-CN"/>
        </w:rPr>
        <w:t>，给予承包人合同价</w:t>
      </w:r>
      <w:r>
        <w:rPr>
          <w:rFonts w:hint="eastAsia"/>
          <w:color w:val="auto"/>
          <w:spacing w:val="-2"/>
          <w:sz w:val="24"/>
          <w:szCs w:val="24"/>
          <w:highlight w:val="none"/>
          <w:u w:val="single"/>
          <w:lang w:eastAsia="zh-CN"/>
        </w:rPr>
        <w:t>%</w:t>
      </w:r>
      <w:r>
        <w:rPr>
          <w:rFonts w:hint="eastAsia"/>
          <w:color w:val="auto"/>
          <w:spacing w:val="-2"/>
          <w:sz w:val="24"/>
          <w:szCs w:val="24"/>
          <w:highlight w:val="none"/>
          <w:lang w:eastAsia="zh-CN"/>
        </w:rPr>
        <w:t>的奖励。（建设单位创建优质工程的，鼓励在预算控制价和预算中按我区工程建设定额规定计列工程优质费，并在招标文件中明确工程优质费不可竞争。）</w:t>
      </w:r>
    </w:p>
    <w:p w14:paraId="182C7830">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5.3隐蔽工程检查</w:t>
      </w:r>
    </w:p>
    <w:p w14:paraId="2E96823D">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5.3.2承包人提前通知监理人隐蔽工程检</w:t>
      </w:r>
      <w:r>
        <w:rPr>
          <w:rFonts w:hint="eastAsia"/>
          <w:color w:val="auto"/>
          <w:spacing w:val="-4"/>
          <w:sz w:val="24"/>
          <w:szCs w:val="24"/>
          <w:highlight w:val="none"/>
          <w:lang w:eastAsia="zh-CN"/>
        </w:rPr>
        <w:t>查的期限的约定：工程隐蔽或中间验收前12小时</w:t>
      </w:r>
      <w:r>
        <w:rPr>
          <w:rFonts w:hint="eastAsia"/>
          <w:color w:val="auto"/>
          <w:sz w:val="24"/>
          <w:szCs w:val="24"/>
          <w:highlight w:val="none"/>
          <w:lang w:eastAsia="zh-CN"/>
        </w:rPr>
        <w:t>以书面形式通知发包人和监理工程师验收的内容、时间、地点，承包人准备验收</w:t>
      </w:r>
      <w:r>
        <w:rPr>
          <w:rFonts w:hint="eastAsia"/>
          <w:color w:val="auto"/>
          <w:spacing w:val="-1"/>
          <w:sz w:val="24"/>
          <w:szCs w:val="24"/>
          <w:highlight w:val="none"/>
          <w:lang w:eastAsia="zh-CN"/>
        </w:rPr>
        <w:t>记录单（最好</w:t>
      </w:r>
      <w:r>
        <w:rPr>
          <w:rFonts w:hint="eastAsia"/>
          <w:color w:val="auto"/>
          <w:spacing w:val="-6"/>
          <w:sz w:val="24"/>
          <w:szCs w:val="24"/>
          <w:highlight w:val="none"/>
          <w:lang w:eastAsia="zh-CN"/>
        </w:rPr>
        <w:t>是印制的表格）由双方签证。验收合格，</w:t>
      </w:r>
      <w:r>
        <w:rPr>
          <w:rFonts w:hint="eastAsia"/>
          <w:color w:val="auto"/>
          <w:spacing w:val="-7"/>
          <w:sz w:val="24"/>
          <w:szCs w:val="24"/>
          <w:highlight w:val="none"/>
          <w:lang w:eastAsia="zh-CN"/>
        </w:rPr>
        <w:t>承包人可进行隐蔽和继续施工；验收不合格，双方商</w:t>
      </w:r>
      <w:r>
        <w:rPr>
          <w:rFonts w:hint="eastAsia"/>
          <w:color w:val="auto"/>
          <w:spacing w:val="-1"/>
          <w:sz w:val="24"/>
          <w:szCs w:val="24"/>
          <w:highlight w:val="none"/>
          <w:lang w:eastAsia="zh-CN"/>
        </w:rPr>
        <w:t>订时限内修改后按上述循序重新验收。</w:t>
      </w:r>
    </w:p>
    <w:p w14:paraId="7685218B">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监理人不能按时进行检查时，应提前</w:t>
      </w:r>
      <w:r>
        <w:rPr>
          <w:rFonts w:hint="eastAsia"/>
          <w:color w:val="auto"/>
          <w:spacing w:val="-1"/>
          <w:sz w:val="24"/>
          <w:szCs w:val="24"/>
          <w:highlight w:val="none"/>
          <w:u w:val="single"/>
          <w:lang w:eastAsia="zh-CN"/>
        </w:rPr>
        <w:t xml:space="preserve">12 </w:t>
      </w:r>
      <w:r>
        <w:rPr>
          <w:rFonts w:hint="eastAsia"/>
          <w:color w:val="auto"/>
          <w:spacing w:val="-1"/>
          <w:sz w:val="24"/>
          <w:szCs w:val="24"/>
          <w:highlight w:val="none"/>
          <w:lang w:eastAsia="zh-CN"/>
        </w:rPr>
        <w:t>小时提交书面延期要求。</w:t>
      </w:r>
    </w:p>
    <w:p w14:paraId="1A1A2645">
      <w:pPr>
        <w:spacing w:line="360" w:lineRule="auto"/>
        <w:ind w:firstLine="456" w:firstLineChars="200"/>
        <w:outlineLvl w:val="1"/>
        <w:rPr>
          <w:rFonts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关于延期最长不得超过：</w:t>
      </w:r>
      <w:r>
        <w:rPr>
          <w:rFonts w:hint="eastAsia" w:ascii="宋体" w:hAnsi="宋体" w:eastAsia="宋体" w:cs="宋体"/>
          <w:color w:val="auto"/>
          <w:spacing w:val="-6"/>
          <w:sz w:val="24"/>
          <w:szCs w:val="24"/>
          <w:highlight w:val="none"/>
          <w:u w:val="single"/>
          <w:lang w:eastAsia="zh-CN"/>
        </w:rPr>
        <w:t xml:space="preserve">  24  </w:t>
      </w:r>
      <w:r>
        <w:rPr>
          <w:rFonts w:hint="eastAsia" w:ascii="宋体" w:hAnsi="宋体" w:eastAsia="宋体" w:cs="宋体"/>
          <w:color w:val="auto"/>
          <w:spacing w:val="-6"/>
          <w:sz w:val="24"/>
          <w:szCs w:val="24"/>
          <w:highlight w:val="none"/>
          <w:lang w:eastAsia="zh-CN"/>
        </w:rPr>
        <w:t>小时。</w:t>
      </w:r>
    </w:p>
    <w:p w14:paraId="43A566A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6.  安全文明施工与环境保护</w:t>
      </w:r>
    </w:p>
    <w:p w14:paraId="7DA84BC2">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6.1  安全文明施工</w:t>
      </w:r>
    </w:p>
    <w:p w14:paraId="0C3465ED">
      <w:pPr>
        <w:pStyle w:val="19"/>
        <w:spacing w:line="360" w:lineRule="auto"/>
        <w:ind w:firstLine="472" w:firstLineChars="200"/>
        <w:jc w:val="both"/>
        <w:rPr>
          <w:color w:val="auto"/>
          <w:sz w:val="24"/>
          <w:szCs w:val="24"/>
          <w:highlight w:val="none"/>
          <w:lang w:eastAsia="zh-CN"/>
        </w:rPr>
      </w:pPr>
      <w:r>
        <w:rPr>
          <w:rFonts w:hint="eastAsia"/>
          <w:color w:val="auto"/>
          <w:spacing w:val="-2"/>
          <w:sz w:val="24"/>
          <w:szCs w:val="24"/>
          <w:highlight w:val="none"/>
          <w:lang w:eastAsia="zh-CN"/>
        </w:rPr>
        <w:t>6.1.1  项目安全生产的达标目标及相应事项的约定：</w:t>
      </w:r>
      <w:r>
        <w:rPr>
          <w:rFonts w:hint="eastAsia"/>
          <w:color w:val="auto"/>
          <w:spacing w:val="-2"/>
          <w:sz w:val="24"/>
          <w:szCs w:val="24"/>
          <w:highlight w:val="none"/>
          <w:u w:val="single"/>
          <w:lang w:eastAsia="zh-CN"/>
        </w:rPr>
        <w:t xml:space="preserve"> 承包人应按照国家、广西区和北海市</w:t>
      </w:r>
      <w:r>
        <w:rPr>
          <w:rFonts w:hint="eastAsia"/>
          <w:color w:val="auto"/>
          <w:spacing w:val="-1"/>
          <w:sz w:val="24"/>
          <w:szCs w:val="24"/>
          <w:highlight w:val="none"/>
          <w:u w:val="single"/>
          <w:lang w:eastAsia="zh-CN"/>
        </w:rPr>
        <w:t>等相关规定履行好承包人的施工安全责任</w:t>
      </w:r>
      <w:r>
        <w:rPr>
          <w:rFonts w:hint="eastAsia"/>
          <w:color w:val="auto"/>
          <w:spacing w:val="-1"/>
          <w:sz w:val="24"/>
          <w:szCs w:val="24"/>
          <w:highlight w:val="none"/>
          <w:lang w:eastAsia="zh-CN"/>
        </w:rPr>
        <w:t>。</w:t>
      </w:r>
    </w:p>
    <w:p w14:paraId="2637F6EE">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关于安全文明施工奖项的约定：。</w:t>
      </w:r>
    </w:p>
    <w:p w14:paraId="366DD452">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6.1.4  关于治安保卫的特别约定：</w:t>
      </w:r>
      <w:r>
        <w:rPr>
          <w:rFonts w:hint="eastAsia"/>
          <w:color w:val="auto"/>
          <w:spacing w:val="-2"/>
          <w:sz w:val="24"/>
          <w:szCs w:val="24"/>
          <w:highlight w:val="none"/>
          <w:u w:val="single"/>
          <w:lang w:eastAsia="zh-CN"/>
        </w:rPr>
        <w:t>承包人应承担施工安全保卫工</w:t>
      </w:r>
      <w:r>
        <w:rPr>
          <w:rFonts w:hint="eastAsia"/>
          <w:color w:val="auto"/>
          <w:spacing w:val="-3"/>
          <w:sz w:val="24"/>
          <w:szCs w:val="24"/>
          <w:highlight w:val="none"/>
          <w:u w:val="single"/>
          <w:lang w:eastAsia="zh-CN"/>
        </w:rPr>
        <w:t>作及非夜间施工照明的责任，承包人应采取一切合理的预防措施，防止人员伤亡、财产损失事故，费用由承包人承担。</w:t>
      </w:r>
      <w:r>
        <w:rPr>
          <w:rFonts w:hint="eastAsia"/>
          <w:color w:val="auto"/>
          <w:sz w:val="24"/>
          <w:szCs w:val="24"/>
          <w:highlight w:val="none"/>
          <w:u w:val="single"/>
          <w:lang w:eastAsia="zh-CN"/>
        </w:rPr>
        <w:t>承包人生活设施及施工场应自费配备消防设备，防止火灾</w:t>
      </w:r>
      <w:r>
        <w:rPr>
          <w:rFonts w:hint="eastAsia"/>
          <w:color w:val="auto"/>
          <w:spacing w:val="-1"/>
          <w:sz w:val="24"/>
          <w:szCs w:val="24"/>
          <w:highlight w:val="none"/>
          <w:u w:val="single"/>
          <w:lang w:eastAsia="zh-CN"/>
        </w:rPr>
        <w:t>发生。</w:t>
      </w:r>
    </w:p>
    <w:p w14:paraId="52962D40">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关于编制施工场地治安管理计划的约定：</w:t>
      </w:r>
      <w:r>
        <w:rPr>
          <w:rFonts w:hint="eastAsia"/>
          <w:color w:val="auto"/>
          <w:spacing w:val="-2"/>
          <w:sz w:val="24"/>
          <w:szCs w:val="24"/>
          <w:highlight w:val="none"/>
          <w:u w:val="single"/>
          <w:lang w:eastAsia="zh-CN"/>
        </w:rPr>
        <w:t>施工场地治安管理计划和突发治安事件紧急预</w:t>
      </w:r>
      <w:r>
        <w:rPr>
          <w:rFonts w:hint="eastAsia"/>
          <w:color w:val="auto"/>
          <w:spacing w:val="-3"/>
          <w:sz w:val="24"/>
          <w:szCs w:val="24"/>
          <w:highlight w:val="none"/>
          <w:u w:val="single"/>
          <w:lang w:eastAsia="zh-CN"/>
        </w:rPr>
        <w:t xml:space="preserve">案的编制：按《通用合同条款》执行，由发包人、承包人共同编制 </w:t>
      </w:r>
      <w:r>
        <w:rPr>
          <w:rFonts w:hint="eastAsia"/>
          <w:color w:val="auto"/>
          <w:spacing w:val="-3"/>
          <w:sz w:val="24"/>
          <w:szCs w:val="24"/>
          <w:highlight w:val="none"/>
          <w:lang w:eastAsia="zh-CN"/>
        </w:rPr>
        <w:t>。</w:t>
      </w:r>
    </w:p>
    <w:p w14:paraId="2E55963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6.1.5文明施工</w:t>
      </w:r>
    </w:p>
    <w:p w14:paraId="30063212">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合同当事人对文明施工的要求：</w:t>
      </w:r>
      <w:r>
        <w:rPr>
          <w:rFonts w:hint="eastAsia"/>
          <w:color w:val="auto"/>
          <w:spacing w:val="-4"/>
          <w:sz w:val="24"/>
          <w:szCs w:val="24"/>
          <w:highlight w:val="none"/>
          <w:u w:val="single"/>
          <w:lang w:eastAsia="zh-CN"/>
        </w:rPr>
        <w:t>(1)承包人应按照北海市有关房屋建筑和市政基础设施工程施</w:t>
      </w:r>
      <w:r>
        <w:rPr>
          <w:rFonts w:hint="eastAsia"/>
          <w:color w:val="auto"/>
          <w:sz w:val="24"/>
          <w:szCs w:val="24"/>
          <w:highlight w:val="none"/>
          <w:u w:val="single"/>
          <w:lang w:eastAsia="zh-CN"/>
        </w:rPr>
        <w:t>工扬尘控制工作、房屋建筑和市政基础设施工程现场文明施工标准等相关规定履行好施工</w:t>
      </w:r>
      <w:r>
        <w:rPr>
          <w:rFonts w:hint="eastAsia"/>
          <w:color w:val="auto"/>
          <w:spacing w:val="-1"/>
          <w:sz w:val="24"/>
          <w:szCs w:val="24"/>
          <w:highlight w:val="none"/>
          <w:u w:val="single"/>
          <w:lang w:eastAsia="zh-CN"/>
        </w:rPr>
        <w:t>扬尘控制、文明施工等责任。(2)承包人需自行办理的有关施工场地交通、环卫和施工</w:t>
      </w:r>
      <w:r>
        <w:rPr>
          <w:rFonts w:hint="eastAsia"/>
          <w:color w:val="auto"/>
          <w:spacing w:val="-2"/>
          <w:sz w:val="24"/>
          <w:szCs w:val="24"/>
          <w:highlight w:val="none"/>
          <w:u w:val="single"/>
          <w:lang w:eastAsia="zh-CN"/>
        </w:rPr>
        <w:t>噪音管理等手续，并应符合国家相关规定，并自行承担其费用。(3)</w:t>
      </w:r>
      <w:r>
        <w:rPr>
          <w:rFonts w:hint="eastAsia"/>
          <w:color w:val="auto"/>
          <w:spacing w:val="-3"/>
          <w:sz w:val="24"/>
          <w:szCs w:val="24"/>
          <w:highlight w:val="none"/>
          <w:u w:val="single"/>
          <w:lang w:eastAsia="zh-CN"/>
        </w:rPr>
        <w:t>对施工中的地上地下建筑物(构筑物)管</w:t>
      </w:r>
      <w:r>
        <w:rPr>
          <w:rFonts w:hint="eastAsia"/>
          <w:color w:val="auto"/>
          <w:sz w:val="24"/>
          <w:szCs w:val="24"/>
          <w:highlight w:val="none"/>
          <w:u w:val="single"/>
          <w:lang w:eastAsia="zh-CN"/>
        </w:rPr>
        <w:t>线、电力设施等应按有关规定加强监控测量和保护，相应的费用或因保护不当造成的损失</w:t>
      </w:r>
      <w:r>
        <w:rPr>
          <w:rFonts w:hint="eastAsia"/>
          <w:color w:val="auto"/>
          <w:spacing w:val="-1"/>
          <w:sz w:val="24"/>
          <w:szCs w:val="24"/>
          <w:highlight w:val="none"/>
          <w:u w:val="single"/>
          <w:lang w:eastAsia="zh-CN"/>
        </w:rPr>
        <w:t>及法律责任由承包人承担。(4)环境保护工作属承包方范围内的由承包方全权负责，执行国家</w:t>
      </w:r>
      <w:r>
        <w:rPr>
          <w:rFonts w:hint="eastAsia"/>
          <w:color w:val="auto"/>
          <w:spacing w:val="-2"/>
          <w:sz w:val="24"/>
          <w:szCs w:val="24"/>
          <w:highlight w:val="none"/>
          <w:u w:val="single"/>
          <w:lang w:eastAsia="zh-CN"/>
        </w:rPr>
        <w:t>和广西区、北海市的相关规定。施工现场内不得随地抛洒剩饭及生活垃圾等，更不能将其随</w:t>
      </w:r>
      <w:r>
        <w:rPr>
          <w:rFonts w:hint="eastAsia"/>
          <w:color w:val="auto"/>
          <w:spacing w:val="-3"/>
          <w:sz w:val="24"/>
          <w:szCs w:val="24"/>
          <w:highlight w:val="none"/>
          <w:u w:val="single"/>
          <w:lang w:eastAsia="zh-CN"/>
        </w:rPr>
        <w:t>意倒至施工区外，施工区内不得随处大小便。做到工完</w:t>
      </w:r>
      <w:r>
        <w:rPr>
          <w:rFonts w:hint="eastAsia"/>
          <w:color w:val="auto"/>
          <w:spacing w:val="-4"/>
          <w:sz w:val="24"/>
          <w:szCs w:val="24"/>
          <w:highlight w:val="none"/>
          <w:u w:val="single"/>
          <w:lang w:eastAsia="zh-CN"/>
        </w:rPr>
        <w:t>场地清。(5)施工机械设备进场前，应做好清洁、</w:t>
      </w:r>
      <w:r>
        <w:rPr>
          <w:rFonts w:hint="eastAsia"/>
          <w:color w:val="auto"/>
          <w:spacing w:val="-3"/>
          <w:sz w:val="24"/>
          <w:szCs w:val="24"/>
          <w:highlight w:val="none"/>
          <w:u w:val="single"/>
          <w:lang w:eastAsia="zh-CN"/>
        </w:rPr>
        <w:t>保养和维护工作。出场车辆应有专人打扫、清洗。</w:t>
      </w:r>
      <w:r>
        <w:rPr>
          <w:rFonts w:hint="eastAsia"/>
          <w:color w:val="auto"/>
          <w:spacing w:val="-4"/>
          <w:sz w:val="24"/>
          <w:szCs w:val="24"/>
          <w:highlight w:val="none"/>
          <w:u w:val="single"/>
          <w:lang w:eastAsia="zh-CN"/>
        </w:rPr>
        <w:t>有密封要求的按规定必须达到。(6)施工期间</w:t>
      </w:r>
      <w:r>
        <w:rPr>
          <w:rFonts w:hint="eastAsia"/>
          <w:color w:val="auto"/>
          <w:spacing w:val="-2"/>
          <w:sz w:val="24"/>
          <w:szCs w:val="24"/>
          <w:highlight w:val="none"/>
          <w:u w:val="single"/>
          <w:lang w:eastAsia="zh-CN"/>
        </w:rPr>
        <w:t>必须保证周边单位的正常工作及居民的正常生活，尽量减少粉尘、噪声、振动等污</w:t>
      </w:r>
      <w:r>
        <w:rPr>
          <w:rFonts w:hint="eastAsia"/>
          <w:color w:val="auto"/>
          <w:spacing w:val="-3"/>
          <w:sz w:val="24"/>
          <w:szCs w:val="24"/>
          <w:highlight w:val="none"/>
          <w:u w:val="single"/>
          <w:lang w:eastAsia="zh-CN"/>
        </w:rPr>
        <w:t>染的扰民。</w:t>
      </w:r>
      <w:r>
        <w:rPr>
          <w:rFonts w:hint="eastAsia"/>
          <w:color w:val="auto"/>
          <w:spacing w:val="-2"/>
          <w:sz w:val="24"/>
          <w:szCs w:val="24"/>
          <w:highlight w:val="none"/>
          <w:u w:val="single"/>
          <w:lang w:eastAsia="zh-CN"/>
        </w:rPr>
        <w:t>必须按北海市有关部门的临时要求，调整作业方式，调整作业时间，停止高粉尘、高噪</w:t>
      </w:r>
      <w:r>
        <w:rPr>
          <w:rFonts w:hint="eastAsia"/>
          <w:color w:val="auto"/>
          <w:spacing w:val="-3"/>
          <w:sz w:val="24"/>
          <w:szCs w:val="24"/>
          <w:highlight w:val="none"/>
          <w:u w:val="single"/>
          <w:lang w:eastAsia="zh-CN"/>
        </w:rPr>
        <w:t>音作业</w:t>
      </w:r>
      <w:r>
        <w:rPr>
          <w:rFonts w:hint="eastAsia"/>
          <w:color w:val="auto"/>
          <w:spacing w:val="-5"/>
          <w:sz w:val="24"/>
          <w:szCs w:val="24"/>
          <w:highlight w:val="none"/>
          <w:u w:val="single"/>
          <w:lang w:eastAsia="zh-CN"/>
        </w:rPr>
        <w:t>或爆破作业等。(7)保证周围建(构)筑物、地下及地上管线、地下人</w:t>
      </w:r>
      <w:r>
        <w:rPr>
          <w:rFonts w:hint="eastAsia"/>
          <w:color w:val="auto"/>
          <w:spacing w:val="-6"/>
          <w:sz w:val="24"/>
          <w:szCs w:val="24"/>
          <w:highlight w:val="none"/>
          <w:u w:val="single"/>
          <w:lang w:eastAsia="zh-CN"/>
        </w:rPr>
        <w:t>防等设施安全。(8)做到进</w:t>
      </w:r>
      <w:r>
        <w:rPr>
          <w:rFonts w:hint="eastAsia"/>
          <w:color w:val="auto"/>
          <w:spacing w:val="-5"/>
          <w:sz w:val="24"/>
          <w:szCs w:val="24"/>
          <w:highlight w:val="none"/>
          <w:u w:val="single"/>
          <w:lang w:eastAsia="zh-CN"/>
        </w:rPr>
        <w:t>入现场的施工和作业人员统一着装，配证上岗，文明施工。(9)承包方施工现场临时加</w:t>
      </w:r>
      <w:r>
        <w:rPr>
          <w:rFonts w:hint="eastAsia"/>
          <w:color w:val="auto"/>
          <w:spacing w:val="-6"/>
          <w:sz w:val="24"/>
          <w:szCs w:val="24"/>
          <w:highlight w:val="none"/>
          <w:u w:val="single"/>
          <w:lang w:eastAsia="zh-CN"/>
        </w:rPr>
        <w:t>工区、库</w:t>
      </w:r>
      <w:r>
        <w:rPr>
          <w:rFonts w:hint="eastAsia"/>
          <w:color w:val="auto"/>
          <w:spacing w:val="-3"/>
          <w:sz w:val="24"/>
          <w:szCs w:val="24"/>
          <w:highlight w:val="none"/>
          <w:u w:val="single"/>
          <w:lang w:eastAsia="zh-CN"/>
        </w:rPr>
        <w:t>房等围墙(围挡)等维护设施应安全、美观、耐久，非施工相关人员不许入内</w:t>
      </w:r>
      <w:r>
        <w:rPr>
          <w:rFonts w:hint="eastAsia"/>
          <w:color w:val="auto"/>
          <w:spacing w:val="-3"/>
          <w:sz w:val="24"/>
          <w:szCs w:val="24"/>
          <w:highlight w:val="none"/>
          <w:lang w:eastAsia="zh-CN"/>
        </w:rPr>
        <w:t>。</w:t>
      </w:r>
    </w:p>
    <w:p w14:paraId="4864ABFD">
      <w:pPr>
        <w:pStyle w:val="19"/>
        <w:spacing w:line="360" w:lineRule="auto"/>
        <w:ind w:firstLine="476"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6.1.6  关于安全文明施工费支付比例和支付期限的约定：</w:t>
      </w:r>
    </w:p>
    <w:p w14:paraId="017A0655">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（1）本合同价款已包含安全文明施工费</w:t>
      </w:r>
      <w:r>
        <w:rPr>
          <w:rFonts w:hint="eastAsia"/>
          <w:color w:val="auto"/>
          <w:spacing w:val="-2"/>
          <w:sz w:val="24"/>
          <w:szCs w:val="24"/>
          <w:highlight w:val="none"/>
          <w:u w:val="single"/>
          <w:lang w:val="en-US" w:eastAsia="zh-CN"/>
        </w:rPr>
        <w:t xml:space="preserve">          </w:t>
      </w:r>
      <w:r>
        <w:rPr>
          <w:rFonts w:hint="eastAsia"/>
          <w:color w:val="auto"/>
          <w:spacing w:val="-1"/>
          <w:sz w:val="24"/>
          <w:szCs w:val="24"/>
          <w:highlight w:val="none"/>
          <w:lang w:eastAsia="zh-CN"/>
        </w:rPr>
        <w:t>元。</w:t>
      </w:r>
    </w:p>
    <w:p w14:paraId="14A3AF1D">
      <w:pPr>
        <w:pStyle w:val="19"/>
        <w:spacing w:line="360" w:lineRule="auto"/>
        <w:ind w:firstLine="476" w:firstLineChars="200"/>
        <w:jc w:val="left"/>
        <w:rPr>
          <w:color w:val="auto"/>
          <w:sz w:val="24"/>
          <w:szCs w:val="24"/>
          <w:highlight w:val="none"/>
          <w:lang w:eastAsia="zh-CN"/>
        </w:rPr>
      </w:pPr>
      <w:r>
        <w:rPr>
          <w:rFonts w:hint="eastAsia"/>
          <w:color w:val="auto"/>
          <w:spacing w:val="-1"/>
          <w:sz w:val="24"/>
          <w:szCs w:val="24"/>
          <w:highlight w:val="none"/>
          <w:lang w:eastAsia="zh-CN"/>
        </w:rPr>
        <w:t>（2）使用要求：专款专用。具体按</w:t>
      </w:r>
      <w:r>
        <w:rPr>
          <w:rFonts w:hint="eastAsia"/>
          <w:color w:val="auto"/>
          <w:spacing w:val="-1"/>
          <w:sz w:val="24"/>
          <w:szCs w:val="24"/>
          <w:highlight w:val="none"/>
          <w:u w:val="single"/>
          <w:lang w:eastAsia="zh-CN"/>
        </w:rPr>
        <w:t>《广西壮族自治区</w:t>
      </w:r>
      <w:r>
        <w:rPr>
          <w:rFonts w:hint="eastAsia"/>
          <w:color w:val="auto"/>
          <w:spacing w:val="-2"/>
          <w:sz w:val="24"/>
          <w:szCs w:val="24"/>
          <w:highlight w:val="none"/>
          <w:u w:val="single"/>
          <w:lang w:eastAsia="zh-CN"/>
        </w:rPr>
        <w:t>建设工程安全文明施工费使用管理细则》（桂建质〔2015〕16号）</w:t>
      </w:r>
      <w:r>
        <w:rPr>
          <w:rFonts w:hint="eastAsia"/>
          <w:color w:val="auto"/>
          <w:spacing w:val="-2"/>
          <w:sz w:val="24"/>
          <w:szCs w:val="24"/>
          <w:highlight w:val="none"/>
          <w:lang w:eastAsia="zh-CN"/>
        </w:rPr>
        <w:t>和</w:t>
      </w:r>
      <w:r>
        <w:rPr>
          <w:rFonts w:hint="eastAsia"/>
          <w:color w:val="auto"/>
          <w:spacing w:val="-2"/>
          <w:sz w:val="24"/>
          <w:szCs w:val="24"/>
          <w:highlight w:val="none"/>
          <w:u w:val="single"/>
          <w:lang w:eastAsia="zh-CN"/>
        </w:rPr>
        <w:t xml:space="preserve"> 北海 </w:t>
      </w:r>
      <w:r>
        <w:rPr>
          <w:rFonts w:hint="eastAsia"/>
          <w:color w:val="auto"/>
          <w:spacing w:val="-2"/>
          <w:sz w:val="24"/>
          <w:szCs w:val="24"/>
          <w:highlight w:val="none"/>
          <w:lang w:eastAsia="zh-CN"/>
        </w:rPr>
        <w:t>市相关规</w:t>
      </w:r>
      <w:r>
        <w:rPr>
          <w:rFonts w:hint="eastAsia"/>
          <w:color w:val="auto"/>
          <w:spacing w:val="-3"/>
          <w:sz w:val="24"/>
          <w:szCs w:val="24"/>
          <w:highlight w:val="none"/>
          <w:lang w:eastAsia="zh-CN"/>
        </w:rPr>
        <w:t>定执行。</w:t>
      </w:r>
    </w:p>
    <w:p w14:paraId="6BC1589C">
      <w:pPr>
        <w:pStyle w:val="19"/>
        <w:spacing w:line="360" w:lineRule="auto"/>
        <w:ind w:firstLine="476" w:firstLineChars="200"/>
        <w:jc w:val="left"/>
        <w:rPr>
          <w:rFonts w:hint="eastAsia"/>
          <w:color w:val="auto"/>
          <w:spacing w:val="-1"/>
          <w:sz w:val="24"/>
          <w:szCs w:val="24"/>
          <w:highlight w:val="none"/>
          <w:lang w:eastAsia="zh-CN"/>
        </w:rPr>
      </w:pPr>
      <w:r>
        <w:rPr>
          <w:rFonts w:hint="eastAsia"/>
          <w:color w:val="auto"/>
          <w:spacing w:val="-1"/>
          <w:sz w:val="24"/>
          <w:szCs w:val="24"/>
          <w:highlight w:val="none"/>
          <w:lang w:eastAsia="zh-CN"/>
        </w:rPr>
        <w:t>（3）支付约定：在本合同签订后28个工作日内，预付安全文明施工费总额的  %，其余部分与进度款同期支付。</w:t>
      </w:r>
    </w:p>
    <w:p w14:paraId="693CC5FC">
      <w:pPr>
        <w:pStyle w:val="19"/>
        <w:spacing w:line="360" w:lineRule="auto"/>
        <w:ind w:firstLine="478" w:firstLineChars="200"/>
        <w:rPr>
          <w:b/>
          <w:bCs/>
          <w:color w:val="auto"/>
          <w:spacing w:val="-1"/>
          <w:sz w:val="24"/>
          <w:szCs w:val="24"/>
          <w:highlight w:val="none"/>
          <w:lang w:eastAsia="zh-CN"/>
        </w:rPr>
      </w:pPr>
      <w:r>
        <w:rPr>
          <w:rFonts w:hint="eastAsia"/>
          <w:b/>
          <w:bCs/>
          <w:color w:val="auto"/>
          <w:spacing w:val="-1"/>
          <w:sz w:val="24"/>
          <w:szCs w:val="24"/>
          <w:highlight w:val="none"/>
          <w:lang w:eastAsia="zh-CN"/>
        </w:rPr>
        <w:t>（4）建设单位按规定将安全生产费用转入施工单位设立的安全生产费用专户。</w:t>
      </w:r>
    </w:p>
    <w:p w14:paraId="4858FF6A">
      <w:pPr>
        <w:pStyle w:val="19"/>
        <w:spacing w:line="360" w:lineRule="auto"/>
        <w:ind w:firstLine="478" w:firstLineChars="200"/>
        <w:rPr>
          <w:b/>
          <w:bCs/>
          <w:color w:val="auto"/>
          <w:spacing w:val="-1"/>
          <w:sz w:val="24"/>
          <w:szCs w:val="24"/>
          <w:highlight w:val="none"/>
          <w:lang w:eastAsia="zh-CN"/>
        </w:rPr>
      </w:pPr>
      <w:r>
        <w:rPr>
          <w:rFonts w:hint="eastAsia"/>
          <w:b/>
          <w:bCs/>
          <w:color w:val="auto"/>
          <w:spacing w:val="-1"/>
          <w:sz w:val="24"/>
          <w:szCs w:val="24"/>
          <w:highlight w:val="none"/>
          <w:lang w:eastAsia="zh-CN"/>
        </w:rPr>
        <w:t>（5）工程施工完成后安全生产费用尚有结余的，结余部分由建设单位收回。</w:t>
      </w:r>
    </w:p>
    <w:p w14:paraId="04B53359">
      <w:pPr>
        <w:pStyle w:val="19"/>
        <w:spacing w:line="360" w:lineRule="auto"/>
        <w:ind w:firstLine="478" w:firstLineChars="200"/>
        <w:rPr>
          <w:b/>
          <w:bCs/>
          <w:color w:val="auto"/>
          <w:spacing w:val="-1"/>
          <w:sz w:val="24"/>
          <w:szCs w:val="24"/>
          <w:highlight w:val="none"/>
          <w:lang w:eastAsia="zh-CN"/>
        </w:rPr>
      </w:pPr>
      <w:r>
        <w:rPr>
          <w:rFonts w:hint="eastAsia"/>
          <w:b/>
          <w:bCs/>
          <w:color w:val="auto"/>
          <w:spacing w:val="-1"/>
          <w:sz w:val="24"/>
          <w:szCs w:val="24"/>
          <w:highlight w:val="none"/>
          <w:lang w:eastAsia="zh-CN"/>
        </w:rPr>
        <w:t>（6）施工单位将安全生产费用使用情况定期报告建设单位和监理单位，并提供相应的材料接受建设行政主管部门对此事项监管。</w:t>
      </w:r>
    </w:p>
    <w:p w14:paraId="7EC7FA46">
      <w:pPr>
        <w:pStyle w:val="19"/>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（7）安全生产费用专户：        公司安全生产费用专户。账号：</w:t>
      </w:r>
      <w:r>
        <w:rPr>
          <w:rFonts w:hint="eastAsia"/>
          <w:color w:val="auto"/>
          <w:spacing w:val="-3"/>
          <w:sz w:val="24"/>
          <w:szCs w:val="24"/>
          <w:highlight w:val="none"/>
          <w:u w:val="single"/>
          <w:lang w:eastAsia="zh-CN"/>
        </w:rPr>
        <w:t xml:space="preserve">       。</w:t>
      </w:r>
    </w:p>
    <w:p w14:paraId="1182FFE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6.3  环境保护</w:t>
      </w:r>
    </w:p>
    <w:p w14:paraId="1242849C">
      <w:pPr>
        <w:pStyle w:val="19"/>
        <w:spacing w:line="360" w:lineRule="auto"/>
        <w:ind w:firstLine="480" w:firstLineChars="200"/>
        <w:rPr>
          <w:color w:val="auto"/>
          <w:sz w:val="24"/>
          <w:szCs w:val="24"/>
          <w:highlight w:val="none"/>
          <w:lang w:eastAsia="zh-CN"/>
        </w:rPr>
      </w:pPr>
      <w:r>
        <w:rPr>
          <w:rFonts w:hint="eastAsia"/>
          <w:color w:val="auto"/>
          <w:sz w:val="24"/>
          <w:szCs w:val="24"/>
          <w:highlight w:val="none"/>
          <w:u w:val="single"/>
          <w:lang w:eastAsia="zh-CN"/>
        </w:rPr>
        <w:t>因施工需要，经发包人批准，由承包人办理有关施</w:t>
      </w:r>
      <w:r>
        <w:rPr>
          <w:rFonts w:hint="eastAsia"/>
          <w:color w:val="auto"/>
          <w:spacing w:val="-1"/>
          <w:sz w:val="24"/>
          <w:szCs w:val="24"/>
          <w:highlight w:val="none"/>
          <w:u w:val="single"/>
          <w:lang w:eastAsia="zh-CN"/>
        </w:rPr>
        <w:t>工场地交通、环卫和施工噪音管理等手</w:t>
      </w:r>
      <w:r>
        <w:rPr>
          <w:rFonts w:hint="eastAsia"/>
          <w:color w:val="auto"/>
          <w:spacing w:val="-7"/>
          <w:sz w:val="24"/>
          <w:szCs w:val="24"/>
          <w:highlight w:val="none"/>
          <w:u w:val="single"/>
          <w:lang w:eastAsia="zh-CN"/>
        </w:rPr>
        <w:t>续，费用由承包人负责。</w:t>
      </w:r>
    </w:p>
    <w:p w14:paraId="7579D690">
      <w:pPr>
        <w:pStyle w:val="19"/>
        <w:spacing w:line="360" w:lineRule="auto"/>
        <w:ind w:firstLine="480" w:firstLineChars="200"/>
        <w:rPr>
          <w:color w:val="auto"/>
          <w:sz w:val="24"/>
          <w:szCs w:val="24"/>
          <w:highlight w:val="none"/>
          <w:lang w:eastAsia="zh-CN"/>
        </w:rPr>
      </w:pPr>
      <w:r>
        <w:rPr>
          <w:rFonts w:hint="eastAsia"/>
          <w:color w:val="auto"/>
          <w:sz w:val="24"/>
          <w:szCs w:val="24"/>
          <w:highlight w:val="none"/>
          <w:u w:val="single"/>
          <w:lang w:eastAsia="zh-CN"/>
        </w:rPr>
        <w:t>经过城市道路的施工车辆，必须按交警、城管、运输等部门相关规定执行。由于施</w:t>
      </w:r>
      <w:r>
        <w:rPr>
          <w:rFonts w:hint="eastAsia"/>
          <w:color w:val="auto"/>
          <w:spacing w:val="-1"/>
          <w:sz w:val="24"/>
          <w:szCs w:val="24"/>
          <w:highlight w:val="none"/>
          <w:u w:val="single"/>
          <w:lang w:eastAsia="zh-CN"/>
        </w:rPr>
        <w:t>工车辆</w:t>
      </w:r>
      <w:r>
        <w:rPr>
          <w:rFonts w:hint="eastAsia"/>
          <w:color w:val="auto"/>
          <w:sz w:val="24"/>
          <w:szCs w:val="24"/>
          <w:highlight w:val="none"/>
          <w:u w:val="single"/>
          <w:lang w:eastAsia="zh-CN"/>
        </w:rPr>
        <w:t>造成的道路、环境等污染，其责任和费用均由承包人承</w:t>
      </w:r>
      <w:r>
        <w:rPr>
          <w:rFonts w:hint="eastAsia"/>
          <w:color w:val="auto"/>
          <w:spacing w:val="-1"/>
          <w:sz w:val="24"/>
          <w:szCs w:val="24"/>
          <w:highlight w:val="none"/>
          <w:u w:val="single"/>
          <w:lang w:eastAsia="zh-CN"/>
        </w:rPr>
        <w:t>担。</w:t>
      </w:r>
    </w:p>
    <w:p w14:paraId="7C9B7319">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  工期和进度</w:t>
      </w:r>
    </w:p>
    <w:p w14:paraId="722CF38A">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7.1  施工组织设计</w:t>
      </w:r>
    </w:p>
    <w:p w14:paraId="073B6F3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7.1.1  合同当事人约定的施工组织设计应包括的其他内容：</w:t>
      </w:r>
      <w:r>
        <w:rPr>
          <w:rFonts w:hint="eastAsia"/>
          <w:color w:val="auto"/>
          <w:spacing w:val="-2"/>
          <w:sz w:val="24"/>
          <w:szCs w:val="24"/>
          <w:highlight w:val="none"/>
          <w:u w:val="single"/>
          <w:lang w:eastAsia="zh-CN"/>
        </w:rPr>
        <w:t>按专业</w:t>
      </w:r>
      <w:r>
        <w:rPr>
          <w:rFonts w:hint="eastAsia"/>
          <w:color w:val="auto"/>
          <w:spacing w:val="-3"/>
          <w:sz w:val="24"/>
          <w:szCs w:val="24"/>
          <w:highlight w:val="none"/>
          <w:u w:val="single"/>
          <w:lang w:eastAsia="zh-CN"/>
        </w:rPr>
        <w:t>要求编制施工组织设计</w:t>
      </w:r>
      <w:r>
        <w:rPr>
          <w:rFonts w:hint="eastAsia"/>
          <w:color w:val="auto"/>
          <w:spacing w:val="-2"/>
          <w:sz w:val="24"/>
          <w:szCs w:val="24"/>
          <w:highlight w:val="none"/>
          <w:u w:val="single"/>
          <w:lang w:eastAsia="zh-CN"/>
        </w:rPr>
        <w:t>和专项施工方案。其中施工方案中的重要节点工期必须细化到具体日历天，发</w:t>
      </w:r>
      <w:r>
        <w:rPr>
          <w:rFonts w:hint="eastAsia"/>
          <w:color w:val="auto"/>
          <w:spacing w:val="-3"/>
          <w:sz w:val="24"/>
          <w:szCs w:val="24"/>
          <w:highlight w:val="none"/>
          <w:u w:val="single"/>
          <w:lang w:eastAsia="zh-CN"/>
        </w:rPr>
        <w:t>包人将以该节点</w:t>
      </w:r>
      <w:r>
        <w:rPr>
          <w:rFonts w:hint="eastAsia"/>
          <w:color w:val="auto"/>
          <w:sz w:val="24"/>
          <w:szCs w:val="24"/>
          <w:highlight w:val="none"/>
          <w:u w:val="single"/>
          <w:lang w:eastAsia="zh-CN"/>
        </w:rPr>
        <w:t>工期为工程形象进度作为确定和拨付工程进度款和考核工期的</w:t>
      </w:r>
      <w:r>
        <w:rPr>
          <w:rFonts w:hint="eastAsia"/>
          <w:color w:val="auto"/>
          <w:spacing w:val="-1"/>
          <w:sz w:val="24"/>
          <w:szCs w:val="24"/>
          <w:highlight w:val="none"/>
          <w:u w:val="single"/>
          <w:lang w:eastAsia="zh-CN"/>
        </w:rPr>
        <w:t>重要依据。</w:t>
      </w:r>
    </w:p>
    <w:p w14:paraId="6EB7E2CD">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7.1.2  施工组织设计的提交和修改</w:t>
      </w:r>
    </w:p>
    <w:p w14:paraId="6CD83A0B">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承包人提交详细施工组织设计的期限的约定：</w:t>
      </w:r>
      <w:r>
        <w:rPr>
          <w:rFonts w:hint="eastAsia"/>
          <w:color w:val="auto"/>
          <w:spacing w:val="-4"/>
          <w:sz w:val="24"/>
          <w:szCs w:val="24"/>
          <w:highlight w:val="none"/>
          <w:u w:val="single"/>
          <w:lang w:eastAsia="zh-CN"/>
        </w:rPr>
        <w:t>在收到监理人发出的开工通知后7天内。</w:t>
      </w:r>
    </w:p>
    <w:p w14:paraId="29CAB7D1">
      <w:pPr>
        <w:pStyle w:val="19"/>
        <w:spacing w:line="360" w:lineRule="auto"/>
        <w:ind w:firstLine="468" w:firstLineChars="200"/>
        <w:jc w:val="both"/>
        <w:rPr>
          <w:color w:val="auto"/>
          <w:sz w:val="24"/>
          <w:szCs w:val="24"/>
          <w:highlight w:val="none"/>
          <w:lang w:eastAsia="zh-CN"/>
        </w:rPr>
      </w:pPr>
      <w:r>
        <w:rPr>
          <w:rFonts w:hint="eastAsia"/>
          <w:color w:val="auto"/>
          <w:spacing w:val="-3"/>
          <w:sz w:val="24"/>
          <w:szCs w:val="24"/>
          <w:highlight w:val="none"/>
          <w:lang w:eastAsia="zh-CN"/>
        </w:rPr>
        <w:t>发包人和监理人在收到详细的施工组织设计后确认或提出修改意见的期</w:t>
      </w:r>
      <w:r>
        <w:rPr>
          <w:rFonts w:hint="eastAsia"/>
          <w:color w:val="auto"/>
          <w:spacing w:val="-4"/>
          <w:sz w:val="24"/>
          <w:szCs w:val="24"/>
          <w:highlight w:val="none"/>
          <w:lang w:eastAsia="zh-CN"/>
        </w:rPr>
        <w:t>限：</w:t>
      </w:r>
      <w:r>
        <w:rPr>
          <w:rFonts w:hint="eastAsia"/>
          <w:color w:val="auto"/>
          <w:spacing w:val="-4"/>
          <w:sz w:val="24"/>
          <w:szCs w:val="24"/>
          <w:highlight w:val="none"/>
          <w:u w:val="single"/>
          <w:lang w:eastAsia="zh-CN"/>
        </w:rPr>
        <w:t>自监理人收到</w:t>
      </w:r>
      <w:r>
        <w:rPr>
          <w:rFonts w:hint="eastAsia"/>
          <w:color w:val="auto"/>
          <w:spacing w:val="1"/>
          <w:sz w:val="24"/>
          <w:szCs w:val="24"/>
          <w:highlight w:val="none"/>
          <w:u w:val="single"/>
          <w:lang w:eastAsia="zh-CN"/>
        </w:rPr>
        <w:t>承包人报送的相关进度计划和施工方案说明后14天内。</w:t>
      </w:r>
    </w:p>
    <w:p w14:paraId="7B526659">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7.2  施工进度计划</w:t>
      </w:r>
    </w:p>
    <w:p w14:paraId="79822E7C">
      <w:pPr>
        <w:widowControl w:val="0"/>
        <w:kinsoku/>
        <w:spacing w:line="360" w:lineRule="auto"/>
        <w:ind w:firstLine="480" w:firstLineChars="200"/>
        <w:textAlignment w:val="auto"/>
        <w:rPr>
          <w:color w:val="auto"/>
          <w:sz w:val="24"/>
          <w:szCs w:val="24"/>
          <w:highlight w:val="none"/>
          <w:lang w:eastAsia="zh-CN"/>
        </w:rPr>
      </w:pPr>
      <w:r>
        <w:rPr>
          <w:color w:val="auto"/>
          <w:sz w:val="24"/>
          <w:szCs w:val="24"/>
          <w:highlight w:val="none"/>
          <w:lang w:eastAsia="zh-CN"/>
        </w:rPr>
        <w:t xml:space="preserve">7.2.2 </w:t>
      </w:r>
      <w:r>
        <w:rPr>
          <w:rFonts w:hint="eastAsia" w:hAnsi="宋体" w:cs="宋体"/>
          <w:color w:val="auto"/>
          <w:sz w:val="24"/>
          <w:szCs w:val="24"/>
          <w:highlight w:val="none"/>
          <w:lang w:eastAsia="zh-CN"/>
        </w:rPr>
        <w:t>施工进度计划的修订</w:t>
      </w:r>
    </w:p>
    <w:p w14:paraId="212C4E28">
      <w:pPr>
        <w:widowControl w:val="0"/>
        <w:kinsoku/>
        <w:spacing w:line="360" w:lineRule="auto"/>
        <w:ind w:firstLine="480" w:firstLineChars="200"/>
        <w:textAlignment w:val="auto"/>
        <w:rPr>
          <w:color w:val="auto"/>
          <w:spacing w:val="-2"/>
          <w:sz w:val="24"/>
          <w:szCs w:val="24"/>
          <w:highlight w:val="none"/>
          <w:lang w:eastAsia="zh-CN"/>
        </w:rPr>
      </w:pPr>
      <w:r>
        <w:rPr>
          <w:rFonts w:hint="eastAsia" w:hAnsi="宋体" w:cs="宋体"/>
          <w:color w:val="auto"/>
          <w:sz w:val="24"/>
          <w:szCs w:val="24"/>
          <w:highlight w:val="none"/>
          <w:lang w:eastAsia="zh-CN"/>
        </w:rPr>
        <w:t>发包人和监理人在收到修订的施工进度计划后确认或提出修改意见的期限：</w:t>
      </w:r>
      <w:r>
        <w:rPr>
          <w:rFonts w:hint="eastAsia"/>
          <w:color w:val="auto"/>
          <w:sz w:val="24"/>
          <w:szCs w:val="24"/>
          <w:highlight w:val="none"/>
          <w:u w:val="single"/>
          <w:lang w:eastAsia="zh-CN"/>
        </w:rPr>
        <w:t>收到相应文件后7天内</w:t>
      </w:r>
      <w:r>
        <w:rPr>
          <w:rFonts w:hint="eastAsia" w:hAnsi="宋体" w:cs="宋体"/>
          <w:color w:val="auto"/>
          <w:sz w:val="24"/>
          <w:szCs w:val="24"/>
          <w:highlight w:val="none"/>
          <w:lang w:eastAsia="zh-CN"/>
        </w:rPr>
        <w:t>。</w:t>
      </w:r>
    </w:p>
    <w:p w14:paraId="28958DA4">
      <w:pPr>
        <w:pStyle w:val="5"/>
        <w:widowControl w:val="0"/>
        <w:kinsoku/>
        <w:textAlignment w:val="auto"/>
        <w:rPr>
          <w:color w:val="auto"/>
          <w:spacing w:val="-2"/>
          <w:sz w:val="24"/>
          <w:szCs w:val="24"/>
          <w:highlight w:val="none"/>
          <w:lang w:eastAsia="zh-CN"/>
        </w:rPr>
      </w:pPr>
      <w:bookmarkStart w:id="40" w:name="_Toc389065291"/>
      <w:bookmarkStart w:id="41" w:name="_Toc423062567"/>
      <w:bookmarkStart w:id="42" w:name="_Toc373227725"/>
      <w:bookmarkStart w:id="43" w:name="_Toc78449813"/>
      <w:bookmarkStart w:id="44" w:name="_Toc29648"/>
      <w:bookmarkStart w:id="45" w:name="_Toc407135227"/>
      <w:bookmarkStart w:id="46" w:name="_Toc373478372"/>
      <w:r>
        <w:rPr>
          <w:color w:val="auto"/>
          <w:sz w:val="24"/>
          <w:szCs w:val="24"/>
          <w:highlight w:val="none"/>
          <w:lang w:eastAsia="zh-CN"/>
        </w:rPr>
        <w:t xml:space="preserve">7.3 </w:t>
      </w:r>
      <w:r>
        <w:rPr>
          <w:rFonts w:hint="eastAsia" w:cs="黑体"/>
          <w:color w:val="auto"/>
          <w:sz w:val="24"/>
          <w:szCs w:val="24"/>
          <w:highlight w:val="none"/>
          <w:lang w:eastAsia="zh-CN"/>
        </w:rPr>
        <w:t>开工</w:t>
      </w:r>
      <w:bookmarkEnd w:id="40"/>
      <w:bookmarkEnd w:id="41"/>
      <w:bookmarkEnd w:id="42"/>
      <w:bookmarkEnd w:id="43"/>
      <w:bookmarkEnd w:id="44"/>
      <w:bookmarkEnd w:id="45"/>
      <w:bookmarkEnd w:id="46"/>
    </w:p>
    <w:p w14:paraId="7D2F0E23">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7.3.1开工准备</w:t>
      </w:r>
    </w:p>
    <w:p w14:paraId="43D5C01D">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关于承包人提交工程开工报审表的期限：</w:t>
      </w:r>
      <w:r>
        <w:rPr>
          <w:rFonts w:hint="eastAsia"/>
          <w:color w:val="auto"/>
          <w:spacing w:val="-5"/>
          <w:sz w:val="24"/>
          <w:szCs w:val="24"/>
          <w:highlight w:val="none"/>
          <w:u w:val="single"/>
          <w:lang w:eastAsia="zh-CN"/>
        </w:rPr>
        <w:t>开工前7</w:t>
      </w:r>
      <w:r>
        <w:rPr>
          <w:rFonts w:hint="eastAsia"/>
          <w:color w:val="auto"/>
          <w:spacing w:val="-6"/>
          <w:sz w:val="24"/>
          <w:szCs w:val="24"/>
          <w:highlight w:val="none"/>
          <w:u w:val="single"/>
          <w:lang w:eastAsia="zh-CN"/>
        </w:rPr>
        <w:t>日内</w:t>
      </w:r>
      <w:r>
        <w:rPr>
          <w:rFonts w:hint="eastAsia"/>
          <w:color w:val="auto"/>
          <w:spacing w:val="-6"/>
          <w:sz w:val="24"/>
          <w:szCs w:val="24"/>
          <w:highlight w:val="none"/>
          <w:lang w:eastAsia="zh-CN"/>
        </w:rPr>
        <w:t>。</w:t>
      </w:r>
    </w:p>
    <w:p w14:paraId="673F4551">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关于发包人应完成的其他开工准备工作及期限：</w:t>
      </w:r>
      <w:r>
        <w:rPr>
          <w:rFonts w:hint="eastAsia"/>
          <w:color w:val="auto"/>
          <w:spacing w:val="-2"/>
          <w:sz w:val="24"/>
          <w:szCs w:val="24"/>
          <w:highlight w:val="none"/>
          <w:u w:val="single"/>
          <w:lang w:eastAsia="zh-CN"/>
        </w:rPr>
        <w:t>开工前7日内</w:t>
      </w:r>
      <w:r>
        <w:rPr>
          <w:rFonts w:hint="eastAsia"/>
          <w:color w:val="auto"/>
          <w:spacing w:val="-2"/>
          <w:sz w:val="24"/>
          <w:szCs w:val="24"/>
          <w:highlight w:val="none"/>
          <w:lang w:eastAsia="zh-CN"/>
        </w:rPr>
        <w:t>。</w:t>
      </w:r>
    </w:p>
    <w:p w14:paraId="29DAB1FF">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关于承包人应完成的其他开工准备工作及期限：</w:t>
      </w:r>
      <w:r>
        <w:rPr>
          <w:rFonts w:hint="eastAsia"/>
          <w:color w:val="auto"/>
          <w:spacing w:val="-2"/>
          <w:sz w:val="24"/>
          <w:szCs w:val="24"/>
          <w:highlight w:val="none"/>
          <w:u w:val="single"/>
          <w:lang w:eastAsia="zh-CN"/>
        </w:rPr>
        <w:t>开工前7日内</w:t>
      </w:r>
      <w:r>
        <w:rPr>
          <w:rFonts w:hint="eastAsia"/>
          <w:color w:val="auto"/>
          <w:spacing w:val="-2"/>
          <w:sz w:val="24"/>
          <w:szCs w:val="24"/>
          <w:highlight w:val="none"/>
          <w:lang w:eastAsia="zh-CN"/>
        </w:rPr>
        <w:t>。</w:t>
      </w:r>
    </w:p>
    <w:p w14:paraId="17F9FB67">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7.3.2开工通知</w:t>
      </w:r>
    </w:p>
    <w:p w14:paraId="23D3560F">
      <w:pPr>
        <w:pStyle w:val="19"/>
        <w:spacing w:line="360" w:lineRule="auto"/>
        <w:ind w:firstLine="480" w:firstLineChars="200"/>
        <w:rPr>
          <w:color w:val="auto"/>
          <w:position w:val="15"/>
          <w:sz w:val="24"/>
          <w:szCs w:val="24"/>
          <w:highlight w:val="none"/>
          <w:lang w:eastAsia="zh-CN"/>
        </w:rPr>
      </w:pPr>
      <w:r>
        <w:rPr>
          <w:rFonts w:hint="eastAsia"/>
          <w:color w:val="auto"/>
          <w:position w:val="15"/>
          <w:sz w:val="24"/>
          <w:szCs w:val="24"/>
          <w:highlight w:val="none"/>
          <w:lang w:eastAsia="zh-CN"/>
        </w:rPr>
        <w:t>因发包人原因造成监理人未能在计划开工日期之日起</w:t>
      </w:r>
      <w:r>
        <w:rPr>
          <w:rFonts w:hint="eastAsia"/>
          <w:color w:val="auto"/>
          <w:position w:val="15"/>
          <w:sz w:val="24"/>
          <w:szCs w:val="24"/>
          <w:highlight w:val="none"/>
          <w:u w:val="single"/>
          <w:lang w:eastAsia="zh-CN"/>
        </w:rPr>
        <w:t xml:space="preserve"> 30 </w:t>
      </w:r>
      <w:r>
        <w:rPr>
          <w:rFonts w:hint="eastAsia"/>
          <w:color w:val="auto"/>
          <w:position w:val="15"/>
          <w:sz w:val="24"/>
          <w:szCs w:val="24"/>
          <w:highlight w:val="none"/>
          <w:lang w:eastAsia="zh-CN"/>
        </w:rPr>
        <w:t>天内发出开工通知的，承包人有权提出价格调整要求，或者解除合同。</w:t>
      </w:r>
    </w:p>
    <w:p w14:paraId="06BAC87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7.4  测量放线</w:t>
      </w:r>
    </w:p>
    <w:p w14:paraId="0FE7CF07">
      <w:pPr>
        <w:pStyle w:val="19"/>
        <w:spacing w:line="360" w:lineRule="auto"/>
        <w:ind w:firstLine="472" w:firstLineChars="200"/>
        <w:rPr>
          <w:color w:val="auto"/>
          <w:spacing w:val="-2"/>
          <w:sz w:val="24"/>
          <w:szCs w:val="24"/>
          <w:highlight w:val="none"/>
          <w:u w:val="single"/>
          <w:lang w:eastAsia="zh-CN"/>
        </w:rPr>
      </w:pPr>
      <w:r>
        <w:rPr>
          <w:rFonts w:hint="eastAsia"/>
          <w:color w:val="auto"/>
          <w:spacing w:val="-2"/>
          <w:sz w:val="24"/>
          <w:szCs w:val="24"/>
          <w:highlight w:val="none"/>
          <w:lang w:eastAsia="zh-CN"/>
        </w:rPr>
        <w:t>7.4.1 发包人通过监理人向承包人提供测量基准点、基准线和水准点及其书面资料的期限：</w:t>
      </w:r>
      <w:r>
        <w:rPr>
          <w:rFonts w:hint="eastAsia"/>
          <w:color w:val="auto"/>
          <w:spacing w:val="-2"/>
          <w:sz w:val="24"/>
          <w:szCs w:val="24"/>
          <w:highlight w:val="none"/>
          <w:u w:val="single"/>
          <w:lang w:eastAsia="zh-CN"/>
        </w:rPr>
        <w:t>开工7天前以书面形式交验，并于交付施工现场时，在现场实际交验，同时做好交验记录。</w:t>
      </w:r>
    </w:p>
    <w:p w14:paraId="05BAF65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7.5  工期延误</w:t>
      </w:r>
    </w:p>
    <w:p w14:paraId="589D8DFD">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7.5.1因发包人原因导致工期延误</w:t>
      </w:r>
    </w:p>
    <w:p w14:paraId="5C903EA7">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（7）因发包人原因导致工期延误的其他情形：</w:t>
      </w:r>
      <w:r>
        <w:rPr>
          <w:rFonts w:hint="eastAsia"/>
          <w:color w:val="auto"/>
          <w:spacing w:val="-1"/>
          <w:sz w:val="24"/>
          <w:szCs w:val="24"/>
          <w:highlight w:val="none"/>
          <w:u w:val="single"/>
          <w:lang w:eastAsia="zh-CN"/>
        </w:rPr>
        <w:t>①重</w:t>
      </w:r>
      <w:r>
        <w:rPr>
          <w:rFonts w:hint="eastAsia"/>
          <w:color w:val="auto"/>
          <w:spacing w:val="-2"/>
          <w:sz w:val="24"/>
          <w:szCs w:val="24"/>
          <w:highlight w:val="none"/>
          <w:u w:val="single"/>
          <w:lang w:eastAsia="zh-CN"/>
        </w:rPr>
        <w:t>大图纸变更影响关健线路工序施工；②</w:t>
      </w:r>
      <w:r>
        <w:rPr>
          <w:rFonts w:hint="eastAsia"/>
          <w:color w:val="auto"/>
          <w:spacing w:val="-4"/>
          <w:sz w:val="24"/>
          <w:szCs w:val="24"/>
          <w:highlight w:val="none"/>
          <w:u w:val="single"/>
          <w:lang w:eastAsia="zh-CN"/>
        </w:rPr>
        <w:t>施工期间如因停电、停水连续8小时以上或一周内间歇性停水、停电累计8小时（含8小时）</w:t>
      </w:r>
      <w:r>
        <w:rPr>
          <w:rFonts w:hint="eastAsia"/>
          <w:color w:val="auto"/>
          <w:sz w:val="24"/>
          <w:szCs w:val="24"/>
          <w:highlight w:val="none"/>
          <w:u w:val="single"/>
          <w:lang w:eastAsia="zh-CN"/>
        </w:rPr>
        <w:t>影响正常施工的。③政府指令性停工。④在施工过程中遇到地下障碍物、溶洞、岩石、文物或地下管线的。⑤因发包人未能及时确认变更价格或甲供材料提供延误的。⑥非承包人的责任造</w:t>
      </w:r>
      <w:r>
        <w:rPr>
          <w:rFonts w:hint="eastAsia"/>
          <w:color w:val="auto"/>
          <w:spacing w:val="-7"/>
          <w:sz w:val="24"/>
          <w:szCs w:val="24"/>
          <w:highlight w:val="none"/>
          <w:u w:val="single"/>
          <w:lang w:eastAsia="zh-CN"/>
        </w:rPr>
        <w:t>成的工期延误其他情形。</w:t>
      </w:r>
    </w:p>
    <w:p w14:paraId="1C68C58E">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7.5.2因承包人原因导致工期延误</w:t>
      </w:r>
    </w:p>
    <w:p w14:paraId="4B3240D2">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双方约定经监理工程师确认，工期相应顺延的情况：</w:t>
      </w:r>
      <w:r>
        <w:rPr>
          <w:rFonts w:hint="eastAsia"/>
          <w:color w:val="auto"/>
          <w:sz w:val="24"/>
          <w:szCs w:val="24"/>
          <w:highlight w:val="none"/>
          <w:u w:val="single"/>
          <w:lang w:eastAsia="zh-CN"/>
        </w:rPr>
        <w:t>因异常恶劣的气候条件影响工</w:t>
      </w:r>
      <w:r>
        <w:rPr>
          <w:rFonts w:hint="eastAsia"/>
          <w:color w:val="auto"/>
          <w:spacing w:val="-1"/>
          <w:sz w:val="24"/>
          <w:szCs w:val="24"/>
          <w:highlight w:val="none"/>
          <w:u w:val="single"/>
          <w:lang w:eastAsia="zh-CN"/>
        </w:rPr>
        <w:t>期的。</w:t>
      </w:r>
    </w:p>
    <w:p w14:paraId="65CADDAA">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因承包人原因造成工期延误，逾期竣工违约金的计算方法为：</w:t>
      </w:r>
      <w:r>
        <w:rPr>
          <w:rFonts w:hint="eastAsia"/>
          <w:color w:val="auto"/>
          <w:spacing w:val="-4"/>
          <w:sz w:val="24"/>
          <w:szCs w:val="24"/>
          <w:highlight w:val="none"/>
          <w:u w:val="single"/>
          <w:lang w:eastAsia="zh-CN"/>
        </w:rPr>
        <w:t>按</w:t>
      </w:r>
      <w:r>
        <w:rPr>
          <w:rFonts w:hint="eastAsia"/>
          <w:color w:val="auto"/>
          <w:spacing w:val="-5"/>
          <w:sz w:val="24"/>
          <w:szCs w:val="24"/>
          <w:highlight w:val="none"/>
          <w:u w:val="single"/>
          <w:lang w:eastAsia="zh-CN"/>
        </w:rPr>
        <w:t>逾期竣工的单项工程罚款，</w:t>
      </w:r>
      <w:r>
        <w:rPr>
          <w:rFonts w:hint="eastAsia"/>
          <w:color w:val="auto"/>
          <w:spacing w:val="-1"/>
          <w:sz w:val="24"/>
          <w:szCs w:val="24"/>
          <w:highlight w:val="none"/>
          <w:u w:val="single"/>
          <w:lang w:eastAsia="zh-CN"/>
        </w:rPr>
        <w:t>每延误一天,按单项工程应支付给承包人的结算造价的万分之四处罚,罚款直</w:t>
      </w:r>
      <w:r>
        <w:rPr>
          <w:rFonts w:hint="eastAsia"/>
          <w:color w:val="auto"/>
          <w:spacing w:val="-2"/>
          <w:sz w:val="24"/>
          <w:szCs w:val="24"/>
          <w:highlight w:val="none"/>
          <w:u w:val="single"/>
          <w:lang w:eastAsia="zh-CN"/>
        </w:rPr>
        <w:t>接从结算款中扣除。</w:t>
      </w:r>
      <w:r>
        <w:rPr>
          <w:rFonts w:hint="eastAsia"/>
          <w:color w:val="auto"/>
          <w:spacing w:val="-4"/>
          <w:sz w:val="24"/>
          <w:szCs w:val="24"/>
          <w:highlight w:val="none"/>
          <w:u w:val="single"/>
          <w:lang w:eastAsia="zh-CN"/>
        </w:rPr>
        <w:t>误期时间从规定竣工日期起直到实际竣工日期的天数（扣除发包人批准顺延的工期）。因承包人原因造成工期延误，逾期竣工违约金的上限：</w:t>
      </w:r>
      <w:r>
        <w:rPr>
          <w:rFonts w:hint="eastAsia"/>
          <w:color w:val="auto"/>
          <w:spacing w:val="-5"/>
          <w:sz w:val="24"/>
          <w:szCs w:val="24"/>
          <w:highlight w:val="none"/>
          <w:u w:val="single"/>
          <w:lang w:eastAsia="zh-CN"/>
        </w:rPr>
        <w:t>逾期竣工的单项工程结算造价的5%。</w:t>
      </w:r>
    </w:p>
    <w:p w14:paraId="6F233E3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7.6  不利物质条件</w:t>
      </w:r>
    </w:p>
    <w:p w14:paraId="6D13BD72">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不利物质条件的其他情形和有关约定：</w:t>
      </w:r>
      <w:r>
        <w:rPr>
          <w:rFonts w:hint="eastAsia"/>
          <w:color w:val="auto"/>
          <w:spacing w:val="-4"/>
          <w:sz w:val="24"/>
          <w:szCs w:val="24"/>
          <w:highlight w:val="none"/>
          <w:u w:val="single"/>
          <w:lang w:eastAsia="zh-CN"/>
        </w:rPr>
        <w:t xml:space="preserve"> 按通用条款约定。</w:t>
      </w:r>
    </w:p>
    <w:p w14:paraId="54BD5D99">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7.7  异常恶劣的气候条件</w:t>
      </w:r>
    </w:p>
    <w:p w14:paraId="446C4209">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发包人和承包人同意以下情形视为异常恶劣的气候条件：</w:t>
      </w:r>
    </w:p>
    <w:p w14:paraId="392587CD">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（1）</w:t>
      </w:r>
      <w:r>
        <w:rPr>
          <w:rFonts w:hint="eastAsia"/>
          <w:color w:val="auto"/>
          <w:spacing w:val="-6"/>
          <w:sz w:val="24"/>
          <w:szCs w:val="24"/>
          <w:highlight w:val="none"/>
          <w:u w:val="single"/>
          <w:lang w:eastAsia="zh-CN"/>
        </w:rPr>
        <w:t>当地 8级以上的破坏性地震；</w:t>
      </w:r>
    </w:p>
    <w:p w14:paraId="255AC49E">
      <w:pPr>
        <w:pStyle w:val="19"/>
        <w:spacing w:line="360" w:lineRule="auto"/>
        <w:ind w:firstLine="476" w:firstLineChars="200"/>
        <w:outlineLvl w:val="2"/>
        <w:rPr>
          <w:color w:val="auto"/>
          <w:sz w:val="24"/>
          <w:szCs w:val="24"/>
          <w:highlight w:val="none"/>
          <w:lang w:eastAsia="zh-CN"/>
        </w:rPr>
      </w:pPr>
      <w:r>
        <w:rPr>
          <w:rFonts w:hint="eastAsia"/>
          <w:color w:val="auto"/>
          <w:spacing w:val="-1"/>
          <w:sz w:val="24"/>
          <w:szCs w:val="24"/>
          <w:highlight w:val="none"/>
          <w:lang w:eastAsia="zh-CN"/>
        </w:rPr>
        <w:t>（2）</w:t>
      </w:r>
      <w:r>
        <w:rPr>
          <w:rFonts w:hint="eastAsia"/>
          <w:color w:val="auto"/>
          <w:spacing w:val="-1"/>
          <w:sz w:val="24"/>
          <w:szCs w:val="24"/>
          <w:highlight w:val="none"/>
          <w:u w:val="single"/>
          <w:lang w:eastAsia="zh-CN"/>
        </w:rPr>
        <w:t>暴雨级以上的持续 3 天的大雨；</w:t>
      </w:r>
    </w:p>
    <w:p w14:paraId="486A7EB9">
      <w:pPr>
        <w:pStyle w:val="19"/>
        <w:spacing w:line="360" w:lineRule="auto"/>
        <w:ind w:firstLine="476" w:firstLineChars="200"/>
        <w:outlineLvl w:val="2"/>
        <w:rPr>
          <w:color w:val="auto"/>
          <w:sz w:val="24"/>
          <w:szCs w:val="24"/>
          <w:highlight w:val="none"/>
          <w:lang w:eastAsia="zh-CN"/>
        </w:rPr>
      </w:pPr>
      <w:r>
        <w:rPr>
          <w:rFonts w:hint="eastAsia"/>
          <w:color w:val="auto"/>
          <w:spacing w:val="-1"/>
          <w:sz w:val="24"/>
          <w:szCs w:val="24"/>
          <w:highlight w:val="none"/>
          <w:lang w:eastAsia="zh-CN"/>
        </w:rPr>
        <w:t>（3）</w:t>
      </w:r>
      <w:r>
        <w:rPr>
          <w:rFonts w:hint="eastAsia"/>
          <w:color w:val="auto"/>
          <w:spacing w:val="-1"/>
          <w:sz w:val="24"/>
          <w:szCs w:val="24"/>
          <w:highlight w:val="none"/>
          <w:u w:val="single"/>
          <w:lang w:eastAsia="zh-CN"/>
        </w:rPr>
        <w:t>5 年以上未发生过的、持续 5 天的高温天气；</w:t>
      </w:r>
    </w:p>
    <w:p w14:paraId="1A494B82">
      <w:pPr>
        <w:pStyle w:val="19"/>
        <w:spacing w:line="360" w:lineRule="auto"/>
        <w:ind w:firstLine="444" w:firstLineChars="200"/>
        <w:outlineLvl w:val="2"/>
        <w:rPr>
          <w:color w:val="auto"/>
          <w:sz w:val="24"/>
          <w:szCs w:val="24"/>
          <w:highlight w:val="none"/>
          <w:lang w:eastAsia="zh-CN"/>
        </w:rPr>
      </w:pPr>
      <w:r>
        <w:rPr>
          <w:rFonts w:hint="eastAsia"/>
          <w:color w:val="auto"/>
          <w:spacing w:val="-9"/>
          <w:sz w:val="24"/>
          <w:szCs w:val="24"/>
          <w:highlight w:val="none"/>
          <w:lang w:eastAsia="zh-CN"/>
        </w:rPr>
        <w:t>（4）</w:t>
      </w:r>
      <w:r>
        <w:rPr>
          <w:rFonts w:hint="eastAsia"/>
          <w:color w:val="auto"/>
          <w:spacing w:val="-9"/>
          <w:sz w:val="24"/>
          <w:szCs w:val="24"/>
          <w:highlight w:val="none"/>
          <w:u w:val="single"/>
          <w:lang w:eastAsia="zh-CN"/>
        </w:rPr>
        <w:t>百年一遇的洪水；</w:t>
      </w:r>
    </w:p>
    <w:p w14:paraId="0FD09796">
      <w:pPr>
        <w:pStyle w:val="19"/>
        <w:spacing w:line="360" w:lineRule="auto"/>
        <w:ind w:firstLine="476" w:firstLineChars="200"/>
        <w:outlineLvl w:val="2"/>
        <w:rPr>
          <w:color w:val="auto"/>
          <w:sz w:val="24"/>
          <w:szCs w:val="24"/>
          <w:highlight w:val="none"/>
          <w:lang w:eastAsia="zh-CN"/>
        </w:rPr>
      </w:pPr>
      <w:r>
        <w:rPr>
          <w:rFonts w:hint="eastAsia"/>
          <w:color w:val="auto"/>
          <w:spacing w:val="-1"/>
          <w:sz w:val="24"/>
          <w:szCs w:val="24"/>
          <w:highlight w:val="none"/>
          <w:lang w:eastAsia="zh-CN"/>
        </w:rPr>
        <w:t>（5）</w:t>
      </w:r>
      <w:r>
        <w:rPr>
          <w:rFonts w:hint="eastAsia"/>
          <w:color w:val="auto"/>
          <w:spacing w:val="-1"/>
          <w:sz w:val="24"/>
          <w:szCs w:val="24"/>
          <w:highlight w:val="none"/>
          <w:u w:val="single"/>
          <w:lang w:eastAsia="zh-CN"/>
        </w:rPr>
        <w:t>12 级以上的大风；</w:t>
      </w:r>
    </w:p>
    <w:p w14:paraId="1908E4DB">
      <w:pPr>
        <w:pStyle w:val="19"/>
        <w:spacing w:line="360" w:lineRule="auto"/>
        <w:ind w:firstLine="472" w:firstLineChars="200"/>
        <w:outlineLvl w:val="2"/>
        <w:rPr>
          <w:color w:val="auto"/>
          <w:sz w:val="24"/>
          <w:szCs w:val="24"/>
          <w:highlight w:val="none"/>
          <w:lang w:eastAsia="zh-CN"/>
        </w:rPr>
      </w:pPr>
      <w:r>
        <w:rPr>
          <w:rFonts w:hint="eastAsia"/>
          <w:color w:val="auto"/>
          <w:spacing w:val="-2"/>
          <w:sz w:val="24"/>
          <w:szCs w:val="24"/>
          <w:highlight w:val="none"/>
          <w:lang w:eastAsia="zh-CN"/>
        </w:rPr>
        <w:t>（6）</w:t>
      </w:r>
      <w:r>
        <w:rPr>
          <w:rFonts w:hint="eastAsia"/>
          <w:color w:val="auto"/>
          <w:spacing w:val="-2"/>
          <w:sz w:val="24"/>
          <w:szCs w:val="24"/>
          <w:highlight w:val="none"/>
          <w:u w:val="single"/>
          <w:lang w:eastAsia="zh-CN"/>
        </w:rPr>
        <w:t>山洪及泥石流。</w:t>
      </w:r>
    </w:p>
    <w:p w14:paraId="0DF5576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7.9  提前竣工</w:t>
      </w:r>
    </w:p>
    <w:p w14:paraId="080D5066">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7.9.2提前竣工（赶工）增加费的计算方法：</w:t>
      </w:r>
      <w:r>
        <w:rPr>
          <w:rFonts w:hint="eastAsia"/>
          <w:color w:val="auto"/>
          <w:spacing w:val="-1"/>
          <w:sz w:val="24"/>
          <w:szCs w:val="24"/>
          <w:highlight w:val="none"/>
          <w:lang w:eastAsia="zh-CN"/>
        </w:rPr>
        <w:t>。</w:t>
      </w:r>
    </w:p>
    <w:p w14:paraId="60021329">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8. 材料与设备</w:t>
      </w:r>
    </w:p>
    <w:p w14:paraId="1F899A1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8.2  承包人采购材料与工程设备</w:t>
      </w:r>
    </w:p>
    <w:p w14:paraId="4404424C">
      <w:pPr>
        <w:pStyle w:val="19"/>
        <w:spacing w:line="360" w:lineRule="auto"/>
        <w:ind w:firstLine="468" w:firstLineChars="200"/>
        <w:rPr>
          <w:color w:val="auto"/>
          <w:sz w:val="24"/>
          <w:szCs w:val="24"/>
          <w:highlight w:val="none"/>
          <w:lang w:eastAsia="zh-CN"/>
        </w:rPr>
      </w:pPr>
      <w:r>
        <w:rPr>
          <w:rFonts w:hint="eastAsia"/>
          <w:color w:val="auto"/>
          <w:spacing w:val="-3"/>
          <w:position w:val="15"/>
          <w:sz w:val="24"/>
          <w:szCs w:val="24"/>
          <w:highlight w:val="none"/>
          <w:lang w:eastAsia="zh-CN"/>
        </w:rPr>
        <w:t>除已标价工程量清单《发包人提供主要材料和工程设备一览表》（表-21）中明确的材料、</w:t>
      </w:r>
      <w:r>
        <w:rPr>
          <w:rFonts w:hint="eastAsia"/>
          <w:color w:val="auto"/>
          <w:spacing w:val="-1"/>
          <w:sz w:val="24"/>
          <w:szCs w:val="24"/>
          <w:highlight w:val="none"/>
          <w:lang w:eastAsia="zh-CN"/>
        </w:rPr>
        <w:t>工程设备外，由承包人负责材料和工程设备的采购、运输和保管。</w:t>
      </w:r>
    </w:p>
    <w:p w14:paraId="1402CD0D">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对发包人在招标时有“参照或相当于**品牌、级别”约定的材料或设备，承包人采购</w:t>
      </w:r>
      <w:r>
        <w:rPr>
          <w:rFonts w:hint="eastAsia"/>
          <w:color w:val="auto"/>
          <w:spacing w:val="-1"/>
          <w:sz w:val="24"/>
          <w:szCs w:val="24"/>
          <w:highlight w:val="none"/>
          <w:lang w:eastAsia="zh-CN"/>
        </w:rPr>
        <w:t>时必</w:t>
      </w:r>
      <w:r>
        <w:rPr>
          <w:rFonts w:hint="eastAsia"/>
          <w:color w:val="auto"/>
          <w:sz w:val="24"/>
          <w:szCs w:val="24"/>
          <w:highlight w:val="none"/>
          <w:lang w:eastAsia="zh-CN"/>
        </w:rPr>
        <w:t>须按类似于或优于所约定品牌、等级进行采购，施工期间该部分材料或设备如未</w:t>
      </w:r>
      <w:r>
        <w:rPr>
          <w:rFonts w:hint="eastAsia"/>
          <w:color w:val="auto"/>
          <w:spacing w:val="-1"/>
          <w:sz w:val="24"/>
          <w:szCs w:val="24"/>
          <w:highlight w:val="none"/>
          <w:lang w:eastAsia="zh-CN"/>
        </w:rPr>
        <w:t>超过招标约定</w:t>
      </w:r>
      <w:r>
        <w:rPr>
          <w:rFonts w:hint="eastAsia"/>
          <w:color w:val="auto"/>
          <w:spacing w:val="-10"/>
          <w:sz w:val="24"/>
          <w:szCs w:val="24"/>
          <w:highlight w:val="none"/>
          <w:lang w:eastAsia="zh-CN"/>
        </w:rPr>
        <w:t>的风险幅度的，结算时按投标单价支付，不得调整。</w:t>
      </w:r>
    </w:p>
    <w:p w14:paraId="0A2F8EBB">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禁止使用松木、松木包装材料设备、种子、苗木、花卉及繁殖材料。</w:t>
      </w:r>
    </w:p>
    <w:p w14:paraId="3D478D26">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8.4  材料与工程设备的保管与使用</w:t>
      </w:r>
    </w:p>
    <w:p w14:paraId="79FDFF5D">
      <w:pPr>
        <w:pStyle w:val="19"/>
        <w:spacing w:line="360" w:lineRule="auto"/>
        <w:ind w:firstLine="464" w:firstLineChars="200"/>
        <w:jc w:val="both"/>
        <w:rPr>
          <w:color w:val="auto"/>
          <w:spacing w:val="-10"/>
          <w:sz w:val="24"/>
          <w:szCs w:val="24"/>
          <w:highlight w:val="none"/>
          <w:lang w:eastAsia="zh-CN"/>
        </w:rPr>
      </w:pPr>
      <w:r>
        <w:rPr>
          <w:rFonts w:hint="eastAsia"/>
          <w:color w:val="auto"/>
          <w:spacing w:val="-4"/>
          <w:sz w:val="24"/>
          <w:szCs w:val="24"/>
          <w:highlight w:val="none"/>
          <w:lang w:eastAsia="zh-CN"/>
        </w:rPr>
        <w:t>8.4.1发包人供应的材料设备的保管费用的承担：</w:t>
      </w:r>
      <w:r>
        <w:rPr>
          <w:rFonts w:hint="eastAsia"/>
          <w:color w:val="auto"/>
          <w:spacing w:val="-4"/>
          <w:sz w:val="24"/>
          <w:szCs w:val="24"/>
          <w:highlight w:val="none"/>
          <w:u w:val="single"/>
          <w:lang w:eastAsia="zh-CN"/>
        </w:rPr>
        <w:t>发包人直接供货的设备、材料，承</w:t>
      </w:r>
      <w:r>
        <w:rPr>
          <w:rFonts w:hint="eastAsia"/>
          <w:color w:val="auto"/>
          <w:spacing w:val="-5"/>
          <w:sz w:val="24"/>
          <w:szCs w:val="24"/>
          <w:highlight w:val="none"/>
          <w:u w:val="single"/>
          <w:lang w:eastAsia="zh-CN"/>
        </w:rPr>
        <w:t>包人计</w:t>
      </w:r>
      <w:r>
        <w:rPr>
          <w:rFonts w:hint="eastAsia"/>
          <w:color w:val="auto"/>
          <w:spacing w:val="-1"/>
          <w:sz w:val="24"/>
          <w:szCs w:val="24"/>
          <w:highlight w:val="none"/>
          <w:u w:val="single"/>
          <w:lang w:eastAsia="zh-CN"/>
        </w:rPr>
        <w:t>取设备采购价 1%的现场保管费。甲供设备由发包人负责运到工地，承包人在送货单上核对并</w:t>
      </w:r>
      <w:r>
        <w:rPr>
          <w:rFonts w:hint="eastAsia"/>
          <w:color w:val="auto"/>
          <w:spacing w:val="-2"/>
          <w:sz w:val="24"/>
          <w:szCs w:val="24"/>
          <w:highlight w:val="none"/>
          <w:u w:val="single"/>
          <w:lang w:eastAsia="zh-CN"/>
        </w:rPr>
        <w:t>签认， 并由承包人负责发包人供设备的卸</w:t>
      </w:r>
      <w:r>
        <w:rPr>
          <w:rFonts w:hint="eastAsia"/>
          <w:color w:val="auto"/>
          <w:spacing w:val="-3"/>
          <w:sz w:val="24"/>
          <w:szCs w:val="24"/>
          <w:highlight w:val="none"/>
          <w:u w:val="single"/>
          <w:lang w:eastAsia="zh-CN"/>
        </w:rPr>
        <w:t>车、场内转运、清点、验货、接收、保管等一切后续</w:t>
      </w:r>
      <w:r>
        <w:rPr>
          <w:rFonts w:hint="eastAsia"/>
          <w:color w:val="auto"/>
          <w:spacing w:val="-5"/>
          <w:sz w:val="24"/>
          <w:szCs w:val="24"/>
          <w:highlight w:val="none"/>
          <w:u w:val="single"/>
          <w:lang w:eastAsia="zh-CN"/>
        </w:rPr>
        <w:t>工作，以上工作（包括期间的损耗、损失）涉及的费用由发包按甲供设备</w:t>
      </w:r>
      <w:r>
        <w:rPr>
          <w:rFonts w:hint="eastAsia"/>
          <w:color w:val="auto"/>
          <w:spacing w:val="-6"/>
          <w:sz w:val="24"/>
          <w:szCs w:val="24"/>
          <w:highlight w:val="none"/>
          <w:u w:val="single"/>
          <w:lang w:eastAsia="zh-CN"/>
        </w:rPr>
        <w:t>采购价的 1%作为卸车、</w:t>
      </w:r>
      <w:r>
        <w:rPr>
          <w:rFonts w:hint="eastAsia"/>
          <w:color w:val="auto"/>
          <w:spacing w:val="-9"/>
          <w:sz w:val="24"/>
          <w:szCs w:val="24"/>
          <w:highlight w:val="none"/>
          <w:u w:val="single"/>
          <w:lang w:eastAsia="zh-CN"/>
        </w:rPr>
        <w:t>保管、管理费，进入税前工程造价， 不参与浮动， 结算</w:t>
      </w:r>
      <w:r>
        <w:rPr>
          <w:rFonts w:hint="eastAsia"/>
          <w:color w:val="auto"/>
          <w:spacing w:val="-10"/>
          <w:sz w:val="24"/>
          <w:szCs w:val="24"/>
          <w:highlight w:val="none"/>
          <w:u w:val="single"/>
          <w:lang w:eastAsia="zh-CN"/>
        </w:rPr>
        <w:t>时不予调整</w:t>
      </w:r>
      <w:r>
        <w:rPr>
          <w:rFonts w:hint="eastAsia"/>
          <w:color w:val="auto"/>
          <w:spacing w:val="-10"/>
          <w:sz w:val="24"/>
          <w:szCs w:val="24"/>
          <w:highlight w:val="none"/>
          <w:lang w:eastAsia="zh-CN"/>
        </w:rPr>
        <w:t>。</w:t>
      </w:r>
    </w:p>
    <w:p w14:paraId="244FF5BF">
      <w:pPr>
        <w:pStyle w:val="19"/>
        <w:spacing w:line="360" w:lineRule="auto"/>
        <w:jc w:val="both"/>
        <w:rPr>
          <w:b/>
          <w:bCs/>
          <w:color w:val="auto"/>
          <w:spacing w:val="1"/>
          <w:sz w:val="24"/>
          <w:szCs w:val="24"/>
          <w:highlight w:val="none"/>
          <w:lang w:eastAsia="zh-CN"/>
        </w:rPr>
      </w:pPr>
      <w:r>
        <w:rPr>
          <w:rFonts w:hint="eastAsia"/>
          <w:b/>
          <w:bCs/>
          <w:color w:val="auto"/>
          <w:spacing w:val="1"/>
          <w:sz w:val="24"/>
          <w:szCs w:val="24"/>
          <w:highlight w:val="none"/>
          <w:lang w:eastAsia="zh-CN"/>
        </w:rPr>
        <w:t>8.6  样品</w:t>
      </w:r>
    </w:p>
    <w:p w14:paraId="7DC83033">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8.6.1  样品的报送与封存</w:t>
      </w:r>
    </w:p>
    <w:p w14:paraId="43553EB9">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需要承包人报送样品的材料或工程设备，样品的种类、名称、规格、数量要求：</w:t>
      </w:r>
      <w:r>
        <w:rPr>
          <w:rFonts w:hint="eastAsia"/>
          <w:color w:val="auto"/>
          <w:spacing w:val="-5"/>
          <w:sz w:val="24"/>
          <w:szCs w:val="24"/>
          <w:highlight w:val="none"/>
          <w:u w:val="single"/>
          <w:lang w:eastAsia="zh-CN"/>
        </w:rPr>
        <w:t>主要材料</w:t>
      </w:r>
      <w:r>
        <w:rPr>
          <w:rFonts w:hint="eastAsia"/>
          <w:color w:val="auto"/>
          <w:sz w:val="24"/>
          <w:szCs w:val="24"/>
          <w:highlight w:val="none"/>
          <w:u w:val="single"/>
          <w:lang w:eastAsia="zh-CN"/>
        </w:rPr>
        <w:t>涉及品种、款式、颜色等方面内容的，承包人应提交准备合格的材料样品送发包人</w:t>
      </w:r>
      <w:r>
        <w:rPr>
          <w:rFonts w:hint="eastAsia"/>
          <w:color w:val="auto"/>
          <w:spacing w:val="-1"/>
          <w:sz w:val="24"/>
          <w:szCs w:val="24"/>
          <w:highlight w:val="none"/>
          <w:u w:val="single"/>
          <w:lang w:eastAsia="zh-CN"/>
        </w:rPr>
        <w:t>选定。</w:t>
      </w:r>
    </w:p>
    <w:p w14:paraId="6EF5D8F0">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8.8  施工设备和临时设施</w:t>
      </w:r>
    </w:p>
    <w:p w14:paraId="26B1ACCD">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8.8.1  承包人提供的施工设备和临时设施</w:t>
      </w:r>
    </w:p>
    <w:p w14:paraId="628E400D">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除专用合同条款另有约定的其他独立承包人和监理人指</w:t>
      </w:r>
      <w:r>
        <w:rPr>
          <w:rFonts w:hint="eastAsia"/>
          <w:color w:val="auto"/>
          <w:spacing w:val="-1"/>
          <w:sz w:val="24"/>
          <w:szCs w:val="24"/>
          <w:highlight w:val="none"/>
          <w:lang w:eastAsia="zh-CN"/>
        </w:rPr>
        <w:t>示的他人提供条件外，承包人运入</w:t>
      </w:r>
      <w:r>
        <w:rPr>
          <w:rFonts w:hint="eastAsia"/>
          <w:color w:val="auto"/>
          <w:spacing w:val="-2"/>
          <w:sz w:val="24"/>
          <w:szCs w:val="24"/>
          <w:highlight w:val="none"/>
          <w:lang w:eastAsia="zh-CN"/>
        </w:rPr>
        <w:t>施工场地的所有施工设备以及在施工场地建设的临时设施仅限于用于合同工程。承包人用于本</w:t>
      </w:r>
      <w:r>
        <w:rPr>
          <w:rFonts w:hint="eastAsia"/>
          <w:color w:val="auto"/>
          <w:spacing w:val="-1"/>
          <w:sz w:val="24"/>
          <w:szCs w:val="24"/>
          <w:highlight w:val="none"/>
          <w:lang w:eastAsia="zh-CN"/>
        </w:rPr>
        <w:t>工程的主要机械设备清单见合同附件4。</w:t>
      </w:r>
    </w:p>
    <w:p w14:paraId="5ACCD43E">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关于修建临时设施费用承担的约定：</w:t>
      </w:r>
    </w:p>
    <w:p w14:paraId="597D5CDC">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u w:val="single"/>
          <w:lang w:eastAsia="zh-CN"/>
        </w:rPr>
        <w:t>①承包人的临时用地（含项目部驻地等）租用费（含拆迁补偿）、临时用地的</w:t>
      </w:r>
      <w:r>
        <w:rPr>
          <w:rFonts w:hint="eastAsia"/>
          <w:color w:val="auto"/>
          <w:spacing w:val="-6"/>
          <w:sz w:val="24"/>
          <w:szCs w:val="24"/>
          <w:highlight w:val="none"/>
          <w:u w:val="single"/>
          <w:lang w:eastAsia="zh-CN"/>
        </w:rPr>
        <w:t>环保、恢复、</w:t>
      </w:r>
      <w:r>
        <w:rPr>
          <w:rFonts w:hint="eastAsia"/>
          <w:color w:val="auto"/>
          <w:sz w:val="24"/>
          <w:szCs w:val="24"/>
          <w:highlight w:val="none"/>
          <w:u w:val="single"/>
          <w:lang w:eastAsia="zh-CN"/>
        </w:rPr>
        <w:t>临时用地的青苗补偿及地面附着物拆除等费用均由承包人负责，</w:t>
      </w:r>
      <w:r>
        <w:rPr>
          <w:rFonts w:hint="eastAsia"/>
          <w:color w:val="auto"/>
          <w:spacing w:val="-1"/>
          <w:sz w:val="24"/>
          <w:szCs w:val="24"/>
          <w:highlight w:val="none"/>
          <w:u w:val="single"/>
          <w:lang w:eastAsia="zh-CN"/>
        </w:rPr>
        <w:t>以上费用在投标报价中综合考</w:t>
      </w:r>
      <w:r>
        <w:rPr>
          <w:rFonts w:hint="eastAsia"/>
          <w:color w:val="auto"/>
          <w:spacing w:val="-36"/>
          <w:sz w:val="24"/>
          <w:szCs w:val="24"/>
          <w:highlight w:val="none"/>
          <w:u w:val="single"/>
          <w:lang w:eastAsia="zh-CN"/>
        </w:rPr>
        <w:t>虑。</w:t>
      </w:r>
    </w:p>
    <w:p w14:paraId="6CA682BF">
      <w:pPr>
        <w:pStyle w:val="19"/>
        <w:spacing w:line="360" w:lineRule="auto"/>
        <w:ind w:firstLine="480" w:firstLineChars="200"/>
        <w:rPr>
          <w:color w:val="auto"/>
          <w:sz w:val="24"/>
          <w:szCs w:val="24"/>
          <w:highlight w:val="none"/>
          <w:lang w:eastAsia="zh-CN"/>
        </w:rPr>
      </w:pPr>
      <w:r>
        <w:rPr>
          <w:rFonts w:hint="eastAsia"/>
          <w:color w:val="auto"/>
          <w:sz w:val="24"/>
          <w:szCs w:val="24"/>
          <w:highlight w:val="none"/>
          <w:u w:val="single"/>
          <w:lang w:eastAsia="zh-CN"/>
        </w:rPr>
        <w:t>②承包人负责合同实施期间其合同段内临时交通道路（含场内外连接公共交通道路）和交</w:t>
      </w:r>
      <w:r>
        <w:rPr>
          <w:rFonts w:hint="eastAsia"/>
          <w:color w:val="auto"/>
          <w:spacing w:val="-4"/>
          <w:sz w:val="24"/>
          <w:szCs w:val="24"/>
          <w:highlight w:val="none"/>
          <w:u w:val="single"/>
          <w:lang w:eastAsia="zh-CN"/>
        </w:rPr>
        <w:t>通设施的修建、维修、养护和交通管理工作， 并承担一切费用。</w:t>
      </w:r>
    </w:p>
    <w:p w14:paraId="3E7F5E39">
      <w:pPr>
        <w:pStyle w:val="19"/>
        <w:spacing w:line="360" w:lineRule="auto"/>
        <w:ind w:firstLine="480" w:firstLineChars="200"/>
        <w:rPr>
          <w:color w:val="auto"/>
          <w:sz w:val="24"/>
          <w:szCs w:val="24"/>
          <w:highlight w:val="none"/>
          <w:lang w:eastAsia="zh-CN"/>
        </w:rPr>
      </w:pPr>
      <w:r>
        <w:rPr>
          <w:rFonts w:hint="eastAsia"/>
          <w:color w:val="auto"/>
          <w:sz w:val="24"/>
          <w:szCs w:val="24"/>
          <w:highlight w:val="none"/>
          <w:u w:val="single"/>
          <w:lang w:eastAsia="zh-CN"/>
        </w:rPr>
        <w:t>③承包人修建的临时道路和交通设施，应免费提供给发包人、监理工程师和其他合同段的承包人使用，如共同使用的路基损坏严重，发包人或监理工程师将负责通知有关承包人共</w:t>
      </w:r>
      <w:r>
        <w:rPr>
          <w:rFonts w:hint="eastAsia"/>
          <w:color w:val="auto"/>
          <w:spacing w:val="-1"/>
          <w:sz w:val="24"/>
          <w:szCs w:val="24"/>
          <w:highlight w:val="none"/>
          <w:u w:val="single"/>
          <w:lang w:eastAsia="zh-CN"/>
        </w:rPr>
        <w:t>同出</w:t>
      </w:r>
      <w:r>
        <w:rPr>
          <w:rFonts w:hint="eastAsia"/>
          <w:color w:val="auto"/>
          <w:spacing w:val="-6"/>
          <w:sz w:val="24"/>
          <w:szCs w:val="24"/>
          <w:highlight w:val="none"/>
          <w:u w:val="single"/>
          <w:lang w:eastAsia="zh-CN"/>
        </w:rPr>
        <w:t>资修复，若使用频率相差悬殊，则按比例分摊。</w:t>
      </w:r>
    </w:p>
    <w:p w14:paraId="171CC56A">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8.8.2  发包人提供的施工设备和临时设施</w:t>
      </w:r>
    </w:p>
    <w:p w14:paraId="7EFB1537">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发包人提供的施工设备和临时设施：</w:t>
      </w:r>
      <w:r>
        <w:rPr>
          <w:rFonts w:hint="eastAsia"/>
          <w:color w:val="auto"/>
          <w:sz w:val="24"/>
          <w:szCs w:val="24"/>
          <w:highlight w:val="none"/>
          <w:u w:val="single"/>
          <w:lang w:eastAsia="zh-CN"/>
        </w:rPr>
        <w:t>无</w:t>
      </w:r>
      <w:r>
        <w:rPr>
          <w:rFonts w:hint="eastAsia"/>
          <w:color w:val="auto"/>
          <w:sz w:val="24"/>
          <w:szCs w:val="24"/>
          <w:highlight w:val="none"/>
          <w:lang w:eastAsia="zh-CN"/>
        </w:rPr>
        <w:t>。</w:t>
      </w:r>
    </w:p>
    <w:p w14:paraId="6B15AEDB">
      <w:pPr>
        <w:pStyle w:val="19"/>
        <w:spacing w:line="360" w:lineRule="auto"/>
        <w:ind w:firstLine="484" w:firstLineChars="200"/>
        <w:rPr>
          <w:color w:val="auto"/>
          <w:sz w:val="24"/>
          <w:szCs w:val="24"/>
          <w:highlight w:val="none"/>
          <w:lang w:eastAsia="zh-CN"/>
        </w:rPr>
      </w:pPr>
      <w:r>
        <w:rPr>
          <w:rFonts w:hint="eastAsia"/>
          <w:color w:val="auto"/>
          <w:spacing w:val="1"/>
          <w:sz w:val="24"/>
          <w:szCs w:val="24"/>
          <w:highlight w:val="none"/>
          <w:lang w:eastAsia="zh-CN"/>
        </w:rPr>
        <w:t>发包人提供的施工设备和临时设施的运行、维护、</w:t>
      </w:r>
      <w:r>
        <w:rPr>
          <w:rFonts w:hint="eastAsia"/>
          <w:color w:val="auto"/>
          <w:sz w:val="24"/>
          <w:szCs w:val="24"/>
          <w:highlight w:val="none"/>
          <w:lang w:eastAsia="zh-CN"/>
        </w:rPr>
        <w:t>拆除、清运费用的承担人：</w:t>
      </w:r>
      <w:r>
        <w:rPr>
          <w:rFonts w:hint="eastAsia"/>
          <w:color w:val="auto"/>
          <w:sz w:val="24"/>
          <w:szCs w:val="24"/>
          <w:highlight w:val="none"/>
          <w:u w:val="single"/>
          <w:lang w:eastAsia="zh-CN"/>
        </w:rPr>
        <w:t>无</w:t>
      </w:r>
      <w:r>
        <w:rPr>
          <w:rFonts w:hint="eastAsia"/>
          <w:color w:val="auto"/>
          <w:sz w:val="24"/>
          <w:szCs w:val="24"/>
          <w:highlight w:val="none"/>
          <w:lang w:eastAsia="zh-CN"/>
        </w:rPr>
        <w:t>。</w:t>
      </w:r>
    </w:p>
    <w:p w14:paraId="1B3F1651">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9.  试验与检验</w:t>
      </w:r>
    </w:p>
    <w:p w14:paraId="5715385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9.1  试验设备与试验人员</w:t>
      </w:r>
    </w:p>
    <w:p w14:paraId="05C9D608">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9.1.2试验设备</w:t>
      </w:r>
    </w:p>
    <w:p w14:paraId="68A9A4A0">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施工现场需要配置的试验场所：</w:t>
      </w:r>
      <w:r>
        <w:rPr>
          <w:rFonts w:hint="eastAsia"/>
          <w:color w:val="auto"/>
          <w:spacing w:val="-4"/>
          <w:sz w:val="24"/>
          <w:szCs w:val="24"/>
          <w:highlight w:val="none"/>
          <w:u w:val="single"/>
          <w:lang w:eastAsia="zh-CN"/>
        </w:rPr>
        <w:t xml:space="preserve"> 按照有关文件要求执</w:t>
      </w:r>
      <w:r>
        <w:rPr>
          <w:rFonts w:hint="eastAsia"/>
          <w:color w:val="auto"/>
          <w:spacing w:val="-5"/>
          <w:sz w:val="24"/>
          <w:szCs w:val="24"/>
          <w:highlight w:val="none"/>
          <w:u w:val="single"/>
          <w:lang w:eastAsia="zh-CN"/>
        </w:rPr>
        <w:t>行。</w:t>
      </w:r>
    </w:p>
    <w:p w14:paraId="60DA2844">
      <w:pPr>
        <w:pStyle w:val="19"/>
        <w:spacing w:line="360" w:lineRule="auto"/>
        <w:ind w:firstLine="464" w:firstLineChars="200"/>
        <w:rPr>
          <w:color w:val="auto"/>
          <w:spacing w:val="-5"/>
          <w:sz w:val="24"/>
          <w:szCs w:val="24"/>
          <w:highlight w:val="none"/>
          <w:u w:val="single"/>
          <w:lang w:eastAsia="zh-CN"/>
        </w:rPr>
      </w:pPr>
      <w:r>
        <w:rPr>
          <w:rFonts w:hint="eastAsia"/>
          <w:color w:val="auto"/>
          <w:spacing w:val="-4"/>
          <w:sz w:val="24"/>
          <w:szCs w:val="24"/>
          <w:highlight w:val="none"/>
          <w:lang w:eastAsia="zh-CN"/>
        </w:rPr>
        <w:t>施工现场需要配备的试验设备：</w:t>
      </w:r>
      <w:r>
        <w:rPr>
          <w:rFonts w:hint="eastAsia"/>
          <w:color w:val="auto"/>
          <w:spacing w:val="-4"/>
          <w:sz w:val="24"/>
          <w:szCs w:val="24"/>
          <w:highlight w:val="none"/>
          <w:u w:val="single"/>
          <w:lang w:eastAsia="zh-CN"/>
        </w:rPr>
        <w:t xml:space="preserve"> 按照有关文件要求执</w:t>
      </w:r>
      <w:r>
        <w:rPr>
          <w:rFonts w:hint="eastAsia"/>
          <w:color w:val="auto"/>
          <w:spacing w:val="-5"/>
          <w:sz w:val="24"/>
          <w:szCs w:val="24"/>
          <w:highlight w:val="none"/>
          <w:u w:val="single"/>
          <w:lang w:eastAsia="zh-CN"/>
        </w:rPr>
        <w:t>行。</w:t>
      </w:r>
    </w:p>
    <w:p w14:paraId="095B2C9A">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施工现场需要具备的其他试验条件：</w:t>
      </w:r>
      <w:r>
        <w:rPr>
          <w:rFonts w:hint="eastAsia"/>
          <w:color w:val="auto"/>
          <w:spacing w:val="-3"/>
          <w:sz w:val="24"/>
          <w:szCs w:val="24"/>
          <w:highlight w:val="none"/>
          <w:u w:val="single"/>
          <w:lang w:eastAsia="zh-CN"/>
        </w:rPr>
        <w:t xml:space="preserve"> 按照有关文件要求执行。</w:t>
      </w:r>
    </w:p>
    <w:p w14:paraId="1A3911AB">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9.4  现场工艺试验</w:t>
      </w:r>
    </w:p>
    <w:p w14:paraId="0F85BBEB">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现场工艺试验的有关约定：</w:t>
      </w:r>
      <w:r>
        <w:rPr>
          <w:rFonts w:hint="eastAsia"/>
          <w:color w:val="auto"/>
          <w:spacing w:val="-1"/>
          <w:sz w:val="24"/>
          <w:szCs w:val="24"/>
          <w:highlight w:val="none"/>
          <w:u w:val="single"/>
          <w:lang w:eastAsia="zh-CN"/>
        </w:rPr>
        <w:t xml:space="preserve"> 按照有关文件要求执行 </w:t>
      </w:r>
      <w:r>
        <w:rPr>
          <w:rFonts w:hint="eastAsia"/>
          <w:color w:val="auto"/>
          <w:spacing w:val="-1"/>
          <w:sz w:val="24"/>
          <w:szCs w:val="24"/>
          <w:highlight w:val="none"/>
          <w:lang w:eastAsia="zh-CN"/>
        </w:rPr>
        <w:t>。</w:t>
      </w:r>
    </w:p>
    <w:p w14:paraId="02CBE1D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9.5  检验费用</w:t>
      </w:r>
    </w:p>
    <w:p w14:paraId="59747FA4">
      <w:pPr>
        <w:pStyle w:val="19"/>
        <w:spacing w:line="360" w:lineRule="auto"/>
        <w:ind w:firstLine="456" w:firstLineChars="200"/>
        <w:jc w:val="both"/>
        <w:rPr>
          <w:color w:val="auto"/>
          <w:sz w:val="24"/>
          <w:szCs w:val="24"/>
          <w:highlight w:val="none"/>
          <w:lang w:eastAsia="zh-CN"/>
        </w:rPr>
      </w:pPr>
      <w:r>
        <w:rPr>
          <w:rFonts w:hint="eastAsia"/>
          <w:color w:val="auto"/>
          <w:spacing w:val="-6"/>
          <w:sz w:val="24"/>
          <w:szCs w:val="24"/>
          <w:highlight w:val="none"/>
          <w:lang w:eastAsia="zh-CN"/>
        </w:rPr>
        <w:t>根据《建设工程质量检测管理办法》（建设部令第</w:t>
      </w:r>
      <w:r>
        <w:rPr>
          <w:rFonts w:hint="eastAsia"/>
          <w:color w:val="auto"/>
          <w:spacing w:val="-7"/>
          <w:sz w:val="24"/>
          <w:szCs w:val="24"/>
          <w:highlight w:val="none"/>
          <w:lang w:eastAsia="zh-CN"/>
        </w:rPr>
        <w:t>141号）以及《广西壮族自治区建设工程</w:t>
      </w:r>
      <w:r>
        <w:rPr>
          <w:rFonts w:hint="eastAsia"/>
          <w:color w:val="auto"/>
          <w:spacing w:val="-4"/>
          <w:sz w:val="24"/>
          <w:szCs w:val="24"/>
          <w:highlight w:val="none"/>
          <w:lang w:eastAsia="zh-CN"/>
        </w:rPr>
        <w:t>质量检测管理规定》（桂建管〔2013〕11号）规定，工程质量检测业务由发</w:t>
      </w:r>
      <w:r>
        <w:rPr>
          <w:rFonts w:hint="eastAsia"/>
          <w:color w:val="auto"/>
          <w:spacing w:val="-5"/>
          <w:sz w:val="24"/>
          <w:szCs w:val="24"/>
          <w:highlight w:val="none"/>
          <w:lang w:eastAsia="zh-CN"/>
        </w:rPr>
        <w:t>包人委托有相应资</w:t>
      </w:r>
      <w:r>
        <w:rPr>
          <w:rFonts w:hint="eastAsia"/>
          <w:color w:val="auto"/>
          <w:spacing w:val="-2"/>
          <w:sz w:val="24"/>
          <w:szCs w:val="24"/>
          <w:highlight w:val="none"/>
          <w:lang w:eastAsia="zh-CN"/>
        </w:rPr>
        <w:t>质的检测机构检测。费用从发包人的项目建</w:t>
      </w:r>
      <w:r>
        <w:rPr>
          <w:rFonts w:hint="eastAsia"/>
          <w:color w:val="auto"/>
          <w:spacing w:val="-3"/>
          <w:sz w:val="24"/>
          <w:szCs w:val="24"/>
          <w:highlight w:val="none"/>
          <w:lang w:eastAsia="zh-CN"/>
        </w:rPr>
        <w:t>设经费中支出并直接支付给检测机构，不计入合同</w:t>
      </w:r>
      <w:r>
        <w:rPr>
          <w:rFonts w:hint="eastAsia"/>
          <w:color w:val="auto"/>
          <w:spacing w:val="-2"/>
          <w:sz w:val="24"/>
          <w:szCs w:val="24"/>
          <w:highlight w:val="none"/>
          <w:lang w:eastAsia="zh-CN"/>
        </w:rPr>
        <w:t>价款内。</w:t>
      </w:r>
    </w:p>
    <w:p w14:paraId="19BDCEA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10.  变更</w:t>
      </w:r>
    </w:p>
    <w:p w14:paraId="5B98EF67">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10.1  变更的范围</w:t>
      </w:r>
    </w:p>
    <w:p w14:paraId="60C62099">
      <w:pPr>
        <w:pStyle w:val="19"/>
        <w:tabs>
          <w:tab w:val="left" w:pos="8629"/>
        </w:tabs>
        <w:spacing w:line="360" w:lineRule="auto"/>
        <w:ind w:firstLine="464" w:firstLineChars="200"/>
        <w:jc w:val="both"/>
        <w:rPr>
          <w:color w:val="auto"/>
          <w:sz w:val="24"/>
          <w:szCs w:val="24"/>
          <w:highlight w:val="none"/>
          <w:lang w:eastAsia="zh-CN"/>
        </w:rPr>
      </w:pPr>
      <w:r>
        <w:rPr>
          <w:rFonts w:hint="eastAsia"/>
          <w:color w:val="auto"/>
          <w:spacing w:val="-4"/>
          <w:sz w:val="24"/>
          <w:szCs w:val="24"/>
          <w:highlight w:val="none"/>
          <w:lang w:eastAsia="zh-CN"/>
        </w:rPr>
        <w:t>关于变更的范围的约定：</w:t>
      </w:r>
      <w:r>
        <w:rPr>
          <w:rFonts w:hint="eastAsia"/>
          <w:color w:val="auto"/>
          <w:spacing w:val="-4"/>
          <w:sz w:val="24"/>
          <w:szCs w:val="24"/>
          <w:highlight w:val="none"/>
          <w:u w:val="single"/>
          <w:lang w:eastAsia="zh-CN"/>
        </w:rPr>
        <w:t>应当进行变更的情形</w:t>
      </w:r>
      <w:r>
        <w:rPr>
          <w:rFonts w:hint="eastAsia"/>
          <w:color w:val="auto"/>
          <w:spacing w:val="-50"/>
          <w:w w:val="90"/>
          <w:sz w:val="24"/>
          <w:szCs w:val="24"/>
          <w:highlight w:val="none"/>
          <w:u w:val="single"/>
          <w:lang w:eastAsia="zh-CN"/>
        </w:rPr>
        <w:t>：（</w:t>
      </w:r>
      <w:r>
        <w:rPr>
          <w:rFonts w:hint="eastAsia"/>
          <w:color w:val="auto"/>
          <w:spacing w:val="-4"/>
          <w:sz w:val="24"/>
          <w:szCs w:val="24"/>
          <w:highlight w:val="none"/>
          <w:u w:val="single"/>
          <w:lang w:eastAsia="zh-CN"/>
        </w:rPr>
        <w:t>1）取消合同中任何一项工作，但被取消</w:t>
      </w:r>
      <w:r>
        <w:rPr>
          <w:rFonts w:hint="eastAsia"/>
          <w:color w:val="auto"/>
          <w:spacing w:val="-2"/>
          <w:sz w:val="24"/>
          <w:szCs w:val="24"/>
          <w:highlight w:val="none"/>
          <w:u w:val="single"/>
          <w:lang w:eastAsia="zh-CN"/>
        </w:rPr>
        <w:t>的工作不能转由发包人或其它人实施；（2）改变合同中任何一项工作的质量或其它特征</w:t>
      </w:r>
      <w:r>
        <w:rPr>
          <w:rFonts w:hint="eastAsia"/>
          <w:color w:val="auto"/>
          <w:spacing w:val="-52"/>
          <w:w w:val="93"/>
          <w:sz w:val="24"/>
          <w:szCs w:val="24"/>
          <w:highlight w:val="none"/>
          <w:u w:val="single"/>
          <w:lang w:eastAsia="zh-CN"/>
        </w:rPr>
        <w:t>；（</w:t>
      </w:r>
      <w:r>
        <w:rPr>
          <w:rFonts w:hint="eastAsia"/>
          <w:color w:val="auto"/>
          <w:spacing w:val="-2"/>
          <w:sz w:val="24"/>
          <w:szCs w:val="24"/>
          <w:highlight w:val="none"/>
          <w:u w:val="single"/>
          <w:lang w:eastAsia="zh-CN"/>
        </w:rPr>
        <w:t>3）</w:t>
      </w:r>
      <w:r>
        <w:rPr>
          <w:rFonts w:hint="eastAsia"/>
          <w:color w:val="auto"/>
          <w:spacing w:val="-3"/>
          <w:sz w:val="24"/>
          <w:szCs w:val="24"/>
          <w:highlight w:val="none"/>
          <w:u w:val="single"/>
          <w:lang w:eastAsia="zh-CN"/>
        </w:rPr>
        <w:t>改变合同工程基线、标高、位置或尺寸。（4）由于设计变更或现场签证产生的施工图纸、招标</w:t>
      </w:r>
      <w:r>
        <w:rPr>
          <w:rFonts w:hint="eastAsia"/>
          <w:color w:val="auto"/>
          <w:spacing w:val="1"/>
          <w:sz w:val="24"/>
          <w:szCs w:val="24"/>
          <w:highlight w:val="none"/>
          <w:u w:val="single"/>
          <w:lang w:eastAsia="zh-CN"/>
        </w:rPr>
        <w:t>文件未含的项目；（5）工程量清单缺项（漏项）。</w:t>
      </w:r>
    </w:p>
    <w:p w14:paraId="15AF2D91">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10.3  变更程序</w:t>
      </w:r>
    </w:p>
    <w:p w14:paraId="58CB7EB7">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10.3.1国有投资项目：</w:t>
      </w:r>
    </w:p>
    <w:p w14:paraId="097EDC5B">
      <w:pPr>
        <w:pStyle w:val="19"/>
        <w:tabs>
          <w:tab w:val="left" w:pos="550"/>
        </w:tabs>
        <w:spacing w:line="360" w:lineRule="auto"/>
        <w:ind w:firstLine="464" w:firstLineChars="200"/>
        <w:rPr>
          <w:color w:val="auto"/>
          <w:sz w:val="24"/>
          <w:szCs w:val="24"/>
          <w:highlight w:val="none"/>
          <w:lang w:eastAsia="zh-CN"/>
        </w:rPr>
      </w:pPr>
      <w:r>
        <w:rPr>
          <w:rFonts w:hint="eastAsia"/>
          <w:color w:val="auto"/>
          <w:spacing w:val="-4"/>
          <w:sz w:val="24"/>
          <w:szCs w:val="24"/>
          <w:highlight w:val="none"/>
          <w:u w:val="single"/>
          <w:lang w:eastAsia="zh-CN"/>
        </w:rPr>
        <w:t>（1）设计变更和工程签证，按各市政府或相关部门的规定办理。属不可抗力（自然</w:t>
      </w:r>
      <w:r>
        <w:rPr>
          <w:rFonts w:hint="eastAsia"/>
          <w:color w:val="auto"/>
          <w:spacing w:val="-5"/>
          <w:sz w:val="24"/>
          <w:szCs w:val="24"/>
          <w:highlight w:val="none"/>
          <w:u w:val="single"/>
          <w:lang w:eastAsia="zh-CN"/>
        </w:rPr>
        <w:t>灾害、</w:t>
      </w:r>
      <w:r>
        <w:rPr>
          <w:rFonts w:hint="eastAsia"/>
          <w:color w:val="auto"/>
          <w:spacing w:val="-4"/>
          <w:sz w:val="24"/>
          <w:szCs w:val="24"/>
          <w:highlight w:val="none"/>
          <w:u w:val="single"/>
          <w:lang w:eastAsia="zh-CN"/>
        </w:rPr>
        <w:t>突发事件等）造成变更的，按特事特办原则予以办理。</w:t>
      </w:r>
    </w:p>
    <w:p w14:paraId="784FAC6F">
      <w:pPr>
        <w:pStyle w:val="19"/>
        <w:tabs>
          <w:tab w:val="left" w:pos="550"/>
        </w:tabs>
        <w:spacing w:line="360" w:lineRule="auto"/>
        <w:ind w:firstLine="464" w:firstLineChars="200"/>
        <w:rPr>
          <w:color w:val="auto"/>
          <w:sz w:val="24"/>
          <w:szCs w:val="24"/>
          <w:highlight w:val="none"/>
          <w:lang w:eastAsia="zh-CN"/>
        </w:rPr>
      </w:pPr>
      <w:r>
        <w:rPr>
          <w:rFonts w:hint="eastAsia"/>
          <w:color w:val="auto"/>
          <w:spacing w:val="-4"/>
          <w:sz w:val="24"/>
          <w:szCs w:val="24"/>
          <w:highlight w:val="none"/>
          <w:u w:val="single"/>
          <w:lang w:eastAsia="zh-CN"/>
        </w:rPr>
        <w:t>（2）建设单位在实施项目过程中，若发生单价变动，由发包人、承包人、监理或造价咨询</w:t>
      </w:r>
      <w:r>
        <w:rPr>
          <w:rFonts w:hint="eastAsia"/>
          <w:color w:val="auto"/>
          <w:spacing w:val="-6"/>
          <w:sz w:val="24"/>
          <w:szCs w:val="24"/>
          <w:highlight w:val="none"/>
          <w:u w:val="single"/>
          <w:lang w:eastAsia="zh-CN"/>
        </w:rPr>
        <w:t>等单位共同商定并签字确认。</w:t>
      </w:r>
    </w:p>
    <w:p w14:paraId="6515FFF9">
      <w:pPr>
        <w:pStyle w:val="19"/>
        <w:tabs>
          <w:tab w:val="left" w:pos="550"/>
        </w:tabs>
        <w:spacing w:line="360" w:lineRule="auto"/>
        <w:ind w:firstLine="464" w:firstLineChars="200"/>
        <w:rPr>
          <w:color w:val="auto"/>
          <w:sz w:val="24"/>
          <w:szCs w:val="24"/>
          <w:highlight w:val="none"/>
          <w:lang w:eastAsia="zh-CN"/>
        </w:rPr>
      </w:pPr>
      <w:r>
        <w:rPr>
          <w:rFonts w:hint="eastAsia"/>
          <w:color w:val="auto"/>
          <w:spacing w:val="-4"/>
          <w:sz w:val="24"/>
          <w:szCs w:val="24"/>
          <w:highlight w:val="none"/>
          <w:u w:val="single"/>
          <w:lang w:eastAsia="zh-CN"/>
        </w:rPr>
        <w:t>（3）当合同规定的合同价款调整情况发生后，承包人未在规定时间内通知发包人，或者未</w:t>
      </w:r>
      <w:r>
        <w:rPr>
          <w:rFonts w:hint="eastAsia"/>
          <w:color w:val="auto"/>
          <w:spacing w:val="-5"/>
          <w:sz w:val="24"/>
          <w:szCs w:val="24"/>
          <w:highlight w:val="none"/>
          <w:u w:val="single"/>
          <w:lang w:eastAsia="zh-CN"/>
        </w:rPr>
        <w:t>在规定时间内提出调整报告，发包人可以根据有关资料，决定是否调整和调整的金额，并书面</w:t>
      </w:r>
      <w:r>
        <w:rPr>
          <w:rFonts w:hint="eastAsia"/>
          <w:color w:val="auto"/>
          <w:spacing w:val="-1"/>
          <w:sz w:val="24"/>
          <w:szCs w:val="24"/>
          <w:highlight w:val="none"/>
          <w:u w:val="single"/>
          <w:lang w:eastAsia="zh-CN"/>
        </w:rPr>
        <w:t>通知承包人。</w:t>
      </w:r>
    </w:p>
    <w:p w14:paraId="64219441">
      <w:pPr>
        <w:pStyle w:val="19"/>
        <w:spacing w:line="360" w:lineRule="auto"/>
        <w:ind w:firstLine="456" w:firstLineChars="200"/>
        <w:rPr>
          <w:color w:val="auto"/>
          <w:spacing w:val="4"/>
          <w:sz w:val="24"/>
          <w:szCs w:val="24"/>
          <w:highlight w:val="none"/>
          <w:u w:val="single"/>
          <w:lang w:eastAsia="zh-CN"/>
        </w:rPr>
      </w:pPr>
      <w:r>
        <w:rPr>
          <w:rFonts w:hint="eastAsia"/>
          <w:color w:val="auto"/>
          <w:spacing w:val="-6"/>
          <w:sz w:val="24"/>
          <w:szCs w:val="24"/>
          <w:highlight w:val="none"/>
          <w:lang w:eastAsia="zh-CN"/>
        </w:rPr>
        <w:t>10.3.2  非国有投资项目：</w:t>
      </w:r>
      <w:r>
        <w:rPr>
          <w:rFonts w:hint="eastAsia"/>
          <w:color w:val="auto"/>
          <w:spacing w:val="4"/>
          <w:sz w:val="24"/>
          <w:szCs w:val="24"/>
          <w:highlight w:val="none"/>
          <w:u w:val="single"/>
          <w:lang w:eastAsia="zh-CN"/>
        </w:rPr>
        <w:t xml:space="preserve">  本项目不适用   。</w:t>
      </w:r>
    </w:p>
    <w:p w14:paraId="40949AFD">
      <w:pPr>
        <w:pStyle w:val="19"/>
        <w:spacing w:line="360" w:lineRule="auto"/>
        <w:rPr>
          <w:b/>
          <w:bCs/>
          <w:color w:val="auto"/>
          <w:spacing w:val="1"/>
          <w:sz w:val="24"/>
          <w:szCs w:val="24"/>
          <w:highlight w:val="none"/>
          <w:lang w:eastAsia="zh-CN"/>
        </w:rPr>
      </w:pPr>
      <w:r>
        <w:rPr>
          <w:rFonts w:hint="eastAsia"/>
          <w:b/>
          <w:bCs/>
          <w:color w:val="auto"/>
          <w:spacing w:val="1"/>
          <w:sz w:val="24"/>
          <w:szCs w:val="24"/>
          <w:highlight w:val="none"/>
          <w:lang w:eastAsia="zh-CN"/>
        </w:rPr>
        <w:t>10.4  变更估价</w:t>
      </w:r>
    </w:p>
    <w:p w14:paraId="79295CD2">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10.4.1变更估价原则</w:t>
      </w:r>
    </w:p>
    <w:p w14:paraId="69000C15">
      <w:pPr>
        <w:pStyle w:val="19"/>
        <w:spacing w:line="360" w:lineRule="auto"/>
        <w:ind w:firstLine="484" w:firstLineChars="200"/>
        <w:rPr>
          <w:color w:val="auto"/>
          <w:sz w:val="24"/>
          <w:szCs w:val="24"/>
          <w:highlight w:val="none"/>
          <w:lang w:eastAsia="zh-CN"/>
        </w:rPr>
      </w:pPr>
      <w:r>
        <w:rPr>
          <w:rFonts w:hint="eastAsia"/>
          <w:color w:val="auto"/>
          <w:spacing w:val="1"/>
          <w:sz w:val="24"/>
          <w:szCs w:val="24"/>
          <w:highlight w:val="none"/>
          <w:lang w:eastAsia="zh-CN"/>
        </w:rPr>
        <w:t>关于变更估价的约定：</w:t>
      </w:r>
      <w:r>
        <w:rPr>
          <w:rFonts w:hint="eastAsia"/>
          <w:color w:val="auto"/>
          <w:spacing w:val="1"/>
          <w:sz w:val="24"/>
          <w:szCs w:val="24"/>
          <w:highlight w:val="none"/>
          <w:u w:val="single"/>
          <w:lang w:eastAsia="zh-CN"/>
        </w:rPr>
        <w:t>工程变更合同价款按下列方法进行</w:t>
      </w:r>
      <w:r>
        <w:rPr>
          <w:rFonts w:hint="eastAsia"/>
          <w:color w:val="auto"/>
          <w:spacing w:val="-51"/>
          <w:w w:val="91"/>
          <w:sz w:val="24"/>
          <w:szCs w:val="24"/>
          <w:highlight w:val="none"/>
          <w:u w:val="single"/>
          <w:lang w:eastAsia="zh-CN"/>
        </w:rPr>
        <w:t>：</w:t>
      </w:r>
      <w:r>
        <w:rPr>
          <w:rFonts w:hint="eastAsia"/>
          <w:color w:val="auto"/>
          <w:spacing w:val="1"/>
          <w:sz w:val="24"/>
          <w:szCs w:val="24"/>
          <w:highlight w:val="none"/>
          <w:u w:val="single"/>
          <w:lang w:eastAsia="zh-CN"/>
        </w:rPr>
        <w:t>（1</w:t>
      </w:r>
      <w:r>
        <w:rPr>
          <w:rFonts w:hint="eastAsia"/>
          <w:color w:val="auto"/>
          <w:sz w:val="24"/>
          <w:szCs w:val="24"/>
          <w:highlight w:val="none"/>
          <w:u w:val="single"/>
          <w:lang w:eastAsia="zh-CN"/>
        </w:rPr>
        <w:t>）合同中已有相同清单项目</w:t>
      </w:r>
      <w:r>
        <w:rPr>
          <w:rFonts w:hint="eastAsia"/>
          <w:color w:val="auto"/>
          <w:spacing w:val="1"/>
          <w:sz w:val="24"/>
          <w:szCs w:val="24"/>
          <w:highlight w:val="none"/>
          <w:u w:val="single"/>
          <w:lang w:eastAsia="zh-CN"/>
        </w:rPr>
        <w:t>的，按合同该清单项目价格进行计算</w:t>
      </w:r>
      <w:r>
        <w:rPr>
          <w:rFonts w:hint="eastAsia"/>
          <w:color w:val="auto"/>
          <w:spacing w:val="-51"/>
          <w:w w:val="91"/>
          <w:sz w:val="24"/>
          <w:szCs w:val="24"/>
          <w:highlight w:val="none"/>
          <w:u w:val="single"/>
          <w:lang w:eastAsia="zh-CN"/>
        </w:rPr>
        <w:t>；</w:t>
      </w:r>
      <w:r>
        <w:rPr>
          <w:rFonts w:hint="eastAsia"/>
          <w:color w:val="auto"/>
          <w:spacing w:val="1"/>
          <w:sz w:val="24"/>
          <w:szCs w:val="24"/>
          <w:highlight w:val="none"/>
          <w:u w:val="single"/>
          <w:lang w:eastAsia="zh-CN"/>
        </w:rPr>
        <w:t>（2）合同中只有类似清单项目的</w:t>
      </w:r>
      <w:r>
        <w:rPr>
          <w:rFonts w:hint="eastAsia"/>
          <w:color w:val="auto"/>
          <w:sz w:val="24"/>
          <w:szCs w:val="24"/>
          <w:highlight w:val="none"/>
          <w:u w:val="single"/>
          <w:lang w:eastAsia="zh-CN"/>
        </w:rPr>
        <w:t>，参照该类似清单项目价格进行计算</w:t>
      </w:r>
      <w:r>
        <w:rPr>
          <w:rFonts w:hint="eastAsia"/>
          <w:color w:val="auto"/>
          <w:spacing w:val="-38"/>
          <w:sz w:val="24"/>
          <w:szCs w:val="24"/>
          <w:highlight w:val="none"/>
          <w:u w:val="single"/>
          <w:lang w:eastAsia="zh-CN"/>
        </w:rPr>
        <w:t>；</w:t>
      </w:r>
      <w:r>
        <w:rPr>
          <w:rFonts w:hint="eastAsia"/>
          <w:color w:val="auto"/>
          <w:spacing w:val="1"/>
          <w:sz w:val="24"/>
          <w:szCs w:val="24"/>
          <w:highlight w:val="none"/>
          <w:u w:val="single"/>
          <w:lang w:eastAsia="zh-CN"/>
        </w:rPr>
        <w:t>（</w:t>
      </w:r>
      <w:r>
        <w:rPr>
          <w:rFonts w:hint="eastAsia"/>
          <w:color w:val="auto"/>
          <w:sz w:val="24"/>
          <w:szCs w:val="24"/>
          <w:highlight w:val="none"/>
          <w:u w:val="single"/>
          <w:lang w:eastAsia="zh-CN"/>
        </w:rPr>
        <w:t>3）合同中没有适用或类似清单项目的价格计算方法：有定额的套定额，</w:t>
      </w:r>
      <w:r>
        <w:rPr>
          <w:rFonts w:hint="eastAsia"/>
          <w:color w:val="auto"/>
          <w:spacing w:val="-1"/>
          <w:sz w:val="24"/>
          <w:szCs w:val="24"/>
          <w:highlight w:val="none"/>
          <w:u w:val="single"/>
          <w:lang w:eastAsia="zh-CN"/>
        </w:rPr>
        <w:t>并(</w:t>
      </w:r>
      <w:r>
        <w:rPr>
          <w:rFonts w:hint="eastAsia"/>
          <w:color w:val="auto"/>
          <w:spacing w:val="-1"/>
          <w:sz w:val="24"/>
          <w:szCs w:val="24"/>
          <w:highlight w:val="none"/>
          <w:lang w:eastAsia="zh-CN"/>
        </w:rPr>
        <w:t>☑</w:t>
      </w:r>
      <w:r>
        <w:rPr>
          <w:rFonts w:hint="eastAsia"/>
          <w:color w:val="auto"/>
          <w:spacing w:val="-7"/>
          <w:sz w:val="24"/>
          <w:szCs w:val="24"/>
          <w:highlight w:val="none"/>
          <w:u w:val="single"/>
          <w:lang w:eastAsia="zh-CN"/>
        </w:rPr>
        <w:t>乘以下浮系数（成交价/经审定的工程预算控制价</w:t>
      </w:r>
      <w:r>
        <w:rPr>
          <w:rFonts w:hint="eastAsia"/>
          <w:color w:val="auto"/>
          <w:spacing w:val="-30"/>
          <w:sz w:val="24"/>
          <w:szCs w:val="24"/>
          <w:highlight w:val="none"/>
          <w:u w:val="single"/>
          <w:lang w:eastAsia="zh-CN"/>
        </w:rPr>
        <w:t>），</w:t>
      </w:r>
      <w:r>
        <w:rPr>
          <w:rFonts w:hint="eastAsia"/>
          <w:color w:val="auto"/>
          <w:spacing w:val="-7"/>
          <w:sz w:val="24"/>
          <w:szCs w:val="24"/>
          <w:highlight w:val="none"/>
          <w:u w:val="single"/>
          <w:lang w:eastAsia="zh-CN"/>
        </w:rPr>
        <w:t>□不乘下浮系数）计算，其中：</w:t>
      </w:r>
      <w:r>
        <w:rPr>
          <w:rFonts w:hint="eastAsia"/>
          <w:color w:val="auto"/>
          <w:spacing w:val="-8"/>
          <w:sz w:val="24"/>
          <w:szCs w:val="24"/>
          <w:highlight w:val="none"/>
          <w:u w:val="single"/>
          <w:lang w:eastAsia="zh-CN"/>
        </w:rPr>
        <w:t>材料设备</w:t>
      </w:r>
      <w:r>
        <w:rPr>
          <w:rFonts w:hint="eastAsia"/>
          <w:color w:val="auto"/>
          <w:spacing w:val="-4"/>
          <w:sz w:val="24"/>
          <w:szCs w:val="24"/>
          <w:highlight w:val="none"/>
          <w:u w:val="single"/>
          <w:lang w:eastAsia="zh-CN"/>
        </w:rPr>
        <w:t>价格按施工期间的《北海市建设工程造价信息》相应信息价的加权平均值计算，《北海市建设工</w:t>
      </w:r>
      <w:r>
        <w:rPr>
          <w:rFonts w:hint="eastAsia"/>
          <w:color w:val="auto"/>
          <w:sz w:val="24"/>
          <w:szCs w:val="24"/>
          <w:highlight w:val="none"/>
          <w:u w:val="single"/>
          <w:lang w:eastAsia="zh-CN"/>
        </w:rPr>
        <w:t>程造价信息》没有相应信息价的，由建设单位、施工单位、监理单位或造价咨询单位根据</w:t>
      </w:r>
      <w:r>
        <w:rPr>
          <w:rFonts w:hint="eastAsia"/>
          <w:color w:val="auto"/>
          <w:spacing w:val="-1"/>
          <w:sz w:val="24"/>
          <w:szCs w:val="24"/>
          <w:highlight w:val="none"/>
          <w:u w:val="single"/>
          <w:lang w:eastAsia="zh-CN"/>
        </w:rPr>
        <w:t>市场</w:t>
      </w:r>
      <w:r>
        <w:rPr>
          <w:rFonts w:hint="eastAsia"/>
          <w:color w:val="auto"/>
          <w:spacing w:val="-6"/>
          <w:sz w:val="24"/>
          <w:szCs w:val="24"/>
          <w:highlight w:val="none"/>
          <w:u w:val="single"/>
          <w:lang w:eastAsia="zh-CN"/>
        </w:rPr>
        <w:t>行情协商确定；无定额可套的，由建设单位、施工单位、监理单位或造价咨询单位根据市场行</w:t>
      </w:r>
      <w:r>
        <w:rPr>
          <w:rFonts w:hint="eastAsia"/>
          <w:color w:val="auto"/>
          <w:spacing w:val="-2"/>
          <w:sz w:val="24"/>
          <w:szCs w:val="24"/>
          <w:highlight w:val="none"/>
          <w:u w:val="single"/>
          <w:lang w:eastAsia="zh-CN"/>
        </w:rPr>
        <w:t>情协商确定包含除税金以外所有费用的税前综合</w:t>
      </w:r>
      <w:r>
        <w:rPr>
          <w:rFonts w:hint="eastAsia"/>
          <w:color w:val="auto"/>
          <w:spacing w:val="-3"/>
          <w:sz w:val="24"/>
          <w:szCs w:val="24"/>
          <w:highlight w:val="none"/>
          <w:u w:val="single"/>
          <w:lang w:eastAsia="zh-CN"/>
        </w:rPr>
        <w:t>价格。</w:t>
      </w:r>
      <w:r>
        <w:rPr>
          <w:rFonts w:hint="eastAsia"/>
          <w:color w:val="auto"/>
          <w:spacing w:val="-3"/>
          <w:sz w:val="24"/>
          <w:szCs w:val="24"/>
          <w:highlight w:val="none"/>
          <w:lang w:eastAsia="zh-CN"/>
        </w:rPr>
        <w:t>以上约定同时适用于招标工程量清单缺</w:t>
      </w:r>
      <w:r>
        <w:rPr>
          <w:rFonts w:hint="eastAsia"/>
          <w:color w:val="auto"/>
          <w:spacing w:val="-1"/>
          <w:sz w:val="24"/>
          <w:szCs w:val="24"/>
          <w:highlight w:val="none"/>
          <w:lang w:eastAsia="zh-CN"/>
        </w:rPr>
        <w:t>项以及工程量清单项目特征与图纸不符时的价款确定。</w:t>
      </w:r>
    </w:p>
    <w:p w14:paraId="5AFDDDAA">
      <w:pPr>
        <w:pStyle w:val="19"/>
        <w:spacing w:line="360" w:lineRule="auto"/>
        <w:ind w:firstLine="474" w:firstLineChars="200"/>
        <w:rPr>
          <w:b/>
          <w:bCs/>
          <w:color w:val="auto"/>
          <w:spacing w:val="-2"/>
          <w:sz w:val="24"/>
          <w:szCs w:val="24"/>
          <w:highlight w:val="none"/>
          <w:u w:val="single"/>
          <w:lang w:eastAsia="zh-CN"/>
        </w:rPr>
      </w:pPr>
      <w:r>
        <w:rPr>
          <w:rFonts w:hint="eastAsia"/>
          <w:b/>
          <w:bCs/>
          <w:color w:val="auto"/>
          <w:spacing w:val="-2"/>
          <w:sz w:val="24"/>
          <w:szCs w:val="24"/>
          <w:highlight w:val="none"/>
          <w:u w:val="single"/>
          <w:lang w:eastAsia="zh-CN"/>
        </w:rPr>
        <w:t>工程变更导致实际完成的变更工程量与已标价清单或预算书中列明的该项目工程量有偏差时，其综合单价的确定按专用条款“1.13 工程量清单错误的修正”执行。</w:t>
      </w:r>
    </w:p>
    <w:p w14:paraId="5AE7AF02">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10.5  承包人的合理化建议</w:t>
      </w:r>
    </w:p>
    <w:p w14:paraId="0B432272">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监理人审查承包人合理化建议的期限：</w:t>
      </w:r>
      <w:r>
        <w:rPr>
          <w:rFonts w:hint="eastAsia"/>
          <w:color w:val="auto"/>
          <w:spacing w:val="-2"/>
          <w:sz w:val="24"/>
          <w:szCs w:val="24"/>
          <w:highlight w:val="none"/>
          <w:u w:val="single"/>
          <w:lang w:eastAsia="zh-CN"/>
        </w:rPr>
        <w:t xml:space="preserve"> 承包人提交建议后7日内。</w:t>
      </w:r>
    </w:p>
    <w:p w14:paraId="106F5CA3">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发包人审批承包人合理化建议的期限：</w:t>
      </w:r>
      <w:r>
        <w:rPr>
          <w:rFonts w:hint="eastAsia"/>
          <w:color w:val="auto"/>
          <w:spacing w:val="-2"/>
          <w:sz w:val="24"/>
          <w:szCs w:val="24"/>
          <w:highlight w:val="none"/>
          <w:u w:val="single"/>
          <w:lang w:eastAsia="zh-CN"/>
        </w:rPr>
        <w:t xml:space="preserve"> 监理人审查意见提交后15日内。</w:t>
      </w:r>
    </w:p>
    <w:p w14:paraId="7063A539">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承包人提出的合理化建议降低了合同价格或者提高了工程经济效益的奖励的方法和金额为：</w:t>
      </w:r>
      <w:r>
        <w:rPr>
          <w:rFonts w:hint="eastAsia"/>
          <w:color w:val="auto"/>
          <w:spacing w:val="-2"/>
          <w:sz w:val="24"/>
          <w:szCs w:val="24"/>
          <w:highlight w:val="none"/>
          <w:u w:val="single"/>
          <w:lang w:eastAsia="zh-CN"/>
        </w:rPr>
        <w:t>无。</w:t>
      </w:r>
    </w:p>
    <w:p w14:paraId="72514C3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10.7  暂估价</w:t>
      </w:r>
    </w:p>
    <w:p w14:paraId="01DE4590">
      <w:pPr>
        <w:pStyle w:val="19"/>
        <w:spacing w:line="360" w:lineRule="auto"/>
        <w:ind w:firstLine="480" w:firstLineChars="200"/>
        <w:rPr>
          <w:color w:val="auto"/>
          <w:sz w:val="24"/>
          <w:szCs w:val="24"/>
          <w:highlight w:val="none"/>
          <w:lang w:eastAsia="zh-CN"/>
        </w:rPr>
      </w:pPr>
      <w:r>
        <w:rPr>
          <w:rFonts w:hint="eastAsia"/>
          <w:color w:val="auto"/>
          <w:position w:val="15"/>
          <w:sz w:val="24"/>
          <w:szCs w:val="24"/>
          <w:highlight w:val="none"/>
          <w:lang w:eastAsia="zh-CN"/>
        </w:rPr>
        <w:t>暂估价材料和工程设备的明细详见已标价工程量清单《材料（工程设备</w:t>
      </w:r>
      <w:r>
        <w:rPr>
          <w:rFonts w:hint="eastAsia"/>
          <w:color w:val="auto"/>
          <w:spacing w:val="-1"/>
          <w:position w:val="15"/>
          <w:sz w:val="24"/>
          <w:szCs w:val="24"/>
          <w:highlight w:val="none"/>
          <w:lang w:eastAsia="zh-CN"/>
        </w:rPr>
        <w:t>）暂估价格及调整</w:t>
      </w:r>
      <w:r>
        <w:rPr>
          <w:rFonts w:hint="eastAsia"/>
          <w:color w:val="auto"/>
          <w:spacing w:val="-11"/>
          <w:sz w:val="24"/>
          <w:szCs w:val="24"/>
          <w:highlight w:val="none"/>
          <w:lang w:eastAsia="zh-CN"/>
        </w:rPr>
        <w:t>表》（表 12-2）和《专业工程暂估价表》（表12-3）。</w:t>
      </w:r>
    </w:p>
    <w:p w14:paraId="1F1FCBD8">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10.7.1  依法必须招标的暂估价项目</w:t>
      </w:r>
    </w:p>
    <w:p w14:paraId="16A5BC4B">
      <w:pPr>
        <w:pStyle w:val="19"/>
        <w:spacing w:line="360" w:lineRule="auto"/>
        <w:ind w:firstLine="476" w:firstLineChars="200"/>
        <w:rPr>
          <w:color w:val="auto"/>
          <w:spacing w:val="-1"/>
          <w:sz w:val="24"/>
          <w:szCs w:val="24"/>
          <w:highlight w:val="none"/>
          <w:lang w:eastAsia="zh-CN"/>
        </w:rPr>
      </w:pPr>
      <w:r>
        <w:rPr>
          <w:rFonts w:hint="eastAsia"/>
          <w:color w:val="auto"/>
          <w:spacing w:val="-1"/>
          <w:sz w:val="24"/>
          <w:szCs w:val="24"/>
          <w:highlight w:val="none"/>
          <w:lang w:eastAsia="zh-CN"/>
        </w:rPr>
        <w:t>对于依法必须招标的暂估价项目的确认和批准采取第</w:t>
      </w:r>
      <w:r>
        <w:rPr>
          <w:rFonts w:hint="eastAsia"/>
          <w:color w:val="auto"/>
          <w:sz w:val="24"/>
          <w:szCs w:val="24"/>
          <w:highlight w:val="none"/>
          <w:u w:val="single"/>
          <w:lang w:eastAsia="zh-CN"/>
        </w:rPr>
        <w:t xml:space="preserve">  /  </w:t>
      </w:r>
      <w:r>
        <w:rPr>
          <w:rFonts w:hint="eastAsia"/>
          <w:color w:val="auto"/>
          <w:spacing w:val="-1"/>
          <w:sz w:val="24"/>
          <w:szCs w:val="24"/>
          <w:highlight w:val="none"/>
          <w:lang w:eastAsia="zh-CN"/>
        </w:rPr>
        <w:t>种方式确定。</w:t>
      </w:r>
    </w:p>
    <w:p w14:paraId="1AD1BF09">
      <w:pPr>
        <w:widowControl w:val="0"/>
        <w:kinsoku/>
        <w:spacing w:line="360" w:lineRule="auto"/>
        <w:ind w:firstLine="480" w:firstLineChars="200"/>
        <w:textAlignment w:val="auto"/>
        <w:rPr>
          <w:rFonts w:ascii="Times New Roman" w:hAnsi="宋体" w:eastAsia="宋体" w:cs="宋体"/>
          <w:color w:val="auto"/>
          <w:sz w:val="24"/>
          <w:szCs w:val="24"/>
          <w:highlight w:val="none"/>
          <w:lang w:eastAsia="zh-CN"/>
        </w:rPr>
      </w:pPr>
      <w:r>
        <w:rPr>
          <w:rFonts w:hint="eastAsia" w:ascii="Times New Roman" w:hAnsi="宋体" w:eastAsia="宋体" w:cs="宋体"/>
          <w:color w:val="auto"/>
          <w:sz w:val="24"/>
          <w:szCs w:val="24"/>
          <w:highlight w:val="none"/>
          <w:lang w:eastAsia="zh-CN"/>
        </w:rPr>
        <w:t>第1种方式：对于依法必须招标的暂估价项目，由承包人招标，对该暂估价项目的确认和批准按照以下约定执行：</w:t>
      </w:r>
    </w:p>
    <w:p w14:paraId="29395608">
      <w:pPr>
        <w:widowControl w:val="0"/>
        <w:kinsoku/>
        <w:spacing w:line="360" w:lineRule="auto"/>
        <w:ind w:firstLine="480" w:firstLineChars="200"/>
        <w:textAlignment w:val="auto"/>
        <w:rPr>
          <w:rFonts w:ascii="Times New Roman" w:hAnsi="宋体" w:eastAsia="宋体" w:cs="宋体"/>
          <w:color w:val="auto"/>
          <w:sz w:val="24"/>
          <w:szCs w:val="24"/>
          <w:highlight w:val="none"/>
          <w:lang w:eastAsia="zh-CN"/>
        </w:rPr>
      </w:pPr>
      <w:r>
        <w:rPr>
          <w:rFonts w:hint="eastAsia" w:ascii="Times New Roman" w:hAnsi="宋体" w:eastAsia="宋体" w:cs="宋体"/>
          <w:color w:val="auto"/>
          <w:sz w:val="24"/>
          <w:szCs w:val="24"/>
          <w:highlight w:val="none"/>
          <w:lang w:eastAsia="zh-CN"/>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00BCA73C">
      <w:pPr>
        <w:widowControl w:val="0"/>
        <w:kinsoku/>
        <w:spacing w:line="360" w:lineRule="auto"/>
        <w:ind w:firstLine="480" w:firstLineChars="200"/>
        <w:textAlignment w:val="auto"/>
        <w:rPr>
          <w:rFonts w:ascii="Times New Roman" w:hAnsi="宋体" w:eastAsia="宋体" w:cs="宋体"/>
          <w:color w:val="auto"/>
          <w:sz w:val="24"/>
          <w:szCs w:val="24"/>
          <w:highlight w:val="none"/>
          <w:lang w:eastAsia="zh-CN"/>
        </w:rPr>
      </w:pPr>
      <w:r>
        <w:rPr>
          <w:rFonts w:hint="eastAsia" w:ascii="Times New Roman" w:hAnsi="宋体" w:eastAsia="宋体" w:cs="宋体"/>
          <w:color w:val="auto"/>
          <w:sz w:val="24"/>
          <w:szCs w:val="24"/>
          <w:highlight w:val="none"/>
          <w:lang w:eastAsia="zh-CN"/>
        </w:rPr>
        <w:t>（2）承包人应当根据施工进度计划，提前14天将招标文件通过监理人报送发包人审批，发包人应当在收到承包人报送的相关文件后7天内完成审批或提出修改意见；发包人有权确定</w:t>
      </w:r>
      <w:r>
        <w:rPr>
          <w:rFonts w:hint="eastAsia" w:hAnsi="宋体" w:cs="宋体"/>
          <w:color w:val="auto"/>
          <w:sz w:val="24"/>
          <w:szCs w:val="24"/>
          <w:highlight w:val="none"/>
          <w:lang w:eastAsia="zh-CN"/>
        </w:rPr>
        <w:t>预算控制价</w:t>
      </w:r>
      <w:r>
        <w:rPr>
          <w:rFonts w:hint="eastAsia" w:ascii="Times New Roman" w:hAnsi="宋体" w:eastAsia="宋体" w:cs="宋体"/>
          <w:color w:val="auto"/>
          <w:sz w:val="24"/>
          <w:szCs w:val="24"/>
          <w:highlight w:val="none"/>
          <w:lang w:eastAsia="zh-CN"/>
        </w:rPr>
        <w:t>并按照法律规定参加评标；</w:t>
      </w:r>
    </w:p>
    <w:p w14:paraId="3D5F212D">
      <w:pPr>
        <w:widowControl w:val="0"/>
        <w:kinsoku/>
        <w:spacing w:line="360" w:lineRule="auto"/>
        <w:ind w:firstLine="480" w:firstLineChars="200"/>
        <w:textAlignment w:val="auto"/>
        <w:rPr>
          <w:rFonts w:ascii="Times New Roman" w:hAnsi="宋体" w:eastAsia="宋体" w:cs="宋体"/>
          <w:color w:val="auto"/>
          <w:sz w:val="24"/>
          <w:szCs w:val="24"/>
          <w:highlight w:val="none"/>
          <w:lang w:eastAsia="zh-CN"/>
        </w:rPr>
      </w:pPr>
      <w:r>
        <w:rPr>
          <w:rFonts w:hint="eastAsia" w:ascii="Times New Roman" w:hAnsi="宋体" w:eastAsia="宋体" w:cs="宋体"/>
          <w:color w:val="auto"/>
          <w:sz w:val="24"/>
          <w:szCs w:val="24"/>
          <w:highlight w:val="none"/>
          <w:lang w:eastAsia="zh-CN"/>
        </w:rP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5323B3BE">
      <w:pPr>
        <w:widowControl w:val="0"/>
        <w:kinsoku/>
        <w:spacing w:line="360" w:lineRule="auto"/>
        <w:ind w:firstLine="480" w:firstLineChars="200"/>
        <w:textAlignment w:val="auto"/>
        <w:rPr>
          <w:color w:val="auto"/>
          <w:spacing w:val="-1"/>
          <w:sz w:val="24"/>
          <w:szCs w:val="24"/>
          <w:highlight w:val="none"/>
          <w:lang w:eastAsia="zh-CN"/>
        </w:rPr>
      </w:pPr>
      <w:r>
        <w:rPr>
          <w:rFonts w:hint="eastAsia" w:ascii="Times New Roman" w:hAnsi="宋体" w:eastAsia="宋体" w:cs="宋体"/>
          <w:color w:val="auto"/>
          <w:sz w:val="24"/>
          <w:szCs w:val="24"/>
          <w:highlight w:val="none"/>
          <w:lang w:eastAsia="zh-CN"/>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847D494">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10.7.2  不属于依法必须招标的暂估价项目</w:t>
      </w:r>
    </w:p>
    <w:p w14:paraId="1FB3C06F">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对于不属于依法必须招标的暂估价项目的确认和批</w:t>
      </w:r>
      <w:r>
        <w:rPr>
          <w:rFonts w:hint="eastAsia"/>
          <w:color w:val="auto"/>
          <w:spacing w:val="-1"/>
          <w:sz w:val="24"/>
          <w:szCs w:val="24"/>
          <w:highlight w:val="none"/>
          <w:lang w:eastAsia="zh-CN"/>
        </w:rPr>
        <w:t>准采取第</w:t>
      </w:r>
      <w:r>
        <w:rPr>
          <w:rFonts w:hint="eastAsia"/>
          <w:color w:val="auto"/>
          <w:sz w:val="24"/>
          <w:szCs w:val="24"/>
          <w:highlight w:val="none"/>
          <w:u w:val="single"/>
          <w:lang w:eastAsia="zh-CN"/>
        </w:rPr>
        <w:t xml:space="preserve">  /  </w:t>
      </w:r>
      <w:r>
        <w:rPr>
          <w:rFonts w:hint="eastAsia"/>
          <w:color w:val="auto"/>
          <w:spacing w:val="-1"/>
          <w:sz w:val="24"/>
          <w:szCs w:val="24"/>
          <w:highlight w:val="none"/>
          <w:lang w:eastAsia="zh-CN"/>
        </w:rPr>
        <w:t>种方式确定。</w:t>
      </w:r>
    </w:p>
    <w:p w14:paraId="4E2BB6A9">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第 3  种方式：承包人直接实施的暂估价项目</w:t>
      </w:r>
    </w:p>
    <w:p w14:paraId="6551C4C5">
      <w:pPr>
        <w:pStyle w:val="19"/>
        <w:spacing w:line="360" w:lineRule="auto"/>
        <w:ind w:firstLine="480" w:firstLineChars="200"/>
        <w:rPr>
          <w:color w:val="auto"/>
          <w:spacing w:val="-1"/>
          <w:sz w:val="24"/>
          <w:szCs w:val="24"/>
          <w:highlight w:val="none"/>
          <w:lang w:eastAsia="zh-CN"/>
        </w:rPr>
      </w:pPr>
      <w:r>
        <w:rPr>
          <w:rFonts w:hint="eastAsia"/>
          <w:color w:val="auto"/>
          <w:sz w:val="24"/>
          <w:szCs w:val="24"/>
          <w:highlight w:val="none"/>
          <w:lang w:eastAsia="zh-CN"/>
        </w:rPr>
        <w:t>承包人直接实施的暂估价项目的约定：</w:t>
      </w:r>
      <w:r>
        <w:rPr>
          <w:rFonts w:hint="eastAsia"/>
          <w:color w:val="auto"/>
          <w:sz w:val="24"/>
          <w:szCs w:val="24"/>
          <w:highlight w:val="none"/>
          <w:u w:val="single"/>
          <w:lang w:eastAsia="zh-CN"/>
        </w:rPr>
        <w:t xml:space="preserve">        本项目不适用      </w:t>
      </w:r>
      <w:r>
        <w:rPr>
          <w:rFonts w:hint="eastAsia"/>
          <w:color w:val="auto"/>
          <w:spacing w:val="-1"/>
          <w:sz w:val="24"/>
          <w:szCs w:val="24"/>
          <w:highlight w:val="none"/>
          <w:lang w:eastAsia="zh-CN"/>
        </w:rPr>
        <w:t xml:space="preserve"> 。</w:t>
      </w:r>
    </w:p>
    <w:p w14:paraId="67F1B56A">
      <w:pPr>
        <w:pStyle w:val="19"/>
        <w:spacing w:line="360" w:lineRule="auto"/>
        <w:rPr>
          <w:b/>
          <w:bCs/>
          <w:color w:val="auto"/>
          <w:spacing w:val="1"/>
          <w:sz w:val="24"/>
          <w:szCs w:val="24"/>
          <w:highlight w:val="none"/>
          <w:lang w:eastAsia="zh-CN"/>
        </w:rPr>
      </w:pPr>
      <w:r>
        <w:rPr>
          <w:rFonts w:hint="eastAsia"/>
          <w:b/>
          <w:bCs/>
          <w:color w:val="auto"/>
          <w:spacing w:val="1"/>
          <w:sz w:val="24"/>
          <w:szCs w:val="24"/>
          <w:highlight w:val="none"/>
          <w:lang w:eastAsia="zh-CN"/>
        </w:rPr>
        <w:t>10.8  暂列金额</w:t>
      </w:r>
    </w:p>
    <w:p w14:paraId="6F1ABDDA">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合同当事人关于暂列金额使用的约定：</w:t>
      </w:r>
      <w:r>
        <w:rPr>
          <w:rFonts w:hint="eastAsia"/>
          <w:color w:val="auto"/>
          <w:sz w:val="24"/>
          <w:szCs w:val="24"/>
          <w:highlight w:val="none"/>
          <w:u w:val="single"/>
          <w:lang w:eastAsia="zh-CN"/>
        </w:rPr>
        <w:t xml:space="preserve">    本项目不适用  </w:t>
      </w:r>
      <w:r>
        <w:rPr>
          <w:rFonts w:hint="eastAsia"/>
          <w:color w:val="auto"/>
          <w:spacing w:val="-1"/>
          <w:sz w:val="24"/>
          <w:szCs w:val="24"/>
          <w:highlight w:val="none"/>
          <w:lang w:eastAsia="zh-CN"/>
        </w:rPr>
        <w:t xml:space="preserve"> 。</w:t>
      </w:r>
    </w:p>
    <w:p w14:paraId="5AA5383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 价格调整</w:t>
      </w:r>
    </w:p>
    <w:p w14:paraId="2D889B02">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11.1  市场价格波动引起的调整</w:t>
      </w:r>
    </w:p>
    <w:p w14:paraId="7034A40B">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 xml:space="preserve">市场价格波动是否调整合同价格的约定： </w:t>
      </w:r>
      <w:r>
        <w:rPr>
          <w:rFonts w:hint="eastAsia"/>
          <w:color w:val="auto"/>
          <w:spacing w:val="-3"/>
          <w:sz w:val="24"/>
          <w:szCs w:val="24"/>
          <w:highlight w:val="none"/>
          <w:u w:val="single"/>
          <w:lang w:eastAsia="zh-CN"/>
        </w:rPr>
        <w:t>非施工单位原因造成的材料价差在5%以内</w:t>
      </w:r>
      <w:r>
        <w:rPr>
          <w:rFonts w:hint="eastAsia"/>
          <w:color w:val="auto"/>
          <w:spacing w:val="-10"/>
          <w:sz w:val="24"/>
          <w:szCs w:val="24"/>
          <w:highlight w:val="none"/>
          <w:u w:val="single"/>
          <w:lang w:eastAsia="zh-CN"/>
        </w:rPr>
        <w:t>（含5%）的，由施工单位承担；超过5%部分的价差，由建设单位承担。</w:t>
      </w:r>
    </w:p>
    <w:p w14:paraId="5A134EFB">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因市场价格波动调整合同价格，采用以下第</w:t>
      </w:r>
      <w:r>
        <w:rPr>
          <w:rFonts w:hint="eastAsia"/>
          <w:color w:val="auto"/>
          <w:spacing w:val="-4"/>
          <w:sz w:val="24"/>
          <w:szCs w:val="24"/>
          <w:highlight w:val="none"/>
          <w:u w:val="single"/>
          <w:lang w:eastAsia="zh-CN"/>
        </w:rPr>
        <w:t xml:space="preserve">  2  </w:t>
      </w:r>
      <w:r>
        <w:rPr>
          <w:rFonts w:hint="eastAsia"/>
          <w:color w:val="auto"/>
          <w:spacing w:val="-4"/>
          <w:sz w:val="24"/>
          <w:szCs w:val="24"/>
          <w:highlight w:val="none"/>
          <w:lang w:eastAsia="zh-CN"/>
        </w:rPr>
        <w:t>种方式对合同价格进行调整：</w:t>
      </w:r>
    </w:p>
    <w:p w14:paraId="21EA71D7">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第1种方式：采用价格指数进行价格调整。</w:t>
      </w:r>
    </w:p>
    <w:p w14:paraId="192FE2F8">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关于各可调因子、定值和变值权重，以及基本价格指数及其来源的约定</w:t>
      </w:r>
      <w:r>
        <w:rPr>
          <w:rFonts w:hint="eastAsia"/>
          <w:color w:val="auto"/>
          <w:spacing w:val="8"/>
          <w:sz w:val="24"/>
          <w:szCs w:val="24"/>
          <w:highlight w:val="none"/>
          <w:lang w:eastAsia="zh-CN"/>
        </w:rPr>
        <w:t>：</w:t>
      </w:r>
      <w:r>
        <w:rPr>
          <w:rFonts w:hint="eastAsia"/>
          <w:color w:val="auto"/>
          <w:spacing w:val="20"/>
          <w:sz w:val="24"/>
          <w:szCs w:val="24"/>
          <w:highlight w:val="none"/>
          <w:u w:val="single"/>
          <w:lang w:eastAsia="zh-CN"/>
        </w:rPr>
        <w:t xml:space="preserve">  /  </w:t>
      </w:r>
      <w:r>
        <w:rPr>
          <w:rFonts w:hint="eastAsia"/>
          <w:color w:val="auto"/>
          <w:spacing w:val="8"/>
          <w:sz w:val="24"/>
          <w:szCs w:val="24"/>
          <w:highlight w:val="none"/>
          <w:lang w:eastAsia="zh-CN"/>
        </w:rPr>
        <w:t>；</w:t>
      </w:r>
    </w:p>
    <w:p w14:paraId="58FAC7FD">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第2种方式：采用造价信息进行价格调整。</w:t>
      </w:r>
    </w:p>
    <w:p w14:paraId="066C41A7">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（1）允许调整主要材料和工程设备、基期价格、风险系数、投标报价详见《允许调整主要</w:t>
      </w:r>
      <w:r>
        <w:rPr>
          <w:rFonts w:hint="eastAsia"/>
          <w:color w:val="auto"/>
          <w:spacing w:val="-3"/>
          <w:sz w:val="24"/>
          <w:szCs w:val="24"/>
          <w:highlight w:val="none"/>
          <w:lang w:eastAsia="zh-CN"/>
        </w:rPr>
        <w:t>材料和工程设备一览表》（表-22）,价差调整部分仅计算税金，除此表列明的材料、设备外，其</w:t>
      </w:r>
      <w:r>
        <w:rPr>
          <w:rFonts w:hint="eastAsia"/>
          <w:color w:val="auto"/>
          <w:spacing w:val="-1"/>
          <w:sz w:val="24"/>
          <w:szCs w:val="24"/>
          <w:highlight w:val="none"/>
          <w:lang w:eastAsia="zh-CN"/>
        </w:rPr>
        <w:t>余材料设备价差原则上不予调整。</w:t>
      </w:r>
    </w:p>
    <w:p w14:paraId="1AEFA336">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（2）主要材料和工程设备确认价：</w:t>
      </w:r>
    </w:p>
    <w:p w14:paraId="199D4D6B">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按施工期间《</w:t>
      </w:r>
      <w:r>
        <w:rPr>
          <w:rFonts w:hint="eastAsia"/>
          <w:color w:val="auto"/>
          <w:spacing w:val="-3"/>
          <w:sz w:val="24"/>
          <w:szCs w:val="24"/>
          <w:highlight w:val="none"/>
          <w:u w:val="single"/>
          <w:lang w:eastAsia="zh-CN"/>
        </w:rPr>
        <w:t xml:space="preserve">北海 </w:t>
      </w:r>
      <w:r>
        <w:rPr>
          <w:rFonts w:hint="eastAsia"/>
          <w:color w:val="auto"/>
          <w:spacing w:val="-3"/>
          <w:sz w:val="24"/>
          <w:szCs w:val="24"/>
          <w:highlight w:val="none"/>
          <w:lang w:eastAsia="zh-CN"/>
        </w:rPr>
        <w:t>市建设工程造价信息》材料信息价的加权平均价计算，信息价没有的</w:t>
      </w:r>
      <w:r>
        <w:rPr>
          <w:rFonts w:hint="eastAsia"/>
          <w:color w:val="auto"/>
          <w:spacing w:val="-1"/>
          <w:sz w:val="24"/>
          <w:szCs w:val="24"/>
          <w:highlight w:val="none"/>
          <w:lang w:eastAsia="zh-CN"/>
        </w:rPr>
        <w:t>按通用条款规定确定。</w:t>
      </w:r>
    </w:p>
    <w:p w14:paraId="1F195CB4">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（3）价差计算方法：</w:t>
      </w:r>
    </w:p>
    <w:p w14:paraId="4682A5A4">
      <w:pPr>
        <w:pStyle w:val="19"/>
        <w:spacing w:line="360" w:lineRule="auto"/>
        <w:ind w:firstLine="472" w:firstLineChars="200"/>
        <w:rPr>
          <w:color w:val="auto"/>
          <w:spacing w:val="-8"/>
          <w:sz w:val="24"/>
          <w:szCs w:val="24"/>
          <w:highlight w:val="none"/>
          <w:lang w:eastAsia="zh-CN"/>
        </w:rPr>
      </w:pPr>
      <w:r>
        <w:rPr>
          <w:rFonts w:hint="eastAsia"/>
          <w:color w:val="auto"/>
          <w:spacing w:val="-2"/>
          <w:sz w:val="24"/>
          <w:szCs w:val="24"/>
          <w:highlight w:val="none"/>
          <w:lang w:eastAsia="zh-CN"/>
        </w:rPr>
        <w:t>①</w:t>
      </w:r>
      <w:r>
        <w:rPr>
          <w:rFonts w:hint="eastAsia"/>
          <w:color w:val="auto"/>
          <w:sz w:val="24"/>
          <w:szCs w:val="24"/>
          <w:highlight w:val="none"/>
          <w:lang w:eastAsia="zh-CN"/>
        </w:rPr>
        <w:t>《允许调整项目所需材料和工程设备》</w:t>
      </w:r>
      <w:r>
        <w:rPr>
          <w:rFonts w:hint="eastAsia"/>
          <w:color w:val="auto"/>
          <w:spacing w:val="-2"/>
          <w:sz w:val="24"/>
          <w:szCs w:val="24"/>
          <w:highlight w:val="none"/>
          <w:lang w:eastAsia="zh-CN"/>
        </w:rPr>
        <w:t>中载明</w:t>
      </w:r>
      <w:r>
        <w:rPr>
          <w:rFonts w:hint="eastAsia"/>
          <w:color w:val="auto"/>
          <w:spacing w:val="-3"/>
          <w:sz w:val="24"/>
          <w:szCs w:val="24"/>
          <w:highlight w:val="none"/>
          <w:lang w:eastAsia="zh-CN"/>
        </w:rPr>
        <w:t>的材料和设备投标报价低于基准价格的：</w:t>
      </w:r>
      <w:r>
        <w:rPr>
          <w:rFonts w:hint="eastAsia"/>
          <w:color w:val="auto"/>
          <w:sz w:val="24"/>
          <w:szCs w:val="24"/>
          <w:highlight w:val="none"/>
          <w:lang w:eastAsia="zh-CN"/>
        </w:rPr>
        <w:t>合同履行期间材料和设备单价涨幅以基准价格为基础超过约定的风险范围时，或材料和</w:t>
      </w:r>
      <w:r>
        <w:rPr>
          <w:rFonts w:hint="eastAsia"/>
          <w:color w:val="auto"/>
          <w:spacing w:val="-1"/>
          <w:sz w:val="24"/>
          <w:szCs w:val="24"/>
          <w:highlight w:val="none"/>
          <w:lang w:eastAsia="zh-CN"/>
        </w:rPr>
        <w:t>设备单</w:t>
      </w:r>
      <w:r>
        <w:rPr>
          <w:rFonts w:hint="eastAsia"/>
          <w:color w:val="auto"/>
          <w:spacing w:val="-4"/>
          <w:sz w:val="24"/>
          <w:szCs w:val="24"/>
          <w:highlight w:val="none"/>
          <w:lang w:eastAsia="zh-CN"/>
        </w:rPr>
        <w:t>价跌幅以投标报价为基础超过约定的风险范围时，对其超过部分进行价差调整，价差计算公式：</w:t>
      </w:r>
      <w:r>
        <w:rPr>
          <w:rFonts w:hint="eastAsia"/>
          <w:color w:val="auto"/>
          <w:spacing w:val="-7"/>
          <w:sz w:val="24"/>
          <w:szCs w:val="24"/>
          <w:highlight w:val="none"/>
          <w:lang w:eastAsia="zh-CN"/>
        </w:rPr>
        <w:t>价格上涨价差=确认价-基准价*（1+风险系数</w:t>
      </w:r>
      <w:r>
        <w:rPr>
          <w:rFonts w:hint="eastAsia"/>
          <w:color w:val="auto"/>
          <w:spacing w:val="-39"/>
          <w:sz w:val="24"/>
          <w:szCs w:val="24"/>
          <w:highlight w:val="none"/>
          <w:lang w:eastAsia="zh-CN"/>
        </w:rPr>
        <w:t>），</w:t>
      </w:r>
      <w:r>
        <w:rPr>
          <w:rFonts w:hint="eastAsia"/>
          <w:color w:val="auto"/>
          <w:spacing w:val="-7"/>
          <w:sz w:val="24"/>
          <w:szCs w:val="24"/>
          <w:highlight w:val="none"/>
          <w:lang w:eastAsia="zh-CN"/>
        </w:rPr>
        <w:t>价格下跌价差=确认</w:t>
      </w:r>
      <w:r>
        <w:rPr>
          <w:rFonts w:hint="eastAsia"/>
          <w:color w:val="auto"/>
          <w:spacing w:val="-8"/>
          <w:sz w:val="24"/>
          <w:szCs w:val="24"/>
          <w:highlight w:val="none"/>
          <w:lang w:eastAsia="zh-CN"/>
        </w:rPr>
        <w:t>价-投标报价*（1+风险系数）。</w:t>
      </w:r>
    </w:p>
    <w:p w14:paraId="73901404">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②承包人在《允许调整项目所需材料和工程设备》中载明的材料和设备投标报价高于基</w:t>
      </w:r>
      <w:r>
        <w:rPr>
          <w:rFonts w:hint="eastAsia"/>
          <w:color w:val="auto"/>
          <w:spacing w:val="-2"/>
          <w:sz w:val="24"/>
          <w:szCs w:val="24"/>
          <w:highlight w:val="none"/>
          <w:lang w:eastAsia="zh-CN"/>
        </w:rPr>
        <w:t>准价格的：合同履行期间材料和设备单价跌幅以基准价格为基础超过约定的风险范围</w:t>
      </w:r>
      <w:r>
        <w:rPr>
          <w:rFonts w:hint="eastAsia"/>
          <w:color w:val="auto"/>
          <w:spacing w:val="-3"/>
          <w:sz w:val="24"/>
          <w:szCs w:val="24"/>
          <w:highlight w:val="none"/>
          <w:lang w:eastAsia="zh-CN"/>
        </w:rPr>
        <w:t>时，或材</w:t>
      </w:r>
      <w:r>
        <w:rPr>
          <w:rFonts w:hint="eastAsia"/>
          <w:color w:val="auto"/>
          <w:spacing w:val="-2"/>
          <w:sz w:val="24"/>
          <w:szCs w:val="24"/>
          <w:highlight w:val="none"/>
          <w:lang w:eastAsia="zh-CN"/>
        </w:rPr>
        <w:t>料和设备单价涨幅以投标报价为基础超过约定的风险范围时，对其超过部分进行价差调整</w:t>
      </w:r>
      <w:r>
        <w:rPr>
          <w:rFonts w:hint="eastAsia"/>
          <w:color w:val="auto"/>
          <w:spacing w:val="-3"/>
          <w:sz w:val="24"/>
          <w:szCs w:val="24"/>
          <w:highlight w:val="none"/>
          <w:lang w:eastAsia="zh-CN"/>
        </w:rPr>
        <w:t>。价</w:t>
      </w:r>
      <w:r>
        <w:rPr>
          <w:rFonts w:hint="eastAsia"/>
          <w:color w:val="auto"/>
          <w:spacing w:val="-1"/>
          <w:sz w:val="24"/>
          <w:szCs w:val="24"/>
          <w:highlight w:val="none"/>
          <w:lang w:eastAsia="zh-CN"/>
        </w:rPr>
        <w:t>差计算公式：价格上涨价差=确认价-投标报价*（1+风险系数</w:t>
      </w:r>
      <w:r>
        <w:rPr>
          <w:rFonts w:hint="eastAsia"/>
          <w:color w:val="auto"/>
          <w:spacing w:val="-29"/>
          <w:sz w:val="24"/>
          <w:szCs w:val="24"/>
          <w:highlight w:val="none"/>
          <w:lang w:eastAsia="zh-CN"/>
        </w:rPr>
        <w:t>），</w:t>
      </w:r>
      <w:r>
        <w:rPr>
          <w:rFonts w:hint="eastAsia"/>
          <w:color w:val="auto"/>
          <w:spacing w:val="-1"/>
          <w:sz w:val="24"/>
          <w:szCs w:val="24"/>
          <w:highlight w:val="none"/>
          <w:lang w:eastAsia="zh-CN"/>
        </w:rPr>
        <w:t>价格下跌价</w:t>
      </w:r>
      <w:r>
        <w:rPr>
          <w:rFonts w:hint="eastAsia"/>
          <w:color w:val="auto"/>
          <w:spacing w:val="-2"/>
          <w:sz w:val="24"/>
          <w:szCs w:val="24"/>
          <w:highlight w:val="none"/>
          <w:lang w:eastAsia="zh-CN"/>
        </w:rPr>
        <w:t>差=确认价-基准价*</w:t>
      </w:r>
      <w:r>
        <w:rPr>
          <w:rFonts w:hint="eastAsia"/>
          <w:color w:val="auto"/>
          <w:spacing w:val="-15"/>
          <w:sz w:val="24"/>
          <w:szCs w:val="24"/>
          <w:highlight w:val="none"/>
          <w:lang w:eastAsia="zh-CN"/>
        </w:rPr>
        <w:t>（1+风险系数）。</w:t>
      </w:r>
    </w:p>
    <w:p w14:paraId="4A65EAE2">
      <w:pPr>
        <w:pStyle w:val="19"/>
        <w:spacing w:line="360" w:lineRule="auto"/>
        <w:ind w:firstLine="480" w:firstLineChars="200"/>
        <w:rPr>
          <w:color w:val="auto"/>
          <w:spacing w:val="-20"/>
          <w:sz w:val="24"/>
          <w:szCs w:val="24"/>
          <w:highlight w:val="none"/>
          <w:lang w:eastAsia="zh-CN"/>
        </w:rPr>
      </w:pPr>
      <w:r>
        <w:rPr>
          <w:rFonts w:hint="eastAsia"/>
          <w:color w:val="auto"/>
          <w:sz w:val="24"/>
          <w:szCs w:val="24"/>
          <w:highlight w:val="none"/>
          <w:lang w:eastAsia="zh-CN"/>
        </w:rPr>
        <w:t>③承包人在《允许调整项目所需材料和工程设备》中载明的材料和设备单价等于基准单</w:t>
      </w:r>
      <w:r>
        <w:rPr>
          <w:rFonts w:hint="eastAsia"/>
          <w:color w:val="auto"/>
          <w:spacing w:val="-4"/>
          <w:sz w:val="24"/>
          <w:szCs w:val="24"/>
          <w:highlight w:val="none"/>
          <w:lang w:eastAsia="zh-CN"/>
        </w:rPr>
        <w:t>价的：合同履行期间材料和设备单价涨跌幅</w:t>
      </w:r>
      <w:r>
        <w:rPr>
          <w:rFonts w:hint="eastAsia"/>
          <w:color w:val="auto"/>
          <w:spacing w:val="-5"/>
          <w:sz w:val="24"/>
          <w:szCs w:val="24"/>
          <w:highlight w:val="none"/>
          <w:lang w:eastAsia="zh-CN"/>
        </w:rPr>
        <w:t>以基准单价为基础超过约定的风险范围时，对其超</w:t>
      </w:r>
      <w:r>
        <w:rPr>
          <w:rFonts w:hint="eastAsia"/>
          <w:color w:val="auto"/>
          <w:spacing w:val="-2"/>
          <w:sz w:val="24"/>
          <w:szCs w:val="24"/>
          <w:highlight w:val="none"/>
          <w:lang w:eastAsia="zh-CN"/>
        </w:rPr>
        <w:t>过部分进行价差调整。价差计算公式：上涨或下跌价差=确认价-基准单价*（1+风险系数</w:t>
      </w:r>
      <w:r>
        <w:rPr>
          <w:rFonts w:hint="eastAsia"/>
          <w:color w:val="auto"/>
          <w:spacing w:val="-20"/>
          <w:sz w:val="24"/>
          <w:szCs w:val="24"/>
          <w:highlight w:val="none"/>
          <w:lang w:eastAsia="zh-CN"/>
        </w:rPr>
        <w:t>）。</w:t>
      </w:r>
    </w:p>
    <w:p w14:paraId="3BC68FC9">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第3种方式</w:t>
      </w:r>
      <w:r>
        <w:rPr>
          <w:rFonts w:hint="eastAsia"/>
          <w:color w:val="auto"/>
          <w:spacing w:val="-12"/>
          <w:sz w:val="24"/>
          <w:szCs w:val="24"/>
          <w:highlight w:val="none"/>
          <w:lang w:eastAsia="zh-CN"/>
        </w:rPr>
        <w:t>：</w:t>
      </w:r>
      <w:r>
        <w:rPr>
          <w:rFonts w:hint="eastAsia"/>
          <w:color w:val="auto"/>
          <w:spacing w:val="-12"/>
          <w:sz w:val="24"/>
          <w:szCs w:val="24"/>
          <w:highlight w:val="none"/>
          <w:u w:val="single"/>
          <w:lang w:eastAsia="zh-CN"/>
        </w:rPr>
        <w:t>（</w:t>
      </w:r>
      <w:r>
        <w:rPr>
          <w:rFonts w:hint="eastAsia"/>
          <w:color w:val="auto"/>
          <w:spacing w:val="-3"/>
          <w:sz w:val="24"/>
          <w:szCs w:val="24"/>
          <w:highlight w:val="none"/>
          <w:u w:val="single"/>
          <w:lang w:eastAsia="zh-CN"/>
        </w:rPr>
        <w:t>1）材料价格按当地市场价格计取或者按北海信息价套价。如果在本合同履行期间，市场信息价波动幅度在±3%(</w:t>
      </w:r>
      <w:r>
        <w:rPr>
          <w:rFonts w:hint="eastAsia"/>
          <w:color w:val="auto"/>
          <w:spacing w:val="-4"/>
          <w:sz w:val="24"/>
          <w:szCs w:val="24"/>
          <w:highlight w:val="none"/>
          <w:u w:val="single"/>
          <w:lang w:eastAsia="zh-CN"/>
        </w:rPr>
        <w:t>含±3%)以内的，不调整结算价；波动幅度超过±</w:t>
      </w:r>
      <w:r>
        <w:rPr>
          <w:rFonts w:hint="eastAsia"/>
          <w:color w:val="auto"/>
          <w:spacing w:val="-5"/>
          <w:sz w:val="24"/>
          <w:szCs w:val="24"/>
          <w:highlight w:val="none"/>
          <w:u w:val="single"/>
          <w:lang w:eastAsia="zh-CN"/>
        </w:rPr>
        <w:t>3%(不含±3%)的部分按照如下方式调整： 以承包人投标报价材料价格为基准价格，按各单位工</w:t>
      </w:r>
      <w:r>
        <w:rPr>
          <w:rFonts w:hint="eastAsia"/>
          <w:color w:val="auto"/>
          <w:sz w:val="24"/>
          <w:szCs w:val="24"/>
          <w:highlight w:val="none"/>
          <w:u w:val="single"/>
          <w:lang w:eastAsia="zh-CN"/>
        </w:rPr>
        <w:t>程开工之日(具体按所在期区标段开工报告中第一栋所标示的开工日期)至经甲方确认</w:t>
      </w:r>
      <w:r>
        <w:rPr>
          <w:rFonts w:hint="eastAsia"/>
          <w:color w:val="auto"/>
          <w:spacing w:val="-1"/>
          <w:sz w:val="24"/>
          <w:szCs w:val="24"/>
          <w:highlight w:val="none"/>
          <w:u w:val="single"/>
          <w:lang w:eastAsia="zh-CN"/>
        </w:rPr>
        <w:t>的该单位</w:t>
      </w:r>
      <w:r>
        <w:rPr>
          <w:rFonts w:hint="eastAsia"/>
          <w:color w:val="auto"/>
          <w:sz w:val="24"/>
          <w:szCs w:val="24"/>
          <w:highlight w:val="none"/>
          <w:u w:val="single"/>
          <w:lang w:eastAsia="zh-CN"/>
        </w:rPr>
        <w:t>工程完工按北海市建设工程造价管理站发布的同期文件信息价算术平均值进</w:t>
      </w:r>
      <w:r>
        <w:rPr>
          <w:rFonts w:hint="eastAsia"/>
          <w:color w:val="auto"/>
          <w:spacing w:val="-1"/>
          <w:sz w:val="24"/>
          <w:szCs w:val="24"/>
          <w:highlight w:val="none"/>
          <w:u w:val="single"/>
          <w:lang w:eastAsia="zh-CN"/>
        </w:rPr>
        <w:t>行调整。</w:t>
      </w:r>
    </w:p>
    <w:p w14:paraId="73DEBDE7">
      <w:pPr>
        <w:pStyle w:val="19"/>
        <w:tabs>
          <w:tab w:val="left" w:pos="550"/>
        </w:tabs>
        <w:spacing w:line="360" w:lineRule="auto"/>
        <w:ind w:firstLine="456" w:firstLineChars="200"/>
        <w:rPr>
          <w:color w:val="auto"/>
          <w:sz w:val="24"/>
          <w:szCs w:val="24"/>
          <w:highlight w:val="none"/>
          <w:lang w:eastAsia="zh-CN"/>
        </w:rPr>
      </w:pPr>
      <w:r>
        <w:rPr>
          <w:rFonts w:hint="eastAsia"/>
          <w:color w:val="auto"/>
          <w:spacing w:val="-6"/>
          <w:sz w:val="24"/>
          <w:szCs w:val="24"/>
          <w:highlight w:val="none"/>
          <w:u w:val="single"/>
          <w:lang w:eastAsia="zh-CN"/>
        </w:rPr>
        <w:t>（2）认质认价、甲指乙供材料设备按发包人相关管理制度的约定执行，差价仅计取税金。</w:t>
      </w:r>
      <w:r>
        <w:rPr>
          <w:rFonts w:hint="eastAsia"/>
          <w:color w:val="auto"/>
          <w:sz w:val="24"/>
          <w:szCs w:val="24"/>
          <w:highlight w:val="none"/>
          <w:u w:val="single"/>
          <w:lang w:eastAsia="zh-CN"/>
        </w:rPr>
        <w:t>如因工程洽商、设计变更而增加原清单中没有的材料</w:t>
      </w:r>
      <w:r>
        <w:rPr>
          <w:rFonts w:hint="eastAsia"/>
          <w:color w:val="auto"/>
          <w:spacing w:val="-1"/>
          <w:sz w:val="24"/>
          <w:szCs w:val="24"/>
          <w:highlight w:val="none"/>
          <w:u w:val="single"/>
          <w:lang w:eastAsia="zh-CN"/>
        </w:rPr>
        <w:t>设备，也需按发包人认质认价管理制度执</w:t>
      </w:r>
      <w:r>
        <w:rPr>
          <w:rFonts w:hint="eastAsia"/>
          <w:color w:val="auto"/>
          <w:spacing w:val="-2"/>
          <w:sz w:val="24"/>
          <w:szCs w:val="24"/>
          <w:highlight w:val="none"/>
          <w:u w:val="single"/>
          <w:lang w:eastAsia="zh-CN"/>
        </w:rPr>
        <w:t>行。相关管理制度作为合同附件；其他材料设备（认质认价、甲指乙供材料设备除外）价格，</w:t>
      </w:r>
      <w:r>
        <w:rPr>
          <w:rFonts w:hint="eastAsia"/>
          <w:color w:val="auto"/>
          <w:spacing w:val="-1"/>
          <w:sz w:val="24"/>
          <w:szCs w:val="24"/>
          <w:highlight w:val="none"/>
          <w:u w:val="single"/>
          <w:lang w:eastAsia="zh-CN"/>
        </w:rPr>
        <w:t>从投标报价至工程整体竣工期间一律不作调整。</w:t>
      </w:r>
    </w:p>
    <w:p w14:paraId="6F9AD163">
      <w:pPr>
        <w:pStyle w:val="19"/>
        <w:tabs>
          <w:tab w:val="left" w:pos="550"/>
        </w:tabs>
        <w:spacing w:line="360" w:lineRule="auto"/>
        <w:ind w:firstLine="464" w:firstLineChars="200"/>
        <w:rPr>
          <w:color w:val="auto"/>
          <w:sz w:val="24"/>
          <w:szCs w:val="24"/>
          <w:highlight w:val="none"/>
          <w:lang w:eastAsia="zh-CN"/>
        </w:rPr>
      </w:pPr>
      <w:r>
        <w:rPr>
          <w:rFonts w:hint="eastAsia"/>
          <w:color w:val="auto"/>
          <w:spacing w:val="-4"/>
          <w:sz w:val="24"/>
          <w:szCs w:val="24"/>
          <w:highlight w:val="none"/>
          <w:u w:val="single"/>
          <w:lang w:eastAsia="zh-CN"/>
        </w:rPr>
        <w:t>（3）发包人供应的材料设备费不计入承包人总价。若</w:t>
      </w:r>
      <w:r>
        <w:rPr>
          <w:rFonts w:hint="eastAsia"/>
          <w:color w:val="auto"/>
          <w:sz w:val="24"/>
          <w:szCs w:val="24"/>
          <w:highlight w:val="none"/>
          <w:u w:val="single"/>
          <w:lang w:eastAsia="zh-CN"/>
        </w:rPr>
        <w:t>∑</w:t>
      </w:r>
      <w:r>
        <w:rPr>
          <w:rFonts w:hint="eastAsia"/>
          <w:color w:val="auto"/>
          <w:spacing w:val="-4"/>
          <w:sz w:val="24"/>
          <w:szCs w:val="24"/>
          <w:highlight w:val="none"/>
          <w:u w:val="single"/>
          <w:lang w:eastAsia="zh-CN"/>
        </w:rPr>
        <w:t>（实际发包人供应的材料设备</w:t>
      </w:r>
      <w:r>
        <w:rPr>
          <w:rFonts w:hint="eastAsia"/>
          <w:color w:val="auto"/>
          <w:spacing w:val="-1"/>
          <w:sz w:val="24"/>
          <w:szCs w:val="24"/>
          <w:highlight w:val="none"/>
          <w:u w:val="single"/>
          <w:lang w:eastAsia="zh-CN"/>
        </w:rPr>
        <w:t>消耗量*实际各材料设备采购单价）&lt;∑（发包人供应的材料设备理论用量 * 实际各材料</w:t>
      </w:r>
      <w:r>
        <w:rPr>
          <w:rFonts w:hint="eastAsia"/>
          <w:color w:val="auto"/>
          <w:spacing w:val="-3"/>
          <w:sz w:val="24"/>
          <w:szCs w:val="24"/>
          <w:highlight w:val="none"/>
          <w:u w:val="single"/>
          <w:lang w:eastAsia="zh-CN"/>
        </w:rPr>
        <w:t>设备采购单价</w:t>
      </w:r>
      <w:r>
        <w:rPr>
          <w:rFonts w:hint="eastAsia"/>
          <w:color w:val="auto"/>
          <w:spacing w:val="1"/>
          <w:sz w:val="24"/>
          <w:szCs w:val="24"/>
          <w:highlight w:val="none"/>
          <w:u w:val="single"/>
          <w:lang w:eastAsia="zh-CN"/>
        </w:rPr>
        <w:t>），</w:t>
      </w:r>
      <w:r>
        <w:rPr>
          <w:rFonts w:hint="eastAsia"/>
          <w:color w:val="auto"/>
          <w:spacing w:val="-3"/>
          <w:sz w:val="24"/>
          <w:szCs w:val="24"/>
          <w:highlight w:val="none"/>
          <w:u w:val="single"/>
          <w:lang w:eastAsia="zh-CN"/>
        </w:rPr>
        <w:t>则节省部分材料价款承包人和发包人按照3:7</w:t>
      </w:r>
      <w:r>
        <w:rPr>
          <w:rFonts w:hint="eastAsia"/>
          <w:color w:val="auto"/>
          <w:spacing w:val="-4"/>
          <w:sz w:val="24"/>
          <w:szCs w:val="24"/>
          <w:highlight w:val="none"/>
          <w:u w:val="single"/>
          <w:lang w:eastAsia="zh-CN"/>
        </w:rPr>
        <w:t>分成；若∑</w:t>
      </w:r>
      <w:r>
        <w:rPr>
          <w:rFonts w:hint="eastAsia"/>
          <w:color w:val="auto"/>
          <w:sz w:val="24"/>
          <w:szCs w:val="24"/>
          <w:highlight w:val="none"/>
          <w:u w:val="single"/>
          <w:lang w:eastAsia="zh-CN"/>
        </w:rPr>
        <w:t>（实际发包人供应的材料设备消耗量* 实际各材料设备采购单价）</w:t>
      </w:r>
      <w:r>
        <w:rPr>
          <w:rFonts w:hint="eastAsia"/>
          <w:color w:val="auto"/>
          <w:spacing w:val="-14"/>
          <w:sz w:val="24"/>
          <w:szCs w:val="24"/>
          <w:highlight w:val="none"/>
          <w:u w:val="single"/>
          <w:lang w:eastAsia="zh-CN"/>
        </w:rPr>
        <w:t>＞</w:t>
      </w:r>
      <w:r>
        <w:rPr>
          <w:rFonts w:hint="eastAsia"/>
          <w:color w:val="auto"/>
          <w:spacing w:val="-2"/>
          <w:sz w:val="24"/>
          <w:szCs w:val="24"/>
          <w:highlight w:val="none"/>
          <w:u w:val="single"/>
          <w:lang w:eastAsia="zh-CN"/>
        </w:rPr>
        <w:t>∑（发包人供应的材料设备理论用量</w:t>
      </w:r>
      <w:r>
        <w:rPr>
          <w:rFonts w:hint="eastAsia"/>
          <w:color w:val="auto"/>
          <w:spacing w:val="-1"/>
          <w:sz w:val="24"/>
          <w:szCs w:val="24"/>
          <w:highlight w:val="none"/>
          <w:u w:val="single"/>
          <w:lang w:eastAsia="zh-CN"/>
        </w:rPr>
        <w:t xml:space="preserve"> * </w:t>
      </w:r>
      <w:r>
        <w:rPr>
          <w:rFonts w:hint="eastAsia"/>
          <w:color w:val="auto"/>
          <w:sz w:val="24"/>
          <w:szCs w:val="24"/>
          <w:highlight w:val="none"/>
          <w:u w:val="single"/>
          <w:lang w:eastAsia="zh-CN"/>
        </w:rPr>
        <w:t>实际各材料设备采购单价</w:t>
      </w:r>
      <w:r>
        <w:rPr>
          <w:rFonts w:hint="eastAsia"/>
          <w:color w:val="auto"/>
          <w:spacing w:val="4"/>
          <w:sz w:val="24"/>
          <w:szCs w:val="24"/>
          <w:highlight w:val="none"/>
          <w:u w:val="single"/>
          <w:lang w:eastAsia="zh-CN"/>
        </w:rPr>
        <w:t>），</w:t>
      </w:r>
      <w:r>
        <w:rPr>
          <w:rFonts w:hint="eastAsia"/>
          <w:color w:val="auto"/>
          <w:sz w:val="24"/>
          <w:szCs w:val="24"/>
          <w:highlight w:val="none"/>
          <w:u w:val="single"/>
          <w:lang w:eastAsia="zh-CN"/>
        </w:rPr>
        <w:t>则超出部分由承包人承担并向发包人支付超出部分价款的10%作为发</w:t>
      </w:r>
      <w:r>
        <w:rPr>
          <w:rFonts w:hint="eastAsia"/>
          <w:color w:val="auto"/>
          <w:spacing w:val="-1"/>
          <w:sz w:val="24"/>
          <w:szCs w:val="24"/>
          <w:highlight w:val="none"/>
          <w:u w:val="single"/>
          <w:lang w:eastAsia="zh-CN"/>
        </w:rPr>
        <w:t>包人资金占用的补偿。</w:t>
      </w:r>
    </w:p>
    <w:p w14:paraId="05531FBE">
      <w:pPr>
        <w:pStyle w:val="19"/>
        <w:tabs>
          <w:tab w:val="left" w:pos="550"/>
        </w:tabs>
        <w:spacing w:line="360" w:lineRule="auto"/>
        <w:ind w:firstLine="468" w:firstLineChars="200"/>
        <w:rPr>
          <w:color w:val="auto"/>
          <w:sz w:val="24"/>
          <w:szCs w:val="24"/>
          <w:highlight w:val="none"/>
          <w:lang w:eastAsia="zh-CN"/>
        </w:rPr>
      </w:pPr>
      <w:r>
        <w:rPr>
          <w:rFonts w:hint="eastAsia"/>
          <w:color w:val="auto"/>
          <w:spacing w:val="-3"/>
          <w:sz w:val="24"/>
          <w:szCs w:val="24"/>
          <w:highlight w:val="none"/>
          <w:u w:val="single"/>
          <w:lang w:eastAsia="zh-CN"/>
        </w:rPr>
        <w:t>（4）人工费执行最新《广西消耗量定额》中的人工费标准，装饰与建筑的项目划分</w:t>
      </w:r>
      <w:r>
        <w:rPr>
          <w:rFonts w:hint="eastAsia"/>
          <w:color w:val="auto"/>
          <w:spacing w:val="-4"/>
          <w:sz w:val="24"/>
          <w:szCs w:val="24"/>
          <w:highlight w:val="none"/>
          <w:u w:val="single"/>
          <w:lang w:eastAsia="zh-CN"/>
        </w:rPr>
        <w:t>执行</w:t>
      </w:r>
      <w:r>
        <w:rPr>
          <w:rFonts w:hint="eastAsia"/>
          <w:color w:val="auto"/>
          <w:spacing w:val="-2"/>
          <w:sz w:val="24"/>
          <w:szCs w:val="24"/>
          <w:highlight w:val="none"/>
          <w:u w:val="single"/>
          <w:lang w:eastAsia="zh-CN"/>
        </w:rPr>
        <w:t>建设工程工程量清单计价规范（GB/T50500-2024）规则，人工费按相关政策或文件调整。</w:t>
      </w:r>
    </w:p>
    <w:p w14:paraId="46F78D8B">
      <w:pPr>
        <w:pStyle w:val="19"/>
        <w:tabs>
          <w:tab w:val="left" w:pos="550"/>
        </w:tabs>
        <w:spacing w:line="360" w:lineRule="auto"/>
        <w:ind w:firstLine="464" w:firstLineChars="200"/>
        <w:rPr>
          <w:color w:val="auto"/>
          <w:sz w:val="24"/>
          <w:szCs w:val="24"/>
          <w:highlight w:val="none"/>
          <w:lang w:eastAsia="zh-CN"/>
        </w:rPr>
      </w:pPr>
      <w:r>
        <w:rPr>
          <w:rFonts w:hint="eastAsia"/>
          <w:color w:val="auto"/>
          <w:spacing w:val="-4"/>
          <w:sz w:val="24"/>
          <w:szCs w:val="24"/>
          <w:highlight w:val="none"/>
          <w:u w:val="single"/>
          <w:lang w:eastAsia="zh-CN"/>
        </w:rPr>
        <w:t>（5）机械费按照广西壮族自治区《建筑装饰装修工程</w:t>
      </w:r>
      <w:r>
        <w:rPr>
          <w:rFonts w:hint="eastAsia"/>
          <w:color w:val="auto"/>
          <w:spacing w:val="-5"/>
          <w:sz w:val="24"/>
          <w:szCs w:val="24"/>
          <w:highlight w:val="none"/>
          <w:u w:val="single"/>
          <w:lang w:eastAsia="zh-CN"/>
        </w:rPr>
        <w:t>人工材料配合比机械台班基期价》</w:t>
      </w:r>
      <w:r>
        <w:rPr>
          <w:rFonts w:hint="eastAsia"/>
          <w:color w:val="auto"/>
          <w:sz w:val="24"/>
          <w:szCs w:val="24"/>
          <w:highlight w:val="none"/>
          <w:u w:val="single"/>
          <w:lang w:eastAsia="zh-CN"/>
        </w:rPr>
        <w:t>文件及北海造价信息执行。施工期间机械费按相关政策或文</w:t>
      </w:r>
      <w:r>
        <w:rPr>
          <w:rFonts w:hint="eastAsia"/>
          <w:color w:val="auto"/>
          <w:spacing w:val="-1"/>
          <w:sz w:val="24"/>
          <w:szCs w:val="24"/>
          <w:highlight w:val="none"/>
          <w:u w:val="single"/>
          <w:lang w:eastAsia="zh-CN"/>
        </w:rPr>
        <w:t>件调整。</w:t>
      </w:r>
    </w:p>
    <w:p w14:paraId="7351C474">
      <w:pPr>
        <w:pStyle w:val="19"/>
        <w:tabs>
          <w:tab w:val="left" w:pos="550"/>
        </w:tabs>
        <w:spacing w:line="360" w:lineRule="auto"/>
        <w:ind w:firstLine="452" w:firstLineChars="200"/>
        <w:rPr>
          <w:color w:val="auto"/>
          <w:sz w:val="24"/>
          <w:szCs w:val="24"/>
          <w:highlight w:val="none"/>
          <w:lang w:eastAsia="zh-CN"/>
        </w:rPr>
      </w:pPr>
      <w:r>
        <w:rPr>
          <w:rFonts w:hint="eastAsia"/>
          <w:color w:val="auto"/>
          <w:spacing w:val="-7"/>
          <w:sz w:val="24"/>
          <w:szCs w:val="24"/>
          <w:highlight w:val="none"/>
          <w:u w:val="single"/>
          <w:lang w:eastAsia="zh-CN"/>
        </w:rPr>
        <w:t>（6）商品混凝土的运距已综合考虑，结算时无论实际的运距如何，均按信息价中30公</w:t>
      </w:r>
      <w:r>
        <w:rPr>
          <w:rFonts w:hint="eastAsia"/>
          <w:color w:val="auto"/>
          <w:spacing w:val="-5"/>
          <w:sz w:val="24"/>
          <w:szCs w:val="24"/>
          <w:highlight w:val="none"/>
          <w:u w:val="single"/>
          <w:lang w:eastAsia="zh-CN"/>
        </w:rPr>
        <w:t>里范围内的价格作为结算价，不再调整。</w:t>
      </w:r>
    </w:p>
    <w:p w14:paraId="44265854">
      <w:pPr>
        <w:pStyle w:val="19"/>
        <w:tabs>
          <w:tab w:val="left" w:pos="550"/>
        </w:tabs>
        <w:spacing w:line="360" w:lineRule="auto"/>
        <w:ind w:firstLine="468" w:firstLineChars="200"/>
        <w:rPr>
          <w:color w:val="auto"/>
          <w:sz w:val="24"/>
          <w:szCs w:val="24"/>
          <w:highlight w:val="none"/>
          <w:lang w:eastAsia="zh-CN"/>
        </w:rPr>
      </w:pPr>
      <w:r>
        <w:rPr>
          <w:rFonts w:hint="eastAsia"/>
          <w:color w:val="auto"/>
          <w:spacing w:val="-3"/>
          <w:sz w:val="24"/>
          <w:szCs w:val="24"/>
          <w:highlight w:val="none"/>
          <w:u w:val="single"/>
          <w:lang w:eastAsia="zh-CN"/>
        </w:rPr>
        <w:t>（7）除上述条款约定外，其余均不作任何调整；同时，按以上条款所计取的价差款</w:t>
      </w:r>
      <w:r>
        <w:rPr>
          <w:rFonts w:hint="eastAsia"/>
          <w:color w:val="auto"/>
          <w:spacing w:val="-4"/>
          <w:sz w:val="24"/>
          <w:szCs w:val="24"/>
          <w:highlight w:val="none"/>
          <w:u w:val="single"/>
          <w:lang w:eastAsia="zh-CN"/>
        </w:rPr>
        <w:t>项除</w:t>
      </w:r>
      <w:r>
        <w:rPr>
          <w:rFonts w:hint="eastAsia"/>
          <w:color w:val="auto"/>
          <w:spacing w:val="-6"/>
          <w:sz w:val="24"/>
          <w:szCs w:val="24"/>
          <w:highlight w:val="none"/>
          <w:u w:val="single"/>
          <w:lang w:eastAsia="zh-CN"/>
        </w:rPr>
        <w:t>另计取工程税金外，不再计取其它任何费用。</w:t>
      </w:r>
    </w:p>
    <w:p w14:paraId="44D0B40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  合同价格、计量与支付</w:t>
      </w:r>
    </w:p>
    <w:p w14:paraId="149477E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12.1  合同价格形式</w:t>
      </w:r>
    </w:p>
    <w:p w14:paraId="7D58724C">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本工程采用</w:t>
      </w:r>
      <w:r>
        <w:rPr>
          <w:rFonts w:hint="eastAsia"/>
          <w:color w:val="auto"/>
          <w:spacing w:val="-2"/>
          <w:sz w:val="24"/>
          <w:szCs w:val="24"/>
          <w:highlight w:val="none"/>
          <w:u w:val="single"/>
          <w:lang w:eastAsia="zh-CN"/>
        </w:rPr>
        <w:t xml:space="preserve"> 单价 </w:t>
      </w:r>
      <w:r>
        <w:rPr>
          <w:rFonts w:hint="eastAsia"/>
          <w:color w:val="auto"/>
          <w:spacing w:val="-2"/>
          <w:sz w:val="24"/>
          <w:szCs w:val="24"/>
          <w:highlight w:val="none"/>
          <w:lang w:eastAsia="zh-CN"/>
        </w:rPr>
        <w:t>合同价格形式，合同价格包含增值税，本工程计价时采用的增值税计税方法为：☑一般计税法 □简易计税法。</w:t>
      </w:r>
    </w:p>
    <w:p w14:paraId="55EB8C70">
      <w:pPr>
        <w:pStyle w:val="19"/>
        <w:tabs>
          <w:tab w:val="left" w:pos="550"/>
        </w:tabs>
        <w:spacing w:line="360" w:lineRule="auto"/>
        <w:ind w:firstLine="452" w:firstLineChars="200"/>
        <w:rPr>
          <w:color w:val="auto"/>
          <w:spacing w:val="-7"/>
          <w:sz w:val="24"/>
          <w:szCs w:val="24"/>
          <w:highlight w:val="none"/>
          <w:lang w:eastAsia="zh-CN"/>
        </w:rPr>
      </w:pPr>
      <w:r>
        <w:rPr>
          <w:rFonts w:hint="eastAsia"/>
          <w:color w:val="auto"/>
          <w:spacing w:val="-7"/>
          <w:sz w:val="24"/>
          <w:szCs w:val="24"/>
          <w:highlight w:val="none"/>
          <w:lang w:eastAsia="zh-CN"/>
        </w:rPr>
        <w:t>（1）单价合同。</w:t>
      </w:r>
    </w:p>
    <w:p w14:paraId="50B64474">
      <w:pPr>
        <w:pStyle w:val="19"/>
        <w:tabs>
          <w:tab w:val="left" w:pos="550"/>
        </w:tabs>
        <w:spacing w:line="360" w:lineRule="auto"/>
        <w:ind w:firstLine="452" w:firstLineChars="200"/>
        <w:rPr>
          <w:color w:val="auto"/>
          <w:spacing w:val="-7"/>
          <w:sz w:val="24"/>
          <w:szCs w:val="24"/>
          <w:highlight w:val="none"/>
          <w:lang w:eastAsia="zh-CN"/>
        </w:rPr>
      </w:pPr>
      <w:r>
        <w:rPr>
          <w:rFonts w:hint="eastAsia"/>
          <w:color w:val="auto"/>
          <w:spacing w:val="-7"/>
          <w:sz w:val="24"/>
          <w:szCs w:val="24"/>
          <w:highlight w:val="none"/>
          <w:lang w:eastAsia="zh-CN"/>
        </w:rPr>
        <w:t>采用综合单价合同方式时，工程量按建设单位、监理单位、施工单位三方确认的竣工图结算。</w:t>
      </w:r>
    </w:p>
    <w:p w14:paraId="44206AAE">
      <w:pPr>
        <w:pStyle w:val="19"/>
        <w:spacing w:line="360" w:lineRule="auto"/>
        <w:ind w:firstLine="472" w:firstLineChars="200"/>
        <w:rPr>
          <w:color w:val="auto"/>
          <w:spacing w:val="-2"/>
          <w:sz w:val="24"/>
          <w:szCs w:val="24"/>
          <w:highlight w:val="none"/>
          <w:u w:val="single"/>
          <w:lang w:eastAsia="zh-CN"/>
        </w:rPr>
      </w:pPr>
      <w:r>
        <w:rPr>
          <w:rFonts w:hint="eastAsia"/>
          <w:color w:val="auto"/>
          <w:spacing w:val="-2"/>
          <w:sz w:val="24"/>
          <w:szCs w:val="24"/>
          <w:highlight w:val="none"/>
          <w:lang w:eastAsia="zh-CN"/>
        </w:rPr>
        <w:t>综合单价包含的风险范围：</w:t>
      </w:r>
      <w:r>
        <w:rPr>
          <w:rFonts w:hint="eastAsia"/>
          <w:color w:val="auto"/>
          <w:spacing w:val="-2"/>
          <w:sz w:val="24"/>
          <w:szCs w:val="24"/>
          <w:highlight w:val="none"/>
          <w:u w:val="single"/>
          <w:lang w:eastAsia="zh-CN"/>
        </w:rPr>
        <w:t xml:space="preserve">除工程变更、项目特征不符、工程量清单缺项、工程量偏差、政策性调整、市场价格波动。 </w:t>
      </w:r>
    </w:p>
    <w:p w14:paraId="4EF03480">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风险范围以外合同价格的调整方法：</w:t>
      </w:r>
    </w:p>
    <w:p w14:paraId="42EC41B7">
      <w:pPr>
        <w:pStyle w:val="19"/>
        <w:tabs>
          <w:tab w:val="left" w:pos="550"/>
        </w:tabs>
        <w:spacing w:line="360" w:lineRule="auto"/>
        <w:ind w:firstLine="452" w:firstLineChars="200"/>
        <w:rPr>
          <w:color w:val="auto"/>
          <w:spacing w:val="-7"/>
          <w:sz w:val="24"/>
          <w:szCs w:val="24"/>
          <w:highlight w:val="none"/>
          <w:lang w:eastAsia="zh-CN"/>
        </w:rPr>
      </w:pPr>
      <w:r>
        <w:rPr>
          <w:rFonts w:hint="eastAsia"/>
          <w:color w:val="auto"/>
          <w:spacing w:val="-7"/>
          <w:sz w:val="24"/>
          <w:szCs w:val="24"/>
          <w:highlight w:val="none"/>
          <w:lang w:eastAsia="zh-CN"/>
        </w:rPr>
        <w:t>①工程变更、项目特征不符、工程量清单缺项：按10.4.1变更估价原则的约定调整。</w:t>
      </w:r>
    </w:p>
    <w:p w14:paraId="17A28CD5">
      <w:pPr>
        <w:pStyle w:val="19"/>
        <w:tabs>
          <w:tab w:val="left" w:pos="550"/>
        </w:tabs>
        <w:spacing w:line="360" w:lineRule="auto"/>
        <w:ind w:firstLine="452" w:firstLineChars="200"/>
        <w:rPr>
          <w:color w:val="auto"/>
          <w:spacing w:val="-7"/>
          <w:sz w:val="24"/>
          <w:szCs w:val="24"/>
          <w:highlight w:val="none"/>
          <w:lang w:eastAsia="zh-CN"/>
        </w:rPr>
      </w:pPr>
      <w:r>
        <w:rPr>
          <w:rFonts w:hint="eastAsia"/>
          <w:color w:val="auto"/>
          <w:spacing w:val="-7"/>
          <w:sz w:val="24"/>
          <w:szCs w:val="24"/>
          <w:highlight w:val="none"/>
          <w:lang w:eastAsia="zh-CN"/>
        </w:rPr>
        <w:t>②工程量偏差：按1.13工程量清单错误修正的约定调整。</w:t>
      </w:r>
    </w:p>
    <w:p w14:paraId="508094A0">
      <w:pPr>
        <w:pStyle w:val="19"/>
        <w:tabs>
          <w:tab w:val="left" w:pos="550"/>
        </w:tabs>
        <w:spacing w:line="360" w:lineRule="auto"/>
        <w:ind w:firstLine="452" w:firstLineChars="200"/>
        <w:rPr>
          <w:color w:val="auto"/>
          <w:spacing w:val="-7"/>
          <w:sz w:val="24"/>
          <w:szCs w:val="24"/>
          <w:highlight w:val="none"/>
          <w:lang w:eastAsia="zh-CN"/>
        </w:rPr>
      </w:pPr>
      <w:r>
        <w:rPr>
          <w:rFonts w:hint="eastAsia"/>
          <w:color w:val="auto"/>
          <w:spacing w:val="-7"/>
          <w:sz w:val="24"/>
          <w:szCs w:val="24"/>
          <w:highlight w:val="none"/>
          <w:lang w:eastAsia="zh-CN"/>
        </w:rPr>
        <w:t>③政策性调整：按国家、自治区住房城乡建设厅或工程所在地市级住房城乡建设主管部门颁布的文件执行。</w:t>
      </w:r>
    </w:p>
    <w:p w14:paraId="6085E126">
      <w:pPr>
        <w:pStyle w:val="19"/>
        <w:tabs>
          <w:tab w:val="left" w:pos="550"/>
        </w:tabs>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④市场波动引起的调整：按11.1的约定调整。</w:t>
      </w:r>
    </w:p>
    <w:p w14:paraId="3609687E">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⑤其它：a.本合同实施期间因工程变更、项目特征不符、工程量清单缺项引起工程项目、工程量变化的，其工程量按实际发生并监理工程师及发包人确认，变更合同价款按下列方法进行：工程量清单中有相同细目的按投标人投标时的成交单价进行结算，工程量清单中有类似细目的参考类似成交单价结算；工程量清单中没有适用或类似于变更工程的价格，则有定额的套定额计算，执行本招标文件工程计价参考依据，并乘以下浮系数（成交价/经审定的工程预算控制价）结算， 其中材料价格有信息价的按施工期间信息价的平均价计取，无信息价的由发包人、监理单位及承包人根据市场价格协商议定； 新增项目无定额可套的，由发包人、监理单位及承包人根据市场协商确定；新增结算单价=综合单价×（成交价/经审定的工程预算控制价）。</w:t>
      </w:r>
    </w:p>
    <w:p w14:paraId="77FA946F">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 xml:space="preserve">b.工程量偏差调整方法：如果承包人实际完成工程量与招标工程量偏差超过15%以上且该单项造价超过合同总价1%以上的， 则超过15%以上增加部分工程量或减少后剩余部分工程量的综合单价按以下方法计算：有定额的套定额计算，执行本招标文件工程计价参考依据，并乘以下浮系数、（成交价/经审定的工程预算控制价）结算，其中材料价格有信息价的按施工期间信息价的平均价计取，无信息价的由发包人、监理单位及承包人根据市场价格协商议定。 </w:t>
      </w:r>
    </w:p>
    <w:p w14:paraId="7B14F3AB">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 xml:space="preserve">c.材料和设备价格风险的调整方法：  </w:t>
      </w:r>
    </w:p>
    <w:p w14:paraId="6E665325">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基准价格的约定：基准价格按照招标文件约定的材料设备信息价，无信息价的参考预算控制价的材料设备价格。</w:t>
      </w:r>
    </w:p>
    <w:p w14:paraId="5044273E">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材料及设备风险的约定：允许调整的主要材料、设备及风险系数详见《承包人提供主要材料和设备一览表》，调整方法按 11.1 第 2 种方式（3）执行，调整部分仅计差额及相应税金。其余材料、设备不予调整。</w:t>
      </w:r>
    </w:p>
    <w:p w14:paraId="61D24421">
      <w:pPr>
        <w:pStyle w:val="19"/>
        <w:spacing w:line="360" w:lineRule="auto"/>
        <w:ind w:firstLine="454" w:firstLineChars="200"/>
        <w:rPr>
          <w:color w:val="auto"/>
          <w:sz w:val="24"/>
          <w:szCs w:val="24"/>
          <w:highlight w:val="none"/>
          <w:lang w:eastAsia="zh-CN"/>
        </w:rPr>
      </w:pPr>
      <w:r>
        <w:rPr>
          <w:rFonts w:hint="eastAsia"/>
          <w:b/>
          <w:bCs/>
          <w:color w:val="auto"/>
          <w:spacing w:val="-7"/>
          <w:sz w:val="24"/>
          <w:szCs w:val="24"/>
          <w:highlight w:val="none"/>
          <w:lang w:eastAsia="zh-CN"/>
        </w:rPr>
        <w:t>d.措施项目费调整原则按《(GB/T50500-2024)建设工程工程量清单计价规范-广西壮族自治区实施细则》第 9.3.2 款执行 。</w:t>
      </w:r>
    </w:p>
    <w:p w14:paraId="668B3422">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（2）总价合同。</w:t>
      </w:r>
    </w:p>
    <w:p w14:paraId="595FA38C">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总价包含的风险范围：包含除工程变更、政策性调整、</w:t>
      </w:r>
      <w:r>
        <w:rPr>
          <w:rFonts w:hint="eastAsia"/>
          <w:color w:val="auto"/>
          <w:spacing w:val="-5"/>
          <w:sz w:val="24"/>
          <w:szCs w:val="24"/>
          <w:highlight w:val="none"/>
          <w:u w:val="single"/>
          <w:lang w:eastAsia="zh-CN"/>
        </w:rPr>
        <w:t>市场价格波动。除工程变更外，结</w:t>
      </w:r>
      <w:r>
        <w:rPr>
          <w:rFonts w:hint="eastAsia"/>
          <w:color w:val="auto"/>
          <w:spacing w:val="-1"/>
          <w:sz w:val="24"/>
          <w:szCs w:val="24"/>
          <w:highlight w:val="none"/>
          <w:u w:val="single"/>
          <w:lang w:eastAsia="zh-CN"/>
        </w:rPr>
        <w:t>算时不再对招标施工图对应的工程量重新计量。</w:t>
      </w:r>
    </w:p>
    <w:p w14:paraId="53041025">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风险范围以外合同价格的调整方法：</w:t>
      </w:r>
    </w:p>
    <w:p w14:paraId="251223A8">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①工程变更：按 10.4.1 变更估价原则的约定调整。</w:t>
      </w:r>
    </w:p>
    <w:p w14:paraId="61B31CBF">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②政策性调整：按国家、自治区住房城乡建设厅或工程所在地市级住房城乡建设主管部门</w:t>
      </w:r>
    </w:p>
    <w:p w14:paraId="4D70B825">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颁布的文件执行。</w:t>
      </w:r>
    </w:p>
    <w:p w14:paraId="370E69E6">
      <w:pPr>
        <w:pStyle w:val="19"/>
        <w:spacing w:line="360" w:lineRule="auto"/>
        <w:ind w:firstLine="454" w:firstLineChars="200"/>
        <w:rPr>
          <w:b/>
          <w:bCs/>
          <w:color w:val="auto"/>
          <w:spacing w:val="-7"/>
          <w:sz w:val="24"/>
          <w:szCs w:val="24"/>
          <w:highlight w:val="none"/>
          <w:lang w:eastAsia="zh-CN"/>
        </w:rPr>
      </w:pPr>
      <w:r>
        <w:rPr>
          <w:rFonts w:hint="eastAsia"/>
          <w:b/>
          <w:bCs/>
          <w:color w:val="auto"/>
          <w:spacing w:val="-7"/>
          <w:sz w:val="24"/>
          <w:szCs w:val="24"/>
          <w:highlight w:val="none"/>
          <w:lang w:eastAsia="zh-CN"/>
        </w:rPr>
        <w:t>③市场波动引起的调整： 按 11.1 的约定调整。</w:t>
      </w:r>
    </w:p>
    <w:p w14:paraId="084E7AE0">
      <w:pPr>
        <w:pStyle w:val="19"/>
        <w:spacing w:line="360" w:lineRule="auto"/>
        <w:ind w:firstLine="454" w:firstLineChars="200"/>
        <w:rPr>
          <w:color w:val="auto"/>
          <w:sz w:val="24"/>
          <w:szCs w:val="24"/>
          <w:highlight w:val="none"/>
        </w:rPr>
      </w:pPr>
      <w:r>
        <w:rPr>
          <w:rFonts w:hint="eastAsia"/>
          <w:b/>
          <w:bCs/>
          <w:color w:val="auto"/>
          <w:spacing w:val="-7"/>
          <w:sz w:val="24"/>
          <w:szCs w:val="24"/>
          <w:highlight w:val="none"/>
        </w:rPr>
        <w:t>4 其它：</w:t>
      </w:r>
      <w:r>
        <w:rPr>
          <w:rFonts w:hint="eastAsia"/>
          <w:color w:val="auto"/>
          <w:spacing w:val="-20"/>
          <w:sz w:val="24"/>
          <w:szCs w:val="24"/>
          <w:highlight w:val="none"/>
        </w:rPr>
        <w:t>。</w:t>
      </w:r>
    </w:p>
    <w:p w14:paraId="41AE988B">
      <w:pPr>
        <w:pStyle w:val="19"/>
        <w:spacing w:line="360" w:lineRule="auto"/>
        <w:ind w:firstLine="476" w:firstLineChars="200"/>
        <w:rPr>
          <w:color w:val="auto"/>
          <w:sz w:val="24"/>
          <w:szCs w:val="24"/>
          <w:highlight w:val="none"/>
        </w:rPr>
      </w:pPr>
      <w:r>
        <w:rPr>
          <w:rFonts w:hint="eastAsia"/>
          <w:color w:val="auto"/>
          <w:spacing w:val="-1"/>
          <w:sz w:val="24"/>
          <w:szCs w:val="24"/>
          <w:highlight w:val="none"/>
        </w:rPr>
        <w:t>（3）其他价格方式：。</w:t>
      </w:r>
    </w:p>
    <w:p w14:paraId="762875EE">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12.2  预付款</w:t>
      </w:r>
    </w:p>
    <w:p w14:paraId="604291A7">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12.2.1 预付款的支付</w:t>
      </w:r>
    </w:p>
    <w:p w14:paraId="5410A09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预付款支付比例或金额：</w:t>
      </w:r>
      <w:r>
        <w:rPr>
          <w:rFonts w:hint="eastAsia"/>
          <w:color w:val="auto"/>
          <w:spacing w:val="-2"/>
          <w:sz w:val="24"/>
          <w:szCs w:val="24"/>
          <w:highlight w:val="none"/>
          <w:u w:val="single"/>
          <w:lang w:eastAsia="zh-CN"/>
        </w:rPr>
        <w:t xml:space="preserve"> 合同总价（扣除暂列金额后）的30%。</w:t>
      </w:r>
    </w:p>
    <w:p w14:paraId="20F6AC34">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预付款支付期限：</w:t>
      </w:r>
      <w:r>
        <w:rPr>
          <w:rFonts w:hint="eastAsia"/>
          <w:color w:val="auto"/>
          <w:sz w:val="24"/>
          <w:szCs w:val="24"/>
          <w:highlight w:val="none"/>
          <w:u w:val="single"/>
          <w:lang w:eastAsia="zh-CN"/>
        </w:rPr>
        <w:t xml:space="preserve"> 承包人应在合同签订后向发包人提交预付款支付申请。发包</w:t>
      </w:r>
      <w:r>
        <w:rPr>
          <w:rFonts w:hint="eastAsia"/>
          <w:color w:val="auto"/>
          <w:spacing w:val="-1"/>
          <w:sz w:val="24"/>
          <w:szCs w:val="24"/>
          <w:highlight w:val="none"/>
          <w:u w:val="single"/>
          <w:lang w:eastAsia="zh-CN"/>
        </w:rPr>
        <w:t>人应在收</w:t>
      </w:r>
      <w:r>
        <w:rPr>
          <w:rFonts w:hint="eastAsia"/>
          <w:color w:val="auto"/>
          <w:sz w:val="24"/>
          <w:szCs w:val="24"/>
          <w:highlight w:val="none"/>
          <w:u w:val="single"/>
          <w:lang w:eastAsia="zh-CN"/>
        </w:rPr>
        <w:t>到支付申请的 7 天内进行核实后向承包人发出预付款支付证书，并在签发</w:t>
      </w:r>
      <w:r>
        <w:rPr>
          <w:rFonts w:hint="eastAsia"/>
          <w:color w:val="auto"/>
          <w:spacing w:val="-1"/>
          <w:sz w:val="24"/>
          <w:szCs w:val="24"/>
          <w:highlight w:val="none"/>
          <w:u w:val="single"/>
          <w:lang w:eastAsia="zh-CN"/>
        </w:rPr>
        <w:t>支付证书后的 7 天内向承包人支付预付款。</w:t>
      </w:r>
    </w:p>
    <w:p w14:paraId="494547AE">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预付款扣回的方式：</w:t>
      </w:r>
      <w:r>
        <w:rPr>
          <w:rFonts w:hint="eastAsia"/>
          <w:color w:val="auto"/>
          <w:spacing w:val="-5"/>
          <w:sz w:val="24"/>
          <w:szCs w:val="24"/>
          <w:highlight w:val="none"/>
          <w:u w:val="single"/>
          <w:lang w:eastAsia="zh-CN"/>
        </w:rPr>
        <w:t>从</w:t>
      </w:r>
      <w:r>
        <w:rPr>
          <w:rFonts w:hint="eastAsia"/>
          <w:color w:val="auto"/>
          <w:spacing w:val="-5"/>
          <w:sz w:val="24"/>
          <w:szCs w:val="24"/>
          <w:highlight w:val="none"/>
          <w:u w:val="single"/>
          <w:lang w:val="en-US" w:eastAsia="zh-CN"/>
        </w:rPr>
        <w:t>第二次进度款中一次性</w:t>
      </w:r>
      <w:r>
        <w:rPr>
          <w:rFonts w:hint="eastAsia"/>
          <w:color w:val="auto"/>
          <w:spacing w:val="-5"/>
          <w:sz w:val="24"/>
          <w:szCs w:val="24"/>
          <w:highlight w:val="none"/>
          <w:u w:val="single"/>
          <w:lang w:eastAsia="zh-CN"/>
        </w:rPr>
        <w:t>扣回。</w:t>
      </w:r>
    </w:p>
    <w:p w14:paraId="26C7A157">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12.2.2 预付款担保</w:t>
      </w:r>
    </w:p>
    <w:p w14:paraId="3C69D165">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 xml:space="preserve">承包人提交预付款担保的期限：  </w:t>
      </w:r>
      <w:r>
        <w:rPr>
          <w:rFonts w:hint="eastAsia"/>
          <w:color w:val="auto"/>
          <w:spacing w:val="-4"/>
          <w:sz w:val="24"/>
          <w:szCs w:val="24"/>
          <w:highlight w:val="none"/>
          <w:u w:val="single"/>
          <w:lang w:eastAsia="zh-CN"/>
        </w:rPr>
        <w:t xml:space="preserve"> 不采用。</w:t>
      </w:r>
    </w:p>
    <w:p w14:paraId="3DE94FD5">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预付款担保的形式为：可以是银行转账、电汇或网上支付、保函（银行保函、电</w:t>
      </w:r>
      <w:r>
        <w:rPr>
          <w:rFonts w:hint="eastAsia"/>
          <w:color w:val="auto"/>
          <w:spacing w:val="-1"/>
          <w:sz w:val="24"/>
          <w:szCs w:val="24"/>
          <w:highlight w:val="none"/>
          <w:lang w:eastAsia="zh-CN"/>
        </w:rPr>
        <w:t>子保函、</w:t>
      </w:r>
      <w:r>
        <w:rPr>
          <w:rFonts w:hint="eastAsia"/>
          <w:color w:val="auto"/>
          <w:spacing w:val="-3"/>
          <w:sz w:val="24"/>
          <w:szCs w:val="24"/>
          <w:highlight w:val="none"/>
          <w:lang w:eastAsia="zh-CN"/>
        </w:rPr>
        <w:t>保证保险保函、工程担保保函）等形式。工程担保保证人应将出具的保函相关信息录入“广西</w:t>
      </w:r>
      <w:r>
        <w:rPr>
          <w:rFonts w:hint="eastAsia"/>
          <w:color w:val="auto"/>
          <w:sz w:val="24"/>
          <w:szCs w:val="24"/>
          <w:highlight w:val="none"/>
          <w:lang w:eastAsia="zh-CN"/>
        </w:rPr>
        <w:t>建筑市场监管云”平台（</w:t>
      </w:r>
      <w:r>
        <w:rPr>
          <w:color w:val="auto"/>
          <w:sz w:val="24"/>
          <w:szCs w:val="24"/>
          <w:highlight w:val="none"/>
        </w:rPr>
        <w:fldChar w:fldCharType="begin"/>
      </w:r>
      <w:r>
        <w:rPr>
          <w:color w:val="auto"/>
          <w:sz w:val="24"/>
          <w:szCs w:val="24"/>
          <w:highlight w:val="none"/>
        </w:rPr>
        <w:instrText xml:space="preserve"> HYPERLINK "http://gxjzsc.caihcloud.com" </w:instrText>
      </w:r>
      <w:r>
        <w:rPr>
          <w:color w:val="auto"/>
          <w:sz w:val="24"/>
          <w:szCs w:val="24"/>
          <w:highlight w:val="none"/>
        </w:rPr>
        <w:fldChar w:fldCharType="separate"/>
      </w:r>
      <w:r>
        <w:rPr>
          <w:rFonts w:hint="eastAsia"/>
          <w:color w:val="auto"/>
          <w:sz w:val="24"/>
          <w:szCs w:val="24"/>
          <w:highlight w:val="none"/>
          <w:lang w:eastAsia="zh-CN"/>
        </w:rPr>
        <w:t>http://gxjzsc.caihcloud.com</w:t>
      </w:r>
      <w:r>
        <w:rPr>
          <w:rFonts w:hint="eastAsia"/>
          <w:color w:val="auto"/>
          <w:sz w:val="24"/>
          <w:szCs w:val="24"/>
          <w:highlight w:val="none"/>
          <w:lang w:eastAsia="zh-CN"/>
        </w:rPr>
        <w:fldChar w:fldCharType="end"/>
      </w:r>
      <w:r>
        <w:rPr>
          <w:rFonts w:hint="eastAsia"/>
          <w:color w:val="auto"/>
          <w:spacing w:val="-13"/>
          <w:sz w:val="24"/>
          <w:szCs w:val="24"/>
          <w:highlight w:val="none"/>
          <w:lang w:eastAsia="zh-CN"/>
        </w:rPr>
        <w:t>），</w:t>
      </w:r>
      <w:r>
        <w:rPr>
          <w:rFonts w:hint="eastAsia"/>
          <w:color w:val="auto"/>
          <w:sz w:val="24"/>
          <w:szCs w:val="24"/>
          <w:highlight w:val="none"/>
          <w:lang w:eastAsia="zh-CN"/>
        </w:rPr>
        <w:t>以实现保函查询及验真功能。</w:t>
      </w:r>
    </w:p>
    <w:p w14:paraId="54708B4F">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预付款担保格式见合同附件 8。预付款支付申请（核准）表见合同附件10</w:t>
      </w:r>
    </w:p>
    <w:p w14:paraId="6C901C3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12.3  计量</w:t>
      </w:r>
    </w:p>
    <w:p w14:paraId="7A1518AC">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12.3.1计量原则</w:t>
      </w:r>
    </w:p>
    <w:p w14:paraId="573AD85C">
      <w:pPr>
        <w:pStyle w:val="19"/>
        <w:spacing w:line="360" w:lineRule="auto"/>
        <w:ind w:firstLine="468" w:firstLineChars="200"/>
        <w:rPr>
          <w:color w:val="auto"/>
          <w:spacing w:val="-5"/>
          <w:sz w:val="24"/>
          <w:szCs w:val="24"/>
          <w:highlight w:val="none"/>
          <w:u w:val="single"/>
          <w:lang w:eastAsia="zh-CN"/>
        </w:rPr>
      </w:pPr>
      <w:r>
        <w:rPr>
          <w:rFonts w:hint="eastAsia"/>
          <w:color w:val="auto"/>
          <w:spacing w:val="-3"/>
          <w:sz w:val="24"/>
          <w:szCs w:val="24"/>
          <w:highlight w:val="none"/>
          <w:lang w:eastAsia="zh-CN"/>
        </w:rPr>
        <w:t>工程量计算规则：</w:t>
      </w:r>
      <w:r>
        <w:rPr>
          <w:rFonts w:hint="eastAsia"/>
          <w:color w:val="auto"/>
          <w:spacing w:val="-3"/>
          <w:sz w:val="24"/>
          <w:szCs w:val="24"/>
          <w:highlight w:val="none"/>
          <w:u w:val="single"/>
          <w:lang w:eastAsia="zh-CN"/>
        </w:rPr>
        <w:t>工程的计量均以《建设工程工程量清单计价规范》（GB50500－2013）及</w:t>
      </w:r>
      <w:r>
        <w:rPr>
          <w:rFonts w:hint="eastAsia"/>
          <w:color w:val="auto"/>
          <w:spacing w:val="-6"/>
          <w:sz w:val="24"/>
          <w:szCs w:val="24"/>
          <w:highlight w:val="none"/>
          <w:u w:val="single"/>
          <w:lang w:eastAsia="zh-CN"/>
        </w:rPr>
        <w:t>广西壮族自治区实施细则、《建设工程工程量清单计算规范》（</w:t>
      </w:r>
      <w:r>
        <w:rPr>
          <w:rFonts w:hint="eastAsia"/>
          <w:color w:val="auto"/>
          <w:spacing w:val="-7"/>
          <w:sz w:val="24"/>
          <w:szCs w:val="24"/>
          <w:highlight w:val="none"/>
          <w:u w:val="single"/>
          <w:lang w:eastAsia="zh-CN"/>
        </w:rPr>
        <w:t>GB50854～50862－2013）及广西实</w:t>
      </w:r>
      <w:r>
        <w:rPr>
          <w:rFonts w:hint="eastAsia"/>
          <w:color w:val="auto"/>
          <w:spacing w:val="-5"/>
          <w:sz w:val="24"/>
          <w:szCs w:val="24"/>
          <w:highlight w:val="none"/>
          <w:u w:val="single"/>
          <w:lang w:eastAsia="zh-CN"/>
        </w:rPr>
        <w:t>施细则、本工程补充项目清单为准。</w:t>
      </w:r>
    </w:p>
    <w:p w14:paraId="78E11E08">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12.3.2计量周期</w:t>
      </w:r>
    </w:p>
    <w:p w14:paraId="5202BBA8">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关于计量周期的约定：</w:t>
      </w:r>
      <w:r>
        <w:rPr>
          <w:rFonts w:hint="eastAsia"/>
          <w:color w:val="auto"/>
          <w:spacing w:val="-4"/>
          <w:sz w:val="24"/>
          <w:szCs w:val="24"/>
          <w:highlight w:val="none"/>
          <w:u w:val="single"/>
          <w:lang w:eastAsia="zh-CN"/>
        </w:rPr>
        <w:t>每月25日前</w:t>
      </w:r>
      <w:r>
        <w:rPr>
          <w:rFonts w:hint="eastAsia"/>
          <w:color w:val="auto"/>
          <w:spacing w:val="-4"/>
          <w:sz w:val="24"/>
          <w:szCs w:val="24"/>
          <w:highlight w:val="none"/>
          <w:lang w:eastAsia="zh-CN"/>
        </w:rPr>
        <w:t>。</w:t>
      </w:r>
    </w:p>
    <w:p w14:paraId="7C942AB5">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12.3.3单价合同的计量</w:t>
      </w:r>
    </w:p>
    <w:p w14:paraId="5E0DEA54">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关于单价合同计量的约定：</w:t>
      </w:r>
    </w:p>
    <w:p w14:paraId="0D5E0E26">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  工程量清单所列的工程量， 不能作为承包人按合同履行其责任依据，实际施工中发生的工程量增加或减少并不影响</w:t>
      </w:r>
      <w:r>
        <w:rPr>
          <w:rFonts w:hint="eastAsia"/>
          <w:color w:val="auto"/>
          <w:sz w:val="24"/>
          <w:szCs w:val="24"/>
          <w:highlight w:val="none"/>
          <w:lang w:eastAsia="zh-CN"/>
        </w:rPr>
        <w:t>承包人履行合同的责任，工程结算以完成的实际工程</w:t>
      </w:r>
      <w:r>
        <w:rPr>
          <w:rFonts w:hint="eastAsia"/>
          <w:color w:val="auto"/>
          <w:spacing w:val="-1"/>
          <w:sz w:val="24"/>
          <w:szCs w:val="24"/>
          <w:highlight w:val="none"/>
          <w:lang w:eastAsia="zh-CN"/>
        </w:rPr>
        <w:t>量为准。</w:t>
      </w:r>
    </w:p>
    <w:p w14:paraId="6E488EB2">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(2)除另有规定外，工程师应按照合同通过计量</w:t>
      </w:r>
      <w:r>
        <w:rPr>
          <w:rFonts w:hint="eastAsia"/>
          <w:color w:val="auto"/>
          <w:spacing w:val="-5"/>
          <w:sz w:val="24"/>
          <w:szCs w:val="24"/>
          <w:highlight w:val="none"/>
          <w:lang w:eastAsia="zh-CN"/>
        </w:rPr>
        <w:t>来核实确定已完成的工程量和价款，承包人</w:t>
      </w:r>
      <w:r>
        <w:rPr>
          <w:rFonts w:hint="eastAsia"/>
          <w:color w:val="auto"/>
          <w:spacing w:val="1"/>
          <w:sz w:val="24"/>
          <w:szCs w:val="24"/>
          <w:highlight w:val="none"/>
          <w:lang w:eastAsia="zh-CN"/>
        </w:rPr>
        <w:t>应得到该价款扣除保留金后的金额。当工程师要对已完工的工程量进行计量时，应适时地通知</w:t>
      </w:r>
      <w:r>
        <w:rPr>
          <w:rFonts w:hint="eastAsia"/>
          <w:color w:val="auto"/>
          <w:spacing w:val="-1"/>
          <w:sz w:val="24"/>
          <w:szCs w:val="24"/>
          <w:highlight w:val="none"/>
          <w:lang w:eastAsia="zh-CN"/>
        </w:rPr>
        <w:t>承包人参加。</w:t>
      </w:r>
    </w:p>
    <w:p w14:paraId="160C5ECB">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12.3.4总价合同的计量</w:t>
      </w:r>
    </w:p>
    <w:p w14:paraId="2DA3AEA8">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（1）总价合同计量约定：进度款按支付分解表支付，支付分解表在招标完成后签合同之前制定，具体详见本专用合同条款12.4.6。</w:t>
      </w:r>
    </w:p>
    <w:p w14:paraId="68BF7598">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12.3.6  其他价格形式合同的计量</w:t>
      </w:r>
    </w:p>
    <w:p w14:paraId="766FA860">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其他价格形式的计量方式和程序：</w:t>
      </w:r>
      <w:r>
        <w:rPr>
          <w:rFonts w:hint="eastAsia"/>
          <w:color w:val="auto"/>
          <w:spacing w:val="-1"/>
          <w:sz w:val="24"/>
          <w:szCs w:val="24"/>
          <w:highlight w:val="none"/>
          <w:lang w:eastAsia="zh-CN"/>
        </w:rPr>
        <w:t>。</w:t>
      </w:r>
    </w:p>
    <w:p w14:paraId="7A1E2E71">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12.4  工程进度款支付</w:t>
      </w:r>
    </w:p>
    <w:p w14:paraId="1F390675">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政府机关、事业单位、国有企业建设工程进度款</w:t>
      </w:r>
      <w:r>
        <w:rPr>
          <w:rFonts w:hint="eastAsia"/>
          <w:color w:val="auto"/>
          <w:spacing w:val="-1"/>
          <w:sz w:val="24"/>
          <w:szCs w:val="24"/>
          <w:highlight w:val="none"/>
          <w:lang w:eastAsia="zh-CN"/>
        </w:rPr>
        <w:t>支付应不低于已完成工程价款的 80%；同</w:t>
      </w:r>
      <w:r>
        <w:rPr>
          <w:rFonts w:hint="eastAsia"/>
          <w:color w:val="auto"/>
          <w:spacing w:val="-3"/>
          <w:sz w:val="24"/>
          <w:szCs w:val="24"/>
          <w:highlight w:val="none"/>
          <w:lang w:eastAsia="zh-CN"/>
        </w:rPr>
        <w:t>时，在确保不超出工程总概（预）算以及工程决（结）算工作顺利开展的前提下，除按合同约</w:t>
      </w:r>
      <w:r>
        <w:rPr>
          <w:rFonts w:hint="eastAsia"/>
          <w:color w:val="auto"/>
          <w:spacing w:val="-2"/>
          <w:sz w:val="24"/>
          <w:szCs w:val="24"/>
          <w:highlight w:val="none"/>
          <w:lang w:eastAsia="zh-CN"/>
        </w:rPr>
        <w:t>定保留不超过工程价款总额 3%的质量保证金外，进度款支付比例可由发承</w:t>
      </w:r>
      <w:r>
        <w:rPr>
          <w:rFonts w:hint="eastAsia"/>
          <w:color w:val="auto"/>
          <w:spacing w:val="-3"/>
          <w:sz w:val="24"/>
          <w:szCs w:val="24"/>
          <w:highlight w:val="none"/>
          <w:lang w:eastAsia="zh-CN"/>
        </w:rPr>
        <w:t>包双方根据项目实际</w:t>
      </w:r>
      <w:r>
        <w:rPr>
          <w:rFonts w:hint="eastAsia"/>
          <w:color w:val="auto"/>
          <w:spacing w:val="-2"/>
          <w:sz w:val="24"/>
          <w:szCs w:val="24"/>
          <w:highlight w:val="none"/>
          <w:lang w:eastAsia="zh-CN"/>
        </w:rPr>
        <w:t>情况自行确定。在结算过程中， 若发生进</w:t>
      </w:r>
      <w:r>
        <w:rPr>
          <w:rFonts w:hint="eastAsia"/>
          <w:color w:val="auto"/>
          <w:spacing w:val="-3"/>
          <w:sz w:val="24"/>
          <w:szCs w:val="24"/>
          <w:highlight w:val="none"/>
          <w:lang w:eastAsia="zh-CN"/>
        </w:rPr>
        <w:t>度款支付超出实际已完成工程价款的情况，承包单位</w:t>
      </w:r>
      <w:r>
        <w:rPr>
          <w:rFonts w:hint="eastAsia"/>
          <w:color w:val="auto"/>
          <w:spacing w:val="-2"/>
          <w:sz w:val="24"/>
          <w:szCs w:val="24"/>
          <w:highlight w:val="none"/>
          <w:lang w:eastAsia="zh-CN"/>
        </w:rPr>
        <w:t>应按规定在结算后 30 日内向发包单位返还多收到的工程进度款。</w:t>
      </w:r>
    </w:p>
    <w:p w14:paraId="188148D8">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12.4.1付款周期</w:t>
      </w:r>
    </w:p>
    <w:p w14:paraId="6191E83F">
      <w:pPr>
        <w:widowControl w:val="0"/>
        <w:kinsoku/>
        <w:autoSpaceDE/>
        <w:autoSpaceDN/>
        <w:adjustRightInd/>
        <w:snapToGrid/>
        <w:spacing w:line="360" w:lineRule="auto"/>
        <w:ind w:firstLine="480" w:firstLineChars="200"/>
        <w:textAlignment w:val="auto"/>
        <w:rPr>
          <w:rFonts w:ascii="宋体" w:hAnsi="宋体" w:eastAsia="宋体" w:cs="宋体"/>
          <w:color w:val="auto"/>
          <w:sz w:val="24"/>
          <w:szCs w:val="24"/>
          <w:highlight w:val="none"/>
          <w:u w:val="single"/>
          <w:lang w:eastAsia="zh-CN"/>
        </w:rPr>
      </w:pPr>
      <w:r>
        <w:rPr>
          <w:rFonts w:ascii="宋体" w:hAnsi="宋体" w:eastAsia="宋体" w:cs="宋体"/>
          <w:color w:val="auto"/>
          <w:sz w:val="24"/>
          <w:szCs w:val="24"/>
          <w:highlight w:val="none"/>
          <w:u w:val="single"/>
          <w:lang w:eastAsia="zh-CN"/>
        </w:rPr>
        <w:fldChar w:fldCharType="begin"/>
      </w:r>
      <w:r>
        <w:rPr>
          <w:rFonts w:hint="eastAsia" w:ascii="宋体" w:hAnsi="宋体" w:eastAsia="宋体" w:cs="宋体"/>
          <w:color w:val="auto"/>
          <w:sz w:val="24"/>
          <w:szCs w:val="24"/>
          <w:highlight w:val="none"/>
          <w:u w:val="single"/>
          <w:lang w:eastAsia="zh-CN"/>
        </w:rPr>
        <w:instrText xml:space="preserve">= 1 \* GB3</w:instrText>
      </w:r>
      <w:r>
        <w:rPr>
          <w:rFonts w:ascii="宋体" w:hAnsi="宋体" w:eastAsia="宋体" w:cs="宋体"/>
          <w:color w:val="auto"/>
          <w:sz w:val="24"/>
          <w:szCs w:val="24"/>
          <w:highlight w:val="none"/>
          <w:u w:val="single"/>
          <w:lang w:eastAsia="zh-CN"/>
        </w:rPr>
        <w:fldChar w:fldCharType="separate"/>
      </w:r>
      <w:r>
        <w:rPr>
          <w:rFonts w:hint="eastAsia" w:ascii="宋体" w:hAnsi="宋体" w:eastAsia="宋体" w:cs="宋体"/>
          <w:color w:val="auto"/>
          <w:sz w:val="24"/>
          <w:szCs w:val="24"/>
          <w:highlight w:val="none"/>
          <w:u w:val="single"/>
          <w:lang w:eastAsia="zh-CN"/>
        </w:rPr>
        <w:t>①</w:t>
      </w:r>
      <w:r>
        <w:rPr>
          <w:rFonts w:ascii="宋体" w:hAnsi="宋体" w:eastAsia="宋体" w:cs="宋体"/>
          <w:color w:val="auto"/>
          <w:sz w:val="24"/>
          <w:szCs w:val="24"/>
          <w:highlight w:val="none"/>
          <w:u w:val="single"/>
          <w:lang w:eastAsia="zh-CN"/>
        </w:rPr>
        <w:fldChar w:fldCharType="end"/>
      </w:r>
      <w:r>
        <w:rPr>
          <w:rFonts w:hint="eastAsia" w:ascii="宋体" w:hAnsi="宋体" w:eastAsia="宋体" w:cs="宋体"/>
          <w:color w:val="auto"/>
          <w:sz w:val="24"/>
          <w:szCs w:val="24"/>
          <w:highlight w:val="none"/>
          <w:u w:val="single"/>
          <w:lang w:eastAsia="zh-CN"/>
        </w:rPr>
        <w:t>工程款按月支付，工程进度款支付限额为已完成工程量的85%；工程变更部分进度款支付限额为已完成工程量的70%。</w:t>
      </w:r>
    </w:p>
    <w:p w14:paraId="0D4A6423">
      <w:pPr>
        <w:widowControl w:val="0"/>
        <w:kinsoku/>
        <w:autoSpaceDE/>
        <w:autoSpaceDN/>
        <w:adjustRightInd/>
        <w:snapToGrid/>
        <w:spacing w:line="360" w:lineRule="auto"/>
        <w:ind w:firstLine="480" w:firstLineChars="200"/>
        <w:textAlignment w:val="auto"/>
        <w:rPr>
          <w:rFonts w:ascii="宋体" w:hAnsi="宋体" w:eastAsia="宋体" w:cs="宋体"/>
          <w:color w:val="auto"/>
          <w:sz w:val="24"/>
          <w:szCs w:val="24"/>
          <w:highlight w:val="none"/>
          <w:u w:val="single"/>
          <w:lang w:eastAsia="zh-CN"/>
        </w:rPr>
      </w:pPr>
      <w:r>
        <w:rPr>
          <w:rFonts w:ascii="宋体" w:hAnsi="宋体" w:eastAsia="宋体" w:cs="宋体"/>
          <w:color w:val="auto"/>
          <w:sz w:val="24"/>
          <w:szCs w:val="24"/>
          <w:highlight w:val="none"/>
          <w:u w:val="single"/>
          <w:lang w:eastAsia="zh-CN"/>
        </w:rPr>
        <w:fldChar w:fldCharType="begin"/>
      </w:r>
      <w:r>
        <w:rPr>
          <w:rFonts w:hint="eastAsia" w:ascii="宋体" w:hAnsi="宋体" w:eastAsia="宋体" w:cs="宋体"/>
          <w:color w:val="auto"/>
          <w:sz w:val="24"/>
          <w:szCs w:val="24"/>
          <w:highlight w:val="none"/>
          <w:u w:val="single"/>
          <w:lang w:eastAsia="zh-CN"/>
        </w:rPr>
        <w:instrText xml:space="preserve">= 2 \* GB3</w:instrText>
      </w:r>
      <w:r>
        <w:rPr>
          <w:rFonts w:ascii="宋体" w:hAnsi="宋体" w:eastAsia="宋体" w:cs="宋体"/>
          <w:color w:val="auto"/>
          <w:sz w:val="24"/>
          <w:szCs w:val="24"/>
          <w:highlight w:val="none"/>
          <w:u w:val="single"/>
          <w:lang w:eastAsia="zh-CN"/>
        </w:rPr>
        <w:fldChar w:fldCharType="separate"/>
      </w:r>
      <w:r>
        <w:rPr>
          <w:rFonts w:hint="eastAsia" w:ascii="宋体" w:hAnsi="宋体" w:eastAsia="宋体" w:cs="宋体"/>
          <w:color w:val="auto"/>
          <w:sz w:val="24"/>
          <w:szCs w:val="24"/>
          <w:highlight w:val="none"/>
          <w:u w:val="single"/>
          <w:lang w:eastAsia="zh-CN"/>
        </w:rPr>
        <w:t>②</w:t>
      </w:r>
      <w:r>
        <w:rPr>
          <w:rFonts w:ascii="宋体" w:hAnsi="宋体" w:eastAsia="宋体" w:cs="宋体"/>
          <w:color w:val="auto"/>
          <w:sz w:val="24"/>
          <w:szCs w:val="24"/>
          <w:highlight w:val="none"/>
          <w:u w:val="single"/>
          <w:lang w:eastAsia="zh-CN"/>
        </w:rPr>
        <w:fldChar w:fldCharType="end"/>
      </w:r>
      <w:r>
        <w:rPr>
          <w:rFonts w:hint="eastAsia" w:ascii="宋体" w:hAnsi="宋体" w:eastAsia="宋体" w:cs="宋体"/>
          <w:color w:val="auto"/>
          <w:sz w:val="24"/>
          <w:szCs w:val="24"/>
          <w:highlight w:val="none"/>
          <w:u w:val="single"/>
          <w:lang w:eastAsia="zh-CN"/>
        </w:rPr>
        <w:t>工程完工验收达到质量要求，结算经业主及合同约定的财政或审计部门（如有）审定后，</w:t>
      </w:r>
    </w:p>
    <w:p w14:paraId="7B1B42D7">
      <w:pPr>
        <w:widowControl w:val="0"/>
        <w:kinsoku/>
        <w:autoSpaceDE/>
        <w:autoSpaceDN/>
        <w:adjustRightInd/>
        <w:snapToGrid/>
        <w:spacing w:line="360" w:lineRule="auto"/>
        <w:ind w:firstLine="480" w:firstLineChars="200"/>
        <w:textAlignment w:val="auto"/>
        <w:rPr>
          <w:rFonts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u w:val="single"/>
          <w:lang w:eastAsia="zh-CN"/>
        </w:rPr>
        <w:t>工程款支付至结算总价的 97%。发包人按工程价款结算总额的3%预留工程质量保证金。</w:t>
      </w:r>
    </w:p>
    <w:p w14:paraId="4C60B1D5">
      <w:pPr>
        <w:widowControl w:val="0"/>
        <w:kinsoku/>
        <w:autoSpaceDE/>
        <w:autoSpaceDN/>
        <w:adjustRightInd/>
        <w:snapToGrid/>
        <w:spacing w:line="360" w:lineRule="auto"/>
        <w:ind w:firstLine="480" w:firstLineChars="200"/>
        <w:textAlignment w:val="auto"/>
        <w:rPr>
          <w:rFonts w:ascii="宋体" w:hAnsi="宋体" w:eastAsia="宋体" w:cs="宋体"/>
          <w:color w:val="auto"/>
          <w:sz w:val="24"/>
          <w:szCs w:val="24"/>
          <w:highlight w:val="none"/>
          <w:u w:val="single"/>
          <w:lang w:eastAsia="zh-CN"/>
        </w:rPr>
      </w:pPr>
      <w:r>
        <w:rPr>
          <w:rFonts w:ascii="宋体" w:hAnsi="宋体" w:eastAsia="宋体" w:cs="宋体"/>
          <w:color w:val="auto"/>
          <w:sz w:val="24"/>
          <w:szCs w:val="24"/>
          <w:highlight w:val="none"/>
          <w:u w:val="single"/>
          <w:lang w:eastAsia="zh-CN"/>
        </w:rPr>
        <w:fldChar w:fldCharType="begin"/>
      </w:r>
      <w:r>
        <w:rPr>
          <w:rFonts w:hint="eastAsia" w:ascii="宋体" w:hAnsi="宋体" w:eastAsia="宋体" w:cs="宋体"/>
          <w:color w:val="auto"/>
          <w:sz w:val="24"/>
          <w:szCs w:val="24"/>
          <w:highlight w:val="none"/>
          <w:u w:val="single"/>
          <w:lang w:eastAsia="zh-CN"/>
        </w:rPr>
        <w:instrText xml:space="preserve">= 3 \* GB3</w:instrText>
      </w:r>
      <w:r>
        <w:rPr>
          <w:rFonts w:ascii="宋体" w:hAnsi="宋体" w:eastAsia="宋体" w:cs="宋体"/>
          <w:color w:val="auto"/>
          <w:sz w:val="24"/>
          <w:szCs w:val="24"/>
          <w:highlight w:val="none"/>
          <w:u w:val="single"/>
          <w:lang w:eastAsia="zh-CN"/>
        </w:rPr>
        <w:fldChar w:fldCharType="separate"/>
      </w:r>
      <w:r>
        <w:rPr>
          <w:rFonts w:hint="eastAsia" w:ascii="宋体" w:hAnsi="宋体" w:eastAsia="宋体" w:cs="宋体"/>
          <w:color w:val="auto"/>
          <w:sz w:val="24"/>
          <w:szCs w:val="24"/>
          <w:highlight w:val="none"/>
          <w:u w:val="single"/>
          <w:lang w:eastAsia="zh-CN"/>
        </w:rPr>
        <w:t>③</w:t>
      </w:r>
      <w:r>
        <w:rPr>
          <w:rFonts w:ascii="宋体" w:hAnsi="宋体" w:eastAsia="宋体" w:cs="宋体"/>
          <w:color w:val="auto"/>
          <w:sz w:val="24"/>
          <w:szCs w:val="24"/>
          <w:highlight w:val="none"/>
          <w:u w:val="single"/>
          <w:lang w:eastAsia="zh-CN"/>
        </w:rPr>
        <w:fldChar w:fldCharType="end"/>
      </w:r>
      <w:r>
        <w:rPr>
          <w:rFonts w:hint="eastAsia" w:ascii="宋体" w:hAnsi="宋体" w:eastAsia="宋体" w:cs="宋体"/>
          <w:color w:val="auto"/>
          <w:sz w:val="24"/>
          <w:szCs w:val="24"/>
          <w:highlight w:val="none"/>
          <w:u w:val="single"/>
          <w:lang w:val="en-US" w:eastAsia="zh-CN"/>
        </w:rPr>
        <w:t>合同约定的工程质量缺陷责任期满后由</w:t>
      </w:r>
      <w:r>
        <w:rPr>
          <w:rFonts w:hint="eastAsia" w:ascii="宋体" w:hAnsi="宋体" w:cs="宋体"/>
          <w:color w:val="auto"/>
          <w:sz w:val="24"/>
          <w:szCs w:val="24"/>
          <w:highlight w:val="none"/>
          <w:u w:val="single"/>
          <w:lang w:val="en-US" w:eastAsia="zh-CN"/>
        </w:rPr>
        <w:t>承包人</w:t>
      </w:r>
      <w:r>
        <w:rPr>
          <w:rFonts w:hint="eastAsia" w:ascii="宋体" w:hAnsi="宋体" w:eastAsia="宋体" w:cs="宋体"/>
          <w:color w:val="auto"/>
          <w:sz w:val="24"/>
          <w:szCs w:val="24"/>
          <w:highlight w:val="none"/>
          <w:u w:val="single"/>
          <w:lang w:val="en-US" w:eastAsia="zh-CN"/>
        </w:rPr>
        <w:t>向</w:t>
      </w:r>
      <w:r>
        <w:rPr>
          <w:rFonts w:hint="eastAsia" w:ascii="宋体" w:hAnsi="宋体" w:cs="宋体"/>
          <w:color w:val="auto"/>
          <w:sz w:val="24"/>
          <w:szCs w:val="24"/>
          <w:highlight w:val="none"/>
          <w:u w:val="single"/>
          <w:lang w:val="en-US" w:eastAsia="zh-CN"/>
        </w:rPr>
        <w:t>发包人</w:t>
      </w:r>
      <w:r>
        <w:rPr>
          <w:rFonts w:hint="eastAsia" w:ascii="宋体" w:hAnsi="宋体" w:eastAsia="宋体" w:cs="宋体"/>
          <w:color w:val="auto"/>
          <w:sz w:val="24"/>
          <w:szCs w:val="24"/>
          <w:highlight w:val="none"/>
          <w:u w:val="single"/>
          <w:lang w:val="en-US" w:eastAsia="zh-CN"/>
        </w:rPr>
        <w:t>提出返还质量保证金的申请，</w:t>
      </w:r>
      <w:r>
        <w:rPr>
          <w:rFonts w:hint="eastAsia" w:ascii="宋体" w:hAnsi="宋体" w:cs="宋体"/>
          <w:color w:val="auto"/>
          <w:sz w:val="24"/>
          <w:szCs w:val="24"/>
          <w:highlight w:val="none"/>
          <w:u w:val="single"/>
          <w:lang w:val="en-US" w:eastAsia="zh-CN"/>
        </w:rPr>
        <w:t>发包人</w:t>
      </w:r>
      <w:r>
        <w:rPr>
          <w:rFonts w:hint="eastAsia" w:ascii="宋体" w:hAnsi="宋体" w:eastAsia="宋体" w:cs="宋体"/>
          <w:color w:val="auto"/>
          <w:sz w:val="24"/>
          <w:szCs w:val="24"/>
          <w:highlight w:val="none"/>
          <w:u w:val="single"/>
          <w:lang w:val="en-US" w:eastAsia="zh-CN"/>
        </w:rPr>
        <w:t>在接到</w:t>
      </w:r>
      <w:r>
        <w:rPr>
          <w:rFonts w:hint="eastAsia" w:ascii="宋体" w:hAnsi="宋体" w:cs="宋体"/>
          <w:color w:val="auto"/>
          <w:sz w:val="24"/>
          <w:szCs w:val="24"/>
          <w:highlight w:val="none"/>
          <w:u w:val="single"/>
          <w:lang w:val="en-US" w:eastAsia="zh-CN"/>
        </w:rPr>
        <w:t>承包人</w:t>
      </w:r>
      <w:r>
        <w:rPr>
          <w:rFonts w:hint="eastAsia" w:ascii="宋体" w:hAnsi="宋体" w:eastAsia="宋体" w:cs="宋体"/>
          <w:color w:val="auto"/>
          <w:sz w:val="24"/>
          <w:szCs w:val="24"/>
          <w:highlight w:val="none"/>
          <w:u w:val="single"/>
          <w:lang w:val="en-US" w:eastAsia="zh-CN"/>
        </w:rPr>
        <w:t>返还质量保证金申请后，于 14 天内会同</w:t>
      </w:r>
      <w:r>
        <w:rPr>
          <w:rFonts w:hint="eastAsia" w:ascii="宋体" w:hAnsi="宋体" w:cs="宋体"/>
          <w:color w:val="auto"/>
          <w:sz w:val="24"/>
          <w:szCs w:val="24"/>
          <w:highlight w:val="none"/>
          <w:u w:val="single"/>
          <w:lang w:val="en-US" w:eastAsia="zh-CN"/>
        </w:rPr>
        <w:t>承包人</w:t>
      </w:r>
      <w:r>
        <w:rPr>
          <w:rFonts w:hint="eastAsia" w:ascii="宋体" w:hAnsi="宋体" w:eastAsia="宋体" w:cs="宋体"/>
          <w:color w:val="auto"/>
          <w:sz w:val="24"/>
          <w:szCs w:val="24"/>
          <w:highlight w:val="none"/>
          <w:u w:val="single"/>
          <w:lang w:val="en-US" w:eastAsia="zh-CN"/>
        </w:rPr>
        <w:t>按照合同约定的内容进行核实。如无异议，</w:t>
      </w:r>
      <w:r>
        <w:rPr>
          <w:rFonts w:hint="eastAsia" w:ascii="宋体" w:hAnsi="宋体" w:cs="宋体"/>
          <w:color w:val="auto"/>
          <w:sz w:val="24"/>
          <w:szCs w:val="24"/>
          <w:highlight w:val="none"/>
          <w:u w:val="single"/>
          <w:lang w:val="en-US" w:eastAsia="zh-CN"/>
        </w:rPr>
        <w:t>发包人</w:t>
      </w:r>
      <w:r>
        <w:rPr>
          <w:rFonts w:hint="eastAsia" w:ascii="宋体" w:hAnsi="宋体" w:eastAsia="宋体" w:cs="宋体"/>
          <w:color w:val="auto"/>
          <w:sz w:val="24"/>
          <w:szCs w:val="24"/>
          <w:highlight w:val="none"/>
          <w:u w:val="single"/>
          <w:lang w:val="en-US" w:eastAsia="zh-CN"/>
        </w:rPr>
        <w:t>在核实后 14 天内将质量保证金返还</w:t>
      </w:r>
      <w:r>
        <w:rPr>
          <w:rFonts w:hint="eastAsia" w:ascii="宋体" w:hAnsi="宋体" w:cs="宋体"/>
          <w:color w:val="auto"/>
          <w:sz w:val="24"/>
          <w:szCs w:val="24"/>
          <w:highlight w:val="none"/>
          <w:u w:val="single"/>
          <w:lang w:val="en-US" w:eastAsia="zh-CN"/>
        </w:rPr>
        <w:t>承包人</w:t>
      </w:r>
      <w:r>
        <w:rPr>
          <w:rFonts w:ascii="宋体" w:hAnsi="宋体" w:eastAsia="宋体" w:cs="宋体"/>
          <w:color w:val="auto"/>
          <w:sz w:val="24"/>
          <w:szCs w:val="24"/>
          <w:highlight w:val="none"/>
          <w:u w:val="single"/>
          <w:lang w:eastAsia="zh-CN"/>
        </w:rPr>
        <w:t>。</w:t>
      </w:r>
    </w:p>
    <w:p w14:paraId="674C161E">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12.4.2  进度付款申请单的编制</w:t>
      </w:r>
    </w:p>
    <w:p w14:paraId="1107A11A">
      <w:pPr>
        <w:pStyle w:val="19"/>
        <w:spacing w:line="360" w:lineRule="auto"/>
        <w:ind w:firstLine="480" w:firstLineChars="200"/>
        <w:rPr>
          <w:color w:val="auto"/>
          <w:spacing w:val="-1"/>
          <w:sz w:val="24"/>
          <w:szCs w:val="24"/>
          <w:highlight w:val="none"/>
          <w:lang w:eastAsia="zh-CN"/>
        </w:rPr>
      </w:pPr>
      <w:r>
        <w:rPr>
          <w:rFonts w:hint="eastAsia"/>
          <w:color w:val="auto"/>
          <w:sz w:val="24"/>
          <w:szCs w:val="24"/>
          <w:highlight w:val="none"/>
          <w:lang w:eastAsia="zh-CN"/>
        </w:rPr>
        <w:t>关于进度付款申请单编制的约定：</w:t>
      </w:r>
      <w:r>
        <w:rPr>
          <w:rFonts w:hint="eastAsia"/>
          <w:color w:val="auto"/>
          <w:spacing w:val="-1"/>
          <w:sz w:val="24"/>
          <w:szCs w:val="24"/>
          <w:highlight w:val="none"/>
          <w:lang w:eastAsia="zh-CN"/>
        </w:rPr>
        <w:t>。</w:t>
      </w:r>
    </w:p>
    <w:p w14:paraId="16FDC70E">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12.4.3  进度付款申请单的提交</w:t>
      </w:r>
    </w:p>
    <w:p w14:paraId="758F2FEA">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（1）单价合同进度付款申请单提交的约定：</w:t>
      </w:r>
      <w:r>
        <w:rPr>
          <w:rFonts w:hint="eastAsia"/>
          <w:color w:val="auto"/>
          <w:spacing w:val="-1"/>
          <w:sz w:val="24"/>
          <w:szCs w:val="24"/>
          <w:highlight w:val="none"/>
          <w:u w:val="single"/>
          <w:lang w:eastAsia="zh-CN"/>
        </w:rPr>
        <w:t xml:space="preserve"> 按通用条款执行   </w:t>
      </w:r>
      <w:r>
        <w:rPr>
          <w:rFonts w:hint="eastAsia"/>
          <w:color w:val="auto"/>
          <w:spacing w:val="-1"/>
          <w:sz w:val="24"/>
          <w:szCs w:val="24"/>
          <w:highlight w:val="none"/>
          <w:lang w:eastAsia="zh-CN"/>
        </w:rPr>
        <w:t>。</w:t>
      </w:r>
    </w:p>
    <w:p w14:paraId="09C1D638">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（2）总价合同进度付款申请单提交的约定：</w:t>
      </w:r>
      <w:r>
        <w:rPr>
          <w:rFonts w:hint="eastAsia"/>
          <w:color w:val="auto"/>
          <w:spacing w:val="-1"/>
          <w:sz w:val="24"/>
          <w:szCs w:val="24"/>
          <w:highlight w:val="none"/>
          <w:u w:val="single"/>
          <w:lang w:eastAsia="zh-CN"/>
        </w:rPr>
        <w:t xml:space="preserve">   按通用条款执行  </w:t>
      </w:r>
      <w:r>
        <w:rPr>
          <w:rFonts w:hint="eastAsia"/>
          <w:color w:val="auto"/>
          <w:spacing w:val="-1"/>
          <w:sz w:val="24"/>
          <w:szCs w:val="24"/>
          <w:highlight w:val="none"/>
          <w:lang w:eastAsia="zh-CN"/>
        </w:rPr>
        <w:t>。</w:t>
      </w:r>
    </w:p>
    <w:p w14:paraId="48E03214">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（3）其他价格形式合同进度付款申请单提交的约定：</w:t>
      </w:r>
      <w:r>
        <w:rPr>
          <w:rFonts w:hint="eastAsia"/>
          <w:color w:val="auto"/>
          <w:spacing w:val="-1"/>
          <w:sz w:val="24"/>
          <w:szCs w:val="24"/>
          <w:highlight w:val="none"/>
          <w:u w:val="single"/>
          <w:lang w:eastAsia="zh-CN"/>
        </w:rPr>
        <w:t xml:space="preserve">  按通用条款执行 </w:t>
      </w:r>
      <w:r>
        <w:rPr>
          <w:rFonts w:hint="eastAsia"/>
          <w:color w:val="auto"/>
          <w:spacing w:val="-1"/>
          <w:sz w:val="24"/>
          <w:szCs w:val="24"/>
          <w:highlight w:val="none"/>
          <w:lang w:eastAsia="zh-CN"/>
        </w:rPr>
        <w:t>。</w:t>
      </w:r>
    </w:p>
    <w:p w14:paraId="41A2EFE1">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12.4.4  进度款审核和支付</w:t>
      </w:r>
    </w:p>
    <w:p w14:paraId="178E2373">
      <w:pPr>
        <w:pStyle w:val="19"/>
        <w:spacing w:line="360" w:lineRule="auto"/>
        <w:ind w:firstLine="476" w:firstLineChars="200"/>
        <w:jc w:val="both"/>
        <w:rPr>
          <w:color w:val="auto"/>
          <w:sz w:val="24"/>
          <w:szCs w:val="24"/>
          <w:highlight w:val="none"/>
          <w:lang w:eastAsia="zh-CN"/>
        </w:rPr>
      </w:pPr>
      <w:r>
        <w:rPr>
          <w:rFonts w:hint="eastAsia"/>
          <w:color w:val="auto"/>
          <w:spacing w:val="-1"/>
          <w:sz w:val="24"/>
          <w:szCs w:val="24"/>
          <w:highlight w:val="none"/>
          <w:lang w:eastAsia="zh-CN"/>
        </w:rPr>
        <w:t>（1）监理人审查并报送发包人的期限：</w:t>
      </w:r>
      <w:r>
        <w:rPr>
          <w:rFonts w:hint="eastAsia"/>
          <w:color w:val="auto"/>
          <w:spacing w:val="-1"/>
          <w:sz w:val="24"/>
          <w:szCs w:val="24"/>
          <w:highlight w:val="none"/>
          <w:u w:val="single"/>
          <w:lang w:eastAsia="zh-CN"/>
        </w:rPr>
        <w:t>收到承包人进度付款申请单以及相关资料后3</w:t>
      </w:r>
      <w:r>
        <w:rPr>
          <w:rFonts w:hint="eastAsia"/>
          <w:color w:val="auto"/>
          <w:spacing w:val="-2"/>
          <w:sz w:val="24"/>
          <w:szCs w:val="24"/>
          <w:highlight w:val="none"/>
          <w:u w:val="single"/>
          <w:lang w:eastAsia="zh-CN"/>
        </w:rPr>
        <w:t>日</w:t>
      </w:r>
      <w:r>
        <w:rPr>
          <w:rFonts w:hint="eastAsia"/>
          <w:color w:val="auto"/>
          <w:spacing w:val="-17"/>
          <w:sz w:val="24"/>
          <w:szCs w:val="24"/>
          <w:highlight w:val="none"/>
          <w:u w:val="single"/>
          <w:lang w:eastAsia="zh-CN"/>
        </w:rPr>
        <w:t>内。</w:t>
      </w:r>
    </w:p>
    <w:p w14:paraId="172894E8">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发包人完成审批并签发进度款支付证书的期限：</w:t>
      </w:r>
      <w:r>
        <w:rPr>
          <w:rFonts w:hint="eastAsia"/>
          <w:color w:val="auto"/>
          <w:sz w:val="24"/>
          <w:szCs w:val="24"/>
          <w:highlight w:val="none"/>
          <w:u w:val="single"/>
          <w:lang w:eastAsia="zh-CN"/>
        </w:rPr>
        <w:t xml:space="preserve"> 按发包</w:t>
      </w:r>
      <w:r>
        <w:rPr>
          <w:rFonts w:hint="eastAsia"/>
          <w:color w:val="auto"/>
          <w:spacing w:val="-1"/>
          <w:sz w:val="24"/>
          <w:szCs w:val="24"/>
          <w:highlight w:val="none"/>
          <w:u w:val="single"/>
          <w:lang w:eastAsia="zh-CN"/>
        </w:rPr>
        <w:t xml:space="preserve">人相关规定执行 </w:t>
      </w:r>
      <w:r>
        <w:rPr>
          <w:rFonts w:hint="eastAsia"/>
          <w:color w:val="auto"/>
          <w:spacing w:val="-1"/>
          <w:sz w:val="24"/>
          <w:szCs w:val="24"/>
          <w:highlight w:val="none"/>
          <w:lang w:eastAsia="zh-CN"/>
        </w:rPr>
        <w:t>。</w:t>
      </w:r>
    </w:p>
    <w:p w14:paraId="6054E4B7">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 xml:space="preserve">（2）发包人支付进度款的期限： </w:t>
      </w:r>
      <w:r>
        <w:rPr>
          <w:rFonts w:hint="eastAsia"/>
          <w:color w:val="auto"/>
          <w:spacing w:val="-5"/>
          <w:sz w:val="24"/>
          <w:szCs w:val="24"/>
          <w:highlight w:val="none"/>
          <w:u w:val="single"/>
          <w:lang w:eastAsia="zh-CN"/>
        </w:rPr>
        <w:t xml:space="preserve"> 执行通用条款 </w:t>
      </w:r>
      <w:r>
        <w:rPr>
          <w:rFonts w:hint="eastAsia"/>
          <w:color w:val="auto"/>
          <w:spacing w:val="-5"/>
          <w:sz w:val="24"/>
          <w:szCs w:val="24"/>
          <w:highlight w:val="none"/>
          <w:lang w:eastAsia="zh-CN"/>
        </w:rPr>
        <w:t>。</w:t>
      </w:r>
    </w:p>
    <w:p w14:paraId="7BAD53D7">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发包人逾期支付进度款的违约金的计算方式：</w:t>
      </w:r>
      <w:r>
        <w:rPr>
          <w:rFonts w:hint="eastAsia"/>
          <w:color w:val="auto"/>
          <w:spacing w:val="-3"/>
          <w:sz w:val="24"/>
          <w:szCs w:val="24"/>
          <w:highlight w:val="none"/>
          <w:u w:val="single"/>
          <w:lang w:eastAsia="zh-CN"/>
        </w:rPr>
        <w:t xml:space="preserve"> 执行通用条款 </w:t>
      </w:r>
      <w:r>
        <w:rPr>
          <w:rFonts w:hint="eastAsia"/>
          <w:color w:val="auto"/>
          <w:spacing w:val="-3"/>
          <w:sz w:val="24"/>
          <w:szCs w:val="24"/>
          <w:highlight w:val="none"/>
          <w:lang w:eastAsia="zh-CN"/>
        </w:rPr>
        <w:t>。</w:t>
      </w:r>
    </w:p>
    <w:p w14:paraId="7092C02A">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进度款支付方式：</w:t>
      </w:r>
      <w:r>
        <w:rPr>
          <w:rFonts w:hint="eastAsia"/>
          <w:color w:val="auto"/>
          <w:sz w:val="24"/>
          <w:szCs w:val="24"/>
          <w:highlight w:val="none"/>
          <w:u w:val="single"/>
          <w:lang w:eastAsia="zh-CN"/>
        </w:rPr>
        <w:t>银行转账</w:t>
      </w:r>
      <w:r>
        <w:rPr>
          <w:rFonts w:hint="eastAsia"/>
          <w:color w:val="auto"/>
          <w:sz w:val="24"/>
          <w:szCs w:val="24"/>
          <w:highlight w:val="none"/>
          <w:lang w:eastAsia="zh-CN"/>
        </w:rPr>
        <w:t xml:space="preserve">。进度款支付申请（核准）表见合同附件 </w:t>
      </w:r>
      <w:r>
        <w:rPr>
          <w:rFonts w:hint="eastAsia"/>
          <w:color w:val="auto"/>
          <w:spacing w:val="-1"/>
          <w:sz w:val="24"/>
          <w:szCs w:val="24"/>
          <w:highlight w:val="none"/>
          <w:lang w:eastAsia="zh-CN"/>
        </w:rPr>
        <w:t>11。</w:t>
      </w:r>
    </w:p>
    <w:p w14:paraId="66E5E137">
      <w:pPr>
        <w:pStyle w:val="19"/>
        <w:spacing w:line="360" w:lineRule="auto"/>
        <w:ind w:firstLine="460" w:firstLineChars="200"/>
        <w:rPr>
          <w:color w:val="auto"/>
          <w:spacing w:val="-5"/>
          <w:sz w:val="24"/>
          <w:szCs w:val="24"/>
          <w:highlight w:val="none"/>
          <w:lang w:eastAsia="zh-CN"/>
        </w:rPr>
      </w:pPr>
      <w:r>
        <w:rPr>
          <w:rFonts w:hint="eastAsia"/>
          <w:color w:val="auto"/>
          <w:spacing w:val="-5"/>
          <w:sz w:val="24"/>
          <w:szCs w:val="24"/>
          <w:highlight w:val="none"/>
          <w:lang w:eastAsia="zh-CN"/>
        </w:rPr>
        <w:t>（3） 农民工工资支付</w:t>
      </w:r>
    </w:p>
    <w:p w14:paraId="6ECD71F3">
      <w:pPr>
        <w:pStyle w:val="19"/>
        <w:spacing w:line="360" w:lineRule="auto"/>
        <w:ind w:firstLine="470" w:firstLineChars="200"/>
        <w:rPr>
          <w:rFonts w:hint="eastAsia"/>
          <w:b/>
          <w:bCs/>
          <w:color w:val="auto"/>
          <w:spacing w:val="-3"/>
          <w:sz w:val="24"/>
          <w:szCs w:val="24"/>
          <w:highlight w:val="none"/>
          <w:lang w:eastAsia="zh-CN"/>
        </w:rPr>
      </w:pPr>
      <w:r>
        <w:rPr>
          <w:rFonts w:hint="eastAsia"/>
          <w:b/>
          <w:bCs/>
          <w:color w:val="auto"/>
          <w:spacing w:val="-3"/>
          <w:sz w:val="24"/>
          <w:szCs w:val="24"/>
          <w:highlight w:val="none"/>
          <w:lang w:eastAsia="zh-CN"/>
        </w:rPr>
        <w:t>承包人应按劳动合同约定及相关规定，按月足额将农民工工资发放至农民工本人工资银行账户，不得克扣、拖欠。发包人应按照工程施工合同约定及时拨付工程款，加强对承包人按时足额支付农民工工资的监督。</w:t>
      </w:r>
    </w:p>
    <w:p w14:paraId="172AAD90">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12.4.6  支付分解表的编制</w:t>
      </w:r>
    </w:p>
    <w:p w14:paraId="1829B271">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 总价合同支付分解表的编制与审批：</w:t>
      </w:r>
      <w:r>
        <w:rPr>
          <w:rFonts w:hint="eastAsia"/>
          <w:color w:val="auto"/>
          <w:spacing w:val="-1"/>
          <w:sz w:val="24"/>
          <w:szCs w:val="24"/>
          <w:highlight w:val="none"/>
          <w:u w:val="single"/>
          <w:lang w:eastAsia="zh-CN"/>
        </w:rPr>
        <w:t xml:space="preserve">  总价合</w:t>
      </w:r>
      <w:r>
        <w:rPr>
          <w:rFonts w:hint="eastAsia"/>
          <w:color w:val="auto"/>
          <w:spacing w:val="-2"/>
          <w:sz w:val="24"/>
          <w:szCs w:val="24"/>
          <w:highlight w:val="none"/>
          <w:u w:val="single"/>
          <w:lang w:eastAsia="zh-CN"/>
        </w:rPr>
        <w:t>同支付分解表在</w:t>
      </w:r>
      <w:r>
        <w:rPr>
          <w:rFonts w:hint="eastAsia"/>
          <w:color w:val="auto"/>
          <w:spacing w:val="-2"/>
          <w:sz w:val="24"/>
          <w:szCs w:val="24"/>
          <w:highlight w:val="none"/>
          <w:u w:val="single"/>
          <w:lang w:val="en-US" w:eastAsia="zh-CN"/>
        </w:rPr>
        <w:t>采购</w:t>
      </w:r>
      <w:r>
        <w:rPr>
          <w:rFonts w:hint="eastAsia"/>
          <w:color w:val="auto"/>
          <w:spacing w:val="-2"/>
          <w:sz w:val="24"/>
          <w:szCs w:val="24"/>
          <w:highlight w:val="none"/>
          <w:u w:val="single"/>
          <w:lang w:eastAsia="zh-CN"/>
        </w:rPr>
        <w:t>完成后由发包</w:t>
      </w:r>
      <w:r>
        <w:rPr>
          <w:rFonts w:hint="eastAsia"/>
          <w:color w:val="auto"/>
          <w:spacing w:val="-5"/>
          <w:sz w:val="24"/>
          <w:szCs w:val="24"/>
          <w:highlight w:val="none"/>
          <w:u w:val="single"/>
          <w:lang w:eastAsia="zh-CN"/>
        </w:rPr>
        <w:t xml:space="preserve">人和承包人共同编制，发包人审批， 并作为本合同内容， 具体详见合同附件 14 </w:t>
      </w:r>
      <w:r>
        <w:rPr>
          <w:rFonts w:hint="eastAsia"/>
          <w:color w:val="auto"/>
          <w:spacing w:val="-6"/>
          <w:sz w:val="24"/>
          <w:szCs w:val="24"/>
          <w:highlight w:val="none"/>
          <w:lang w:eastAsia="zh-CN"/>
        </w:rPr>
        <w:t>。</w:t>
      </w:r>
    </w:p>
    <w:p w14:paraId="15C7EEDE">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（2）单价合同的总价项目支付分解表的编制与审批：总价项目不采用</w:t>
      </w:r>
      <w:r>
        <w:rPr>
          <w:rFonts w:hint="eastAsia"/>
          <w:color w:val="auto"/>
          <w:spacing w:val="-1"/>
          <w:sz w:val="24"/>
          <w:szCs w:val="24"/>
          <w:highlight w:val="none"/>
          <w:lang w:eastAsia="zh-CN"/>
        </w:rPr>
        <w:t>支付分解表的方式</w:t>
      </w:r>
      <w:r>
        <w:rPr>
          <w:rFonts w:hint="eastAsia"/>
          <w:color w:val="auto"/>
          <w:spacing w:val="-2"/>
          <w:sz w:val="24"/>
          <w:szCs w:val="24"/>
          <w:highlight w:val="none"/>
          <w:lang w:eastAsia="zh-CN"/>
        </w:rPr>
        <w:t>计算，而按《建设工程工程量清单计价规范（GB/T50500-2024）广</w:t>
      </w:r>
      <w:r>
        <w:rPr>
          <w:rFonts w:hint="eastAsia"/>
          <w:color w:val="auto"/>
          <w:spacing w:val="-3"/>
          <w:sz w:val="24"/>
          <w:szCs w:val="24"/>
          <w:highlight w:val="none"/>
          <w:lang w:eastAsia="zh-CN"/>
        </w:rPr>
        <w:t>西壮族自治区实施细则》的规定执行。</w:t>
      </w:r>
    </w:p>
    <w:p w14:paraId="289332B4">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 验收和工程试车</w:t>
      </w:r>
    </w:p>
    <w:p w14:paraId="426BB224">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13.1  分部分项工程验收</w:t>
      </w:r>
    </w:p>
    <w:p w14:paraId="75DD9DC5">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13.1.2监理人不能按时进行验收时，应提</w:t>
      </w:r>
      <w:r>
        <w:rPr>
          <w:rFonts w:hint="eastAsia"/>
          <w:color w:val="auto"/>
          <w:spacing w:val="-4"/>
          <w:sz w:val="24"/>
          <w:szCs w:val="24"/>
          <w:highlight w:val="none"/>
          <w:lang w:eastAsia="zh-CN"/>
        </w:rPr>
        <w:t>前</w:t>
      </w:r>
      <w:r>
        <w:rPr>
          <w:rFonts w:hint="eastAsia"/>
          <w:color w:val="auto"/>
          <w:spacing w:val="-4"/>
          <w:sz w:val="24"/>
          <w:szCs w:val="24"/>
          <w:highlight w:val="none"/>
          <w:u w:val="single"/>
          <w:lang w:eastAsia="zh-CN"/>
        </w:rPr>
        <w:t xml:space="preserve">  24  </w:t>
      </w:r>
      <w:r>
        <w:rPr>
          <w:rFonts w:hint="eastAsia"/>
          <w:color w:val="auto"/>
          <w:spacing w:val="-4"/>
          <w:sz w:val="24"/>
          <w:szCs w:val="24"/>
          <w:highlight w:val="none"/>
          <w:lang w:eastAsia="zh-CN"/>
        </w:rPr>
        <w:t>小时提交书面延期要求。</w:t>
      </w:r>
    </w:p>
    <w:p w14:paraId="6EEB5A1E">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关于延期最长不得超过：</w:t>
      </w:r>
      <w:r>
        <w:rPr>
          <w:rFonts w:hint="eastAsia"/>
          <w:color w:val="auto"/>
          <w:spacing w:val="-6"/>
          <w:sz w:val="24"/>
          <w:szCs w:val="24"/>
          <w:highlight w:val="none"/>
          <w:u w:val="single"/>
          <w:lang w:eastAsia="zh-CN"/>
        </w:rPr>
        <w:t xml:space="preserve">  48    </w:t>
      </w:r>
      <w:r>
        <w:rPr>
          <w:rFonts w:hint="eastAsia"/>
          <w:color w:val="auto"/>
          <w:spacing w:val="-6"/>
          <w:sz w:val="24"/>
          <w:szCs w:val="24"/>
          <w:highlight w:val="none"/>
          <w:lang w:eastAsia="zh-CN"/>
        </w:rPr>
        <w:t>小时。</w:t>
      </w:r>
    </w:p>
    <w:p w14:paraId="70565E57">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13.2  竣工验收</w:t>
      </w:r>
    </w:p>
    <w:p w14:paraId="543AC76D">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13.2.1竣工验收条件</w:t>
      </w:r>
    </w:p>
    <w:p w14:paraId="1F73CD6C">
      <w:pPr>
        <w:pStyle w:val="19"/>
        <w:spacing w:line="360" w:lineRule="auto"/>
        <w:ind w:firstLine="468" w:firstLineChars="200"/>
        <w:rPr>
          <w:color w:val="auto"/>
          <w:spacing w:val="-3"/>
          <w:sz w:val="24"/>
          <w:szCs w:val="24"/>
          <w:highlight w:val="none"/>
          <w:u w:val="single"/>
          <w:lang w:eastAsia="zh-CN"/>
        </w:rPr>
      </w:pPr>
      <w:r>
        <w:rPr>
          <w:rFonts w:hint="eastAsia"/>
          <w:color w:val="auto"/>
          <w:spacing w:val="-3"/>
          <w:sz w:val="24"/>
          <w:szCs w:val="24"/>
          <w:highlight w:val="none"/>
          <w:lang w:eastAsia="zh-CN"/>
        </w:rPr>
        <w:t>（3）承包人负责整理和提交的竣工验收资料应当符合工程所在地建设行政主管部门和(或)城市建设档案管理机构有关施工资料的要求， 具体内容包括：</w:t>
      </w:r>
      <w:r>
        <w:rPr>
          <w:rFonts w:hint="eastAsia"/>
          <w:color w:val="auto"/>
          <w:spacing w:val="-3"/>
          <w:sz w:val="24"/>
          <w:szCs w:val="24"/>
          <w:highlight w:val="none"/>
          <w:u w:val="single"/>
          <w:lang w:eastAsia="zh-CN"/>
        </w:rPr>
        <w:t xml:space="preserve">  按有关规定执行 。</w:t>
      </w:r>
    </w:p>
    <w:p w14:paraId="0F12CC6B">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竣工验收资料的份数</w:t>
      </w:r>
      <w:r>
        <w:rPr>
          <w:rFonts w:hint="eastAsia"/>
          <w:color w:val="auto"/>
          <w:spacing w:val="-3"/>
          <w:sz w:val="24"/>
          <w:szCs w:val="24"/>
          <w:highlight w:val="none"/>
          <w:u w:val="single"/>
          <w:lang w:eastAsia="zh-CN"/>
        </w:rPr>
        <w:t xml:space="preserve">：               </w:t>
      </w:r>
      <w:r>
        <w:rPr>
          <w:rFonts w:hint="eastAsia"/>
          <w:color w:val="auto"/>
          <w:spacing w:val="-3"/>
          <w:sz w:val="24"/>
          <w:szCs w:val="24"/>
          <w:highlight w:val="none"/>
          <w:lang w:eastAsia="zh-CN"/>
        </w:rPr>
        <w:t>。</w:t>
      </w:r>
    </w:p>
    <w:p w14:paraId="7A083E1C">
      <w:pPr>
        <w:pStyle w:val="19"/>
        <w:spacing w:line="360" w:lineRule="auto"/>
        <w:ind w:firstLine="480" w:firstLineChars="200"/>
        <w:jc w:val="both"/>
        <w:rPr>
          <w:color w:val="auto"/>
          <w:sz w:val="24"/>
          <w:szCs w:val="24"/>
          <w:highlight w:val="none"/>
          <w:lang w:eastAsia="zh-CN"/>
        </w:rPr>
      </w:pPr>
      <w:r>
        <w:rPr>
          <w:rFonts w:hint="eastAsia"/>
          <w:color w:val="auto"/>
          <w:sz w:val="24"/>
          <w:szCs w:val="24"/>
          <w:highlight w:val="none"/>
          <w:lang w:eastAsia="zh-CN"/>
        </w:rPr>
        <w:t>承包人提供竣工图的约定：</w:t>
      </w:r>
      <w:r>
        <w:rPr>
          <w:rFonts w:hint="eastAsia"/>
          <w:color w:val="auto"/>
          <w:sz w:val="24"/>
          <w:szCs w:val="24"/>
          <w:highlight w:val="none"/>
          <w:u w:val="single"/>
          <w:lang w:eastAsia="zh-CN"/>
        </w:rPr>
        <w:t xml:space="preserve">  竣工验收正式通过后5天（工程造价在500万元以下含500万</w:t>
      </w:r>
      <w:r>
        <w:rPr>
          <w:rFonts w:hint="eastAsia"/>
          <w:color w:val="auto"/>
          <w:spacing w:val="-9"/>
          <w:sz w:val="24"/>
          <w:szCs w:val="24"/>
          <w:highlight w:val="none"/>
          <w:u w:val="single"/>
          <w:lang w:eastAsia="zh-CN"/>
        </w:rPr>
        <w:t>元）、10天（工程造价在500万元至1000万元之间含1000万元）、15天（工程造价在1000</w:t>
      </w:r>
      <w:r>
        <w:rPr>
          <w:rFonts w:hint="eastAsia"/>
          <w:color w:val="auto"/>
          <w:spacing w:val="-10"/>
          <w:sz w:val="24"/>
          <w:szCs w:val="24"/>
          <w:highlight w:val="none"/>
          <w:u w:val="single"/>
          <w:lang w:eastAsia="zh-CN"/>
        </w:rPr>
        <w:t>万元以上</w:t>
      </w:r>
      <w:r>
        <w:rPr>
          <w:rFonts w:hint="eastAsia"/>
          <w:color w:val="auto"/>
          <w:spacing w:val="-29"/>
          <w:sz w:val="24"/>
          <w:szCs w:val="24"/>
          <w:highlight w:val="none"/>
          <w:u w:val="single"/>
          <w:lang w:eastAsia="zh-CN"/>
        </w:rPr>
        <w:t>），</w:t>
      </w:r>
      <w:r>
        <w:rPr>
          <w:rFonts w:hint="eastAsia"/>
          <w:color w:val="auto"/>
          <w:spacing w:val="-10"/>
          <w:sz w:val="24"/>
          <w:szCs w:val="24"/>
          <w:highlight w:val="none"/>
          <w:u w:val="single"/>
          <w:lang w:eastAsia="zh-CN"/>
        </w:rPr>
        <w:t>提供竣工图的数量分别为 2 套、</w:t>
      </w:r>
      <w:r>
        <w:rPr>
          <w:rFonts w:hint="eastAsia"/>
          <w:color w:val="auto"/>
          <w:spacing w:val="-11"/>
          <w:sz w:val="24"/>
          <w:szCs w:val="24"/>
          <w:highlight w:val="none"/>
          <w:u w:val="single"/>
          <w:lang w:eastAsia="zh-CN"/>
        </w:rPr>
        <w:t>4 套、6套。</w:t>
      </w:r>
    </w:p>
    <w:p w14:paraId="31A8350B">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13.2.2竣工验收程序</w:t>
      </w:r>
    </w:p>
    <w:p w14:paraId="22BE78E4">
      <w:pPr>
        <w:pStyle w:val="19"/>
        <w:spacing w:line="360" w:lineRule="auto"/>
        <w:ind w:firstLine="468" w:firstLineChars="200"/>
        <w:jc w:val="both"/>
        <w:rPr>
          <w:color w:val="auto"/>
          <w:sz w:val="24"/>
          <w:szCs w:val="24"/>
          <w:highlight w:val="none"/>
          <w:lang w:eastAsia="zh-CN"/>
        </w:rPr>
      </w:pPr>
      <w:r>
        <w:rPr>
          <w:rFonts w:hint="eastAsia"/>
          <w:color w:val="auto"/>
          <w:spacing w:val="-3"/>
          <w:sz w:val="24"/>
          <w:szCs w:val="24"/>
          <w:highlight w:val="none"/>
          <w:lang w:eastAsia="zh-CN"/>
        </w:rPr>
        <w:t>关于竣工验收程序的约定：</w:t>
      </w:r>
      <w:r>
        <w:rPr>
          <w:rFonts w:hint="eastAsia"/>
          <w:color w:val="auto"/>
          <w:spacing w:val="-3"/>
          <w:sz w:val="24"/>
          <w:szCs w:val="24"/>
          <w:highlight w:val="none"/>
          <w:u w:val="single"/>
          <w:lang w:eastAsia="zh-CN"/>
        </w:rPr>
        <w:t xml:space="preserve">  承包人提出竣工验收申请， 经监理人签字同意后，由发包人</w:t>
      </w:r>
      <w:r>
        <w:rPr>
          <w:rFonts w:hint="eastAsia"/>
          <w:color w:val="auto"/>
          <w:sz w:val="24"/>
          <w:szCs w:val="24"/>
          <w:highlight w:val="none"/>
          <w:u w:val="single"/>
          <w:lang w:eastAsia="zh-CN"/>
        </w:rPr>
        <w:t>组</w:t>
      </w:r>
      <w:r>
        <w:rPr>
          <w:rFonts w:hint="eastAsia"/>
          <w:color w:val="auto"/>
          <w:spacing w:val="-1"/>
          <w:sz w:val="24"/>
          <w:szCs w:val="24"/>
          <w:highlight w:val="none"/>
          <w:u w:val="single"/>
          <w:lang w:eastAsia="zh-CN"/>
        </w:rPr>
        <w:t>织相关部门进行竣工验收。</w:t>
      </w:r>
    </w:p>
    <w:p w14:paraId="5EAD87BA">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发包人不按照本项约定组织竣工验收、颁发工程接收证书的违约金的计算方法：</w:t>
      </w:r>
      <w:r>
        <w:rPr>
          <w:rFonts w:hint="eastAsia"/>
          <w:color w:val="auto"/>
          <w:spacing w:val="-3"/>
          <w:sz w:val="24"/>
          <w:szCs w:val="24"/>
          <w:highlight w:val="none"/>
          <w:u w:val="single"/>
          <w:lang w:eastAsia="zh-CN"/>
        </w:rPr>
        <w:t>以经发</w:t>
      </w:r>
      <w:r>
        <w:rPr>
          <w:rFonts w:hint="eastAsia"/>
          <w:color w:val="auto"/>
          <w:spacing w:val="-2"/>
          <w:sz w:val="24"/>
          <w:szCs w:val="24"/>
          <w:highlight w:val="none"/>
          <w:u w:val="single"/>
          <w:lang w:eastAsia="zh-CN"/>
        </w:rPr>
        <w:t>包人审核确认的工程进度款扣除发包人已支付进度款后的金额为基数，根据逾期天数按</w:t>
      </w:r>
      <w:r>
        <w:rPr>
          <w:rFonts w:hint="eastAsia"/>
          <w:color w:val="auto"/>
          <w:spacing w:val="-3"/>
          <w:sz w:val="24"/>
          <w:szCs w:val="24"/>
          <w:highlight w:val="none"/>
          <w:u w:val="single"/>
          <w:lang w:eastAsia="zh-CN"/>
        </w:rPr>
        <w:t>照中国</w:t>
      </w:r>
      <w:r>
        <w:rPr>
          <w:rFonts w:hint="eastAsia"/>
          <w:color w:val="auto"/>
          <w:sz w:val="24"/>
          <w:szCs w:val="24"/>
          <w:highlight w:val="none"/>
          <w:u w:val="single"/>
          <w:lang w:eastAsia="zh-CN"/>
        </w:rPr>
        <w:t>人民银行发布的同期同类存款基准利率计算</w:t>
      </w:r>
      <w:r>
        <w:rPr>
          <w:rFonts w:hint="eastAsia"/>
          <w:color w:val="auto"/>
          <w:spacing w:val="-1"/>
          <w:sz w:val="24"/>
          <w:szCs w:val="24"/>
          <w:highlight w:val="none"/>
          <w:u w:val="single"/>
          <w:lang w:eastAsia="zh-CN"/>
        </w:rPr>
        <w:t>支付违约金。</w:t>
      </w:r>
    </w:p>
    <w:p w14:paraId="1F74846D">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13.2.5移交、接收全部与部分工程</w:t>
      </w:r>
    </w:p>
    <w:p w14:paraId="62FF3837">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承包人向发包人移交工程的期限：</w:t>
      </w:r>
      <w:r>
        <w:rPr>
          <w:rFonts w:hint="eastAsia"/>
          <w:color w:val="auto"/>
          <w:spacing w:val="-1"/>
          <w:sz w:val="24"/>
          <w:szCs w:val="24"/>
          <w:highlight w:val="none"/>
          <w:u w:val="single"/>
          <w:lang w:eastAsia="zh-CN"/>
        </w:rPr>
        <w:t xml:space="preserve"> 竣工验收合</w:t>
      </w:r>
      <w:r>
        <w:rPr>
          <w:rFonts w:hint="eastAsia"/>
          <w:color w:val="auto"/>
          <w:spacing w:val="-2"/>
          <w:sz w:val="24"/>
          <w:szCs w:val="24"/>
          <w:highlight w:val="none"/>
          <w:u w:val="single"/>
          <w:lang w:eastAsia="zh-CN"/>
        </w:rPr>
        <w:t xml:space="preserve">格后 10   日内 </w:t>
      </w:r>
      <w:r>
        <w:rPr>
          <w:rFonts w:hint="eastAsia"/>
          <w:color w:val="auto"/>
          <w:spacing w:val="-2"/>
          <w:sz w:val="24"/>
          <w:szCs w:val="24"/>
          <w:highlight w:val="none"/>
          <w:lang w:eastAsia="zh-CN"/>
        </w:rPr>
        <w:t>。</w:t>
      </w:r>
    </w:p>
    <w:p w14:paraId="1EFA895D">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发包人未按本合同约定接收全部或部分工程的，违约金的计算方法为：</w:t>
      </w:r>
      <w:r>
        <w:rPr>
          <w:rFonts w:hint="eastAsia"/>
          <w:color w:val="auto"/>
          <w:spacing w:val="-2"/>
          <w:sz w:val="24"/>
          <w:szCs w:val="24"/>
          <w:highlight w:val="none"/>
          <w:u w:val="single"/>
          <w:lang w:eastAsia="zh-CN"/>
        </w:rPr>
        <w:t>以该部分</w:t>
      </w:r>
      <w:r>
        <w:rPr>
          <w:rFonts w:hint="eastAsia"/>
          <w:color w:val="auto"/>
          <w:spacing w:val="-3"/>
          <w:sz w:val="24"/>
          <w:szCs w:val="24"/>
          <w:highlight w:val="none"/>
          <w:u w:val="single"/>
          <w:lang w:eastAsia="zh-CN"/>
        </w:rPr>
        <w:t>未接收工</w:t>
      </w:r>
      <w:r>
        <w:rPr>
          <w:rFonts w:hint="eastAsia"/>
          <w:color w:val="auto"/>
          <w:spacing w:val="-2"/>
          <w:sz w:val="24"/>
          <w:szCs w:val="24"/>
          <w:highlight w:val="none"/>
          <w:u w:val="single"/>
          <w:lang w:eastAsia="zh-CN"/>
        </w:rPr>
        <w:t>程造价为基数，根据逾期天数按照中国人民银行发布的同期同类存款基准利率计</w:t>
      </w:r>
      <w:r>
        <w:rPr>
          <w:rFonts w:hint="eastAsia"/>
          <w:color w:val="auto"/>
          <w:spacing w:val="-3"/>
          <w:sz w:val="24"/>
          <w:szCs w:val="24"/>
          <w:highlight w:val="none"/>
          <w:u w:val="single"/>
          <w:lang w:eastAsia="zh-CN"/>
        </w:rPr>
        <w:t>算支付违约</w:t>
      </w:r>
      <w:r>
        <w:rPr>
          <w:rFonts w:hint="eastAsia"/>
          <w:color w:val="auto"/>
          <w:spacing w:val="-5"/>
          <w:sz w:val="24"/>
          <w:szCs w:val="24"/>
          <w:highlight w:val="none"/>
          <w:u w:val="single"/>
          <w:lang w:eastAsia="zh-CN"/>
        </w:rPr>
        <w:t>金。</w:t>
      </w:r>
    </w:p>
    <w:p w14:paraId="51091149">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承包人未按时移交工程的，违约金的计算方法为：</w:t>
      </w:r>
      <w:r>
        <w:rPr>
          <w:rFonts w:hint="eastAsia"/>
          <w:color w:val="auto"/>
          <w:spacing w:val="-1"/>
          <w:sz w:val="24"/>
          <w:szCs w:val="24"/>
          <w:highlight w:val="none"/>
          <w:u w:val="single"/>
          <w:lang w:eastAsia="zh-CN"/>
        </w:rPr>
        <w:t xml:space="preserve"> 执行本合同专用条款的 7.5.2  条款。</w:t>
      </w:r>
    </w:p>
    <w:p w14:paraId="2A9CD81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13.3  工程试车</w:t>
      </w:r>
    </w:p>
    <w:p w14:paraId="3A6B7220">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13.3.1试车程序</w:t>
      </w:r>
    </w:p>
    <w:p w14:paraId="3DA94B52">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工程试车内容：</w:t>
      </w:r>
      <w:r>
        <w:rPr>
          <w:rFonts w:hint="eastAsia"/>
          <w:color w:val="auto"/>
          <w:spacing w:val="-4"/>
          <w:sz w:val="24"/>
          <w:szCs w:val="24"/>
          <w:highlight w:val="none"/>
          <w:u w:val="single"/>
          <w:lang w:eastAsia="zh-CN"/>
        </w:rPr>
        <w:t xml:space="preserve"> 招标范围内的全部图纸施工工程内容。</w:t>
      </w:r>
    </w:p>
    <w:p w14:paraId="6F5E6D48">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（1）单机无负荷试车费用由</w:t>
      </w:r>
      <w:r>
        <w:rPr>
          <w:rFonts w:hint="eastAsia"/>
          <w:color w:val="auto"/>
          <w:spacing w:val="-1"/>
          <w:sz w:val="24"/>
          <w:szCs w:val="24"/>
          <w:highlight w:val="none"/>
          <w:u w:val="single"/>
          <w:lang w:eastAsia="zh-CN"/>
        </w:rPr>
        <w:t xml:space="preserve">     承包人     </w:t>
      </w:r>
      <w:r>
        <w:rPr>
          <w:rFonts w:hint="eastAsia"/>
          <w:color w:val="auto"/>
          <w:spacing w:val="-1"/>
          <w:sz w:val="24"/>
          <w:szCs w:val="24"/>
          <w:highlight w:val="none"/>
          <w:lang w:eastAsia="zh-CN"/>
        </w:rPr>
        <w:t>承担；</w:t>
      </w:r>
    </w:p>
    <w:p w14:paraId="5A90FA89">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（2）无负荷联动试车费用由</w:t>
      </w:r>
      <w:r>
        <w:rPr>
          <w:rFonts w:hint="eastAsia"/>
          <w:color w:val="auto"/>
          <w:spacing w:val="-1"/>
          <w:sz w:val="24"/>
          <w:szCs w:val="24"/>
          <w:highlight w:val="none"/>
          <w:u w:val="single"/>
          <w:lang w:eastAsia="zh-CN"/>
        </w:rPr>
        <w:t xml:space="preserve">     承包人     </w:t>
      </w:r>
      <w:r>
        <w:rPr>
          <w:rFonts w:hint="eastAsia"/>
          <w:color w:val="auto"/>
          <w:spacing w:val="-1"/>
          <w:sz w:val="24"/>
          <w:szCs w:val="24"/>
          <w:highlight w:val="none"/>
          <w:lang w:eastAsia="zh-CN"/>
        </w:rPr>
        <w:t>承担。</w:t>
      </w:r>
    </w:p>
    <w:p w14:paraId="5BE171FF">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13.3.3投料试车</w:t>
      </w:r>
    </w:p>
    <w:p w14:paraId="1F99F44C">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 xml:space="preserve">关于投料试车相关事项的约定： </w:t>
      </w:r>
      <w:r>
        <w:rPr>
          <w:rFonts w:hint="eastAsia"/>
          <w:color w:val="auto"/>
          <w:spacing w:val="-3"/>
          <w:sz w:val="24"/>
          <w:szCs w:val="24"/>
          <w:highlight w:val="none"/>
          <w:u w:val="single"/>
          <w:lang w:eastAsia="zh-CN"/>
        </w:rPr>
        <w:t>投料试车内容由双方商定，试车费用由承包人承担</w:t>
      </w:r>
      <w:r>
        <w:rPr>
          <w:rFonts w:hint="eastAsia"/>
          <w:color w:val="auto"/>
          <w:spacing w:val="-3"/>
          <w:sz w:val="24"/>
          <w:szCs w:val="24"/>
          <w:highlight w:val="none"/>
          <w:lang w:eastAsia="zh-CN"/>
        </w:rPr>
        <w:t>。</w:t>
      </w:r>
    </w:p>
    <w:p w14:paraId="0F2B533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13.6  竣工退场</w:t>
      </w:r>
    </w:p>
    <w:p w14:paraId="0CAB785B">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13.6.1竣工退场</w:t>
      </w:r>
    </w:p>
    <w:p w14:paraId="5B5A2811">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承包人完成竣工退场的期限：</w:t>
      </w:r>
      <w:r>
        <w:rPr>
          <w:rFonts w:hint="eastAsia"/>
          <w:color w:val="auto"/>
          <w:spacing w:val="-2"/>
          <w:sz w:val="24"/>
          <w:szCs w:val="24"/>
          <w:highlight w:val="none"/>
          <w:u w:val="single"/>
          <w:lang w:eastAsia="zh-CN"/>
        </w:rPr>
        <w:t xml:space="preserve"> 工程竣工验收合格交付使用后</w:t>
      </w:r>
      <w:r>
        <w:rPr>
          <w:rFonts w:hint="eastAsia"/>
          <w:color w:val="auto"/>
          <w:spacing w:val="-3"/>
          <w:sz w:val="24"/>
          <w:szCs w:val="24"/>
          <w:highlight w:val="none"/>
          <w:u w:val="single"/>
          <w:lang w:eastAsia="zh-CN"/>
        </w:rPr>
        <w:t xml:space="preserve"> 30 天内清场 </w:t>
      </w:r>
      <w:r>
        <w:rPr>
          <w:rFonts w:hint="eastAsia"/>
          <w:color w:val="auto"/>
          <w:spacing w:val="-3"/>
          <w:sz w:val="24"/>
          <w:szCs w:val="24"/>
          <w:highlight w:val="none"/>
          <w:lang w:eastAsia="zh-CN"/>
        </w:rPr>
        <w:t>。</w:t>
      </w:r>
    </w:p>
    <w:p w14:paraId="1CCBC8A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14. 竣工结算</w:t>
      </w:r>
    </w:p>
    <w:p w14:paraId="12690677">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14.1  竣工付款申请</w:t>
      </w:r>
    </w:p>
    <w:p w14:paraId="77EDA236">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承包人提交竣工付款申请单的期限：</w:t>
      </w:r>
      <w:r>
        <w:rPr>
          <w:rFonts w:hint="eastAsia"/>
          <w:color w:val="auto"/>
          <w:spacing w:val="-1"/>
          <w:sz w:val="24"/>
          <w:szCs w:val="24"/>
          <w:highlight w:val="none"/>
          <w:u w:val="single"/>
          <w:lang w:eastAsia="zh-CN"/>
        </w:rPr>
        <w:t xml:space="preserve"> 在本工程竣工验收合格，提交完</w:t>
      </w:r>
      <w:r>
        <w:rPr>
          <w:rFonts w:hint="eastAsia"/>
          <w:color w:val="auto"/>
          <w:spacing w:val="-2"/>
          <w:sz w:val="24"/>
          <w:szCs w:val="24"/>
          <w:highlight w:val="none"/>
          <w:u w:val="single"/>
          <w:lang w:eastAsia="zh-CN"/>
        </w:rPr>
        <w:t>整的竣工归档资料并</w:t>
      </w:r>
      <w:r>
        <w:rPr>
          <w:rFonts w:hint="eastAsia"/>
          <w:color w:val="auto"/>
          <w:spacing w:val="-1"/>
          <w:sz w:val="24"/>
          <w:szCs w:val="24"/>
          <w:highlight w:val="none"/>
          <w:u w:val="single"/>
          <w:lang w:eastAsia="zh-CN"/>
        </w:rPr>
        <w:t>经业主结算完成后 30 天内提交竣工付款申请单。</w:t>
      </w:r>
    </w:p>
    <w:p w14:paraId="704A10F9">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 xml:space="preserve">竣工付款申请单应包括的内容： </w:t>
      </w:r>
      <w:r>
        <w:rPr>
          <w:rFonts w:hint="eastAsia"/>
          <w:color w:val="auto"/>
          <w:spacing w:val="-3"/>
          <w:sz w:val="24"/>
          <w:szCs w:val="24"/>
          <w:highlight w:val="none"/>
          <w:u w:val="single"/>
          <w:lang w:eastAsia="zh-CN"/>
        </w:rPr>
        <w:t xml:space="preserve"> 竣工结算合同总价、已支付的工程价款、应扣留的质量</w:t>
      </w:r>
      <w:r>
        <w:rPr>
          <w:rFonts w:hint="eastAsia"/>
          <w:color w:val="auto"/>
          <w:spacing w:val="-1"/>
          <w:sz w:val="24"/>
          <w:szCs w:val="24"/>
          <w:highlight w:val="none"/>
          <w:u w:val="single"/>
          <w:lang w:eastAsia="zh-CN"/>
        </w:rPr>
        <w:t>保修保函、应支付的竣工付款金额等。</w:t>
      </w:r>
      <w:r>
        <w:rPr>
          <w:rFonts w:hint="eastAsia"/>
          <w:color w:val="auto"/>
          <w:spacing w:val="-1"/>
          <w:sz w:val="24"/>
          <w:szCs w:val="24"/>
          <w:highlight w:val="none"/>
          <w:lang w:eastAsia="zh-CN"/>
        </w:rPr>
        <w:t>竣工结算款支付申请（核准）表见合同附件12。</w:t>
      </w:r>
    </w:p>
    <w:p w14:paraId="36A62125">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14.2  竣工结算审核</w:t>
      </w:r>
    </w:p>
    <w:p w14:paraId="3CBA1BB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发包人审批竣工付款申请单的期限：</w:t>
      </w:r>
    </w:p>
    <w:tbl>
      <w:tblPr>
        <w:tblStyle w:val="88"/>
        <w:tblW w:w="92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64"/>
        <w:gridCol w:w="5971"/>
      </w:tblGrid>
      <w:tr w14:paraId="4EBA4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70" w:type="dxa"/>
            <w:vAlign w:val="center"/>
          </w:tcPr>
          <w:p w14:paraId="6051C88F">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2464" w:type="dxa"/>
            <w:vAlign w:val="center"/>
          </w:tcPr>
          <w:p w14:paraId="48E4ED26">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工程竣工结算报告金额</w:t>
            </w:r>
          </w:p>
        </w:tc>
        <w:tc>
          <w:tcPr>
            <w:tcW w:w="5971" w:type="dxa"/>
            <w:vAlign w:val="center"/>
          </w:tcPr>
          <w:p w14:paraId="254FFB10">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发包人审查时间</w:t>
            </w:r>
          </w:p>
        </w:tc>
      </w:tr>
      <w:tr w14:paraId="56DED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770" w:type="dxa"/>
            <w:vAlign w:val="center"/>
          </w:tcPr>
          <w:p w14:paraId="0A0E2613">
            <w:pPr>
              <w:spacing w:line="360" w:lineRule="auto"/>
              <w:ind w:firstLine="480" w:firstLineChars="2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464" w:type="dxa"/>
            <w:vAlign w:val="center"/>
          </w:tcPr>
          <w:p w14:paraId="618EA4A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500万元以下</w:t>
            </w:r>
          </w:p>
        </w:tc>
        <w:tc>
          <w:tcPr>
            <w:tcW w:w="5971" w:type="dxa"/>
            <w:vAlign w:val="center"/>
          </w:tcPr>
          <w:p w14:paraId="478BB692">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从接到竣工结算报告和完整的竣工结算资料之日起20天</w:t>
            </w:r>
          </w:p>
        </w:tc>
      </w:tr>
      <w:tr w14:paraId="1D6FAC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770" w:type="dxa"/>
            <w:vAlign w:val="center"/>
          </w:tcPr>
          <w:p w14:paraId="6E43F93B">
            <w:pPr>
              <w:spacing w:line="360" w:lineRule="auto"/>
              <w:ind w:firstLine="480" w:firstLineChars="2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464" w:type="dxa"/>
            <w:vAlign w:val="center"/>
          </w:tcPr>
          <w:p w14:paraId="6A0C7B2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500万元-2000万元</w:t>
            </w:r>
          </w:p>
        </w:tc>
        <w:tc>
          <w:tcPr>
            <w:tcW w:w="5971" w:type="dxa"/>
            <w:vAlign w:val="center"/>
          </w:tcPr>
          <w:p w14:paraId="7750637F">
            <w:pPr>
              <w:spacing w:line="360" w:lineRule="auto"/>
              <w:jc w:val="center"/>
              <w:rPr>
                <w:rFonts w:ascii="宋体" w:hAnsi="宋体" w:eastAsia="宋体" w:cs="宋体"/>
                <w:color w:val="auto"/>
                <w:sz w:val="24"/>
                <w:szCs w:val="24"/>
                <w:highlight w:val="none"/>
                <w:lang w:eastAsia="zh-CN"/>
              </w:rPr>
            </w:pPr>
            <w:r>
              <w:rPr>
                <w:rFonts w:hint="eastAsia" w:ascii="宋体" w:hAnsi="宋体" w:eastAsia="宋体" w:cs="宋体"/>
                <w:color w:val="auto"/>
                <w:spacing w:val="-1"/>
                <w:sz w:val="24"/>
                <w:szCs w:val="24"/>
                <w:highlight w:val="none"/>
                <w:lang w:eastAsia="zh-CN"/>
              </w:rPr>
              <w:t>从接到竣工结算报告和完整的竣工结算资料之日起30天</w:t>
            </w:r>
          </w:p>
        </w:tc>
      </w:tr>
      <w:tr w14:paraId="4A93F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770" w:type="dxa"/>
            <w:vAlign w:val="center"/>
          </w:tcPr>
          <w:p w14:paraId="6B099EEC">
            <w:pPr>
              <w:pStyle w:val="98"/>
              <w:spacing w:line="360" w:lineRule="auto"/>
              <w:ind w:firstLine="480" w:firstLineChars="2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464" w:type="dxa"/>
            <w:vAlign w:val="center"/>
          </w:tcPr>
          <w:p w14:paraId="4CC7CDCE">
            <w:pPr>
              <w:pStyle w:val="98"/>
              <w:spacing w:line="360" w:lineRule="auto"/>
              <w:jc w:val="center"/>
              <w:rPr>
                <w:rFonts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2000万元-5000万元</w:t>
            </w:r>
          </w:p>
        </w:tc>
        <w:tc>
          <w:tcPr>
            <w:tcW w:w="5971" w:type="dxa"/>
            <w:vAlign w:val="center"/>
          </w:tcPr>
          <w:p w14:paraId="4F79F0DA">
            <w:pPr>
              <w:pStyle w:val="98"/>
              <w:spacing w:line="360" w:lineRule="auto"/>
              <w:jc w:val="center"/>
              <w:rPr>
                <w:rFonts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从接到竣工结算报告和完整的竣工结算资料之日起45天</w:t>
            </w:r>
          </w:p>
        </w:tc>
      </w:tr>
      <w:tr w14:paraId="57EA6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770" w:type="dxa"/>
            <w:vAlign w:val="center"/>
          </w:tcPr>
          <w:p w14:paraId="43FA27D9">
            <w:pPr>
              <w:pStyle w:val="98"/>
              <w:spacing w:line="360" w:lineRule="auto"/>
              <w:ind w:firstLine="480" w:firstLineChars="2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464" w:type="dxa"/>
            <w:vAlign w:val="center"/>
          </w:tcPr>
          <w:p w14:paraId="411042DC">
            <w:pPr>
              <w:pStyle w:val="98"/>
              <w:spacing w:line="360" w:lineRule="auto"/>
              <w:jc w:val="center"/>
              <w:rPr>
                <w:rFonts w:ascii="宋体" w:hAnsi="宋体" w:eastAsia="宋体" w:cs="宋体"/>
                <w:color w:val="auto"/>
                <w:spacing w:val="-3"/>
                <w:sz w:val="24"/>
                <w:szCs w:val="24"/>
                <w:highlight w:val="none"/>
              </w:rPr>
            </w:pPr>
            <w:r>
              <w:rPr>
                <w:rFonts w:hint="eastAsia" w:ascii="宋体" w:hAnsi="宋体" w:eastAsia="宋体" w:cs="宋体"/>
                <w:color w:val="auto"/>
                <w:spacing w:val="-3"/>
                <w:sz w:val="24"/>
                <w:szCs w:val="24"/>
                <w:highlight w:val="none"/>
              </w:rPr>
              <w:t>5000万元以上</w:t>
            </w:r>
          </w:p>
        </w:tc>
        <w:tc>
          <w:tcPr>
            <w:tcW w:w="5971" w:type="dxa"/>
            <w:vAlign w:val="center"/>
          </w:tcPr>
          <w:p w14:paraId="6142F914">
            <w:pPr>
              <w:pStyle w:val="98"/>
              <w:spacing w:line="360" w:lineRule="auto"/>
              <w:jc w:val="center"/>
              <w:rPr>
                <w:rFonts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从接到竣工结算报告和完整的竣工结算资料之日起60天</w:t>
            </w:r>
          </w:p>
        </w:tc>
      </w:tr>
      <w:tr w14:paraId="18DCE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770" w:type="dxa"/>
            <w:vAlign w:val="center"/>
          </w:tcPr>
          <w:p w14:paraId="25958B3C">
            <w:pPr>
              <w:pStyle w:val="98"/>
              <w:spacing w:line="360" w:lineRule="auto"/>
              <w:ind w:firstLine="480" w:firstLineChars="200"/>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2464" w:type="dxa"/>
            <w:vAlign w:val="center"/>
          </w:tcPr>
          <w:p w14:paraId="5DF71C63">
            <w:pPr>
              <w:pStyle w:val="98"/>
              <w:spacing w:line="360" w:lineRule="auto"/>
              <w:jc w:val="center"/>
              <w:rPr>
                <w:rFonts w:ascii="宋体" w:hAnsi="宋体" w:eastAsia="宋体" w:cs="宋体"/>
                <w:color w:val="auto"/>
                <w:spacing w:val="-3"/>
                <w:sz w:val="24"/>
                <w:szCs w:val="24"/>
                <w:highlight w:val="none"/>
                <w:lang w:eastAsia="zh-CN"/>
              </w:rPr>
            </w:pPr>
            <w:r>
              <w:rPr>
                <w:rFonts w:hint="eastAsia" w:ascii="宋体" w:hAnsi="宋体" w:eastAsia="宋体" w:cs="宋体"/>
                <w:color w:val="auto"/>
                <w:spacing w:val="-3"/>
                <w:sz w:val="24"/>
                <w:szCs w:val="24"/>
                <w:highlight w:val="none"/>
                <w:lang w:eastAsia="zh-CN"/>
              </w:rPr>
              <w:t>5000万以上每增加0.5亿</w:t>
            </w:r>
          </w:p>
          <w:p w14:paraId="7A2D49B4">
            <w:pPr>
              <w:pStyle w:val="98"/>
              <w:spacing w:line="360" w:lineRule="auto"/>
              <w:jc w:val="center"/>
              <w:rPr>
                <w:rFonts w:ascii="宋体" w:hAnsi="宋体" w:eastAsia="宋体" w:cs="宋体"/>
                <w:color w:val="auto"/>
                <w:spacing w:val="-3"/>
                <w:sz w:val="24"/>
                <w:szCs w:val="24"/>
                <w:highlight w:val="none"/>
                <w:lang w:eastAsia="zh-CN"/>
              </w:rPr>
            </w:pPr>
            <w:r>
              <w:rPr>
                <w:rFonts w:hint="eastAsia" w:ascii="宋体" w:hAnsi="宋体" w:eastAsia="宋体" w:cs="宋体"/>
                <w:color w:val="auto"/>
                <w:spacing w:val="-3"/>
                <w:sz w:val="24"/>
                <w:szCs w:val="24"/>
                <w:highlight w:val="none"/>
                <w:lang w:eastAsia="zh-CN"/>
              </w:rPr>
              <w:t>(不足0.5亿不增加)</w:t>
            </w:r>
          </w:p>
        </w:tc>
        <w:tc>
          <w:tcPr>
            <w:tcW w:w="5971" w:type="dxa"/>
            <w:vAlign w:val="center"/>
          </w:tcPr>
          <w:p w14:paraId="4DCDDF17">
            <w:pPr>
              <w:pStyle w:val="98"/>
              <w:spacing w:line="360" w:lineRule="auto"/>
              <w:jc w:val="center"/>
              <w:rPr>
                <w:rFonts w:ascii="宋体" w:hAnsi="宋体" w:eastAsia="宋体" w:cs="宋体"/>
                <w:color w:val="auto"/>
                <w:spacing w:val="-1"/>
                <w:sz w:val="24"/>
                <w:szCs w:val="24"/>
                <w:highlight w:val="none"/>
              </w:rPr>
            </w:pPr>
            <w:r>
              <w:rPr>
                <w:rFonts w:hint="eastAsia" w:ascii="宋体" w:hAnsi="宋体" w:eastAsia="宋体" w:cs="宋体"/>
                <w:color w:val="auto"/>
                <w:spacing w:val="-5"/>
                <w:sz w:val="24"/>
                <w:szCs w:val="24"/>
                <w:highlight w:val="none"/>
              </w:rPr>
              <w:t>增加10天</w:t>
            </w:r>
          </w:p>
        </w:tc>
      </w:tr>
    </w:tbl>
    <w:p w14:paraId="63A1ACA2">
      <w:pPr>
        <w:spacing w:line="360" w:lineRule="auto"/>
        <w:ind w:firstLine="480" w:firstLineChars="200"/>
        <w:rPr>
          <w:rFonts w:ascii="宋体" w:hAnsi="宋体" w:eastAsia="宋体" w:cs="宋体"/>
          <w:color w:val="auto"/>
          <w:sz w:val="24"/>
          <w:szCs w:val="24"/>
          <w:highlight w:val="none"/>
        </w:rPr>
      </w:pPr>
    </w:p>
    <w:p w14:paraId="53F1DC00">
      <w:pPr>
        <w:pStyle w:val="19"/>
        <w:spacing w:line="360" w:lineRule="auto"/>
        <w:ind w:firstLine="476" w:firstLineChars="200"/>
        <w:rPr>
          <w:color w:val="auto"/>
          <w:spacing w:val="-1"/>
          <w:position w:val="15"/>
          <w:sz w:val="24"/>
          <w:szCs w:val="24"/>
          <w:highlight w:val="none"/>
          <w:lang w:eastAsia="zh-CN"/>
        </w:rPr>
      </w:pPr>
      <w:r>
        <w:rPr>
          <w:rFonts w:hint="eastAsia"/>
          <w:color w:val="auto"/>
          <w:spacing w:val="-1"/>
          <w:position w:val="15"/>
          <w:sz w:val="24"/>
          <w:szCs w:val="24"/>
          <w:highlight w:val="none"/>
          <w:lang w:eastAsia="zh-CN"/>
        </w:rPr>
        <w:t>因承包人提供的结算资料不完整而需要补充或承包人不按时对账耽误时间时，审查时间应相应顺延。</w:t>
      </w:r>
    </w:p>
    <w:p w14:paraId="6884CE3E">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竣工结算审核约定：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791259E7">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2CE61F98">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1、工程竣工验收报告经发包人认可后30天内，承包人向发包人递交竣工验收合格资料及完整的结算资料和报告，双方按照本工程合同约定的价格形式及价款调整办法进行工程竣工结算。</w:t>
      </w:r>
    </w:p>
    <w:p w14:paraId="4764CF7A">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2、发包人收到承包人递交的竣工结算报告及结算资料之日起30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30天内提出异议，必要时合同当事人要当面核对，直至完成工程竣工结算。除非有特殊情形，否则从承包人递交竣工结算报告到完成竣工结算的时间应控制在“发包人审核竣工付款申请单的期限”要求的时间范围内。</w:t>
      </w:r>
    </w:p>
    <w:p w14:paraId="213752D7">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3.自竣工结算完毕之日起30天内，发包人按审定后的竣工结算价款，通知经办银行向承包人支付结算价款。</w:t>
      </w:r>
    </w:p>
    <w:p w14:paraId="2E8E725D">
      <w:pPr>
        <w:pStyle w:val="19"/>
        <w:spacing w:line="360" w:lineRule="auto"/>
        <w:ind w:firstLine="472" w:firstLineChars="200"/>
        <w:rPr>
          <w:color w:val="auto"/>
          <w:spacing w:val="-2"/>
          <w:sz w:val="24"/>
          <w:szCs w:val="24"/>
          <w:highlight w:val="none"/>
          <w:lang w:eastAsia="zh-CN"/>
        </w:rPr>
      </w:pPr>
      <w:r>
        <w:rPr>
          <w:rFonts w:hint="eastAsia"/>
          <w:color w:val="auto"/>
          <w:spacing w:val="-2"/>
          <w:sz w:val="24"/>
          <w:szCs w:val="24"/>
          <w:highlight w:val="none"/>
          <w:lang w:eastAsia="zh-CN"/>
        </w:rPr>
        <w:t>备注：对于国有投资项目结算审核约定， 双方可结合各地政府或有关部门出台的管理规定进行局部调整。</w:t>
      </w:r>
    </w:p>
    <w:p w14:paraId="7A518E6C">
      <w:pPr>
        <w:pStyle w:val="19"/>
        <w:spacing w:line="360" w:lineRule="auto"/>
        <w:ind w:firstLine="486" w:firstLineChars="200"/>
        <w:rPr>
          <w:b/>
          <w:bCs/>
          <w:color w:val="auto"/>
          <w:spacing w:val="1"/>
          <w:sz w:val="24"/>
          <w:szCs w:val="24"/>
          <w:highlight w:val="none"/>
          <w:lang w:eastAsia="zh-CN"/>
        </w:rPr>
      </w:pPr>
      <w:r>
        <w:rPr>
          <w:rFonts w:hint="eastAsia"/>
          <w:b/>
          <w:bCs/>
          <w:color w:val="auto"/>
          <w:spacing w:val="1"/>
          <w:sz w:val="24"/>
          <w:szCs w:val="24"/>
          <w:highlight w:val="none"/>
          <w:lang w:eastAsia="zh-CN"/>
        </w:rPr>
        <w:t>14.4  最终结清</w:t>
      </w:r>
    </w:p>
    <w:p w14:paraId="2C1E2A29">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14.4.1最终结清申请单</w:t>
      </w:r>
    </w:p>
    <w:p w14:paraId="126075B0">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承包人提交最终结清申请单的份数：</w:t>
      </w:r>
      <w:r>
        <w:rPr>
          <w:rFonts w:hint="eastAsia"/>
          <w:color w:val="auto"/>
          <w:spacing w:val="-2"/>
          <w:sz w:val="24"/>
          <w:szCs w:val="24"/>
          <w:highlight w:val="none"/>
          <w:u w:val="single"/>
          <w:lang w:eastAsia="zh-CN"/>
        </w:rPr>
        <w:t xml:space="preserve">          一式四份         </w:t>
      </w:r>
      <w:r>
        <w:rPr>
          <w:rFonts w:hint="eastAsia"/>
          <w:color w:val="auto"/>
          <w:spacing w:val="-3"/>
          <w:sz w:val="24"/>
          <w:szCs w:val="24"/>
          <w:highlight w:val="none"/>
          <w:lang w:eastAsia="zh-CN"/>
        </w:rPr>
        <w:t>。</w:t>
      </w:r>
    </w:p>
    <w:p w14:paraId="325DCB8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承包人提交最终结算申请单的期限：</w:t>
      </w:r>
      <w:r>
        <w:rPr>
          <w:rFonts w:hint="eastAsia"/>
          <w:color w:val="auto"/>
          <w:spacing w:val="-3"/>
          <w:sz w:val="24"/>
          <w:szCs w:val="24"/>
          <w:highlight w:val="none"/>
          <w:lang w:eastAsia="zh-CN"/>
        </w:rPr>
        <w:t>。</w:t>
      </w:r>
    </w:p>
    <w:p w14:paraId="5662F9A8">
      <w:pPr>
        <w:pStyle w:val="19"/>
        <w:spacing w:line="360" w:lineRule="auto"/>
        <w:ind w:firstLine="474" w:firstLineChars="200"/>
        <w:rPr>
          <w:b/>
          <w:bCs/>
          <w:color w:val="auto"/>
          <w:spacing w:val="-2"/>
          <w:sz w:val="24"/>
          <w:szCs w:val="24"/>
          <w:highlight w:val="none"/>
          <w:lang w:eastAsia="zh-CN"/>
        </w:rPr>
      </w:pPr>
      <w:r>
        <w:rPr>
          <w:rFonts w:hint="eastAsia"/>
          <w:b/>
          <w:bCs/>
          <w:color w:val="auto"/>
          <w:spacing w:val="-2"/>
          <w:sz w:val="24"/>
          <w:szCs w:val="24"/>
          <w:highlight w:val="none"/>
          <w:lang w:eastAsia="zh-CN"/>
        </w:rPr>
        <w:t>最终结算款支付申请（核准）表见合同附件 13。</w:t>
      </w:r>
    </w:p>
    <w:p w14:paraId="2210DC28">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14.4.2  最终结清证书和支付</w:t>
      </w:r>
    </w:p>
    <w:p w14:paraId="6D40B70B">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（1）发包人完成最终结清申请单的审批并颁发最终结清证书的期限：</w:t>
      </w:r>
      <w:r>
        <w:rPr>
          <w:rFonts w:hint="eastAsia"/>
          <w:color w:val="auto"/>
          <w:spacing w:val="-1"/>
          <w:sz w:val="24"/>
          <w:szCs w:val="24"/>
          <w:highlight w:val="none"/>
          <w:lang w:eastAsia="zh-CN"/>
        </w:rPr>
        <w:t>。</w:t>
      </w:r>
    </w:p>
    <w:p w14:paraId="3D85D2CB">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lang w:eastAsia="zh-CN"/>
        </w:rPr>
        <w:t>（2）发包人完成支付的期限：。</w:t>
      </w:r>
    </w:p>
    <w:p w14:paraId="0EC6426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15. 缺陷责任期与保修</w:t>
      </w:r>
    </w:p>
    <w:p w14:paraId="12892FC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15.2  缺陷责任期</w:t>
      </w:r>
    </w:p>
    <w:p w14:paraId="5025FF98">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缺陷责任期的具体期限：</w:t>
      </w:r>
      <w:r>
        <w:rPr>
          <w:rFonts w:hint="eastAsia"/>
          <w:color w:val="auto"/>
          <w:spacing w:val="-2"/>
          <w:sz w:val="24"/>
          <w:szCs w:val="24"/>
          <w:highlight w:val="none"/>
          <w:u w:val="single"/>
          <w:lang w:eastAsia="zh-CN"/>
        </w:rPr>
        <w:t>缺陷责任期自工程实际竣工</w:t>
      </w:r>
      <w:r>
        <w:rPr>
          <w:rFonts w:hint="eastAsia"/>
          <w:color w:val="auto"/>
          <w:spacing w:val="-3"/>
          <w:sz w:val="24"/>
          <w:szCs w:val="24"/>
          <w:highlight w:val="none"/>
          <w:u w:val="single"/>
          <w:lang w:eastAsia="zh-CN"/>
        </w:rPr>
        <w:t xml:space="preserve">验收合格之日起计算 </w:t>
      </w:r>
      <w:r>
        <w:rPr>
          <w:rFonts w:hint="eastAsia"/>
          <w:color w:val="auto"/>
          <w:spacing w:val="-3"/>
          <w:sz w:val="24"/>
          <w:szCs w:val="24"/>
          <w:highlight w:val="none"/>
          <w:u w:val="single"/>
          <w:lang w:val="en-US" w:eastAsia="zh-CN"/>
        </w:rPr>
        <w:t>1</w:t>
      </w:r>
      <w:r>
        <w:rPr>
          <w:rFonts w:hint="eastAsia"/>
          <w:color w:val="auto"/>
          <w:spacing w:val="-3"/>
          <w:sz w:val="24"/>
          <w:szCs w:val="24"/>
          <w:highlight w:val="none"/>
          <w:u w:val="single"/>
          <w:lang w:eastAsia="zh-CN"/>
        </w:rPr>
        <w:t xml:space="preserve"> 年</w:t>
      </w:r>
      <w:r>
        <w:rPr>
          <w:rFonts w:hint="eastAsia"/>
          <w:color w:val="auto"/>
          <w:spacing w:val="-3"/>
          <w:sz w:val="24"/>
          <w:szCs w:val="24"/>
          <w:highlight w:val="none"/>
          <w:lang w:eastAsia="zh-CN"/>
        </w:rPr>
        <w:t>。</w:t>
      </w:r>
    </w:p>
    <w:p w14:paraId="5159B98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15.3  质量保证金</w:t>
      </w:r>
    </w:p>
    <w:p w14:paraId="358D3805">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关于是否扣留质量保证金的约定：</w:t>
      </w:r>
      <w:r>
        <w:rPr>
          <w:color w:val="auto"/>
          <w:sz w:val="24"/>
          <w:szCs w:val="24"/>
          <w:highlight w:val="none"/>
          <w:u w:val="single"/>
          <w:lang w:eastAsia="zh-CN"/>
        </w:rPr>
        <w:t>承包人按结算总价的</w:t>
      </w:r>
      <w:r>
        <w:rPr>
          <w:rFonts w:hint="eastAsia"/>
          <w:color w:val="auto"/>
          <w:sz w:val="24"/>
          <w:szCs w:val="24"/>
          <w:highlight w:val="none"/>
          <w:u w:val="single"/>
          <w:lang w:eastAsia="zh-CN"/>
        </w:rPr>
        <w:t>3</w:t>
      </w:r>
      <w:r>
        <w:rPr>
          <w:color w:val="auto"/>
          <w:sz w:val="24"/>
          <w:szCs w:val="24"/>
          <w:highlight w:val="none"/>
          <w:u w:val="single"/>
          <w:lang w:eastAsia="zh-CN"/>
        </w:rPr>
        <w:t>%</w:t>
      </w:r>
      <w:r>
        <w:rPr>
          <w:rFonts w:hint="eastAsia"/>
          <w:color w:val="auto"/>
          <w:sz w:val="24"/>
          <w:szCs w:val="24"/>
          <w:highlight w:val="none"/>
          <w:u w:val="single"/>
          <w:lang w:eastAsia="zh-CN"/>
        </w:rPr>
        <w:t>保留金作为工程质量保证金</w:t>
      </w:r>
      <w:r>
        <w:rPr>
          <w:rFonts w:hint="eastAsia"/>
          <w:color w:val="auto"/>
          <w:spacing w:val="-1"/>
          <w:sz w:val="24"/>
          <w:szCs w:val="24"/>
          <w:highlight w:val="none"/>
          <w:lang w:eastAsia="zh-CN"/>
        </w:rPr>
        <w:t>。</w:t>
      </w:r>
    </w:p>
    <w:p w14:paraId="1BB09BB8">
      <w:pPr>
        <w:pStyle w:val="19"/>
        <w:spacing w:line="360" w:lineRule="auto"/>
        <w:ind w:firstLine="468" w:firstLineChars="200"/>
        <w:rPr>
          <w:color w:val="auto"/>
          <w:spacing w:val="-3"/>
          <w:position w:val="14"/>
          <w:sz w:val="24"/>
          <w:szCs w:val="24"/>
          <w:highlight w:val="none"/>
          <w:lang w:eastAsia="zh-CN"/>
        </w:rPr>
      </w:pPr>
      <w:r>
        <w:rPr>
          <w:rFonts w:hint="eastAsia"/>
          <w:color w:val="auto"/>
          <w:spacing w:val="-3"/>
          <w:position w:val="14"/>
          <w:sz w:val="24"/>
          <w:szCs w:val="24"/>
          <w:highlight w:val="none"/>
          <w:lang w:eastAsia="zh-CN"/>
        </w:rPr>
        <w:t>在工程项目竣工前，承包人按专用合同条款第 3.7 条提供履约担保的，发包人不得同时预</w:t>
      </w:r>
      <w:r>
        <w:rPr>
          <w:rFonts w:hint="eastAsia"/>
          <w:color w:val="auto"/>
          <w:spacing w:val="-3"/>
          <w:position w:val="14"/>
          <w:sz w:val="24"/>
          <w:szCs w:val="24"/>
          <w:highlight w:val="none"/>
          <w:lang w:val="en-US" w:eastAsia="zh-CN"/>
        </w:rPr>
        <w:t>留</w:t>
      </w:r>
      <w:r>
        <w:rPr>
          <w:rFonts w:hint="eastAsia"/>
          <w:color w:val="auto"/>
          <w:spacing w:val="-3"/>
          <w:position w:val="14"/>
          <w:sz w:val="24"/>
          <w:szCs w:val="24"/>
          <w:highlight w:val="none"/>
          <w:lang w:eastAsia="zh-CN"/>
        </w:rPr>
        <w:t>工程质量保证金。</w:t>
      </w:r>
    </w:p>
    <w:p w14:paraId="7B9617EE">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15.3.1  承包人提供质量保证金的方式</w:t>
      </w:r>
    </w:p>
    <w:p w14:paraId="0862B394">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质量保证金采用以下第</w:t>
      </w:r>
      <w:r>
        <w:rPr>
          <w:rFonts w:hint="eastAsia"/>
          <w:b/>
          <w:bCs/>
          <w:color w:val="auto"/>
          <w:spacing w:val="-1"/>
          <w:sz w:val="24"/>
          <w:szCs w:val="24"/>
          <w:highlight w:val="none"/>
          <w:u w:val="single"/>
          <w:lang w:eastAsia="zh-CN"/>
        </w:rPr>
        <w:t xml:space="preserve"> ( 3 )</w:t>
      </w:r>
      <w:r>
        <w:rPr>
          <w:rFonts w:hint="eastAsia"/>
          <w:color w:val="auto"/>
          <w:spacing w:val="-1"/>
          <w:sz w:val="24"/>
          <w:szCs w:val="24"/>
          <w:highlight w:val="none"/>
          <w:lang w:eastAsia="zh-CN"/>
        </w:rPr>
        <w:t>种方式：</w:t>
      </w:r>
    </w:p>
    <w:p w14:paraId="263C952C">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rPr>
        <w:t>（1）质量保证金保函（银行保函、电子保函</w:t>
      </w:r>
      <w:r>
        <w:rPr>
          <w:rFonts w:hint="eastAsia"/>
          <w:color w:val="auto"/>
          <w:spacing w:val="-2"/>
          <w:sz w:val="24"/>
          <w:szCs w:val="24"/>
          <w:highlight w:val="none"/>
        </w:rPr>
        <w:t>、保证保险保函、工程担保保函，工程担保保</w:t>
      </w:r>
      <w:r>
        <w:rPr>
          <w:rFonts w:hint="eastAsia"/>
          <w:color w:val="auto"/>
          <w:spacing w:val="-1"/>
          <w:sz w:val="24"/>
          <w:szCs w:val="24"/>
          <w:highlight w:val="none"/>
        </w:rPr>
        <w:t>证人应将出具的保函相关信息录入“广西建筑市场监管云”平台（</w:t>
      </w:r>
      <w:r>
        <w:rPr>
          <w:color w:val="auto"/>
          <w:sz w:val="24"/>
          <w:szCs w:val="24"/>
          <w:highlight w:val="none"/>
        </w:rPr>
        <w:fldChar w:fldCharType="begin"/>
      </w:r>
      <w:r>
        <w:rPr>
          <w:color w:val="auto"/>
          <w:sz w:val="24"/>
          <w:szCs w:val="24"/>
          <w:highlight w:val="none"/>
        </w:rPr>
        <w:instrText xml:space="preserve"> HYPERLINK "http://gxjzsc.caihcloud.com" </w:instrText>
      </w:r>
      <w:r>
        <w:rPr>
          <w:color w:val="auto"/>
          <w:sz w:val="24"/>
          <w:szCs w:val="24"/>
          <w:highlight w:val="none"/>
        </w:rPr>
        <w:fldChar w:fldCharType="separate"/>
      </w:r>
      <w:r>
        <w:rPr>
          <w:rFonts w:hint="eastAsia"/>
          <w:color w:val="auto"/>
          <w:spacing w:val="-2"/>
          <w:sz w:val="24"/>
          <w:szCs w:val="24"/>
          <w:highlight w:val="none"/>
        </w:rPr>
        <w:t>http://gxjzsc.caihcloud.com</w:t>
      </w:r>
      <w:r>
        <w:rPr>
          <w:rFonts w:hint="eastAsia"/>
          <w:color w:val="auto"/>
          <w:spacing w:val="-2"/>
          <w:sz w:val="24"/>
          <w:szCs w:val="24"/>
          <w:highlight w:val="none"/>
        </w:rPr>
        <w:fldChar w:fldCharType="end"/>
      </w:r>
      <w:r>
        <w:rPr>
          <w:rFonts w:hint="eastAsia"/>
          <w:color w:val="auto"/>
          <w:spacing w:val="-35"/>
          <w:sz w:val="24"/>
          <w:szCs w:val="24"/>
          <w:highlight w:val="none"/>
        </w:rPr>
        <w:t>），</w:t>
      </w:r>
      <w:r>
        <w:rPr>
          <w:rFonts w:hint="eastAsia"/>
          <w:color w:val="auto"/>
          <w:spacing w:val="-7"/>
          <w:sz w:val="24"/>
          <w:szCs w:val="24"/>
          <w:highlight w:val="none"/>
        </w:rPr>
        <w:t>以实现保函查询及验真功能。</w:t>
      </w:r>
      <w:r>
        <w:rPr>
          <w:rFonts w:hint="eastAsia"/>
          <w:color w:val="auto"/>
          <w:spacing w:val="-2"/>
          <w:sz w:val="24"/>
          <w:szCs w:val="24"/>
          <w:highlight w:val="none"/>
          <w:lang w:eastAsia="zh-CN"/>
        </w:rPr>
        <w:t>），</w:t>
      </w:r>
      <w:r>
        <w:rPr>
          <w:rFonts w:hint="eastAsia"/>
          <w:color w:val="auto"/>
          <w:spacing w:val="-7"/>
          <w:sz w:val="24"/>
          <w:szCs w:val="24"/>
          <w:highlight w:val="none"/>
          <w:lang w:eastAsia="zh-CN"/>
        </w:rPr>
        <w:t>保证金额为</w:t>
      </w:r>
      <w:r>
        <w:rPr>
          <w:rFonts w:hint="eastAsia"/>
          <w:color w:val="auto"/>
          <w:spacing w:val="-2"/>
          <w:sz w:val="24"/>
          <w:szCs w:val="24"/>
          <w:highlight w:val="none"/>
          <w:lang w:eastAsia="zh-CN"/>
        </w:rPr>
        <w:t>：</w:t>
      </w:r>
      <w:r>
        <w:rPr>
          <w:rFonts w:hint="eastAsia"/>
          <w:color w:val="auto"/>
          <w:spacing w:val="8"/>
          <w:sz w:val="24"/>
          <w:szCs w:val="24"/>
          <w:highlight w:val="none"/>
          <w:u w:val="single"/>
          <w:lang w:eastAsia="zh-CN"/>
        </w:rPr>
        <w:t>工程价款结算总额的3%；</w:t>
      </w:r>
    </w:p>
    <w:p w14:paraId="1164DF97">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（2）发包人按工程价款结算总额的</w:t>
      </w:r>
      <w:r>
        <w:rPr>
          <w:rFonts w:hint="eastAsia"/>
          <w:b/>
          <w:bCs/>
          <w:color w:val="auto"/>
          <w:spacing w:val="-3"/>
          <w:sz w:val="24"/>
          <w:szCs w:val="24"/>
          <w:highlight w:val="none"/>
          <w:u w:val="single"/>
          <w:lang w:eastAsia="zh-CN"/>
        </w:rPr>
        <w:t xml:space="preserve">  3 </w:t>
      </w:r>
      <w:r>
        <w:rPr>
          <w:rFonts w:hint="eastAsia"/>
          <w:color w:val="auto"/>
          <w:spacing w:val="-3"/>
          <w:sz w:val="24"/>
          <w:szCs w:val="24"/>
          <w:highlight w:val="none"/>
          <w:lang w:eastAsia="zh-CN"/>
        </w:rPr>
        <w:t>%（不得超过</w:t>
      </w:r>
      <w:r>
        <w:rPr>
          <w:rFonts w:hint="eastAsia"/>
          <w:color w:val="auto"/>
          <w:spacing w:val="-4"/>
          <w:sz w:val="24"/>
          <w:szCs w:val="24"/>
          <w:highlight w:val="none"/>
          <w:lang w:eastAsia="zh-CN"/>
        </w:rPr>
        <w:t>3%）预留工程质量保证金，待缺陷责任</w:t>
      </w:r>
      <w:r>
        <w:rPr>
          <w:rFonts w:hint="eastAsia"/>
          <w:color w:val="auto"/>
          <w:spacing w:val="-1"/>
          <w:sz w:val="24"/>
          <w:szCs w:val="24"/>
          <w:highlight w:val="none"/>
          <w:lang w:eastAsia="zh-CN"/>
        </w:rPr>
        <w:t>期满后返还，是否付息及利息计算方式为：</w:t>
      </w:r>
      <w:r>
        <w:rPr>
          <w:rFonts w:hint="eastAsia"/>
          <w:color w:val="auto"/>
          <w:spacing w:val="-1"/>
          <w:sz w:val="24"/>
          <w:szCs w:val="24"/>
          <w:highlight w:val="none"/>
          <w:u w:val="single"/>
          <w:lang w:eastAsia="zh-CN"/>
        </w:rPr>
        <w:t xml:space="preserve"> 不计息 </w:t>
      </w:r>
      <w:r>
        <w:rPr>
          <w:rFonts w:hint="eastAsia"/>
          <w:color w:val="auto"/>
          <w:spacing w:val="-1"/>
          <w:sz w:val="24"/>
          <w:szCs w:val="24"/>
          <w:highlight w:val="none"/>
          <w:lang w:eastAsia="zh-CN"/>
        </w:rPr>
        <w:t>；</w:t>
      </w:r>
    </w:p>
    <w:p w14:paraId="4B59940D">
      <w:pPr>
        <w:pStyle w:val="19"/>
        <w:spacing w:line="360" w:lineRule="auto"/>
        <w:ind w:firstLine="468" w:firstLineChars="200"/>
        <w:rPr>
          <w:color w:val="auto"/>
          <w:spacing w:val="-3"/>
          <w:position w:val="15"/>
          <w:sz w:val="24"/>
          <w:szCs w:val="24"/>
          <w:highlight w:val="none"/>
          <w:u w:val="single"/>
          <w:lang w:eastAsia="zh-CN"/>
        </w:rPr>
      </w:pPr>
      <w:r>
        <w:rPr>
          <w:rFonts w:hint="eastAsia"/>
          <w:color w:val="auto"/>
          <w:spacing w:val="-3"/>
          <w:position w:val="15"/>
          <w:sz w:val="24"/>
          <w:szCs w:val="24"/>
          <w:highlight w:val="none"/>
          <w:lang w:eastAsia="zh-CN"/>
        </w:rPr>
        <w:t>（3）其他方式：</w:t>
      </w:r>
      <w:r>
        <w:rPr>
          <w:rFonts w:hint="eastAsia"/>
          <w:color w:val="auto"/>
          <w:spacing w:val="-3"/>
          <w:position w:val="15"/>
          <w:sz w:val="24"/>
          <w:szCs w:val="24"/>
          <w:highlight w:val="none"/>
          <w:u w:val="single"/>
          <w:lang w:eastAsia="zh-CN"/>
        </w:rPr>
        <w:t>发包人按工程价款结算总额的3%预留工程质量保修金， 待工程缺陷责任期届满后返还。</w:t>
      </w:r>
    </w:p>
    <w:p w14:paraId="347877E6">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15.3.2  质量保证金的扣留</w:t>
      </w:r>
    </w:p>
    <w:p w14:paraId="6EE281B7">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质量保证金的扣留采取以下第</w:t>
      </w:r>
      <w:r>
        <w:rPr>
          <w:rFonts w:hint="eastAsia"/>
          <w:b/>
          <w:bCs/>
          <w:color w:val="auto"/>
          <w:spacing w:val="-1"/>
          <w:sz w:val="24"/>
          <w:szCs w:val="24"/>
          <w:highlight w:val="none"/>
          <w:u w:val="single"/>
          <w:lang w:eastAsia="zh-CN"/>
        </w:rPr>
        <w:t xml:space="preserve">    (3 )    </w:t>
      </w:r>
      <w:r>
        <w:rPr>
          <w:rFonts w:hint="eastAsia"/>
          <w:color w:val="auto"/>
          <w:spacing w:val="-1"/>
          <w:sz w:val="24"/>
          <w:szCs w:val="24"/>
          <w:highlight w:val="none"/>
          <w:lang w:eastAsia="zh-CN"/>
        </w:rPr>
        <w:t>种方式：</w:t>
      </w:r>
    </w:p>
    <w:p w14:paraId="4855011B">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（1）在不缴纳履保证金情况下，按支付工程进</w:t>
      </w:r>
      <w:r>
        <w:rPr>
          <w:rFonts w:hint="eastAsia"/>
          <w:color w:val="auto"/>
          <w:spacing w:val="-2"/>
          <w:sz w:val="24"/>
          <w:szCs w:val="24"/>
          <w:highlight w:val="none"/>
          <w:lang w:eastAsia="zh-CN"/>
        </w:rPr>
        <w:t>度款时逐次扣留，质量保证金的计算基数不</w:t>
      </w:r>
      <w:r>
        <w:rPr>
          <w:rFonts w:hint="eastAsia"/>
          <w:color w:val="auto"/>
          <w:spacing w:val="-1"/>
          <w:sz w:val="24"/>
          <w:szCs w:val="24"/>
          <w:highlight w:val="none"/>
          <w:lang w:eastAsia="zh-CN"/>
        </w:rPr>
        <w:t>包括预付款的支付、扣回以及价格调整的金额；</w:t>
      </w:r>
    </w:p>
    <w:p w14:paraId="3369E0D2">
      <w:pPr>
        <w:pStyle w:val="19"/>
        <w:spacing w:line="360" w:lineRule="auto"/>
        <w:ind w:firstLine="468" w:firstLineChars="200"/>
        <w:rPr>
          <w:color w:val="auto"/>
          <w:sz w:val="24"/>
          <w:szCs w:val="24"/>
          <w:highlight w:val="none"/>
          <w:lang w:eastAsia="zh-CN"/>
        </w:rPr>
      </w:pPr>
      <w:r>
        <w:rPr>
          <w:rFonts w:hint="eastAsia"/>
          <w:color w:val="auto"/>
          <w:spacing w:val="-3"/>
          <w:position w:val="14"/>
          <w:sz w:val="24"/>
          <w:szCs w:val="24"/>
          <w:highlight w:val="none"/>
          <w:lang w:eastAsia="zh-CN"/>
        </w:rPr>
        <w:t>（2）工程竣工结算时，由承包人以质量保证金保函（银行保函、电子保函、保证保险保函、工程担保保函等）替代预留质量保证金，保函金额为工程价款结算总额的3%；</w:t>
      </w:r>
    </w:p>
    <w:p w14:paraId="6DCAA25F">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（3）其他扣留方式：</w:t>
      </w:r>
      <w:r>
        <w:rPr>
          <w:rFonts w:hint="eastAsia"/>
          <w:color w:val="auto"/>
          <w:spacing w:val="-1"/>
          <w:sz w:val="24"/>
          <w:szCs w:val="24"/>
          <w:highlight w:val="none"/>
          <w:u w:val="single"/>
          <w:lang w:eastAsia="zh-CN"/>
        </w:rPr>
        <w:t>工程竣工结算时一次性扣留质量保证金</w:t>
      </w:r>
      <w:r>
        <w:rPr>
          <w:rFonts w:hint="eastAsia"/>
          <w:color w:val="auto"/>
          <w:spacing w:val="-1"/>
          <w:sz w:val="24"/>
          <w:szCs w:val="24"/>
          <w:highlight w:val="none"/>
          <w:lang w:eastAsia="zh-CN"/>
        </w:rPr>
        <w:t>。</w:t>
      </w:r>
    </w:p>
    <w:p w14:paraId="5AF83535">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关于质量保证金的补充约定：</w:t>
      </w:r>
      <w:r>
        <w:rPr>
          <w:rFonts w:hint="eastAsia"/>
          <w:color w:val="auto"/>
          <w:spacing w:val="-3"/>
          <w:sz w:val="24"/>
          <w:szCs w:val="24"/>
          <w:highlight w:val="none"/>
          <w:u w:val="single"/>
          <w:lang w:eastAsia="zh-CN"/>
        </w:rPr>
        <w:t xml:space="preserve"> 在缺陷责任期内，因承包人工程质量原因造成发包人的所有</w:t>
      </w:r>
      <w:r>
        <w:rPr>
          <w:rFonts w:hint="eastAsia"/>
          <w:color w:val="auto"/>
          <w:spacing w:val="-2"/>
          <w:sz w:val="24"/>
          <w:szCs w:val="24"/>
          <w:highlight w:val="none"/>
          <w:u w:val="single"/>
          <w:lang w:eastAsia="zh-CN"/>
        </w:rPr>
        <w:t>损失及责任均由承包人承担。同时，在缺陷责任期内，因工程质量问题造成墙面、卫生间</w:t>
      </w:r>
      <w:r>
        <w:rPr>
          <w:rFonts w:hint="eastAsia"/>
          <w:color w:val="auto"/>
          <w:spacing w:val="-3"/>
          <w:sz w:val="24"/>
          <w:szCs w:val="24"/>
          <w:highlight w:val="none"/>
          <w:u w:val="single"/>
          <w:lang w:eastAsia="zh-CN"/>
        </w:rPr>
        <w:t>、地</w:t>
      </w:r>
      <w:r>
        <w:rPr>
          <w:rFonts w:hint="eastAsia"/>
          <w:color w:val="auto"/>
          <w:sz w:val="24"/>
          <w:szCs w:val="24"/>
          <w:highlight w:val="none"/>
          <w:u w:val="single"/>
          <w:lang w:eastAsia="zh-CN"/>
        </w:rPr>
        <w:t>面、天棚面渗漏水的，出现渗漏水部位的个数超过 10  个（含 10个）的，则承包人应</w:t>
      </w:r>
      <w:r>
        <w:rPr>
          <w:rFonts w:hint="eastAsia"/>
          <w:color w:val="auto"/>
          <w:spacing w:val="-1"/>
          <w:sz w:val="24"/>
          <w:szCs w:val="24"/>
          <w:highlight w:val="none"/>
          <w:u w:val="single"/>
          <w:lang w:eastAsia="zh-CN"/>
        </w:rPr>
        <w:t>向发包</w:t>
      </w:r>
      <w:r>
        <w:rPr>
          <w:rFonts w:hint="eastAsia"/>
          <w:color w:val="auto"/>
          <w:sz w:val="24"/>
          <w:szCs w:val="24"/>
          <w:highlight w:val="none"/>
          <w:u w:val="single"/>
          <w:lang w:eastAsia="zh-CN"/>
        </w:rPr>
        <w:t>人支付违约金 1000  元/个。上述损失及违约金发包人有权从工程质保金中直接扣除</w:t>
      </w:r>
      <w:r>
        <w:rPr>
          <w:rFonts w:hint="eastAsia"/>
          <w:color w:val="auto"/>
          <w:sz w:val="24"/>
          <w:szCs w:val="24"/>
          <w:highlight w:val="none"/>
          <w:lang w:eastAsia="zh-CN"/>
        </w:rPr>
        <w:t xml:space="preserve"> 。</w:t>
      </w:r>
    </w:p>
    <w:p w14:paraId="04D36D98">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15.4  保修</w:t>
      </w:r>
    </w:p>
    <w:p w14:paraId="4F515F73">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15.4.1保修责任</w:t>
      </w:r>
    </w:p>
    <w:p w14:paraId="6C6D247A">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工程保修期为：</w:t>
      </w:r>
      <w:r>
        <w:rPr>
          <w:rFonts w:hint="eastAsia"/>
          <w:color w:val="auto"/>
          <w:spacing w:val="-5"/>
          <w:sz w:val="24"/>
          <w:szCs w:val="24"/>
          <w:highlight w:val="none"/>
          <w:u w:val="single"/>
          <w:lang w:eastAsia="zh-CN"/>
        </w:rPr>
        <w:t>双方根据《建设工程质量管理条例》及有关规定，约定本工程的质量保修</w:t>
      </w:r>
      <w:r>
        <w:rPr>
          <w:rFonts w:hint="eastAsia"/>
          <w:color w:val="auto"/>
          <w:spacing w:val="-4"/>
          <w:sz w:val="24"/>
          <w:szCs w:val="24"/>
          <w:highlight w:val="none"/>
          <w:u w:val="single"/>
          <w:lang w:eastAsia="zh-CN"/>
        </w:rPr>
        <w:t>期以工程通过验收，完善整改意见并正式移交甲方，双方在移交书上签字之日</w:t>
      </w:r>
      <w:r>
        <w:rPr>
          <w:rFonts w:hint="eastAsia"/>
          <w:color w:val="auto"/>
          <w:spacing w:val="-5"/>
          <w:sz w:val="24"/>
          <w:szCs w:val="24"/>
          <w:highlight w:val="none"/>
          <w:u w:val="single"/>
          <w:lang w:eastAsia="zh-CN"/>
        </w:rPr>
        <w:t>起计算，保修期限为：</w:t>
      </w:r>
      <w:r>
        <w:rPr>
          <w:rFonts w:hint="eastAsia"/>
          <w:color w:val="auto"/>
          <w:sz w:val="24"/>
          <w:szCs w:val="24"/>
          <w:highlight w:val="none"/>
          <w:u w:val="single"/>
          <w:lang w:eastAsia="zh-CN"/>
        </w:rPr>
        <w:t>基础设施工程、房屋建筑工程的地基基础和主体结构工程，为设计文件规定的合理使用年</w:t>
      </w:r>
      <w:r>
        <w:rPr>
          <w:rFonts w:hint="eastAsia"/>
          <w:color w:val="auto"/>
          <w:spacing w:val="-35"/>
          <w:w w:val="95"/>
          <w:sz w:val="24"/>
          <w:szCs w:val="24"/>
          <w:highlight w:val="none"/>
          <w:u w:val="single"/>
          <w:lang w:eastAsia="zh-CN"/>
        </w:rPr>
        <w:t>限；</w:t>
      </w:r>
    </w:p>
    <w:p w14:paraId="7CDCDAA6">
      <w:pPr>
        <w:pStyle w:val="19"/>
        <w:spacing w:line="360" w:lineRule="auto"/>
        <w:ind w:firstLine="480" w:firstLineChars="200"/>
        <w:rPr>
          <w:color w:val="auto"/>
          <w:sz w:val="24"/>
          <w:szCs w:val="24"/>
          <w:highlight w:val="none"/>
          <w:lang w:eastAsia="zh-CN"/>
        </w:rPr>
      </w:pPr>
      <w:r>
        <w:rPr>
          <w:rFonts w:hint="eastAsia"/>
          <w:color w:val="auto"/>
          <w:sz w:val="24"/>
          <w:szCs w:val="24"/>
          <w:highlight w:val="none"/>
          <w:u w:val="single"/>
          <w:lang w:eastAsia="zh-CN"/>
        </w:rPr>
        <w:t>屋面防水工程、卫生间、厨房、阳台和外墙面的防渗漏（包括台风、暴雨等自然条</w:t>
      </w:r>
      <w:r>
        <w:rPr>
          <w:rFonts w:hint="eastAsia"/>
          <w:color w:val="auto"/>
          <w:spacing w:val="-1"/>
          <w:sz w:val="24"/>
          <w:szCs w:val="24"/>
          <w:highlight w:val="none"/>
          <w:u w:val="single"/>
          <w:lang w:eastAsia="zh-CN"/>
        </w:rPr>
        <w:t>件下的</w:t>
      </w:r>
      <w:r>
        <w:rPr>
          <w:rFonts w:hint="eastAsia"/>
          <w:color w:val="auto"/>
          <w:spacing w:val="-26"/>
          <w:w w:val="96"/>
          <w:sz w:val="24"/>
          <w:szCs w:val="24"/>
          <w:highlight w:val="none"/>
          <w:u w:val="single"/>
          <w:lang w:eastAsia="zh-CN"/>
        </w:rPr>
        <w:t>影响</w:t>
      </w:r>
      <w:r>
        <w:rPr>
          <w:rFonts w:hint="eastAsia"/>
          <w:color w:val="auto"/>
          <w:spacing w:val="-4"/>
          <w:sz w:val="24"/>
          <w:szCs w:val="24"/>
          <w:highlight w:val="none"/>
          <w:u w:val="single"/>
          <w:lang w:eastAsia="zh-CN"/>
        </w:rPr>
        <w:t>），</w:t>
      </w:r>
      <w:r>
        <w:rPr>
          <w:rFonts w:hint="eastAsia"/>
          <w:color w:val="auto"/>
          <w:spacing w:val="-26"/>
          <w:w w:val="96"/>
          <w:sz w:val="24"/>
          <w:szCs w:val="24"/>
          <w:highlight w:val="none"/>
          <w:u w:val="single"/>
          <w:lang w:eastAsia="zh-CN"/>
        </w:rPr>
        <w:t>为 5  年；</w:t>
      </w:r>
    </w:p>
    <w:p w14:paraId="57E6D394">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u w:val="single"/>
          <w:lang w:eastAsia="zh-CN"/>
        </w:rPr>
        <w:t xml:space="preserve">电管线、给排水管道、设备安装和装修工程， 为 2 </w:t>
      </w:r>
      <w:r>
        <w:rPr>
          <w:rFonts w:hint="eastAsia"/>
          <w:color w:val="auto"/>
          <w:spacing w:val="-8"/>
          <w:sz w:val="24"/>
          <w:szCs w:val="24"/>
          <w:highlight w:val="none"/>
          <w:u w:val="single"/>
          <w:lang w:eastAsia="zh-CN"/>
        </w:rPr>
        <w:t xml:space="preserve"> 年；</w:t>
      </w:r>
    </w:p>
    <w:p w14:paraId="30D1F71A">
      <w:pPr>
        <w:pStyle w:val="19"/>
        <w:spacing w:line="360" w:lineRule="auto"/>
        <w:ind w:firstLine="456" w:firstLineChars="200"/>
        <w:rPr>
          <w:color w:val="auto"/>
          <w:sz w:val="24"/>
          <w:szCs w:val="24"/>
          <w:highlight w:val="none"/>
          <w:lang w:eastAsia="zh-CN"/>
        </w:rPr>
      </w:pPr>
      <w:r>
        <w:rPr>
          <w:rFonts w:hint="eastAsia"/>
          <w:color w:val="auto"/>
          <w:spacing w:val="-6"/>
          <w:sz w:val="24"/>
          <w:szCs w:val="24"/>
          <w:highlight w:val="none"/>
          <w:u w:val="single"/>
          <w:lang w:eastAsia="zh-CN"/>
        </w:rPr>
        <w:t xml:space="preserve">住宅小区内的给排水设施、道路等配套工程， 为 </w:t>
      </w:r>
      <w:r>
        <w:rPr>
          <w:rFonts w:hint="eastAsia"/>
          <w:color w:val="auto"/>
          <w:spacing w:val="-7"/>
          <w:sz w:val="24"/>
          <w:szCs w:val="24"/>
          <w:highlight w:val="none"/>
          <w:u w:val="single"/>
          <w:lang w:eastAsia="zh-CN"/>
        </w:rPr>
        <w:t>2  年；</w:t>
      </w:r>
    </w:p>
    <w:p w14:paraId="54F953F3">
      <w:pPr>
        <w:pStyle w:val="19"/>
        <w:spacing w:line="360" w:lineRule="auto"/>
        <w:ind w:firstLine="480" w:firstLineChars="200"/>
        <w:rPr>
          <w:color w:val="auto"/>
          <w:sz w:val="24"/>
          <w:szCs w:val="24"/>
          <w:highlight w:val="none"/>
          <w:lang w:eastAsia="zh-CN"/>
        </w:rPr>
      </w:pPr>
      <w:r>
        <w:rPr>
          <w:rFonts w:hint="eastAsia"/>
          <w:color w:val="auto"/>
          <w:sz w:val="24"/>
          <w:szCs w:val="24"/>
          <w:highlight w:val="none"/>
          <w:u w:val="single"/>
          <w:lang w:eastAsia="zh-CN"/>
        </w:rPr>
        <w:t>供热及制供冷系统为 2  个采暖期、供冷期；</w:t>
      </w:r>
    </w:p>
    <w:p w14:paraId="413960ED">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u w:val="single"/>
          <w:lang w:eastAsia="zh-CN"/>
        </w:rPr>
        <w:t>其他项目的保修期为 1年。</w:t>
      </w:r>
    </w:p>
    <w:p w14:paraId="001C5AE1">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u w:val="single"/>
          <w:lang w:eastAsia="zh-CN"/>
        </w:rPr>
        <w:t>其他按工程保修书约定。</w:t>
      </w:r>
    </w:p>
    <w:p w14:paraId="5EEAD151">
      <w:pPr>
        <w:pStyle w:val="19"/>
        <w:spacing w:line="360" w:lineRule="auto"/>
        <w:ind w:firstLine="476" w:firstLineChars="200"/>
        <w:rPr>
          <w:color w:val="auto"/>
          <w:sz w:val="24"/>
          <w:szCs w:val="24"/>
          <w:highlight w:val="none"/>
          <w:lang w:eastAsia="zh-CN"/>
        </w:rPr>
      </w:pPr>
      <w:r>
        <w:rPr>
          <w:rFonts w:hint="eastAsia"/>
          <w:color w:val="auto"/>
          <w:spacing w:val="-1"/>
          <w:position w:val="15"/>
          <w:sz w:val="24"/>
          <w:szCs w:val="24"/>
          <w:highlight w:val="none"/>
          <w:lang w:eastAsia="zh-CN"/>
        </w:rPr>
        <w:t>工程保修书具体内容见合同附件 2。</w:t>
      </w:r>
    </w:p>
    <w:p w14:paraId="3C93C65D">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15.4.3修复通知</w:t>
      </w:r>
    </w:p>
    <w:p w14:paraId="41F8197C">
      <w:pPr>
        <w:spacing w:line="360" w:lineRule="auto"/>
        <w:ind w:firstLine="476" w:firstLineChars="200"/>
        <w:outlineLvl w:val="1"/>
        <w:rPr>
          <w:color w:val="auto"/>
          <w:spacing w:val="-1"/>
          <w:sz w:val="24"/>
          <w:szCs w:val="24"/>
          <w:highlight w:val="none"/>
          <w:u w:val="single"/>
          <w:lang w:eastAsia="zh-CN"/>
        </w:rPr>
      </w:pPr>
      <w:r>
        <w:rPr>
          <w:rFonts w:hint="eastAsia"/>
          <w:color w:val="auto"/>
          <w:spacing w:val="-1"/>
          <w:sz w:val="24"/>
          <w:szCs w:val="24"/>
          <w:highlight w:val="none"/>
          <w:lang w:eastAsia="zh-CN"/>
        </w:rPr>
        <w:t>承包人收到保修通知并到达工程现场的合理时间：</w:t>
      </w:r>
      <w:r>
        <w:rPr>
          <w:rFonts w:hint="eastAsia"/>
          <w:color w:val="auto"/>
          <w:spacing w:val="-1"/>
          <w:sz w:val="24"/>
          <w:szCs w:val="24"/>
          <w:highlight w:val="none"/>
          <w:u w:val="single"/>
          <w:lang w:eastAsia="zh-CN"/>
        </w:rPr>
        <w:t>保修期起算之日起的六个月内，乙方应 派出足够的维修和管理人员常驻现场负责维修工作，认真履行保修责任，做到服务周到，随叫 随到； 此后应在甲方通知 24 小时内赶到现场进行维修，履行保修义务， 保证维修的质量及效果。</w:t>
      </w:r>
    </w:p>
    <w:p w14:paraId="79D7C35C">
      <w:pPr>
        <w:spacing w:line="360" w:lineRule="auto"/>
        <w:ind w:firstLine="476" w:firstLineChars="200"/>
        <w:outlineLvl w:val="1"/>
        <w:rPr>
          <w:color w:val="auto"/>
          <w:spacing w:val="-1"/>
          <w:sz w:val="24"/>
          <w:szCs w:val="24"/>
          <w:highlight w:val="none"/>
          <w:u w:val="single"/>
          <w:lang w:eastAsia="zh-CN"/>
        </w:rPr>
      </w:pPr>
      <w:r>
        <w:rPr>
          <w:rFonts w:hint="eastAsia"/>
          <w:color w:val="auto"/>
          <w:spacing w:val="-1"/>
          <w:sz w:val="24"/>
          <w:szCs w:val="24"/>
          <w:highlight w:val="none"/>
          <w:u w:val="single"/>
          <w:lang w:eastAsia="zh-CN"/>
        </w:rPr>
        <w:t>发生紧急抢修事故的，乙方在接到事故通知后，应当立即到达事故现场抢修。</w:t>
      </w:r>
    </w:p>
    <w:p w14:paraId="71423C73">
      <w:pPr>
        <w:spacing w:line="360" w:lineRule="auto"/>
        <w:ind w:firstLine="476" w:firstLineChars="200"/>
        <w:outlineLvl w:val="1"/>
        <w:rPr>
          <w:color w:val="auto"/>
          <w:spacing w:val="-1"/>
          <w:sz w:val="24"/>
          <w:szCs w:val="24"/>
          <w:highlight w:val="none"/>
          <w:u w:val="single"/>
          <w:lang w:eastAsia="zh-CN"/>
        </w:rPr>
      </w:pPr>
      <w:r>
        <w:rPr>
          <w:rFonts w:hint="eastAsia"/>
          <w:color w:val="auto"/>
          <w:spacing w:val="-1"/>
          <w:sz w:val="24"/>
          <w:szCs w:val="24"/>
          <w:highlight w:val="none"/>
          <w:u w:val="single"/>
          <w:lang w:eastAsia="zh-CN"/>
        </w:rPr>
        <w:t>乙方未能及时进场维修或不能维修或未能在合同约定的期限内维修完好或经过两次维修都未能修好的，甲方有权自行另请他人代为维修并确定价格，所有修复费用及赔偿费用甲方加收10％的管理费可以从甲方支付乙方的任何款项中扣除，但不等于解除乙方的任何应负的责任。</w:t>
      </w:r>
    </w:p>
    <w:p w14:paraId="11917DB6">
      <w:pPr>
        <w:spacing w:line="360" w:lineRule="auto"/>
        <w:ind w:firstLine="476" w:firstLineChars="200"/>
        <w:outlineLvl w:val="1"/>
        <w:rPr>
          <w:color w:val="auto"/>
          <w:spacing w:val="-1"/>
          <w:sz w:val="24"/>
          <w:szCs w:val="24"/>
          <w:highlight w:val="none"/>
          <w:u w:val="single"/>
          <w:lang w:eastAsia="zh-CN"/>
        </w:rPr>
      </w:pPr>
      <w:r>
        <w:rPr>
          <w:rFonts w:hint="eastAsia"/>
          <w:color w:val="auto"/>
          <w:spacing w:val="-1"/>
          <w:sz w:val="24"/>
          <w:szCs w:val="24"/>
          <w:highlight w:val="none"/>
          <w:u w:val="single"/>
          <w:lang w:eastAsia="zh-CN"/>
        </w:rPr>
        <w:t>乙方每次维修完毕，应负责将施工现场清理干净并在完成后取得业主和甲方的验收签字，所维修项目如在六个月内再次出现同样缺陷的，工程保修期相应顺延。</w:t>
      </w:r>
    </w:p>
    <w:p w14:paraId="39D16DF4">
      <w:pPr>
        <w:spacing w:line="360" w:lineRule="auto"/>
        <w:ind w:firstLine="476" w:firstLineChars="200"/>
        <w:outlineLvl w:val="1"/>
        <w:rPr>
          <w:color w:val="auto"/>
          <w:spacing w:val="-1"/>
          <w:sz w:val="24"/>
          <w:szCs w:val="24"/>
          <w:highlight w:val="none"/>
          <w:u w:val="single"/>
          <w:lang w:eastAsia="zh-CN"/>
        </w:rPr>
      </w:pPr>
      <w:r>
        <w:rPr>
          <w:rFonts w:hint="eastAsia"/>
          <w:color w:val="auto"/>
          <w:spacing w:val="-1"/>
          <w:sz w:val="24"/>
          <w:szCs w:val="24"/>
          <w:highlight w:val="none"/>
          <w:u w:val="single"/>
          <w:lang w:eastAsia="zh-CN"/>
        </w:rPr>
        <w:t>对于涉及结构安全的质量问题， 应当按照《房屋建筑工程质量保修办法》的规定， 立即向 当地建设行政主管部门报告，采取安全防范措施； 由原设计单位或者具有相应资质等级的设计单位提出保修方案， 乙方实施保修。质量保修完成后，由甲方组织验收 。</w:t>
      </w:r>
    </w:p>
    <w:p w14:paraId="5CE2E940">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16.  违约</w:t>
      </w:r>
    </w:p>
    <w:p w14:paraId="22D21FC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16.1  发包人违约</w:t>
      </w:r>
    </w:p>
    <w:p w14:paraId="5DFCD683">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16.1.1发包人违约的情形</w:t>
      </w:r>
    </w:p>
    <w:p w14:paraId="4943D5B2">
      <w:pPr>
        <w:pStyle w:val="19"/>
        <w:spacing w:line="360" w:lineRule="auto"/>
        <w:ind w:firstLine="448" w:firstLineChars="200"/>
        <w:rPr>
          <w:color w:val="auto"/>
          <w:sz w:val="24"/>
          <w:szCs w:val="24"/>
          <w:highlight w:val="none"/>
          <w:lang w:eastAsia="zh-CN"/>
        </w:rPr>
      </w:pPr>
      <w:r>
        <w:rPr>
          <w:rFonts w:hint="eastAsia"/>
          <w:color w:val="auto"/>
          <w:spacing w:val="-8"/>
          <w:sz w:val="24"/>
          <w:szCs w:val="24"/>
          <w:highlight w:val="none"/>
          <w:lang w:eastAsia="zh-CN"/>
        </w:rPr>
        <w:t>发包人违约的其他情形：。</w:t>
      </w:r>
    </w:p>
    <w:p w14:paraId="4148A704">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16.1.2发包人违约的责任</w:t>
      </w:r>
    </w:p>
    <w:p w14:paraId="22A13FA9">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发包人违约责任的承担方式和计算方法：</w:t>
      </w:r>
    </w:p>
    <w:p w14:paraId="339F0340">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（1）因发包人原因未能在计划开工日期前7天内下达开工通知的违约责任：</w:t>
      </w:r>
      <w:r>
        <w:rPr>
          <w:rFonts w:hint="eastAsia"/>
          <w:color w:val="auto"/>
          <w:spacing w:val="-3"/>
          <w:sz w:val="24"/>
          <w:szCs w:val="24"/>
          <w:highlight w:val="none"/>
          <w:u w:val="single"/>
          <w:lang w:eastAsia="zh-CN"/>
        </w:rPr>
        <w:t>按通用条款</w:t>
      </w:r>
      <w:r>
        <w:rPr>
          <w:rFonts w:hint="eastAsia"/>
          <w:color w:val="auto"/>
          <w:spacing w:val="-1"/>
          <w:sz w:val="24"/>
          <w:szCs w:val="24"/>
          <w:highlight w:val="none"/>
          <w:u w:val="single"/>
          <w:lang w:eastAsia="zh-CN"/>
        </w:rPr>
        <w:t xml:space="preserve">及相关规定执行 </w:t>
      </w:r>
      <w:r>
        <w:rPr>
          <w:rFonts w:hint="eastAsia"/>
          <w:color w:val="auto"/>
          <w:spacing w:val="-1"/>
          <w:sz w:val="24"/>
          <w:szCs w:val="24"/>
          <w:highlight w:val="none"/>
          <w:lang w:eastAsia="zh-CN"/>
        </w:rPr>
        <w:t>。</w:t>
      </w:r>
    </w:p>
    <w:p w14:paraId="347CDFEB">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（2）因发包人原因未能按合同约定支付合同价款的违约责任：</w:t>
      </w:r>
      <w:r>
        <w:rPr>
          <w:rFonts w:hint="eastAsia"/>
          <w:color w:val="auto"/>
          <w:spacing w:val="-2"/>
          <w:sz w:val="24"/>
          <w:szCs w:val="24"/>
          <w:highlight w:val="none"/>
          <w:u w:val="single"/>
          <w:lang w:eastAsia="zh-CN"/>
        </w:rPr>
        <w:t>按通用条款及</w:t>
      </w:r>
      <w:r>
        <w:rPr>
          <w:rFonts w:hint="eastAsia"/>
          <w:color w:val="auto"/>
          <w:spacing w:val="-3"/>
          <w:sz w:val="24"/>
          <w:szCs w:val="24"/>
          <w:highlight w:val="none"/>
          <w:u w:val="single"/>
          <w:lang w:eastAsia="zh-CN"/>
        </w:rPr>
        <w:t>相关规定执</w:t>
      </w:r>
      <w:r>
        <w:rPr>
          <w:rFonts w:hint="eastAsia"/>
          <w:color w:val="auto"/>
          <w:spacing w:val="-6"/>
          <w:sz w:val="24"/>
          <w:szCs w:val="24"/>
          <w:highlight w:val="none"/>
          <w:u w:val="single"/>
          <w:lang w:eastAsia="zh-CN"/>
        </w:rPr>
        <w:t>行</w:t>
      </w:r>
      <w:r>
        <w:rPr>
          <w:rFonts w:hint="eastAsia"/>
          <w:color w:val="auto"/>
          <w:spacing w:val="-6"/>
          <w:sz w:val="24"/>
          <w:szCs w:val="24"/>
          <w:highlight w:val="none"/>
          <w:lang w:eastAsia="zh-CN"/>
        </w:rPr>
        <w:t>。</w:t>
      </w:r>
    </w:p>
    <w:p w14:paraId="071E876F">
      <w:pPr>
        <w:pStyle w:val="19"/>
        <w:spacing w:line="360" w:lineRule="auto"/>
        <w:ind w:firstLine="476" w:firstLineChars="200"/>
        <w:jc w:val="both"/>
        <w:rPr>
          <w:color w:val="auto"/>
          <w:spacing w:val="-1"/>
          <w:position w:val="14"/>
          <w:sz w:val="24"/>
          <w:szCs w:val="24"/>
          <w:highlight w:val="none"/>
          <w:lang w:eastAsia="zh-CN"/>
        </w:rPr>
      </w:pPr>
      <w:r>
        <w:rPr>
          <w:rFonts w:hint="eastAsia"/>
          <w:color w:val="auto"/>
          <w:spacing w:val="-1"/>
          <w:position w:val="14"/>
          <w:sz w:val="24"/>
          <w:szCs w:val="24"/>
          <w:highlight w:val="none"/>
          <w:lang w:eastAsia="zh-CN"/>
        </w:rPr>
        <w:t>（3）发包人违反第10.1款〔变更的范围〕第（2）项约定，自行实施被取消的工作或转由他人实施的违约责任：</w:t>
      </w:r>
      <w:r>
        <w:rPr>
          <w:rFonts w:hint="eastAsia"/>
          <w:color w:val="auto"/>
          <w:spacing w:val="-1"/>
          <w:position w:val="14"/>
          <w:sz w:val="24"/>
          <w:szCs w:val="24"/>
          <w:highlight w:val="none"/>
          <w:u w:val="single"/>
          <w:lang w:eastAsia="zh-CN"/>
        </w:rPr>
        <w:t xml:space="preserve"> 按通用条款及相关规定执行。</w:t>
      </w:r>
    </w:p>
    <w:p w14:paraId="222938C3">
      <w:pPr>
        <w:pStyle w:val="19"/>
        <w:spacing w:line="360" w:lineRule="auto"/>
        <w:ind w:firstLine="476" w:firstLineChars="200"/>
        <w:jc w:val="both"/>
        <w:rPr>
          <w:color w:val="auto"/>
          <w:spacing w:val="-1"/>
          <w:position w:val="14"/>
          <w:sz w:val="24"/>
          <w:szCs w:val="24"/>
          <w:highlight w:val="none"/>
          <w:lang w:eastAsia="zh-CN"/>
        </w:rPr>
      </w:pPr>
      <w:r>
        <w:rPr>
          <w:rFonts w:hint="eastAsia"/>
          <w:color w:val="auto"/>
          <w:spacing w:val="-1"/>
          <w:position w:val="14"/>
          <w:sz w:val="24"/>
          <w:szCs w:val="24"/>
          <w:highlight w:val="none"/>
          <w:lang w:eastAsia="zh-CN"/>
        </w:rPr>
        <w:t>（4）发包人提供的材料、工程设备的规格、数量或质量不符合合同约定，或因发包人原因导致交货日期延误或交货地点变更等情况的违约责任：</w:t>
      </w:r>
      <w:r>
        <w:rPr>
          <w:rFonts w:hint="eastAsia"/>
          <w:color w:val="auto"/>
          <w:spacing w:val="-1"/>
          <w:position w:val="14"/>
          <w:sz w:val="24"/>
          <w:szCs w:val="24"/>
          <w:highlight w:val="none"/>
          <w:u w:val="single"/>
          <w:lang w:eastAsia="zh-CN"/>
        </w:rPr>
        <w:t xml:space="preserve">  按通用条款及相关规定执行。</w:t>
      </w:r>
    </w:p>
    <w:p w14:paraId="18B737BA">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（5）因发包人违反合同约定造成暂停施工的违约责任：</w:t>
      </w:r>
      <w:r>
        <w:rPr>
          <w:rFonts w:hint="eastAsia"/>
          <w:color w:val="auto"/>
          <w:spacing w:val="-2"/>
          <w:sz w:val="24"/>
          <w:szCs w:val="24"/>
          <w:highlight w:val="none"/>
          <w:u w:val="single"/>
          <w:lang w:eastAsia="zh-CN"/>
        </w:rPr>
        <w:t xml:space="preserve"> 按通用条款</w:t>
      </w:r>
      <w:r>
        <w:rPr>
          <w:rFonts w:hint="eastAsia"/>
          <w:color w:val="auto"/>
          <w:spacing w:val="-3"/>
          <w:sz w:val="24"/>
          <w:szCs w:val="24"/>
          <w:highlight w:val="none"/>
          <w:u w:val="single"/>
          <w:lang w:eastAsia="zh-CN"/>
        </w:rPr>
        <w:t xml:space="preserve">及相关规定执行 </w:t>
      </w:r>
      <w:r>
        <w:rPr>
          <w:rFonts w:hint="eastAsia"/>
          <w:color w:val="auto"/>
          <w:spacing w:val="-3"/>
          <w:sz w:val="24"/>
          <w:szCs w:val="24"/>
          <w:highlight w:val="none"/>
          <w:lang w:eastAsia="zh-CN"/>
        </w:rPr>
        <w:t>。</w:t>
      </w:r>
    </w:p>
    <w:p w14:paraId="756A9C40">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（6）发包人无正当理由没有在约定期限内发出复工指示，导致承包人无法复工</w:t>
      </w:r>
      <w:r>
        <w:rPr>
          <w:rFonts w:hint="eastAsia"/>
          <w:color w:val="auto"/>
          <w:spacing w:val="-6"/>
          <w:sz w:val="24"/>
          <w:szCs w:val="24"/>
          <w:highlight w:val="none"/>
          <w:lang w:eastAsia="zh-CN"/>
        </w:rPr>
        <w:t>的违约责任：</w:t>
      </w:r>
      <w:r>
        <w:rPr>
          <w:rFonts w:hint="eastAsia"/>
          <w:color w:val="auto"/>
          <w:spacing w:val="-1"/>
          <w:sz w:val="24"/>
          <w:szCs w:val="24"/>
          <w:highlight w:val="none"/>
          <w:u w:val="single"/>
          <w:lang w:eastAsia="zh-CN"/>
        </w:rPr>
        <w:t xml:space="preserve">通用条款及相关规定执行 </w:t>
      </w:r>
      <w:r>
        <w:rPr>
          <w:rFonts w:hint="eastAsia"/>
          <w:color w:val="auto"/>
          <w:spacing w:val="-1"/>
          <w:sz w:val="24"/>
          <w:szCs w:val="24"/>
          <w:highlight w:val="none"/>
          <w:lang w:eastAsia="zh-CN"/>
        </w:rPr>
        <w:t>。</w:t>
      </w:r>
    </w:p>
    <w:p w14:paraId="1A69A1B8">
      <w:pPr>
        <w:pStyle w:val="19"/>
        <w:spacing w:line="360" w:lineRule="auto"/>
        <w:ind w:firstLine="444" w:firstLineChars="200"/>
        <w:rPr>
          <w:color w:val="auto"/>
          <w:sz w:val="24"/>
          <w:szCs w:val="24"/>
          <w:highlight w:val="none"/>
          <w:lang w:eastAsia="zh-CN"/>
        </w:rPr>
      </w:pPr>
      <w:r>
        <w:rPr>
          <w:rFonts w:hint="eastAsia"/>
          <w:color w:val="auto"/>
          <w:spacing w:val="-9"/>
          <w:sz w:val="24"/>
          <w:szCs w:val="24"/>
          <w:highlight w:val="none"/>
          <w:lang w:eastAsia="zh-CN"/>
        </w:rPr>
        <w:t>（7）其他：</w:t>
      </w:r>
      <w:r>
        <w:rPr>
          <w:rFonts w:hint="eastAsia"/>
          <w:color w:val="auto"/>
          <w:spacing w:val="-10"/>
          <w:sz w:val="24"/>
          <w:szCs w:val="24"/>
          <w:highlight w:val="none"/>
          <w:lang w:eastAsia="zh-CN"/>
        </w:rPr>
        <w:t>。</w:t>
      </w:r>
    </w:p>
    <w:p w14:paraId="3C1EF846">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16.1.3因发包人违约解除合同</w:t>
      </w:r>
    </w:p>
    <w:p w14:paraId="3A67BC2B">
      <w:pPr>
        <w:pStyle w:val="19"/>
        <w:spacing w:line="360" w:lineRule="auto"/>
        <w:ind w:firstLine="476" w:firstLineChars="200"/>
        <w:rPr>
          <w:b/>
          <w:bCs/>
          <w:color w:val="auto"/>
          <w:spacing w:val="1"/>
          <w:sz w:val="24"/>
          <w:szCs w:val="24"/>
          <w:highlight w:val="none"/>
          <w:lang w:eastAsia="zh-CN"/>
        </w:rPr>
      </w:pPr>
      <w:r>
        <w:rPr>
          <w:rFonts w:hint="eastAsia"/>
          <w:color w:val="auto"/>
          <w:spacing w:val="-1"/>
          <w:sz w:val="24"/>
          <w:szCs w:val="24"/>
          <w:highlight w:val="none"/>
          <w:lang w:eastAsia="zh-CN"/>
        </w:rPr>
        <w:t>承包人按16.1.1项〔发包人违约的情形〕约定暂停施工满</w:t>
      </w:r>
      <w:r>
        <w:rPr>
          <w:rFonts w:hint="eastAsia"/>
          <w:color w:val="auto"/>
          <w:spacing w:val="-2"/>
          <w:sz w:val="24"/>
          <w:szCs w:val="24"/>
          <w:highlight w:val="none"/>
          <w:u w:val="single"/>
          <w:lang w:eastAsia="zh-CN"/>
        </w:rPr>
        <w:t xml:space="preserve">  30</w:t>
      </w:r>
      <w:r>
        <w:rPr>
          <w:rFonts w:hint="eastAsia"/>
          <w:color w:val="auto"/>
          <w:spacing w:val="-2"/>
          <w:sz w:val="24"/>
          <w:szCs w:val="24"/>
          <w:highlight w:val="none"/>
          <w:lang w:eastAsia="zh-CN"/>
        </w:rPr>
        <w:t>天后发包人仍不纠正其违约行</w:t>
      </w:r>
      <w:r>
        <w:rPr>
          <w:rFonts w:hint="eastAsia"/>
          <w:color w:val="auto"/>
          <w:spacing w:val="-5"/>
          <w:sz w:val="24"/>
          <w:szCs w:val="24"/>
          <w:highlight w:val="none"/>
          <w:lang w:eastAsia="zh-CN"/>
        </w:rPr>
        <w:t>为并致使合同目的不能实现的，承包人有权解除合</w:t>
      </w:r>
      <w:r>
        <w:rPr>
          <w:rFonts w:hint="eastAsia"/>
          <w:color w:val="auto"/>
          <w:spacing w:val="-6"/>
          <w:sz w:val="24"/>
          <w:szCs w:val="24"/>
          <w:highlight w:val="none"/>
          <w:lang w:eastAsia="zh-CN"/>
        </w:rPr>
        <w:t>同。</w:t>
      </w:r>
    </w:p>
    <w:p w14:paraId="7032A56F">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16.2  承包人违约</w:t>
      </w:r>
    </w:p>
    <w:p w14:paraId="0B8118E1">
      <w:pPr>
        <w:pStyle w:val="19"/>
        <w:spacing w:line="360" w:lineRule="auto"/>
        <w:ind w:firstLine="476" w:firstLineChars="200"/>
        <w:rPr>
          <w:color w:val="auto"/>
          <w:spacing w:val="-1"/>
          <w:sz w:val="24"/>
          <w:szCs w:val="24"/>
          <w:highlight w:val="none"/>
          <w:lang w:eastAsia="zh-CN"/>
        </w:rPr>
      </w:pPr>
      <w:r>
        <w:rPr>
          <w:rFonts w:hint="eastAsia"/>
          <w:color w:val="auto"/>
          <w:spacing w:val="-1"/>
          <w:sz w:val="24"/>
          <w:szCs w:val="24"/>
          <w:highlight w:val="none"/>
          <w:lang w:eastAsia="zh-CN"/>
        </w:rPr>
        <w:t>16.2.1  承包人违约的情形。</w:t>
      </w:r>
    </w:p>
    <w:p w14:paraId="12984643">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承包人违约的其他情形：。</w:t>
      </w:r>
    </w:p>
    <w:p w14:paraId="49219C02">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16.2.2承包人违约的责任</w:t>
      </w:r>
    </w:p>
    <w:p w14:paraId="388088BD">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承包人违约责任的承担方式和计算方法：</w:t>
      </w:r>
    </w:p>
    <w:p w14:paraId="1C3C40A9">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0624E53E">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（2）承包人有本合同通用条款第16.2.1（6）条情形的，或经监理人检验认为修复质量不合格而承包人拒绝再进行修补的，发包人将扣除承包人全部质量保证金。</w:t>
      </w:r>
    </w:p>
    <w:p w14:paraId="43A6A517">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3）承包人有本专用合同条款3.2、3.3条违约责任的，发包人有权扣除承包人的违约金。违约金金额均在承包人计量支付款内扣除。监理人预先下发含有罚款意向的指令，如承包人不及时采取措施纠正，则在指令下达后十五天下发罚款通知书（不再陈述罚款理由）。承包人在合同期内，完成合同规定的全部工程，且质量合格，在本工程施工竣工验收后十五天内可申请返还全部或部分罚款，返还金额由监理人审核，发包人批准。罚款金额返还时不包括银行利息。</w:t>
      </w:r>
    </w:p>
    <w:p w14:paraId="70C56914">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16.2.3因承包人违约解除合同</w:t>
      </w:r>
    </w:p>
    <w:p w14:paraId="2FC0AD01">
      <w:pPr>
        <w:pStyle w:val="19"/>
        <w:spacing w:line="360" w:lineRule="auto"/>
        <w:ind w:firstLine="472" w:firstLineChars="200"/>
        <w:rPr>
          <w:rFonts w:hint="eastAsia"/>
          <w:color w:val="auto"/>
          <w:spacing w:val="-2"/>
          <w:sz w:val="24"/>
          <w:szCs w:val="24"/>
          <w:highlight w:val="none"/>
          <w:lang w:eastAsia="zh-CN"/>
        </w:rPr>
      </w:pPr>
      <w:r>
        <w:rPr>
          <w:rFonts w:hint="eastAsia"/>
          <w:color w:val="auto"/>
          <w:spacing w:val="-2"/>
          <w:sz w:val="24"/>
          <w:szCs w:val="24"/>
          <w:highlight w:val="none"/>
          <w:lang w:eastAsia="zh-CN"/>
        </w:rPr>
        <w:t>关于承包人违约解除合同的特别约定：承包人发生本条款约定的违约情形，且在发包人要求的合理期限内仍未采取有效纠正措施，致使合同目的无法实现的，发包人有权按照合同约定解除本合同。</w:t>
      </w:r>
    </w:p>
    <w:p w14:paraId="4719C7C6">
      <w:pPr>
        <w:pStyle w:val="19"/>
        <w:spacing w:line="360" w:lineRule="auto"/>
        <w:ind w:firstLine="472" w:firstLineChars="200"/>
        <w:rPr>
          <w:rFonts w:hint="eastAsia"/>
          <w:color w:val="auto"/>
          <w:spacing w:val="-2"/>
          <w:sz w:val="24"/>
          <w:szCs w:val="24"/>
          <w:highlight w:val="none"/>
          <w:lang w:eastAsia="zh-CN"/>
        </w:rPr>
      </w:pPr>
      <w:r>
        <w:rPr>
          <w:rFonts w:hint="eastAsia"/>
          <w:color w:val="auto"/>
          <w:spacing w:val="-2"/>
          <w:sz w:val="24"/>
          <w:szCs w:val="24"/>
          <w:highlight w:val="none"/>
          <w:lang w:eastAsia="zh-CN"/>
        </w:rPr>
        <w:t>合同解除后，发包人有权要求承包人及其人员在规定期限内退场，承包人应于规定期限内向发包人移交完成合格施工部分的全部工程资料、临时设施及已完工程，发包人有权就未完成部分工程另行组织施工单位进场施工。因承包人退场给发包人造成额外赶工费用、管理费用支出的，全部由承包人承担。</w:t>
      </w:r>
    </w:p>
    <w:p w14:paraId="7087A165">
      <w:pPr>
        <w:pStyle w:val="19"/>
        <w:spacing w:line="360" w:lineRule="auto"/>
        <w:ind w:firstLine="472" w:firstLineChars="200"/>
        <w:rPr>
          <w:rFonts w:hint="eastAsia"/>
          <w:color w:val="auto"/>
          <w:spacing w:val="-2"/>
          <w:sz w:val="24"/>
          <w:szCs w:val="24"/>
          <w:highlight w:val="none"/>
          <w:lang w:eastAsia="zh-CN"/>
        </w:rPr>
      </w:pPr>
      <w:r>
        <w:rPr>
          <w:rFonts w:hint="eastAsia"/>
          <w:color w:val="auto"/>
          <w:spacing w:val="-2"/>
          <w:sz w:val="24"/>
          <w:szCs w:val="24"/>
          <w:highlight w:val="none"/>
          <w:lang w:eastAsia="zh-CN"/>
        </w:rPr>
        <w:t>合同解除后，发包人有权委托</w:t>
      </w:r>
      <w:r>
        <w:rPr>
          <w:rFonts w:hint="eastAsia"/>
          <w:color w:val="auto"/>
          <w:spacing w:val="-2"/>
          <w:sz w:val="24"/>
          <w:szCs w:val="24"/>
          <w:highlight w:val="none"/>
          <w:lang w:val="en-US" w:eastAsia="zh-CN"/>
        </w:rPr>
        <w:t>第三方评审</w:t>
      </w:r>
      <w:r>
        <w:rPr>
          <w:rFonts w:hint="eastAsia"/>
          <w:color w:val="auto"/>
          <w:spacing w:val="-2"/>
          <w:sz w:val="24"/>
          <w:szCs w:val="24"/>
          <w:highlight w:val="none"/>
          <w:lang w:eastAsia="zh-CN"/>
        </w:rPr>
        <w:t>机构对已完合格工程进行造价审核，审核确定已完合格工程价款后，扣除承包人应承担的违约金、损失赔偿金以及发包人已超付的工程价款后，将剩余价款支付给承包人；若已付款项超出承包人已完合格工程应得价款，承包人应在接到发包人退款通知后30日内将超付部分全额返还发包人。</w:t>
      </w:r>
    </w:p>
    <w:p w14:paraId="4A7F7343">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因承包人违约解除合同给发包人造成的损失，包括但不限于另行发包产生的价差损失、工期延误损失、管理费、鉴定费、诉讼费、保全费、律师费等，均由承包人承担，发包人有权从应付承包人的任何款项中直接扣除，不足部分有权向承包人追偿。</w:t>
      </w:r>
    </w:p>
    <w:p w14:paraId="79612760">
      <w:pPr>
        <w:pStyle w:val="19"/>
        <w:spacing w:line="360" w:lineRule="auto"/>
        <w:ind w:firstLine="464" w:firstLineChars="200"/>
        <w:rPr>
          <w:color w:val="auto"/>
          <w:spacing w:val="-4"/>
          <w:sz w:val="24"/>
          <w:szCs w:val="24"/>
          <w:highlight w:val="none"/>
          <w:lang w:eastAsia="zh-CN"/>
        </w:rPr>
      </w:pPr>
      <w:r>
        <w:rPr>
          <w:rFonts w:hint="eastAsia"/>
          <w:color w:val="auto"/>
          <w:spacing w:val="-4"/>
          <w:sz w:val="24"/>
          <w:szCs w:val="24"/>
          <w:highlight w:val="none"/>
          <w:lang w:eastAsia="zh-CN"/>
        </w:rPr>
        <w:t>发包人继续使用承包人在施工现场的材料、设备、临时工程、承包人文件和由承包人或以其名义编制的其他文件的费用承担方式：</w:t>
      </w:r>
      <w:r>
        <w:rPr>
          <w:rFonts w:hint="eastAsia"/>
          <w:color w:val="auto"/>
          <w:spacing w:val="-4"/>
          <w:sz w:val="24"/>
          <w:szCs w:val="24"/>
          <w:highlight w:val="none"/>
          <w:u w:val="single"/>
          <w:lang w:eastAsia="zh-CN"/>
        </w:rPr>
        <w:t xml:space="preserve"> 另行协商 </w:t>
      </w:r>
      <w:r>
        <w:rPr>
          <w:rFonts w:hint="eastAsia"/>
          <w:color w:val="auto"/>
          <w:spacing w:val="-4"/>
          <w:sz w:val="24"/>
          <w:szCs w:val="24"/>
          <w:highlight w:val="none"/>
          <w:lang w:eastAsia="zh-CN"/>
        </w:rPr>
        <w:t>。</w:t>
      </w:r>
    </w:p>
    <w:p w14:paraId="0D7A23FB">
      <w:pPr>
        <w:pStyle w:val="19"/>
        <w:spacing w:line="360" w:lineRule="auto"/>
        <w:jc w:val="both"/>
        <w:rPr>
          <w:b/>
          <w:bCs/>
          <w:color w:val="auto"/>
          <w:spacing w:val="1"/>
          <w:sz w:val="24"/>
          <w:szCs w:val="24"/>
          <w:highlight w:val="none"/>
          <w:lang w:eastAsia="zh-CN"/>
        </w:rPr>
      </w:pPr>
      <w:r>
        <w:rPr>
          <w:rFonts w:hint="eastAsia"/>
          <w:b/>
          <w:bCs/>
          <w:color w:val="auto"/>
          <w:spacing w:val="1"/>
          <w:sz w:val="24"/>
          <w:szCs w:val="24"/>
          <w:highlight w:val="none"/>
          <w:lang w:eastAsia="zh-CN"/>
        </w:rPr>
        <w:t>17.  不可抗力</w:t>
      </w:r>
    </w:p>
    <w:p w14:paraId="464B079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17.1  不可抗力的确认</w:t>
      </w:r>
    </w:p>
    <w:p w14:paraId="6F7A8714">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除通用合同条款约定的不可抗力事件之外，视为不可抗力的其他情形</w:t>
      </w:r>
      <w:r>
        <w:rPr>
          <w:rFonts w:hint="eastAsia"/>
          <w:color w:val="auto"/>
          <w:spacing w:val="-15"/>
          <w:sz w:val="24"/>
          <w:szCs w:val="24"/>
          <w:highlight w:val="none"/>
          <w:lang w:eastAsia="zh-CN"/>
        </w:rPr>
        <w:t>：</w:t>
      </w:r>
      <w:r>
        <w:rPr>
          <w:rFonts w:hint="eastAsia"/>
          <w:color w:val="auto"/>
          <w:spacing w:val="-15"/>
          <w:sz w:val="24"/>
          <w:szCs w:val="24"/>
          <w:highlight w:val="none"/>
          <w:u w:val="single"/>
          <w:lang w:eastAsia="zh-CN"/>
        </w:rPr>
        <w:t>（</w:t>
      </w:r>
      <w:r>
        <w:rPr>
          <w:rFonts w:hint="eastAsia"/>
          <w:color w:val="auto"/>
          <w:spacing w:val="-2"/>
          <w:sz w:val="24"/>
          <w:szCs w:val="24"/>
          <w:highlight w:val="none"/>
          <w:u w:val="single"/>
          <w:lang w:eastAsia="zh-CN"/>
        </w:rPr>
        <w:t>1）当</w:t>
      </w:r>
      <w:r>
        <w:rPr>
          <w:rFonts w:hint="eastAsia"/>
          <w:color w:val="auto"/>
          <w:spacing w:val="-3"/>
          <w:sz w:val="24"/>
          <w:szCs w:val="24"/>
          <w:highlight w:val="none"/>
          <w:u w:val="single"/>
          <w:lang w:eastAsia="zh-CN"/>
        </w:rPr>
        <w:t>地 8 级以上的破坏性地震</w:t>
      </w:r>
      <w:r>
        <w:rPr>
          <w:rFonts w:hint="eastAsia"/>
          <w:color w:val="auto"/>
          <w:spacing w:val="-10"/>
          <w:sz w:val="24"/>
          <w:szCs w:val="24"/>
          <w:highlight w:val="none"/>
          <w:u w:val="single"/>
          <w:lang w:eastAsia="zh-CN"/>
        </w:rPr>
        <w:t>；（</w:t>
      </w:r>
      <w:r>
        <w:rPr>
          <w:rFonts w:hint="eastAsia"/>
          <w:color w:val="auto"/>
          <w:spacing w:val="-3"/>
          <w:sz w:val="24"/>
          <w:szCs w:val="24"/>
          <w:highlight w:val="none"/>
          <w:u w:val="single"/>
          <w:lang w:eastAsia="zh-CN"/>
        </w:rPr>
        <w:t>2）暴雨级以上的持续 3 天的大雨</w:t>
      </w:r>
      <w:r>
        <w:rPr>
          <w:rFonts w:hint="eastAsia"/>
          <w:color w:val="auto"/>
          <w:spacing w:val="-10"/>
          <w:sz w:val="24"/>
          <w:szCs w:val="24"/>
          <w:highlight w:val="none"/>
          <w:u w:val="single"/>
          <w:lang w:eastAsia="zh-CN"/>
        </w:rPr>
        <w:t>；（</w:t>
      </w:r>
      <w:r>
        <w:rPr>
          <w:rFonts w:hint="eastAsia"/>
          <w:color w:val="auto"/>
          <w:spacing w:val="-3"/>
          <w:sz w:val="24"/>
          <w:szCs w:val="24"/>
          <w:highlight w:val="none"/>
          <w:u w:val="single"/>
          <w:lang w:eastAsia="zh-CN"/>
        </w:rPr>
        <w:t>3）</w:t>
      </w:r>
      <w:r>
        <w:rPr>
          <w:rFonts w:hint="eastAsia"/>
          <w:color w:val="auto"/>
          <w:sz w:val="24"/>
          <w:szCs w:val="24"/>
          <w:highlight w:val="none"/>
          <w:u w:val="single"/>
          <w:lang w:eastAsia="zh-CN"/>
        </w:rPr>
        <w:t>5年以上未发生过的、持续5天的高/低温天气</w:t>
      </w:r>
      <w:r>
        <w:rPr>
          <w:rFonts w:hint="eastAsia"/>
          <w:color w:val="auto"/>
          <w:spacing w:val="-52"/>
          <w:sz w:val="24"/>
          <w:szCs w:val="24"/>
          <w:highlight w:val="none"/>
          <w:u w:val="single"/>
          <w:lang w:eastAsia="zh-CN"/>
        </w:rPr>
        <w:t>；（</w:t>
      </w:r>
      <w:r>
        <w:rPr>
          <w:rFonts w:hint="eastAsia"/>
          <w:color w:val="auto"/>
          <w:spacing w:val="-1"/>
          <w:sz w:val="24"/>
          <w:szCs w:val="24"/>
          <w:highlight w:val="none"/>
          <w:u w:val="single"/>
          <w:lang w:eastAsia="zh-CN"/>
        </w:rPr>
        <w:t>4）百年一遇的洪水</w:t>
      </w:r>
      <w:r>
        <w:rPr>
          <w:rFonts w:hint="eastAsia"/>
          <w:color w:val="auto"/>
          <w:spacing w:val="-52"/>
          <w:sz w:val="24"/>
          <w:szCs w:val="24"/>
          <w:highlight w:val="none"/>
          <w:u w:val="single"/>
          <w:lang w:eastAsia="zh-CN"/>
        </w:rPr>
        <w:t>；（</w:t>
      </w:r>
      <w:r>
        <w:rPr>
          <w:rFonts w:hint="eastAsia"/>
          <w:color w:val="auto"/>
          <w:spacing w:val="-1"/>
          <w:sz w:val="24"/>
          <w:szCs w:val="24"/>
          <w:highlight w:val="none"/>
          <w:u w:val="single"/>
          <w:lang w:eastAsia="zh-CN"/>
        </w:rPr>
        <w:t xml:space="preserve">5）12 级以上的大风 </w:t>
      </w:r>
      <w:r>
        <w:rPr>
          <w:rFonts w:hint="eastAsia"/>
          <w:color w:val="auto"/>
          <w:spacing w:val="-52"/>
          <w:sz w:val="24"/>
          <w:szCs w:val="24"/>
          <w:highlight w:val="none"/>
          <w:u w:val="single"/>
          <w:lang w:eastAsia="zh-CN"/>
        </w:rPr>
        <w:t>；（</w:t>
      </w:r>
      <w:r>
        <w:rPr>
          <w:rFonts w:hint="eastAsia"/>
          <w:color w:val="auto"/>
          <w:spacing w:val="-1"/>
          <w:sz w:val="24"/>
          <w:szCs w:val="24"/>
          <w:highlight w:val="none"/>
          <w:u w:val="single"/>
          <w:lang w:eastAsia="zh-CN"/>
        </w:rPr>
        <w:t>6）山洪及泥石流</w:t>
      </w:r>
      <w:r>
        <w:rPr>
          <w:rFonts w:hint="eastAsia"/>
          <w:color w:val="auto"/>
          <w:spacing w:val="-52"/>
          <w:sz w:val="24"/>
          <w:szCs w:val="24"/>
          <w:highlight w:val="none"/>
          <w:u w:val="single"/>
          <w:lang w:eastAsia="zh-CN"/>
        </w:rPr>
        <w:t>；（</w:t>
      </w:r>
      <w:r>
        <w:rPr>
          <w:rFonts w:hint="eastAsia"/>
          <w:color w:val="auto"/>
          <w:spacing w:val="-1"/>
          <w:sz w:val="24"/>
          <w:szCs w:val="24"/>
          <w:highlight w:val="none"/>
          <w:u w:val="single"/>
          <w:lang w:eastAsia="zh-CN"/>
        </w:rPr>
        <w:t>7）疫情防控需要</w:t>
      </w:r>
      <w:r>
        <w:rPr>
          <w:rFonts w:hint="eastAsia"/>
          <w:color w:val="auto"/>
          <w:spacing w:val="-2"/>
          <w:sz w:val="24"/>
          <w:szCs w:val="24"/>
          <w:highlight w:val="none"/>
          <w:lang w:eastAsia="zh-CN"/>
        </w:rPr>
        <w:t>。</w:t>
      </w:r>
    </w:p>
    <w:p w14:paraId="7D2422AA">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17.4  因不可抗力解除合同</w:t>
      </w:r>
    </w:p>
    <w:p w14:paraId="32D1F40B">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合同解除后，发包人应在商定或确定发包人应支付款项后</w:t>
      </w:r>
      <w:r>
        <w:rPr>
          <w:rFonts w:hint="eastAsia"/>
          <w:color w:val="auto"/>
          <w:sz w:val="24"/>
          <w:szCs w:val="24"/>
          <w:highlight w:val="none"/>
          <w:u w:val="single"/>
          <w:lang w:eastAsia="zh-CN"/>
        </w:rPr>
        <w:t xml:space="preserve"> 30 </w:t>
      </w:r>
      <w:r>
        <w:rPr>
          <w:rFonts w:hint="eastAsia"/>
          <w:color w:val="auto"/>
          <w:sz w:val="24"/>
          <w:szCs w:val="24"/>
          <w:highlight w:val="none"/>
          <w:lang w:eastAsia="zh-CN"/>
        </w:rPr>
        <w:t>天内完成款项的支</w:t>
      </w:r>
      <w:r>
        <w:rPr>
          <w:rFonts w:hint="eastAsia"/>
          <w:color w:val="auto"/>
          <w:spacing w:val="-1"/>
          <w:sz w:val="24"/>
          <w:szCs w:val="24"/>
          <w:highlight w:val="none"/>
          <w:lang w:eastAsia="zh-CN"/>
        </w:rPr>
        <w:t>付。</w:t>
      </w:r>
    </w:p>
    <w:p w14:paraId="10EE593B">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18.  保险</w:t>
      </w:r>
    </w:p>
    <w:p w14:paraId="1BE52F5C">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18.1  工程保险</w:t>
      </w:r>
    </w:p>
    <w:p w14:paraId="5B1C8D78">
      <w:pPr>
        <w:pStyle w:val="19"/>
        <w:spacing w:line="360" w:lineRule="auto"/>
        <w:ind w:firstLine="476" w:firstLineChars="200"/>
        <w:rPr>
          <w:color w:val="auto"/>
          <w:sz w:val="24"/>
          <w:szCs w:val="24"/>
          <w:highlight w:val="none"/>
          <w:lang w:eastAsia="zh-CN"/>
        </w:rPr>
      </w:pPr>
      <w:r>
        <w:rPr>
          <w:rFonts w:hint="eastAsia"/>
          <w:color w:val="auto"/>
          <w:spacing w:val="-1"/>
          <w:sz w:val="24"/>
          <w:szCs w:val="24"/>
          <w:highlight w:val="none"/>
          <w:lang w:eastAsia="zh-CN"/>
        </w:rPr>
        <w:t>关于工程保险的特别约定：</w:t>
      </w:r>
      <w:r>
        <w:rPr>
          <w:rFonts w:hint="eastAsia"/>
          <w:color w:val="auto"/>
          <w:spacing w:val="-1"/>
          <w:sz w:val="24"/>
          <w:szCs w:val="24"/>
          <w:highlight w:val="none"/>
          <w:u w:val="single"/>
          <w:lang w:eastAsia="zh-CN"/>
        </w:rPr>
        <w:t xml:space="preserve"> 本工程投保工程保险。投保工程保险时，险种为：工伤保险、</w:t>
      </w:r>
      <w:r>
        <w:rPr>
          <w:rFonts w:hint="eastAsia"/>
          <w:color w:val="auto"/>
          <w:spacing w:val="-9"/>
          <w:sz w:val="24"/>
          <w:szCs w:val="24"/>
          <w:highlight w:val="none"/>
          <w:u w:val="single"/>
          <w:lang w:eastAsia="zh-CN"/>
        </w:rPr>
        <w:t>意外伤害保险和第三者责任险， 并符合以下约定：</w:t>
      </w:r>
    </w:p>
    <w:p w14:paraId="7CFB5CAD">
      <w:pPr>
        <w:pStyle w:val="19"/>
        <w:tabs>
          <w:tab w:val="left" w:pos="550"/>
        </w:tabs>
        <w:spacing w:line="360" w:lineRule="auto"/>
        <w:ind w:firstLine="380" w:firstLineChars="200"/>
        <w:rPr>
          <w:color w:val="auto"/>
          <w:sz w:val="24"/>
          <w:szCs w:val="24"/>
          <w:highlight w:val="none"/>
          <w:lang w:eastAsia="zh-CN"/>
        </w:rPr>
      </w:pPr>
      <w:r>
        <w:rPr>
          <w:rFonts w:hint="eastAsia"/>
          <w:color w:val="auto"/>
          <w:spacing w:val="-25"/>
          <w:sz w:val="24"/>
          <w:szCs w:val="24"/>
          <w:highlight w:val="none"/>
          <w:u w:val="single"/>
          <w:lang w:eastAsia="zh-CN"/>
        </w:rPr>
        <w:t>（1）投保人：承包人。</w:t>
      </w:r>
    </w:p>
    <w:p w14:paraId="2F677E16">
      <w:pPr>
        <w:pStyle w:val="19"/>
        <w:tabs>
          <w:tab w:val="left" w:pos="550"/>
        </w:tabs>
        <w:spacing w:line="360" w:lineRule="auto"/>
        <w:ind w:firstLine="464" w:firstLineChars="200"/>
        <w:rPr>
          <w:color w:val="auto"/>
          <w:sz w:val="24"/>
          <w:szCs w:val="24"/>
          <w:highlight w:val="none"/>
          <w:lang w:eastAsia="zh-CN"/>
        </w:rPr>
      </w:pPr>
      <w:r>
        <w:rPr>
          <w:rFonts w:hint="eastAsia"/>
          <w:color w:val="auto"/>
          <w:spacing w:val="-4"/>
          <w:sz w:val="24"/>
          <w:szCs w:val="24"/>
          <w:highlight w:val="none"/>
          <w:u w:val="single"/>
          <w:lang w:eastAsia="zh-CN"/>
        </w:rPr>
        <w:t>（2）投保内容：本工程的建设工程一切险和第三者责任险，由承包人负责具体投保及理赔</w:t>
      </w:r>
      <w:r>
        <w:rPr>
          <w:rFonts w:hint="eastAsia"/>
          <w:color w:val="auto"/>
          <w:sz w:val="24"/>
          <w:szCs w:val="24"/>
          <w:highlight w:val="none"/>
          <w:u w:val="single"/>
          <w:lang w:eastAsia="zh-CN"/>
        </w:rPr>
        <w:t>事宜并经得发包人事先同意，投保费用由发包人负责；承包人还必须为施工现场从事施工的自所有作业人员和管理人员（包括负责本工程的发包人和监理单位的管理人员）办理意外伤害保</w:t>
      </w:r>
      <w:r>
        <w:rPr>
          <w:rFonts w:hint="eastAsia"/>
          <w:color w:val="auto"/>
          <w:spacing w:val="-8"/>
          <w:sz w:val="24"/>
          <w:szCs w:val="24"/>
          <w:highlight w:val="none"/>
          <w:u w:val="single"/>
          <w:lang w:eastAsia="zh-CN"/>
        </w:rPr>
        <w:t>险，费用由承包人负责。</w:t>
      </w:r>
    </w:p>
    <w:p w14:paraId="1FE05D30">
      <w:pPr>
        <w:pStyle w:val="19"/>
        <w:tabs>
          <w:tab w:val="left" w:pos="550"/>
        </w:tabs>
        <w:spacing w:line="360" w:lineRule="auto"/>
        <w:ind w:firstLine="448" w:firstLineChars="200"/>
        <w:rPr>
          <w:color w:val="auto"/>
          <w:sz w:val="24"/>
          <w:szCs w:val="24"/>
          <w:highlight w:val="none"/>
          <w:lang w:eastAsia="zh-CN"/>
        </w:rPr>
      </w:pPr>
      <w:r>
        <w:rPr>
          <w:rFonts w:hint="eastAsia"/>
          <w:color w:val="auto"/>
          <w:spacing w:val="-8"/>
          <w:sz w:val="24"/>
          <w:szCs w:val="24"/>
          <w:highlight w:val="none"/>
          <w:u w:val="single"/>
          <w:lang w:eastAsia="zh-CN"/>
        </w:rPr>
        <w:t>（3）保险费率：由投保人与合同双方同意的保险人商定。</w:t>
      </w:r>
    </w:p>
    <w:p w14:paraId="07FCC013">
      <w:pPr>
        <w:pStyle w:val="19"/>
        <w:tabs>
          <w:tab w:val="left" w:pos="550"/>
        </w:tabs>
        <w:spacing w:line="360" w:lineRule="auto"/>
        <w:ind w:firstLine="436" w:firstLineChars="200"/>
        <w:rPr>
          <w:color w:val="auto"/>
          <w:sz w:val="24"/>
          <w:szCs w:val="24"/>
          <w:highlight w:val="none"/>
          <w:lang w:eastAsia="zh-CN"/>
        </w:rPr>
      </w:pPr>
      <w:r>
        <w:rPr>
          <w:rFonts w:hint="eastAsia"/>
          <w:color w:val="auto"/>
          <w:spacing w:val="-11"/>
          <w:sz w:val="24"/>
          <w:szCs w:val="24"/>
          <w:highlight w:val="none"/>
          <w:u w:val="single"/>
          <w:lang w:eastAsia="zh-CN"/>
        </w:rPr>
        <w:t>（4）保险金额：根据有关规定确定。</w:t>
      </w:r>
    </w:p>
    <w:p w14:paraId="65031A4E">
      <w:pPr>
        <w:pStyle w:val="19"/>
        <w:tabs>
          <w:tab w:val="left" w:pos="550"/>
        </w:tabs>
        <w:spacing w:line="360" w:lineRule="auto"/>
        <w:ind w:firstLine="448" w:firstLineChars="200"/>
        <w:rPr>
          <w:color w:val="auto"/>
          <w:sz w:val="24"/>
          <w:szCs w:val="24"/>
          <w:highlight w:val="none"/>
          <w:lang w:eastAsia="zh-CN"/>
        </w:rPr>
      </w:pPr>
      <w:r>
        <w:rPr>
          <w:rFonts w:hint="eastAsia"/>
          <w:color w:val="auto"/>
          <w:spacing w:val="-8"/>
          <w:sz w:val="24"/>
          <w:szCs w:val="24"/>
          <w:highlight w:val="none"/>
          <w:u w:val="single"/>
          <w:lang w:eastAsia="zh-CN"/>
        </w:rPr>
        <w:t>（5）保险期限：工程实施期间。</w:t>
      </w:r>
    </w:p>
    <w:p w14:paraId="61F48063">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18.3  其他保险</w:t>
      </w:r>
    </w:p>
    <w:p w14:paraId="30B4409C">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关于其他保险的约定：</w:t>
      </w:r>
      <w:r>
        <w:rPr>
          <w:rFonts w:hint="eastAsia"/>
          <w:color w:val="auto"/>
          <w:spacing w:val="-2"/>
          <w:sz w:val="24"/>
          <w:szCs w:val="24"/>
          <w:highlight w:val="none"/>
          <w:u w:val="single"/>
          <w:lang w:eastAsia="zh-CN"/>
        </w:rPr>
        <w:t xml:space="preserve"> 本工程的建设工程一切险和第三者责任</w:t>
      </w:r>
      <w:r>
        <w:rPr>
          <w:rFonts w:hint="eastAsia"/>
          <w:color w:val="auto"/>
          <w:spacing w:val="-3"/>
          <w:sz w:val="24"/>
          <w:szCs w:val="24"/>
          <w:highlight w:val="none"/>
          <w:u w:val="single"/>
          <w:lang w:eastAsia="zh-CN"/>
        </w:rPr>
        <w:t>险，保险费率由承包人与</w:t>
      </w:r>
      <w:r>
        <w:rPr>
          <w:rFonts w:hint="eastAsia"/>
          <w:color w:val="auto"/>
          <w:spacing w:val="-1"/>
          <w:sz w:val="24"/>
          <w:szCs w:val="24"/>
          <w:highlight w:val="none"/>
          <w:u w:val="single"/>
          <w:lang w:eastAsia="zh-CN"/>
        </w:rPr>
        <w:t>发包人同意的保险人商定，相关保险费由发包人承担。</w:t>
      </w:r>
    </w:p>
    <w:p w14:paraId="0993C9C8">
      <w:pPr>
        <w:pStyle w:val="19"/>
        <w:spacing w:line="360" w:lineRule="auto"/>
        <w:ind w:firstLine="468" w:firstLineChars="200"/>
        <w:rPr>
          <w:color w:val="auto"/>
          <w:spacing w:val="-3"/>
          <w:sz w:val="24"/>
          <w:szCs w:val="24"/>
          <w:highlight w:val="none"/>
          <w:lang w:eastAsia="zh-CN"/>
        </w:rPr>
      </w:pPr>
      <w:r>
        <w:rPr>
          <w:rFonts w:hint="eastAsia"/>
          <w:color w:val="auto"/>
          <w:spacing w:val="-3"/>
          <w:sz w:val="24"/>
          <w:szCs w:val="24"/>
          <w:highlight w:val="none"/>
          <w:lang w:eastAsia="zh-CN"/>
        </w:rPr>
        <w:t>承包人是否应为其施工设备等办理财产保险：</w:t>
      </w:r>
      <w:r>
        <w:rPr>
          <w:rFonts w:hint="eastAsia"/>
          <w:color w:val="auto"/>
          <w:spacing w:val="-3"/>
          <w:sz w:val="24"/>
          <w:szCs w:val="24"/>
          <w:highlight w:val="none"/>
          <w:u w:val="single"/>
          <w:lang w:eastAsia="zh-CN"/>
        </w:rPr>
        <w:t xml:space="preserve">  承包人自行办理 </w:t>
      </w:r>
      <w:r>
        <w:rPr>
          <w:rFonts w:hint="eastAsia"/>
          <w:color w:val="auto"/>
          <w:spacing w:val="-3"/>
          <w:sz w:val="24"/>
          <w:szCs w:val="24"/>
          <w:highlight w:val="none"/>
          <w:lang w:eastAsia="zh-CN"/>
        </w:rPr>
        <w:t>。</w:t>
      </w:r>
    </w:p>
    <w:p w14:paraId="76696F18">
      <w:pPr>
        <w:pStyle w:val="19"/>
        <w:spacing w:line="360" w:lineRule="auto"/>
        <w:rPr>
          <w:b/>
          <w:bCs/>
          <w:color w:val="auto"/>
          <w:spacing w:val="1"/>
          <w:sz w:val="24"/>
          <w:szCs w:val="24"/>
          <w:highlight w:val="none"/>
          <w:lang w:eastAsia="zh-CN"/>
        </w:rPr>
      </w:pPr>
      <w:r>
        <w:rPr>
          <w:rFonts w:hint="eastAsia"/>
          <w:b/>
          <w:bCs/>
          <w:color w:val="auto"/>
          <w:spacing w:val="1"/>
          <w:sz w:val="24"/>
          <w:szCs w:val="24"/>
          <w:highlight w:val="none"/>
          <w:lang w:eastAsia="zh-CN"/>
        </w:rPr>
        <w:t>18.7  通知义务</w:t>
      </w:r>
    </w:p>
    <w:p w14:paraId="1E0E276C">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关于变更保险合同时的通知义务的约定：</w:t>
      </w:r>
      <w:r>
        <w:rPr>
          <w:rFonts w:hint="eastAsia"/>
          <w:color w:val="auto"/>
          <w:spacing w:val="-4"/>
          <w:sz w:val="24"/>
          <w:szCs w:val="24"/>
          <w:highlight w:val="none"/>
          <w:u w:val="single"/>
          <w:lang w:eastAsia="zh-CN"/>
        </w:rPr>
        <w:t xml:space="preserve">  无  </w:t>
      </w:r>
      <w:r>
        <w:rPr>
          <w:rFonts w:hint="eastAsia"/>
          <w:color w:val="auto"/>
          <w:spacing w:val="-4"/>
          <w:sz w:val="24"/>
          <w:szCs w:val="24"/>
          <w:highlight w:val="none"/>
          <w:lang w:eastAsia="zh-CN"/>
        </w:rPr>
        <w:t>。</w:t>
      </w:r>
    </w:p>
    <w:p w14:paraId="3043DE50">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20.  争议解决</w:t>
      </w:r>
    </w:p>
    <w:p w14:paraId="2B89B83B">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20.3  争议评审</w:t>
      </w:r>
    </w:p>
    <w:p w14:paraId="16E2CE7F">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 xml:space="preserve">合同当事人是否同意将工程争议提交争议评审小组决定： </w:t>
      </w:r>
      <w:r>
        <w:rPr>
          <w:rFonts w:hint="eastAsia"/>
          <w:color w:val="auto"/>
          <w:spacing w:val="-4"/>
          <w:sz w:val="24"/>
          <w:szCs w:val="24"/>
          <w:highlight w:val="none"/>
          <w:u w:val="single"/>
          <w:lang w:eastAsia="zh-CN"/>
        </w:rPr>
        <w:t xml:space="preserve">不同意   </w:t>
      </w:r>
      <w:r>
        <w:rPr>
          <w:rFonts w:hint="eastAsia"/>
          <w:color w:val="auto"/>
          <w:spacing w:val="-4"/>
          <w:sz w:val="24"/>
          <w:szCs w:val="24"/>
          <w:highlight w:val="none"/>
          <w:lang w:eastAsia="zh-CN"/>
        </w:rPr>
        <w:t>。</w:t>
      </w:r>
    </w:p>
    <w:p w14:paraId="37F89449">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20.3.1争议评审小组的确定</w:t>
      </w:r>
    </w:p>
    <w:p w14:paraId="7F4F7AA4">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争议评审小组成员的确定：</w:t>
      </w:r>
      <w:r>
        <w:rPr>
          <w:rFonts w:hint="eastAsia"/>
          <w:color w:val="auto"/>
          <w:sz w:val="24"/>
          <w:szCs w:val="24"/>
          <w:highlight w:val="none"/>
          <w:u w:val="single"/>
          <w:lang w:eastAsia="zh-CN"/>
        </w:rPr>
        <w:t xml:space="preserve"> 无 </w:t>
      </w:r>
      <w:r>
        <w:rPr>
          <w:rFonts w:hint="eastAsia"/>
          <w:color w:val="auto"/>
          <w:spacing w:val="-1"/>
          <w:sz w:val="24"/>
          <w:szCs w:val="24"/>
          <w:highlight w:val="none"/>
          <w:lang w:eastAsia="zh-CN"/>
        </w:rPr>
        <w:t>。</w:t>
      </w:r>
    </w:p>
    <w:p w14:paraId="16A8CB42">
      <w:pPr>
        <w:pStyle w:val="19"/>
        <w:spacing w:line="360" w:lineRule="auto"/>
        <w:ind w:firstLine="452" w:firstLineChars="200"/>
        <w:rPr>
          <w:color w:val="auto"/>
          <w:sz w:val="24"/>
          <w:szCs w:val="24"/>
          <w:highlight w:val="none"/>
          <w:lang w:eastAsia="zh-CN"/>
        </w:rPr>
      </w:pPr>
      <w:r>
        <w:rPr>
          <w:rFonts w:hint="eastAsia"/>
          <w:color w:val="auto"/>
          <w:spacing w:val="-7"/>
          <w:sz w:val="24"/>
          <w:szCs w:val="24"/>
          <w:highlight w:val="none"/>
          <w:lang w:eastAsia="zh-CN"/>
        </w:rPr>
        <w:t>选定争议评审员的期限：</w:t>
      </w:r>
      <w:r>
        <w:rPr>
          <w:rFonts w:hint="eastAsia"/>
          <w:color w:val="auto"/>
          <w:spacing w:val="-7"/>
          <w:sz w:val="24"/>
          <w:szCs w:val="24"/>
          <w:highlight w:val="none"/>
          <w:u w:val="single"/>
          <w:lang w:eastAsia="zh-CN"/>
        </w:rPr>
        <w:t>无</w:t>
      </w:r>
      <w:r>
        <w:rPr>
          <w:rFonts w:hint="eastAsia"/>
          <w:color w:val="auto"/>
          <w:spacing w:val="-7"/>
          <w:sz w:val="24"/>
          <w:szCs w:val="24"/>
          <w:highlight w:val="none"/>
          <w:lang w:eastAsia="zh-CN"/>
        </w:rPr>
        <w:t>。</w:t>
      </w:r>
    </w:p>
    <w:p w14:paraId="49C045F9">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争议评审小组成员的报酬承担方式：</w:t>
      </w:r>
      <w:r>
        <w:rPr>
          <w:rFonts w:hint="eastAsia"/>
          <w:color w:val="auto"/>
          <w:spacing w:val="-3"/>
          <w:sz w:val="24"/>
          <w:szCs w:val="24"/>
          <w:highlight w:val="none"/>
          <w:u w:val="single"/>
          <w:lang w:eastAsia="zh-CN"/>
        </w:rPr>
        <w:t xml:space="preserve"> 无</w:t>
      </w:r>
      <w:r>
        <w:rPr>
          <w:rFonts w:hint="eastAsia"/>
          <w:color w:val="auto"/>
          <w:spacing w:val="-3"/>
          <w:sz w:val="24"/>
          <w:szCs w:val="24"/>
          <w:highlight w:val="none"/>
          <w:lang w:eastAsia="zh-CN"/>
        </w:rPr>
        <w:t>。</w:t>
      </w:r>
    </w:p>
    <w:p w14:paraId="7A61D8B2">
      <w:pPr>
        <w:pStyle w:val="19"/>
        <w:spacing w:line="360" w:lineRule="auto"/>
        <w:ind w:firstLine="480" w:firstLineChars="200"/>
        <w:rPr>
          <w:color w:val="auto"/>
          <w:sz w:val="24"/>
          <w:szCs w:val="24"/>
          <w:highlight w:val="none"/>
          <w:lang w:eastAsia="zh-CN"/>
        </w:rPr>
      </w:pPr>
      <w:r>
        <w:rPr>
          <w:rFonts w:hint="eastAsia"/>
          <w:color w:val="auto"/>
          <w:sz w:val="24"/>
          <w:szCs w:val="24"/>
          <w:highlight w:val="none"/>
          <w:lang w:eastAsia="zh-CN"/>
        </w:rPr>
        <w:t>其他事项的约定：</w:t>
      </w:r>
      <w:r>
        <w:rPr>
          <w:rFonts w:hint="eastAsia"/>
          <w:color w:val="auto"/>
          <w:sz w:val="24"/>
          <w:szCs w:val="24"/>
          <w:highlight w:val="none"/>
          <w:u w:val="single"/>
          <w:lang w:eastAsia="zh-CN"/>
        </w:rPr>
        <w:t xml:space="preserve">无  </w:t>
      </w:r>
      <w:r>
        <w:rPr>
          <w:rFonts w:hint="eastAsia"/>
          <w:color w:val="auto"/>
          <w:spacing w:val="-1"/>
          <w:sz w:val="24"/>
          <w:szCs w:val="24"/>
          <w:highlight w:val="none"/>
          <w:lang w:eastAsia="zh-CN"/>
        </w:rPr>
        <w:t>。</w:t>
      </w:r>
    </w:p>
    <w:p w14:paraId="6F07D808">
      <w:pPr>
        <w:pStyle w:val="19"/>
        <w:spacing w:line="360" w:lineRule="auto"/>
        <w:ind w:firstLine="472" w:firstLineChars="200"/>
        <w:rPr>
          <w:color w:val="auto"/>
          <w:sz w:val="24"/>
          <w:szCs w:val="24"/>
          <w:highlight w:val="none"/>
          <w:lang w:eastAsia="zh-CN"/>
        </w:rPr>
      </w:pPr>
      <w:r>
        <w:rPr>
          <w:rFonts w:hint="eastAsia"/>
          <w:color w:val="auto"/>
          <w:spacing w:val="-2"/>
          <w:sz w:val="24"/>
          <w:szCs w:val="24"/>
          <w:highlight w:val="none"/>
          <w:lang w:eastAsia="zh-CN"/>
        </w:rPr>
        <w:t>20.3.2争议评审小组的决定</w:t>
      </w:r>
    </w:p>
    <w:p w14:paraId="645828A0">
      <w:pPr>
        <w:pStyle w:val="19"/>
        <w:spacing w:line="360" w:lineRule="auto"/>
        <w:ind w:firstLine="464" w:firstLineChars="200"/>
        <w:rPr>
          <w:color w:val="auto"/>
          <w:sz w:val="24"/>
          <w:szCs w:val="24"/>
          <w:highlight w:val="none"/>
          <w:lang w:eastAsia="zh-CN"/>
        </w:rPr>
      </w:pPr>
      <w:r>
        <w:rPr>
          <w:rFonts w:hint="eastAsia"/>
          <w:color w:val="auto"/>
          <w:spacing w:val="-4"/>
          <w:sz w:val="24"/>
          <w:szCs w:val="24"/>
          <w:highlight w:val="none"/>
          <w:lang w:eastAsia="zh-CN"/>
        </w:rPr>
        <w:t>合同当事人关于本项的约定：</w:t>
      </w:r>
      <w:r>
        <w:rPr>
          <w:rFonts w:hint="eastAsia"/>
          <w:color w:val="auto"/>
          <w:spacing w:val="-4"/>
          <w:sz w:val="24"/>
          <w:szCs w:val="24"/>
          <w:highlight w:val="none"/>
          <w:u w:val="single"/>
          <w:lang w:eastAsia="zh-CN"/>
        </w:rPr>
        <w:t xml:space="preserve"> 无</w:t>
      </w:r>
      <w:r>
        <w:rPr>
          <w:rFonts w:hint="eastAsia"/>
          <w:color w:val="auto"/>
          <w:spacing w:val="-4"/>
          <w:sz w:val="24"/>
          <w:szCs w:val="24"/>
          <w:highlight w:val="none"/>
          <w:lang w:eastAsia="zh-CN"/>
        </w:rPr>
        <w:t>。</w:t>
      </w:r>
    </w:p>
    <w:p w14:paraId="184E277D">
      <w:pPr>
        <w:spacing w:line="360" w:lineRule="auto"/>
        <w:outlineLvl w:val="1"/>
        <w:rPr>
          <w:rFonts w:ascii="宋体" w:hAnsi="宋体" w:eastAsia="宋体" w:cs="宋体"/>
          <w:b/>
          <w:bCs/>
          <w:color w:val="auto"/>
          <w:spacing w:val="1"/>
          <w:sz w:val="24"/>
          <w:szCs w:val="24"/>
          <w:highlight w:val="none"/>
          <w:lang w:eastAsia="zh-CN"/>
        </w:rPr>
      </w:pPr>
      <w:r>
        <w:rPr>
          <w:rFonts w:hint="eastAsia" w:ascii="宋体" w:hAnsi="宋体" w:eastAsia="宋体" w:cs="宋体"/>
          <w:b/>
          <w:bCs/>
          <w:color w:val="auto"/>
          <w:spacing w:val="1"/>
          <w:sz w:val="24"/>
          <w:szCs w:val="24"/>
          <w:highlight w:val="none"/>
          <w:lang w:eastAsia="zh-CN"/>
        </w:rPr>
        <w:t>20.4  仲裁或诉讼</w:t>
      </w:r>
    </w:p>
    <w:p w14:paraId="65987252">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因合同及合同有关事项发生的争议，按下列第</w:t>
      </w:r>
      <w:r>
        <w:rPr>
          <w:rFonts w:hint="eastAsia"/>
          <w:b/>
          <w:bCs/>
          <w:color w:val="auto"/>
          <w:spacing w:val="-3"/>
          <w:sz w:val="24"/>
          <w:szCs w:val="24"/>
          <w:highlight w:val="none"/>
          <w:u w:val="single"/>
          <w:lang w:eastAsia="zh-CN"/>
        </w:rPr>
        <w:t xml:space="preserve">  2    </w:t>
      </w:r>
      <w:r>
        <w:rPr>
          <w:rFonts w:hint="eastAsia"/>
          <w:color w:val="auto"/>
          <w:spacing w:val="-3"/>
          <w:sz w:val="24"/>
          <w:szCs w:val="24"/>
          <w:highlight w:val="none"/>
          <w:lang w:eastAsia="zh-CN"/>
        </w:rPr>
        <w:t>种方式解决：</w:t>
      </w:r>
    </w:p>
    <w:p w14:paraId="6F553AC9">
      <w:pPr>
        <w:pStyle w:val="19"/>
        <w:spacing w:line="360" w:lineRule="auto"/>
        <w:ind w:firstLine="460" w:firstLineChars="200"/>
        <w:rPr>
          <w:color w:val="auto"/>
          <w:sz w:val="24"/>
          <w:szCs w:val="24"/>
          <w:highlight w:val="none"/>
          <w:lang w:eastAsia="zh-CN"/>
        </w:rPr>
      </w:pPr>
      <w:r>
        <w:rPr>
          <w:rFonts w:hint="eastAsia"/>
          <w:color w:val="auto"/>
          <w:spacing w:val="-5"/>
          <w:sz w:val="24"/>
          <w:szCs w:val="24"/>
          <w:highlight w:val="none"/>
          <w:lang w:eastAsia="zh-CN"/>
        </w:rPr>
        <w:t>（1）提请</w:t>
      </w:r>
      <w:r>
        <w:rPr>
          <w:rFonts w:hint="eastAsia"/>
          <w:color w:val="auto"/>
          <w:sz w:val="24"/>
          <w:szCs w:val="24"/>
          <w:highlight w:val="none"/>
          <w:u w:val="single"/>
          <w:lang w:eastAsia="zh-CN"/>
        </w:rPr>
        <w:t xml:space="preserve">  /  </w:t>
      </w:r>
      <w:r>
        <w:rPr>
          <w:rFonts w:hint="eastAsia"/>
          <w:color w:val="auto"/>
          <w:spacing w:val="-5"/>
          <w:sz w:val="24"/>
          <w:szCs w:val="24"/>
          <w:highlight w:val="none"/>
          <w:lang w:eastAsia="zh-CN"/>
        </w:rPr>
        <w:t>仲裁委员会按照该会仲裁规则进行仲裁，仲裁裁决是终局的</w:t>
      </w:r>
      <w:r>
        <w:rPr>
          <w:rFonts w:hint="eastAsia"/>
          <w:color w:val="auto"/>
          <w:spacing w:val="-6"/>
          <w:sz w:val="24"/>
          <w:szCs w:val="24"/>
          <w:highlight w:val="none"/>
          <w:lang w:eastAsia="zh-CN"/>
        </w:rPr>
        <w:t>，对合同双方均</w:t>
      </w:r>
      <w:r>
        <w:rPr>
          <w:rFonts w:hint="eastAsia"/>
          <w:color w:val="auto"/>
          <w:spacing w:val="-5"/>
          <w:sz w:val="24"/>
          <w:szCs w:val="24"/>
          <w:highlight w:val="none"/>
          <w:lang w:eastAsia="zh-CN"/>
        </w:rPr>
        <w:t>有约束力。</w:t>
      </w:r>
    </w:p>
    <w:p w14:paraId="598B28F1">
      <w:pPr>
        <w:pStyle w:val="19"/>
        <w:spacing w:line="360" w:lineRule="auto"/>
        <w:ind w:firstLine="468" w:firstLineChars="200"/>
        <w:rPr>
          <w:color w:val="auto"/>
          <w:sz w:val="24"/>
          <w:szCs w:val="24"/>
          <w:highlight w:val="none"/>
          <w:lang w:eastAsia="zh-CN"/>
        </w:rPr>
      </w:pPr>
      <w:r>
        <w:rPr>
          <w:rFonts w:hint="eastAsia"/>
          <w:color w:val="auto"/>
          <w:spacing w:val="-3"/>
          <w:sz w:val="24"/>
          <w:szCs w:val="24"/>
          <w:highlight w:val="none"/>
          <w:lang w:eastAsia="zh-CN"/>
        </w:rPr>
        <w:t>（2）向</w:t>
      </w:r>
      <w:r>
        <w:rPr>
          <w:rFonts w:hint="eastAsia"/>
          <w:color w:val="auto"/>
          <w:spacing w:val="-3"/>
          <w:sz w:val="24"/>
          <w:szCs w:val="24"/>
          <w:highlight w:val="none"/>
          <w:u w:val="single"/>
          <w:lang w:eastAsia="zh-CN"/>
        </w:rPr>
        <w:t>项目所在地有管辖权（北海市海城区人民法院）</w:t>
      </w:r>
      <w:r>
        <w:rPr>
          <w:rFonts w:hint="eastAsia"/>
          <w:color w:val="auto"/>
          <w:spacing w:val="-3"/>
          <w:sz w:val="24"/>
          <w:szCs w:val="24"/>
          <w:highlight w:val="none"/>
          <w:lang w:eastAsia="zh-CN"/>
        </w:rPr>
        <w:t>人民法院起诉。</w:t>
      </w:r>
    </w:p>
    <w:p w14:paraId="55B6A726">
      <w:pPr>
        <w:spacing w:line="360" w:lineRule="auto"/>
        <w:outlineLvl w:val="1"/>
        <w:rPr>
          <w:rFonts w:ascii="宋体" w:hAnsi="宋体" w:eastAsia="宋体" w:cs="宋体"/>
          <w:b/>
          <w:bCs/>
          <w:color w:val="auto"/>
          <w:spacing w:val="1"/>
          <w:sz w:val="31"/>
          <w:szCs w:val="31"/>
          <w:highlight w:val="none"/>
          <w:lang w:eastAsia="zh-CN"/>
        </w:rPr>
      </w:pPr>
      <w:r>
        <w:rPr>
          <w:rFonts w:hint="eastAsia" w:ascii="宋体" w:hAnsi="宋体" w:eastAsia="宋体" w:cs="宋体"/>
          <w:b/>
          <w:bCs/>
          <w:color w:val="auto"/>
          <w:spacing w:val="1"/>
          <w:sz w:val="31"/>
          <w:szCs w:val="31"/>
          <w:highlight w:val="none"/>
          <w:lang w:eastAsia="zh-CN"/>
        </w:rPr>
        <w:t>附件</w:t>
      </w:r>
    </w:p>
    <w:p w14:paraId="589E202E">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w:t>
      </w:r>
      <w:r>
        <w:rPr>
          <w:color w:val="auto"/>
          <w:spacing w:val="-2"/>
          <w:sz w:val="24"/>
          <w:szCs w:val="24"/>
          <w:highlight w:val="none"/>
          <w:lang w:eastAsia="zh-CN"/>
        </w:rPr>
        <w:t>1</w:t>
      </w:r>
      <w:r>
        <w:rPr>
          <w:rFonts w:hint="eastAsia"/>
          <w:color w:val="auto"/>
          <w:spacing w:val="-2"/>
          <w:sz w:val="24"/>
          <w:szCs w:val="24"/>
          <w:highlight w:val="none"/>
          <w:lang w:eastAsia="zh-CN"/>
        </w:rPr>
        <w:t>：承包人承揽工程项目一览表</w:t>
      </w:r>
    </w:p>
    <w:p w14:paraId="3D06C60A">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附件2：工程质量保修书</w:t>
      </w:r>
    </w:p>
    <w:p w14:paraId="4CB8382E">
      <w:pPr>
        <w:pStyle w:val="19"/>
        <w:spacing w:line="360" w:lineRule="auto"/>
        <w:rPr>
          <w:color w:val="auto"/>
          <w:spacing w:val="-2"/>
          <w:sz w:val="24"/>
          <w:szCs w:val="24"/>
          <w:highlight w:val="none"/>
          <w:lang w:eastAsia="zh-CN"/>
        </w:rPr>
      </w:pPr>
      <w:r>
        <w:rPr>
          <w:color w:val="auto"/>
          <w:spacing w:val="-2"/>
          <w:sz w:val="24"/>
          <w:szCs w:val="24"/>
          <w:highlight w:val="none"/>
          <w:lang w:eastAsia="zh-CN"/>
        </w:rPr>
        <w:t>附件</w:t>
      </w:r>
      <w:r>
        <w:rPr>
          <w:rFonts w:hint="eastAsia"/>
          <w:color w:val="auto"/>
          <w:spacing w:val="-2"/>
          <w:sz w:val="24"/>
          <w:szCs w:val="24"/>
          <w:highlight w:val="none"/>
          <w:lang w:eastAsia="zh-CN"/>
        </w:rPr>
        <w:t>3</w:t>
      </w:r>
      <w:r>
        <w:rPr>
          <w:color w:val="auto"/>
          <w:spacing w:val="-2"/>
          <w:sz w:val="24"/>
          <w:szCs w:val="24"/>
          <w:highlight w:val="none"/>
          <w:lang w:eastAsia="zh-CN"/>
        </w:rPr>
        <w:t>：主要建设工程文件目录</w:t>
      </w:r>
    </w:p>
    <w:p w14:paraId="46B60833">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附件4：承包人用于本工程施工的机械设备表</w:t>
      </w:r>
    </w:p>
    <w:p w14:paraId="466D1A9D">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附件5：承包人主要施工管理人员表</w:t>
      </w:r>
    </w:p>
    <w:p w14:paraId="24764E89">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附件6：分包人主要施工管理人员表</w:t>
      </w:r>
    </w:p>
    <w:p w14:paraId="7E1FF323">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附件7：履约担保格式（独立保函、非独立保函）</w:t>
      </w:r>
    </w:p>
    <w:p w14:paraId="5FBF8262">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附件8：预付款担保格式（独立保函、非独立保函）</w:t>
      </w:r>
    </w:p>
    <w:p w14:paraId="4E563337">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附件9：支付担保格式（独立保函、非独立保函）</w:t>
      </w:r>
    </w:p>
    <w:p w14:paraId="2619D729">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附件10：预付款支付申请（核准）表</w:t>
      </w:r>
    </w:p>
    <w:p w14:paraId="3C5787C6">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附件11：进度款支付申请（核准）表</w:t>
      </w:r>
    </w:p>
    <w:p w14:paraId="789A3360">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附件12：竣工结算款支付申请（核准）表</w:t>
      </w:r>
    </w:p>
    <w:p w14:paraId="14AD0A1C">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附件13：最终结算款支付申请（核准）表</w:t>
      </w:r>
    </w:p>
    <w:p w14:paraId="2BC111DD">
      <w:pPr>
        <w:pStyle w:val="19"/>
        <w:spacing w:line="360" w:lineRule="auto"/>
        <w:rPr>
          <w:color w:val="auto"/>
          <w:spacing w:val="-2"/>
          <w:sz w:val="24"/>
          <w:szCs w:val="24"/>
          <w:highlight w:val="none"/>
          <w:lang w:eastAsia="zh-CN"/>
        </w:rPr>
      </w:pPr>
      <w:r>
        <w:rPr>
          <w:rFonts w:hint="eastAsia"/>
          <w:color w:val="auto"/>
          <w:spacing w:val="-2"/>
          <w:sz w:val="24"/>
          <w:szCs w:val="24"/>
          <w:highlight w:val="none"/>
          <w:lang w:eastAsia="zh-CN"/>
        </w:rPr>
        <w:t>附件14：总价合同进度款支付分解表</w:t>
      </w:r>
    </w:p>
    <w:p w14:paraId="09BC036A">
      <w:pPr>
        <w:pStyle w:val="19"/>
        <w:spacing w:line="360" w:lineRule="auto"/>
        <w:rPr>
          <w:color w:val="auto"/>
          <w:spacing w:val="-2"/>
          <w:highlight w:val="none"/>
          <w:lang w:eastAsia="zh-CN"/>
        </w:rPr>
        <w:sectPr>
          <w:footerReference r:id="rId8" w:type="default"/>
          <w:pgSz w:w="11907" w:h="16841"/>
          <w:pgMar w:top="1423" w:right="1433" w:bottom="1272" w:left="1785" w:header="0" w:footer="1108" w:gutter="0"/>
          <w:pgBorders>
            <w:top w:val="none" w:sz="0" w:space="0"/>
            <w:left w:val="none" w:sz="0" w:space="0"/>
            <w:bottom w:val="none" w:sz="0" w:space="0"/>
            <w:right w:val="none" w:sz="0" w:space="0"/>
          </w:pgBorders>
          <w:pgNumType w:fmt="decimal"/>
          <w:cols w:space="720" w:num="1"/>
        </w:sectPr>
      </w:pPr>
    </w:p>
    <w:p w14:paraId="7E8F02E2">
      <w:pPr>
        <w:spacing w:before="98" w:line="218" w:lineRule="auto"/>
        <w:jc w:val="both"/>
        <w:rPr>
          <w:rFonts w:ascii="仿宋" w:hAnsi="仿宋" w:eastAsia="仿宋" w:cs="仿宋"/>
          <w:color w:val="auto"/>
          <w:sz w:val="30"/>
          <w:szCs w:val="30"/>
          <w:highlight w:val="none"/>
          <w:lang w:eastAsia="zh-CN"/>
        </w:rPr>
      </w:pPr>
      <w:r>
        <w:rPr>
          <w:rFonts w:ascii="仿宋" w:hAnsi="仿宋" w:eastAsia="仿宋" w:cs="仿宋"/>
          <w:color w:val="auto"/>
          <w:spacing w:val="-17"/>
          <w:sz w:val="30"/>
          <w:szCs w:val="30"/>
          <w:highlight w:val="none"/>
          <w:lang w:eastAsia="zh-CN"/>
        </w:rPr>
        <w:t>附件1：</w:t>
      </w:r>
    </w:p>
    <w:p w14:paraId="5638BB28">
      <w:pPr>
        <w:spacing w:before="207" w:line="219" w:lineRule="auto"/>
        <w:ind w:left="4343"/>
        <w:rPr>
          <w:rFonts w:ascii="黑体" w:hAnsi="黑体" w:eastAsia="黑体" w:cs="黑体"/>
          <w:color w:val="auto"/>
          <w:sz w:val="30"/>
          <w:szCs w:val="30"/>
          <w:highlight w:val="none"/>
          <w:lang w:eastAsia="zh-CN"/>
        </w:rPr>
      </w:pPr>
      <w:r>
        <w:rPr>
          <w:rFonts w:ascii="黑体" w:hAnsi="黑体" w:eastAsia="黑体" w:cs="黑体"/>
          <w:color w:val="auto"/>
          <w:spacing w:val="-1"/>
          <w:sz w:val="30"/>
          <w:szCs w:val="30"/>
          <w:highlight w:val="none"/>
          <w:lang w:eastAsia="zh-CN"/>
        </w:rPr>
        <w:t>承包人承揽工程项目一览表</w:t>
      </w:r>
    </w:p>
    <w:p w14:paraId="59016138">
      <w:pPr>
        <w:spacing w:line="108" w:lineRule="exact"/>
        <w:rPr>
          <w:color w:val="auto"/>
          <w:highlight w:val="none"/>
          <w:lang w:eastAsia="zh-CN"/>
        </w:rPr>
      </w:pPr>
    </w:p>
    <w:tbl>
      <w:tblPr>
        <w:tblStyle w:val="88"/>
        <w:tblW w:w="1422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2"/>
        <w:gridCol w:w="1585"/>
        <w:gridCol w:w="1560"/>
        <w:gridCol w:w="1476"/>
        <w:gridCol w:w="912"/>
        <w:gridCol w:w="1560"/>
        <w:gridCol w:w="2280"/>
        <w:gridCol w:w="1778"/>
        <w:gridCol w:w="934"/>
        <w:gridCol w:w="878"/>
      </w:tblGrid>
      <w:tr w14:paraId="3BC44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1262" w:type="dxa"/>
            <w:tcBorders>
              <w:left w:val="nil"/>
            </w:tcBorders>
            <w:vAlign w:val="center"/>
          </w:tcPr>
          <w:p w14:paraId="3BE08286">
            <w:pPr>
              <w:spacing w:before="116" w:line="219" w:lineRule="auto"/>
              <w:jc w:val="center"/>
              <w:rPr>
                <w:rFonts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单位工程名称</w:t>
            </w:r>
          </w:p>
        </w:tc>
        <w:tc>
          <w:tcPr>
            <w:tcW w:w="1585" w:type="dxa"/>
            <w:vAlign w:val="center"/>
          </w:tcPr>
          <w:p w14:paraId="3EBA08BF">
            <w:pPr>
              <w:pStyle w:val="98"/>
              <w:spacing w:line="244" w:lineRule="auto"/>
              <w:jc w:val="center"/>
              <w:rPr>
                <w:color w:val="auto"/>
                <w:highlight w:val="none"/>
              </w:rPr>
            </w:pPr>
          </w:p>
          <w:p w14:paraId="1C9E7B75">
            <w:pPr>
              <w:spacing w:before="91" w:line="219" w:lineRule="auto"/>
              <w:ind w:left="104"/>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建设规模</w:t>
            </w:r>
          </w:p>
        </w:tc>
        <w:tc>
          <w:tcPr>
            <w:tcW w:w="1560" w:type="dxa"/>
            <w:vAlign w:val="center"/>
          </w:tcPr>
          <w:p w14:paraId="0757171A">
            <w:pPr>
              <w:spacing w:before="116" w:line="441" w:lineRule="exact"/>
              <w:ind w:left="105"/>
              <w:jc w:val="center"/>
              <w:rPr>
                <w:rFonts w:ascii="仿宋" w:hAnsi="仿宋" w:eastAsia="仿宋" w:cs="仿宋"/>
                <w:color w:val="auto"/>
                <w:sz w:val="28"/>
                <w:szCs w:val="28"/>
                <w:highlight w:val="none"/>
              </w:rPr>
            </w:pPr>
            <w:r>
              <w:rPr>
                <w:rFonts w:ascii="仿宋" w:hAnsi="仿宋" w:eastAsia="仿宋" w:cs="仿宋"/>
                <w:color w:val="auto"/>
                <w:spacing w:val="-15"/>
                <w:position w:val="11"/>
                <w:sz w:val="28"/>
                <w:szCs w:val="28"/>
                <w:highlight w:val="none"/>
              </w:rPr>
              <w:t>建 筑 面积</w:t>
            </w:r>
          </w:p>
          <w:p w14:paraId="3969464A">
            <w:pPr>
              <w:spacing w:before="1" w:line="211" w:lineRule="auto"/>
              <w:ind w:left="98"/>
              <w:jc w:val="center"/>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pacing w:val="-2"/>
                <w:sz w:val="28"/>
                <w:szCs w:val="28"/>
                <w:highlight w:val="none"/>
              </w:rPr>
              <w:t>(</w:t>
            </w:r>
            <w:r>
              <w:rPr>
                <w:rFonts w:ascii="仿宋" w:hAnsi="仿宋" w:eastAsia="仿宋" w:cs="仿宋"/>
                <w:color w:val="auto"/>
                <w:spacing w:val="-2"/>
                <w:sz w:val="28"/>
                <w:szCs w:val="28"/>
                <w:highlight w:val="none"/>
              </w:rPr>
              <w:t>平方米</w:t>
            </w:r>
            <w:r>
              <w:rPr>
                <w:rFonts w:ascii="Times New Roman" w:hAnsi="Times New Roman" w:eastAsia="Times New Roman" w:cs="Times New Roman"/>
                <w:color w:val="auto"/>
                <w:spacing w:val="-2"/>
                <w:sz w:val="28"/>
                <w:szCs w:val="28"/>
                <w:highlight w:val="none"/>
              </w:rPr>
              <w:t>)</w:t>
            </w:r>
          </w:p>
        </w:tc>
        <w:tc>
          <w:tcPr>
            <w:tcW w:w="1476" w:type="dxa"/>
            <w:vAlign w:val="center"/>
          </w:tcPr>
          <w:p w14:paraId="1CC8F9CF">
            <w:pPr>
              <w:pStyle w:val="98"/>
              <w:spacing w:line="244" w:lineRule="auto"/>
              <w:jc w:val="center"/>
              <w:rPr>
                <w:color w:val="auto"/>
                <w:highlight w:val="none"/>
              </w:rPr>
            </w:pPr>
          </w:p>
          <w:p w14:paraId="609E514D">
            <w:pPr>
              <w:spacing w:before="91" w:line="219"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结构形式</w:t>
            </w:r>
          </w:p>
        </w:tc>
        <w:tc>
          <w:tcPr>
            <w:tcW w:w="912" w:type="dxa"/>
            <w:vAlign w:val="center"/>
          </w:tcPr>
          <w:p w14:paraId="4F63C7DD">
            <w:pPr>
              <w:pStyle w:val="98"/>
              <w:spacing w:line="244" w:lineRule="auto"/>
              <w:jc w:val="center"/>
              <w:rPr>
                <w:color w:val="auto"/>
                <w:highlight w:val="none"/>
              </w:rPr>
            </w:pPr>
          </w:p>
          <w:p w14:paraId="32B7B33B">
            <w:pPr>
              <w:spacing w:before="91" w:line="219" w:lineRule="auto"/>
              <w:ind w:left="107"/>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层数</w:t>
            </w:r>
          </w:p>
        </w:tc>
        <w:tc>
          <w:tcPr>
            <w:tcW w:w="1560" w:type="dxa"/>
            <w:vAlign w:val="center"/>
          </w:tcPr>
          <w:p w14:paraId="526F8810">
            <w:pPr>
              <w:pStyle w:val="98"/>
              <w:spacing w:line="244" w:lineRule="auto"/>
              <w:jc w:val="center"/>
              <w:rPr>
                <w:color w:val="auto"/>
                <w:highlight w:val="none"/>
              </w:rPr>
            </w:pPr>
          </w:p>
          <w:p w14:paraId="6C1027BA">
            <w:pPr>
              <w:spacing w:before="91" w:line="218" w:lineRule="auto"/>
              <w:ind w:left="124"/>
              <w:jc w:val="center"/>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生产能力</w:t>
            </w:r>
          </w:p>
        </w:tc>
        <w:tc>
          <w:tcPr>
            <w:tcW w:w="2280" w:type="dxa"/>
            <w:vAlign w:val="center"/>
          </w:tcPr>
          <w:p w14:paraId="711A6354">
            <w:pPr>
              <w:pStyle w:val="98"/>
              <w:spacing w:line="243" w:lineRule="auto"/>
              <w:jc w:val="center"/>
              <w:rPr>
                <w:color w:val="auto"/>
                <w:highlight w:val="none"/>
              </w:rPr>
            </w:pPr>
          </w:p>
          <w:p w14:paraId="442331CD">
            <w:pPr>
              <w:spacing w:before="91" w:line="219" w:lineRule="auto"/>
              <w:ind w:left="106"/>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设备安装内容</w:t>
            </w:r>
          </w:p>
        </w:tc>
        <w:tc>
          <w:tcPr>
            <w:tcW w:w="1778" w:type="dxa"/>
            <w:tcBorders>
              <w:right w:val="single" w:color="000000" w:sz="4" w:space="0"/>
            </w:tcBorders>
            <w:vAlign w:val="center"/>
          </w:tcPr>
          <w:p w14:paraId="2F4191E2">
            <w:pPr>
              <w:spacing w:before="116" w:line="441" w:lineRule="exact"/>
              <w:ind w:left="113"/>
              <w:jc w:val="center"/>
              <w:rPr>
                <w:rFonts w:ascii="仿宋" w:hAnsi="仿宋" w:eastAsia="仿宋" w:cs="仿宋"/>
                <w:color w:val="auto"/>
                <w:sz w:val="28"/>
                <w:szCs w:val="28"/>
                <w:highlight w:val="none"/>
              </w:rPr>
            </w:pPr>
            <w:r>
              <w:rPr>
                <w:rFonts w:ascii="仿宋" w:hAnsi="仿宋" w:eastAsia="仿宋" w:cs="仿宋"/>
                <w:color w:val="auto"/>
                <w:spacing w:val="23"/>
                <w:position w:val="11"/>
                <w:sz w:val="28"/>
                <w:szCs w:val="28"/>
                <w:highlight w:val="none"/>
              </w:rPr>
              <w:t>合同价格</w:t>
            </w:r>
          </w:p>
          <w:p w14:paraId="321F75BA">
            <w:pPr>
              <w:spacing w:before="1" w:line="211" w:lineRule="auto"/>
              <w:ind w:left="105"/>
              <w:jc w:val="center"/>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（元）</w:t>
            </w:r>
          </w:p>
        </w:tc>
        <w:tc>
          <w:tcPr>
            <w:tcW w:w="934" w:type="dxa"/>
            <w:tcBorders>
              <w:left w:val="single" w:color="000000" w:sz="4" w:space="0"/>
              <w:right w:val="nil"/>
            </w:tcBorders>
            <w:vAlign w:val="center"/>
          </w:tcPr>
          <w:p w14:paraId="47904CFF">
            <w:pPr>
              <w:spacing w:before="115" w:line="219" w:lineRule="auto"/>
              <w:ind w:left="105"/>
              <w:jc w:val="center"/>
              <w:rPr>
                <w:rFonts w:ascii="仿宋" w:hAnsi="仿宋" w:eastAsia="仿宋" w:cs="仿宋"/>
                <w:color w:val="auto"/>
                <w:sz w:val="28"/>
                <w:szCs w:val="28"/>
                <w:highlight w:val="none"/>
              </w:rPr>
            </w:pPr>
            <w:r>
              <w:rPr>
                <w:rFonts w:ascii="仿宋" w:hAnsi="仿宋" w:eastAsia="仿宋" w:cs="仿宋"/>
                <w:color w:val="auto"/>
                <w:sz w:val="28"/>
                <w:szCs w:val="28"/>
                <w:highlight w:val="none"/>
              </w:rPr>
              <w:t>开</w:t>
            </w:r>
            <w:r>
              <w:rPr>
                <w:rFonts w:hint="eastAsia" w:ascii="仿宋" w:hAnsi="仿宋" w:eastAsia="仿宋" w:cs="仿宋"/>
                <w:color w:val="auto"/>
                <w:sz w:val="28"/>
                <w:szCs w:val="28"/>
                <w:highlight w:val="none"/>
                <w:lang w:eastAsia="zh-CN"/>
              </w:rPr>
              <w:t>工日期</w:t>
            </w:r>
          </w:p>
        </w:tc>
        <w:tc>
          <w:tcPr>
            <w:tcW w:w="878" w:type="dxa"/>
            <w:tcBorders>
              <w:left w:val="single" w:color="000000" w:sz="4" w:space="0"/>
              <w:right w:val="nil"/>
            </w:tcBorders>
            <w:vAlign w:val="center"/>
          </w:tcPr>
          <w:p w14:paraId="4E70B4FB">
            <w:pPr>
              <w:spacing w:before="115" w:line="219" w:lineRule="auto"/>
              <w:ind w:left="105"/>
              <w:jc w:val="center"/>
              <w:rPr>
                <w:rFonts w:ascii="仿宋" w:hAnsi="仿宋" w:eastAsia="仿宋" w:cs="仿宋"/>
                <w:color w:val="auto"/>
                <w:sz w:val="28"/>
                <w:szCs w:val="28"/>
                <w:highlight w:val="none"/>
              </w:rPr>
            </w:pPr>
            <w:r>
              <w:rPr>
                <w:rFonts w:hint="eastAsia" w:eastAsia="仿宋_GB2312" w:cs="仿宋_GB2312"/>
                <w:color w:val="auto"/>
                <w:sz w:val="28"/>
                <w:szCs w:val="28"/>
                <w:highlight w:val="none"/>
              </w:rPr>
              <w:t>竣工日期</w:t>
            </w:r>
          </w:p>
        </w:tc>
      </w:tr>
      <w:tr w14:paraId="61982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262" w:type="dxa"/>
            <w:tcBorders>
              <w:left w:val="nil"/>
            </w:tcBorders>
          </w:tcPr>
          <w:p w14:paraId="070A3820">
            <w:pPr>
              <w:pStyle w:val="98"/>
              <w:rPr>
                <w:color w:val="auto"/>
                <w:highlight w:val="none"/>
              </w:rPr>
            </w:pPr>
          </w:p>
        </w:tc>
        <w:tc>
          <w:tcPr>
            <w:tcW w:w="1585" w:type="dxa"/>
          </w:tcPr>
          <w:p w14:paraId="6018CF82">
            <w:pPr>
              <w:pStyle w:val="98"/>
              <w:rPr>
                <w:color w:val="auto"/>
                <w:highlight w:val="none"/>
              </w:rPr>
            </w:pPr>
          </w:p>
        </w:tc>
        <w:tc>
          <w:tcPr>
            <w:tcW w:w="1560" w:type="dxa"/>
          </w:tcPr>
          <w:p w14:paraId="589A44D3">
            <w:pPr>
              <w:pStyle w:val="98"/>
              <w:rPr>
                <w:color w:val="auto"/>
                <w:highlight w:val="none"/>
              </w:rPr>
            </w:pPr>
          </w:p>
        </w:tc>
        <w:tc>
          <w:tcPr>
            <w:tcW w:w="1476" w:type="dxa"/>
          </w:tcPr>
          <w:p w14:paraId="0749A810">
            <w:pPr>
              <w:pStyle w:val="98"/>
              <w:rPr>
                <w:color w:val="auto"/>
                <w:highlight w:val="none"/>
              </w:rPr>
            </w:pPr>
          </w:p>
        </w:tc>
        <w:tc>
          <w:tcPr>
            <w:tcW w:w="912" w:type="dxa"/>
          </w:tcPr>
          <w:p w14:paraId="6497EF8E">
            <w:pPr>
              <w:pStyle w:val="98"/>
              <w:rPr>
                <w:color w:val="auto"/>
                <w:highlight w:val="none"/>
              </w:rPr>
            </w:pPr>
          </w:p>
        </w:tc>
        <w:tc>
          <w:tcPr>
            <w:tcW w:w="1560" w:type="dxa"/>
          </w:tcPr>
          <w:p w14:paraId="3B74663B">
            <w:pPr>
              <w:pStyle w:val="98"/>
              <w:rPr>
                <w:color w:val="auto"/>
                <w:highlight w:val="none"/>
              </w:rPr>
            </w:pPr>
          </w:p>
        </w:tc>
        <w:tc>
          <w:tcPr>
            <w:tcW w:w="2280" w:type="dxa"/>
          </w:tcPr>
          <w:p w14:paraId="6C70F252">
            <w:pPr>
              <w:pStyle w:val="98"/>
              <w:rPr>
                <w:color w:val="auto"/>
                <w:highlight w:val="none"/>
              </w:rPr>
            </w:pPr>
          </w:p>
        </w:tc>
        <w:tc>
          <w:tcPr>
            <w:tcW w:w="1778" w:type="dxa"/>
            <w:tcBorders>
              <w:right w:val="single" w:color="000000" w:sz="4" w:space="0"/>
            </w:tcBorders>
          </w:tcPr>
          <w:p w14:paraId="0F054938">
            <w:pPr>
              <w:pStyle w:val="98"/>
              <w:rPr>
                <w:color w:val="auto"/>
                <w:highlight w:val="none"/>
              </w:rPr>
            </w:pPr>
          </w:p>
        </w:tc>
        <w:tc>
          <w:tcPr>
            <w:tcW w:w="934" w:type="dxa"/>
            <w:tcBorders>
              <w:left w:val="single" w:color="000000" w:sz="4" w:space="0"/>
              <w:right w:val="nil"/>
            </w:tcBorders>
          </w:tcPr>
          <w:p w14:paraId="42E05B1D">
            <w:pPr>
              <w:pStyle w:val="98"/>
              <w:rPr>
                <w:color w:val="auto"/>
                <w:highlight w:val="none"/>
              </w:rPr>
            </w:pPr>
          </w:p>
        </w:tc>
        <w:tc>
          <w:tcPr>
            <w:tcW w:w="878" w:type="dxa"/>
            <w:tcBorders>
              <w:left w:val="single" w:color="000000" w:sz="4" w:space="0"/>
              <w:right w:val="nil"/>
            </w:tcBorders>
          </w:tcPr>
          <w:p w14:paraId="46DE4846">
            <w:pPr>
              <w:pStyle w:val="98"/>
              <w:rPr>
                <w:color w:val="auto"/>
                <w:highlight w:val="none"/>
              </w:rPr>
            </w:pPr>
          </w:p>
        </w:tc>
      </w:tr>
      <w:tr w14:paraId="02B56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262" w:type="dxa"/>
            <w:tcBorders>
              <w:left w:val="nil"/>
            </w:tcBorders>
          </w:tcPr>
          <w:p w14:paraId="1F0262D6">
            <w:pPr>
              <w:pStyle w:val="98"/>
              <w:rPr>
                <w:color w:val="auto"/>
                <w:highlight w:val="none"/>
              </w:rPr>
            </w:pPr>
          </w:p>
        </w:tc>
        <w:tc>
          <w:tcPr>
            <w:tcW w:w="1585" w:type="dxa"/>
          </w:tcPr>
          <w:p w14:paraId="0912ADE8">
            <w:pPr>
              <w:pStyle w:val="98"/>
              <w:rPr>
                <w:color w:val="auto"/>
                <w:highlight w:val="none"/>
              </w:rPr>
            </w:pPr>
          </w:p>
        </w:tc>
        <w:tc>
          <w:tcPr>
            <w:tcW w:w="1560" w:type="dxa"/>
          </w:tcPr>
          <w:p w14:paraId="029A7772">
            <w:pPr>
              <w:pStyle w:val="98"/>
              <w:rPr>
                <w:color w:val="auto"/>
                <w:highlight w:val="none"/>
              </w:rPr>
            </w:pPr>
          </w:p>
        </w:tc>
        <w:tc>
          <w:tcPr>
            <w:tcW w:w="1476" w:type="dxa"/>
          </w:tcPr>
          <w:p w14:paraId="2F33D5E7">
            <w:pPr>
              <w:pStyle w:val="98"/>
              <w:rPr>
                <w:color w:val="auto"/>
                <w:highlight w:val="none"/>
              </w:rPr>
            </w:pPr>
          </w:p>
        </w:tc>
        <w:tc>
          <w:tcPr>
            <w:tcW w:w="912" w:type="dxa"/>
          </w:tcPr>
          <w:p w14:paraId="1B5AABDE">
            <w:pPr>
              <w:pStyle w:val="98"/>
              <w:rPr>
                <w:color w:val="auto"/>
                <w:highlight w:val="none"/>
              </w:rPr>
            </w:pPr>
          </w:p>
        </w:tc>
        <w:tc>
          <w:tcPr>
            <w:tcW w:w="1560" w:type="dxa"/>
          </w:tcPr>
          <w:p w14:paraId="43950F0C">
            <w:pPr>
              <w:pStyle w:val="98"/>
              <w:rPr>
                <w:color w:val="auto"/>
                <w:highlight w:val="none"/>
              </w:rPr>
            </w:pPr>
          </w:p>
        </w:tc>
        <w:tc>
          <w:tcPr>
            <w:tcW w:w="2280" w:type="dxa"/>
          </w:tcPr>
          <w:p w14:paraId="431A7666">
            <w:pPr>
              <w:pStyle w:val="98"/>
              <w:rPr>
                <w:color w:val="auto"/>
                <w:highlight w:val="none"/>
              </w:rPr>
            </w:pPr>
          </w:p>
        </w:tc>
        <w:tc>
          <w:tcPr>
            <w:tcW w:w="1778" w:type="dxa"/>
            <w:tcBorders>
              <w:right w:val="single" w:color="000000" w:sz="4" w:space="0"/>
            </w:tcBorders>
          </w:tcPr>
          <w:p w14:paraId="1EE66FD8">
            <w:pPr>
              <w:pStyle w:val="98"/>
              <w:rPr>
                <w:color w:val="auto"/>
                <w:highlight w:val="none"/>
              </w:rPr>
            </w:pPr>
          </w:p>
        </w:tc>
        <w:tc>
          <w:tcPr>
            <w:tcW w:w="934" w:type="dxa"/>
            <w:tcBorders>
              <w:left w:val="single" w:color="000000" w:sz="4" w:space="0"/>
              <w:right w:val="nil"/>
            </w:tcBorders>
          </w:tcPr>
          <w:p w14:paraId="3164F898">
            <w:pPr>
              <w:pStyle w:val="98"/>
              <w:rPr>
                <w:color w:val="auto"/>
                <w:highlight w:val="none"/>
              </w:rPr>
            </w:pPr>
          </w:p>
        </w:tc>
        <w:tc>
          <w:tcPr>
            <w:tcW w:w="878" w:type="dxa"/>
            <w:tcBorders>
              <w:left w:val="single" w:color="000000" w:sz="4" w:space="0"/>
              <w:right w:val="nil"/>
            </w:tcBorders>
          </w:tcPr>
          <w:p w14:paraId="28063881">
            <w:pPr>
              <w:pStyle w:val="98"/>
              <w:rPr>
                <w:color w:val="auto"/>
                <w:highlight w:val="none"/>
              </w:rPr>
            </w:pPr>
          </w:p>
        </w:tc>
      </w:tr>
      <w:tr w14:paraId="53CC5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62" w:type="dxa"/>
            <w:tcBorders>
              <w:left w:val="nil"/>
            </w:tcBorders>
          </w:tcPr>
          <w:p w14:paraId="590A3BB8">
            <w:pPr>
              <w:pStyle w:val="98"/>
              <w:rPr>
                <w:color w:val="auto"/>
                <w:highlight w:val="none"/>
              </w:rPr>
            </w:pPr>
          </w:p>
        </w:tc>
        <w:tc>
          <w:tcPr>
            <w:tcW w:w="1585" w:type="dxa"/>
          </w:tcPr>
          <w:p w14:paraId="6F289E98">
            <w:pPr>
              <w:pStyle w:val="98"/>
              <w:rPr>
                <w:color w:val="auto"/>
                <w:highlight w:val="none"/>
              </w:rPr>
            </w:pPr>
          </w:p>
        </w:tc>
        <w:tc>
          <w:tcPr>
            <w:tcW w:w="1560" w:type="dxa"/>
          </w:tcPr>
          <w:p w14:paraId="49AAA3D4">
            <w:pPr>
              <w:pStyle w:val="98"/>
              <w:rPr>
                <w:color w:val="auto"/>
                <w:highlight w:val="none"/>
              </w:rPr>
            </w:pPr>
          </w:p>
        </w:tc>
        <w:tc>
          <w:tcPr>
            <w:tcW w:w="1476" w:type="dxa"/>
          </w:tcPr>
          <w:p w14:paraId="3ABA760F">
            <w:pPr>
              <w:pStyle w:val="98"/>
              <w:rPr>
                <w:color w:val="auto"/>
                <w:highlight w:val="none"/>
              </w:rPr>
            </w:pPr>
          </w:p>
        </w:tc>
        <w:tc>
          <w:tcPr>
            <w:tcW w:w="912" w:type="dxa"/>
          </w:tcPr>
          <w:p w14:paraId="722CF47B">
            <w:pPr>
              <w:pStyle w:val="98"/>
              <w:rPr>
                <w:color w:val="auto"/>
                <w:highlight w:val="none"/>
              </w:rPr>
            </w:pPr>
          </w:p>
        </w:tc>
        <w:tc>
          <w:tcPr>
            <w:tcW w:w="1560" w:type="dxa"/>
          </w:tcPr>
          <w:p w14:paraId="3B6AFFFB">
            <w:pPr>
              <w:pStyle w:val="98"/>
              <w:rPr>
                <w:color w:val="auto"/>
                <w:highlight w:val="none"/>
              </w:rPr>
            </w:pPr>
          </w:p>
        </w:tc>
        <w:tc>
          <w:tcPr>
            <w:tcW w:w="2280" w:type="dxa"/>
          </w:tcPr>
          <w:p w14:paraId="58697CE4">
            <w:pPr>
              <w:pStyle w:val="98"/>
              <w:rPr>
                <w:color w:val="auto"/>
                <w:highlight w:val="none"/>
              </w:rPr>
            </w:pPr>
          </w:p>
        </w:tc>
        <w:tc>
          <w:tcPr>
            <w:tcW w:w="1778" w:type="dxa"/>
            <w:tcBorders>
              <w:right w:val="single" w:color="000000" w:sz="4" w:space="0"/>
            </w:tcBorders>
          </w:tcPr>
          <w:p w14:paraId="0BFAB3EA">
            <w:pPr>
              <w:pStyle w:val="98"/>
              <w:rPr>
                <w:color w:val="auto"/>
                <w:highlight w:val="none"/>
              </w:rPr>
            </w:pPr>
          </w:p>
        </w:tc>
        <w:tc>
          <w:tcPr>
            <w:tcW w:w="934" w:type="dxa"/>
            <w:tcBorders>
              <w:left w:val="single" w:color="000000" w:sz="4" w:space="0"/>
              <w:right w:val="nil"/>
            </w:tcBorders>
          </w:tcPr>
          <w:p w14:paraId="57F08ECD">
            <w:pPr>
              <w:pStyle w:val="98"/>
              <w:rPr>
                <w:color w:val="auto"/>
                <w:highlight w:val="none"/>
              </w:rPr>
            </w:pPr>
          </w:p>
        </w:tc>
        <w:tc>
          <w:tcPr>
            <w:tcW w:w="878" w:type="dxa"/>
            <w:tcBorders>
              <w:left w:val="single" w:color="000000" w:sz="4" w:space="0"/>
              <w:right w:val="nil"/>
            </w:tcBorders>
          </w:tcPr>
          <w:p w14:paraId="4BD6E8EF">
            <w:pPr>
              <w:pStyle w:val="98"/>
              <w:rPr>
                <w:color w:val="auto"/>
                <w:highlight w:val="none"/>
              </w:rPr>
            </w:pPr>
          </w:p>
        </w:tc>
      </w:tr>
      <w:tr w14:paraId="1A47B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262" w:type="dxa"/>
            <w:tcBorders>
              <w:left w:val="nil"/>
            </w:tcBorders>
          </w:tcPr>
          <w:p w14:paraId="460BF539">
            <w:pPr>
              <w:pStyle w:val="98"/>
              <w:rPr>
                <w:color w:val="auto"/>
                <w:highlight w:val="none"/>
              </w:rPr>
            </w:pPr>
          </w:p>
        </w:tc>
        <w:tc>
          <w:tcPr>
            <w:tcW w:w="1585" w:type="dxa"/>
          </w:tcPr>
          <w:p w14:paraId="1B2F6065">
            <w:pPr>
              <w:pStyle w:val="98"/>
              <w:rPr>
                <w:color w:val="auto"/>
                <w:highlight w:val="none"/>
              </w:rPr>
            </w:pPr>
          </w:p>
        </w:tc>
        <w:tc>
          <w:tcPr>
            <w:tcW w:w="1560" w:type="dxa"/>
          </w:tcPr>
          <w:p w14:paraId="136E10C6">
            <w:pPr>
              <w:pStyle w:val="98"/>
              <w:rPr>
                <w:color w:val="auto"/>
                <w:highlight w:val="none"/>
              </w:rPr>
            </w:pPr>
          </w:p>
        </w:tc>
        <w:tc>
          <w:tcPr>
            <w:tcW w:w="1476" w:type="dxa"/>
          </w:tcPr>
          <w:p w14:paraId="24E44E47">
            <w:pPr>
              <w:pStyle w:val="98"/>
              <w:rPr>
                <w:color w:val="auto"/>
                <w:highlight w:val="none"/>
              </w:rPr>
            </w:pPr>
          </w:p>
        </w:tc>
        <w:tc>
          <w:tcPr>
            <w:tcW w:w="912" w:type="dxa"/>
          </w:tcPr>
          <w:p w14:paraId="10DBC636">
            <w:pPr>
              <w:pStyle w:val="98"/>
              <w:rPr>
                <w:color w:val="auto"/>
                <w:highlight w:val="none"/>
              </w:rPr>
            </w:pPr>
          </w:p>
        </w:tc>
        <w:tc>
          <w:tcPr>
            <w:tcW w:w="1560" w:type="dxa"/>
          </w:tcPr>
          <w:p w14:paraId="17896349">
            <w:pPr>
              <w:pStyle w:val="98"/>
              <w:rPr>
                <w:color w:val="auto"/>
                <w:highlight w:val="none"/>
              </w:rPr>
            </w:pPr>
          </w:p>
        </w:tc>
        <w:tc>
          <w:tcPr>
            <w:tcW w:w="2280" w:type="dxa"/>
          </w:tcPr>
          <w:p w14:paraId="3EB485C1">
            <w:pPr>
              <w:pStyle w:val="98"/>
              <w:rPr>
                <w:color w:val="auto"/>
                <w:highlight w:val="none"/>
              </w:rPr>
            </w:pPr>
          </w:p>
        </w:tc>
        <w:tc>
          <w:tcPr>
            <w:tcW w:w="1778" w:type="dxa"/>
            <w:tcBorders>
              <w:right w:val="single" w:color="000000" w:sz="4" w:space="0"/>
            </w:tcBorders>
          </w:tcPr>
          <w:p w14:paraId="46DC0424">
            <w:pPr>
              <w:pStyle w:val="98"/>
              <w:rPr>
                <w:color w:val="auto"/>
                <w:highlight w:val="none"/>
              </w:rPr>
            </w:pPr>
          </w:p>
        </w:tc>
        <w:tc>
          <w:tcPr>
            <w:tcW w:w="934" w:type="dxa"/>
            <w:tcBorders>
              <w:left w:val="single" w:color="000000" w:sz="4" w:space="0"/>
              <w:right w:val="nil"/>
            </w:tcBorders>
          </w:tcPr>
          <w:p w14:paraId="16FE1943">
            <w:pPr>
              <w:pStyle w:val="98"/>
              <w:rPr>
                <w:color w:val="auto"/>
                <w:highlight w:val="none"/>
              </w:rPr>
            </w:pPr>
          </w:p>
        </w:tc>
        <w:tc>
          <w:tcPr>
            <w:tcW w:w="878" w:type="dxa"/>
            <w:tcBorders>
              <w:left w:val="single" w:color="000000" w:sz="4" w:space="0"/>
              <w:right w:val="nil"/>
            </w:tcBorders>
          </w:tcPr>
          <w:p w14:paraId="6DDF2BAB">
            <w:pPr>
              <w:pStyle w:val="98"/>
              <w:rPr>
                <w:color w:val="auto"/>
                <w:highlight w:val="none"/>
              </w:rPr>
            </w:pPr>
          </w:p>
        </w:tc>
      </w:tr>
      <w:tr w14:paraId="2A4DC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62" w:type="dxa"/>
            <w:tcBorders>
              <w:left w:val="nil"/>
            </w:tcBorders>
          </w:tcPr>
          <w:p w14:paraId="38B0185B">
            <w:pPr>
              <w:pStyle w:val="98"/>
              <w:rPr>
                <w:color w:val="auto"/>
                <w:highlight w:val="none"/>
              </w:rPr>
            </w:pPr>
          </w:p>
        </w:tc>
        <w:tc>
          <w:tcPr>
            <w:tcW w:w="1585" w:type="dxa"/>
          </w:tcPr>
          <w:p w14:paraId="1ADE7948">
            <w:pPr>
              <w:pStyle w:val="98"/>
              <w:rPr>
                <w:color w:val="auto"/>
                <w:highlight w:val="none"/>
              </w:rPr>
            </w:pPr>
          </w:p>
        </w:tc>
        <w:tc>
          <w:tcPr>
            <w:tcW w:w="1560" w:type="dxa"/>
          </w:tcPr>
          <w:p w14:paraId="70855ABC">
            <w:pPr>
              <w:pStyle w:val="98"/>
              <w:rPr>
                <w:color w:val="auto"/>
                <w:highlight w:val="none"/>
              </w:rPr>
            </w:pPr>
          </w:p>
        </w:tc>
        <w:tc>
          <w:tcPr>
            <w:tcW w:w="1476" w:type="dxa"/>
          </w:tcPr>
          <w:p w14:paraId="1D95CED6">
            <w:pPr>
              <w:pStyle w:val="98"/>
              <w:rPr>
                <w:color w:val="auto"/>
                <w:highlight w:val="none"/>
              </w:rPr>
            </w:pPr>
          </w:p>
        </w:tc>
        <w:tc>
          <w:tcPr>
            <w:tcW w:w="912" w:type="dxa"/>
          </w:tcPr>
          <w:p w14:paraId="698641AD">
            <w:pPr>
              <w:pStyle w:val="98"/>
              <w:rPr>
                <w:color w:val="auto"/>
                <w:highlight w:val="none"/>
              </w:rPr>
            </w:pPr>
          </w:p>
        </w:tc>
        <w:tc>
          <w:tcPr>
            <w:tcW w:w="1560" w:type="dxa"/>
          </w:tcPr>
          <w:p w14:paraId="39B6CCF8">
            <w:pPr>
              <w:pStyle w:val="98"/>
              <w:rPr>
                <w:color w:val="auto"/>
                <w:highlight w:val="none"/>
              </w:rPr>
            </w:pPr>
          </w:p>
        </w:tc>
        <w:tc>
          <w:tcPr>
            <w:tcW w:w="2280" w:type="dxa"/>
          </w:tcPr>
          <w:p w14:paraId="442BB4C0">
            <w:pPr>
              <w:pStyle w:val="98"/>
              <w:rPr>
                <w:color w:val="auto"/>
                <w:highlight w:val="none"/>
              </w:rPr>
            </w:pPr>
          </w:p>
        </w:tc>
        <w:tc>
          <w:tcPr>
            <w:tcW w:w="1778" w:type="dxa"/>
            <w:tcBorders>
              <w:right w:val="single" w:color="000000" w:sz="4" w:space="0"/>
            </w:tcBorders>
          </w:tcPr>
          <w:p w14:paraId="4F013D8B">
            <w:pPr>
              <w:pStyle w:val="98"/>
              <w:rPr>
                <w:color w:val="auto"/>
                <w:highlight w:val="none"/>
              </w:rPr>
            </w:pPr>
          </w:p>
        </w:tc>
        <w:tc>
          <w:tcPr>
            <w:tcW w:w="934" w:type="dxa"/>
            <w:tcBorders>
              <w:left w:val="single" w:color="000000" w:sz="4" w:space="0"/>
              <w:right w:val="nil"/>
            </w:tcBorders>
          </w:tcPr>
          <w:p w14:paraId="4C6EAE0A">
            <w:pPr>
              <w:pStyle w:val="98"/>
              <w:rPr>
                <w:color w:val="auto"/>
                <w:highlight w:val="none"/>
              </w:rPr>
            </w:pPr>
          </w:p>
        </w:tc>
        <w:tc>
          <w:tcPr>
            <w:tcW w:w="878" w:type="dxa"/>
            <w:tcBorders>
              <w:left w:val="single" w:color="000000" w:sz="4" w:space="0"/>
              <w:right w:val="nil"/>
            </w:tcBorders>
          </w:tcPr>
          <w:p w14:paraId="730EACD9">
            <w:pPr>
              <w:pStyle w:val="98"/>
              <w:rPr>
                <w:color w:val="auto"/>
                <w:highlight w:val="none"/>
              </w:rPr>
            </w:pPr>
          </w:p>
        </w:tc>
      </w:tr>
      <w:tr w14:paraId="78F76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62" w:type="dxa"/>
            <w:tcBorders>
              <w:left w:val="nil"/>
            </w:tcBorders>
          </w:tcPr>
          <w:p w14:paraId="22FA4E05">
            <w:pPr>
              <w:pStyle w:val="98"/>
              <w:rPr>
                <w:color w:val="auto"/>
                <w:highlight w:val="none"/>
              </w:rPr>
            </w:pPr>
          </w:p>
        </w:tc>
        <w:tc>
          <w:tcPr>
            <w:tcW w:w="1585" w:type="dxa"/>
          </w:tcPr>
          <w:p w14:paraId="557791B4">
            <w:pPr>
              <w:pStyle w:val="98"/>
              <w:rPr>
                <w:color w:val="auto"/>
                <w:highlight w:val="none"/>
              </w:rPr>
            </w:pPr>
          </w:p>
        </w:tc>
        <w:tc>
          <w:tcPr>
            <w:tcW w:w="1560" w:type="dxa"/>
          </w:tcPr>
          <w:p w14:paraId="1350B612">
            <w:pPr>
              <w:pStyle w:val="98"/>
              <w:rPr>
                <w:color w:val="auto"/>
                <w:highlight w:val="none"/>
              </w:rPr>
            </w:pPr>
          </w:p>
        </w:tc>
        <w:tc>
          <w:tcPr>
            <w:tcW w:w="1476" w:type="dxa"/>
          </w:tcPr>
          <w:p w14:paraId="474E5D81">
            <w:pPr>
              <w:pStyle w:val="98"/>
              <w:rPr>
                <w:color w:val="auto"/>
                <w:highlight w:val="none"/>
              </w:rPr>
            </w:pPr>
          </w:p>
        </w:tc>
        <w:tc>
          <w:tcPr>
            <w:tcW w:w="912" w:type="dxa"/>
          </w:tcPr>
          <w:p w14:paraId="44171287">
            <w:pPr>
              <w:pStyle w:val="98"/>
              <w:rPr>
                <w:color w:val="auto"/>
                <w:highlight w:val="none"/>
              </w:rPr>
            </w:pPr>
          </w:p>
        </w:tc>
        <w:tc>
          <w:tcPr>
            <w:tcW w:w="1560" w:type="dxa"/>
          </w:tcPr>
          <w:p w14:paraId="2B7DC52E">
            <w:pPr>
              <w:pStyle w:val="98"/>
              <w:rPr>
                <w:color w:val="auto"/>
                <w:highlight w:val="none"/>
              </w:rPr>
            </w:pPr>
          </w:p>
        </w:tc>
        <w:tc>
          <w:tcPr>
            <w:tcW w:w="2280" w:type="dxa"/>
          </w:tcPr>
          <w:p w14:paraId="24806EEA">
            <w:pPr>
              <w:pStyle w:val="98"/>
              <w:rPr>
                <w:color w:val="auto"/>
                <w:highlight w:val="none"/>
              </w:rPr>
            </w:pPr>
          </w:p>
        </w:tc>
        <w:tc>
          <w:tcPr>
            <w:tcW w:w="1778" w:type="dxa"/>
            <w:tcBorders>
              <w:right w:val="single" w:color="000000" w:sz="4" w:space="0"/>
            </w:tcBorders>
          </w:tcPr>
          <w:p w14:paraId="0B001F1C">
            <w:pPr>
              <w:pStyle w:val="98"/>
              <w:rPr>
                <w:color w:val="auto"/>
                <w:highlight w:val="none"/>
              </w:rPr>
            </w:pPr>
          </w:p>
        </w:tc>
        <w:tc>
          <w:tcPr>
            <w:tcW w:w="934" w:type="dxa"/>
            <w:tcBorders>
              <w:left w:val="single" w:color="000000" w:sz="4" w:space="0"/>
              <w:right w:val="nil"/>
            </w:tcBorders>
          </w:tcPr>
          <w:p w14:paraId="0ACD8D1C">
            <w:pPr>
              <w:pStyle w:val="98"/>
              <w:rPr>
                <w:color w:val="auto"/>
                <w:highlight w:val="none"/>
              </w:rPr>
            </w:pPr>
          </w:p>
        </w:tc>
        <w:tc>
          <w:tcPr>
            <w:tcW w:w="878" w:type="dxa"/>
            <w:tcBorders>
              <w:left w:val="single" w:color="000000" w:sz="4" w:space="0"/>
              <w:right w:val="nil"/>
            </w:tcBorders>
          </w:tcPr>
          <w:p w14:paraId="08CFECC5">
            <w:pPr>
              <w:pStyle w:val="98"/>
              <w:rPr>
                <w:color w:val="auto"/>
                <w:highlight w:val="none"/>
              </w:rPr>
            </w:pPr>
          </w:p>
        </w:tc>
      </w:tr>
      <w:tr w14:paraId="4FCE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262" w:type="dxa"/>
            <w:tcBorders>
              <w:left w:val="nil"/>
            </w:tcBorders>
          </w:tcPr>
          <w:p w14:paraId="590B8791">
            <w:pPr>
              <w:pStyle w:val="98"/>
              <w:rPr>
                <w:color w:val="auto"/>
                <w:highlight w:val="none"/>
              </w:rPr>
            </w:pPr>
          </w:p>
        </w:tc>
        <w:tc>
          <w:tcPr>
            <w:tcW w:w="1585" w:type="dxa"/>
          </w:tcPr>
          <w:p w14:paraId="52F7FC0F">
            <w:pPr>
              <w:pStyle w:val="98"/>
              <w:rPr>
                <w:color w:val="auto"/>
                <w:highlight w:val="none"/>
              </w:rPr>
            </w:pPr>
          </w:p>
        </w:tc>
        <w:tc>
          <w:tcPr>
            <w:tcW w:w="1560" w:type="dxa"/>
          </w:tcPr>
          <w:p w14:paraId="4D03BD9B">
            <w:pPr>
              <w:pStyle w:val="98"/>
              <w:rPr>
                <w:color w:val="auto"/>
                <w:highlight w:val="none"/>
              </w:rPr>
            </w:pPr>
          </w:p>
        </w:tc>
        <w:tc>
          <w:tcPr>
            <w:tcW w:w="1476" w:type="dxa"/>
          </w:tcPr>
          <w:p w14:paraId="39E9C675">
            <w:pPr>
              <w:pStyle w:val="98"/>
              <w:rPr>
                <w:color w:val="auto"/>
                <w:highlight w:val="none"/>
              </w:rPr>
            </w:pPr>
          </w:p>
        </w:tc>
        <w:tc>
          <w:tcPr>
            <w:tcW w:w="912" w:type="dxa"/>
          </w:tcPr>
          <w:p w14:paraId="6502FD27">
            <w:pPr>
              <w:pStyle w:val="98"/>
              <w:rPr>
                <w:color w:val="auto"/>
                <w:highlight w:val="none"/>
              </w:rPr>
            </w:pPr>
          </w:p>
        </w:tc>
        <w:tc>
          <w:tcPr>
            <w:tcW w:w="1560" w:type="dxa"/>
          </w:tcPr>
          <w:p w14:paraId="15DE7F5E">
            <w:pPr>
              <w:pStyle w:val="98"/>
              <w:rPr>
                <w:color w:val="auto"/>
                <w:highlight w:val="none"/>
              </w:rPr>
            </w:pPr>
          </w:p>
        </w:tc>
        <w:tc>
          <w:tcPr>
            <w:tcW w:w="2280" w:type="dxa"/>
          </w:tcPr>
          <w:p w14:paraId="73411FC8">
            <w:pPr>
              <w:pStyle w:val="98"/>
              <w:rPr>
                <w:color w:val="auto"/>
                <w:highlight w:val="none"/>
              </w:rPr>
            </w:pPr>
          </w:p>
        </w:tc>
        <w:tc>
          <w:tcPr>
            <w:tcW w:w="1778" w:type="dxa"/>
            <w:tcBorders>
              <w:right w:val="single" w:color="000000" w:sz="4" w:space="0"/>
            </w:tcBorders>
          </w:tcPr>
          <w:p w14:paraId="5CC650A0">
            <w:pPr>
              <w:pStyle w:val="98"/>
              <w:rPr>
                <w:color w:val="auto"/>
                <w:highlight w:val="none"/>
              </w:rPr>
            </w:pPr>
          </w:p>
        </w:tc>
        <w:tc>
          <w:tcPr>
            <w:tcW w:w="934" w:type="dxa"/>
            <w:tcBorders>
              <w:left w:val="single" w:color="000000" w:sz="4" w:space="0"/>
              <w:right w:val="nil"/>
            </w:tcBorders>
          </w:tcPr>
          <w:p w14:paraId="52653C00">
            <w:pPr>
              <w:pStyle w:val="98"/>
              <w:rPr>
                <w:color w:val="auto"/>
                <w:highlight w:val="none"/>
              </w:rPr>
            </w:pPr>
          </w:p>
        </w:tc>
        <w:tc>
          <w:tcPr>
            <w:tcW w:w="878" w:type="dxa"/>
            <w:tcBorders>
              <w:left w:val="single" w:color="000000" w:sz="4" w:space="0"/>
              <w:right w:val="nil"/>
            </w:tcBorders>
          </w:tcPr>
          <w:p w14:paraId="2555D79B">
            <w:pPr>
              <w:pStyle w:val="98"/>
              <w:rPr>
                <w:color w:val="auto"/>
                <w:highlight w:val="none"/>
              </w:rPr>
            </w:pPr>
          </w:p>
        </w:tc>
      </w:tr>
      <w:tr w14:paraId="46B6D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262" w:type="dxa"/>
            <w:tcBorders>
              <w:left w:val="nil"/>
            </w:tcBorders>
          </w:tcPr>
          <w:p w14:paraId="3FFD980C">
            <w:pPr>
              <w:pStyle w:val="98"/>
              <w:rPr>
                <w:color w:val="auto"/>
                <w:highlight w:val="none"/>
              </w:rPr>
            </w:pPr>
          </w:p>
        </w:tc>
        <w:tc>
          <w:tcPr>
            <w:tcW w:w="1585" w:type="dxa"/>
          </w:tcPr>
          <w:p w14:paraId="25AA550D">
            <w:pPr>
              <w:pStyle w:val="98"/>
              <w:rPr>
                <w:color w:val="auto"/>
                <w:highlight w:val="none"/>
              </w:rPr>
            </w:pPr>
          </w:p>
        </w:tc>
        <w:tc>
          <w:tcPr>
            <w:tcW w:w="1560" w:type="dxa"/>
          </w:tcPr>
          <w:p w14:paraId="283BFCD0">
            <w:pPr>
              <w:pStyle w:val="98"/>
              <w:rPr>
                <w:color w:val="auto"/>
                <w:highlight w:val="none"/>
              </w:rPr>
            </w:pPr>
          </w:p>
        </w:tc>
        <w:tc>
          <w:tcPr>
            <w:tcW w:w="1476" w:type="dxa"/>
          </w:tcPr>
          <w:p w14:paraId="0C0785D9">
            <w:pPr>
              <w:pStyle w:val="98"/>
              <w:rPr>
                <w:color w:val="auto"/>
                <w:highlight w:val="none"/>
              </w:rPr>
            </w:pPr>
          </w:p>
        </w:tc>
        <w:tc>
          <w:tcPr>
            <w:tcW w:w="912" w:type="dxa"/>
          </w:tcPr>
          <w:p w14:paraId="6A9B17D0">
            <w:pPr>
              <w:pStyle w:val="98"/>
              <w:rPr>
                <w:color w:val="auto"/>
                <w:highlight w:val="none"/>
              </w:rPr>
            </w:pPr>
          </w:p>
        </w:tc>
        <w:tc>
          <w:tcPr>
            <w:tcW w:w="1560" w:type="dxa"/>
          </w:tcPr>
          <w:p w14:paraId="3B9E7CCE">
            <w:pPr>
              <w:pStyle w:val="98"/>
              <w:rPr>
                <w:color w:val="auto"/>
                <w:highlight w:val="none"/>
              </w:rPr>
            </w:pPr>
          </w:p>
        </w:tc>
        <w:tc>
          <w:tcPr>
            <w:tcW w:w="2280" w:type="dxa"/>
          </w:tcPr>
          <w:p w14:paraId="4116775B">
            <w:pPr>
              <w:pStyle w:val="98"/>
              <w:rPr>
                <w:color w:val="auto"/>
                <w:highlight w:val="none"/>
              </w:rPr>
            </w:pPr>
          </w:p>
        </w:tc>
        <w:tc>
          <w:tcPr>
            <w:tcW w:w="1778" w:type="dxa"/>
            <w:tcBorders>
              <w:right w:val="single" w:color="000000" w:sz="4" w:space="0"/>
            </w:tcBorders>
          </w:tcPr>
          <w:p w14:paraId="56145B0C">
            <w:pPr>
              <w:pStyle w:val="98"/>
              <w:rPr>
                <w:color w:val="auto"/>
                <w:highlight w:val="none"/>
              </w:rPr>
            </w:pPr>
          </w:p>
        </w:tc>
        <w:tc>
          <w:tcPr>
            <w:tcW w:w="934" w:type="dxa"/>
            <w:tcBorders>
              <w:left w:val="single" w:color="000000" w:sz="4" w:space="0"/>
              <w:right w:val="nil"/>
            </w:tcBorders>
          </w:tcPr>
          <w:p w14:paraId="6692A62C">
            <w:pPr>
              <w:pStyle w:val="98"/>
              <w:rPr>
                <w:color w:val="auto"/>
                <w:highlight w:val="none"/>
              </w:rPr>
            </w:pPr>
          </w:p>
        </w:tc>
        <w:tc>
          <w:tcPr>
            <w:tcW w:w="878" w:type="dxa"/>
            <w:tcBorders>
              <w:left w:val="single" w:color="000000" w:sz="4" w:space="0"/>
              <w:right w:val="nil"/>
            </w:tcBorders>
          </w:tcPr>
          <w:p w14:paraId="12D902B9">
            <w:pPr>
              <w:pStyle w:val="98"/>
              <w:rPr>
                <w:color w:val="auto"/>
                <w:highlight w:val="none"/>
              </w:rPr>
            </w:pPr>
          </w:p>
        </w:tc>
      </w:tr>
      <w:tr w14:paraId="27D8F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262" w:type="dxa"/>
            <w:tcBorders>
              <w:left w:val="nil"/>
            </w:tcBorders>
          </w:tcPr>
          <w:p w14:paraId="2E33B447">
            <w:pPr>
              <w:pStyle w:val="98"/>
              <w:rPr>
                <w:color w:val="auto"/>
                <w:highlight w:val="none"/>
              </w:rPr>
            </w:pPr>
          </w:p>
        </w:tc>
        <w:tc>
          <w:tcPr>
            <w:tcW w:w="1585" w:type="dxa"/>
          </w:tcPr>
          <w:p w14:paraId="78677655">
            <w:pPr>
              <w:pStyle w:val="98"/>
              <w:rPr>
                <w:color w:val="auto"/>
                <w:highlight w:val="none"/>
              </w:rPr>
            </w:pPr>
          </w:p>
        </w:tc>
        <w:tc>
          <w:tcPr>
            <w:tcW w:w="1560" w:type="dxa"/>
          </w:tcPr>
          <w:p w14:paraId="715FDA7C">
            <w:pPr>
              <w:pStyle w:val="98"/>
              <w:rPr>
                <w:color w:val="auto"/>
                <w:highlight w:val="none"/>
              </w:rPr>
            </w:pPr>
          </w:p>
        </w:tc>
        <w:tc>
          <w:tcPr>
            <w:tcW w:w="1476" w:type="dxa"/>
          </w:tcPr>
          <w:p w14:paraId="0ED7714A">
            <w:pPr>
              <w:pStyle w:val="98"/>
              <w:rPr>
                <w:color w:val="auto"/>
                <w:highlight w:val="none"/>
              </w:rPr>
            </w:pPr>
          </w:p>
        </w:tc>
        <w:tc>
          <w:tcPr>
            <w:tcW w:w="912" w:type="dxa"/>
          </w:tcPr>
          <w:p w14:paraId="626609DA">
            <w:pPr>
              <w:pStyle w:val="98"/>
              <w:rPr>
                <w:color w:val="auto"/>
                <w:highlight w:val="none"/>
              </w:rPr>
            </w:pPr>
          </w:p>
        </w:tc>
        <w:tc>
          <w:tcPr>
            <w:tcW w:w="1560" w:type="dxa"/>
          </w:tcPr>
          <w:p w14:paraId="3B155C05">
            <w:pPr>
              <w:pStyle w:val="98"/>
              <w:rPr>
                <w:color w:val="auto"/>
                <w:highlight w:val="none"/>
              </w:rPr>
            </w:pPr>
          </w:p>
        </w:tc>
        <w:tc>
          <w:tcPr>
            <w:tcW w:w="2280" w:type="dxa"/>
          </w:tcPr>
          <w:p w14:paraId="5E9BB8CD">
            <w:pPr>
              <w:pStyle w:val="98"/>
              <w:rPr>
                <w:color w:val="auto"/>
                <w:highlight w:val="none"/>
              </w:rPr>
            </w:pPr>
          </w:p>
        </w:tc>
        <w:tc>
          <w:tcPr>
            <w:tcW w:w="1778" w:type="dxa"/>
            <w:tcBorders>
              <w:right w:val="single" w:color="000000" w:sz="4" w:space="0"/>
            </w:tcBorders>
          </w:tcPr>
          <w:p w14:paraId="59C4E5A0">
            <w:pPr>
              <w:pStyle w:val="98"/>
              <w:rPr>
                <w:color w:val="auto"/>
                <w:highlight w:val="none"/>
              </w:rPr>
            </w:pPr>
          </w:p>
        </w:tc>
        <w:tc>
          <w:tcPr>
            <w:tcW w:w="934" w:type="dxa"/>
            <w:tcBorders>
              <w:left w:val="single" w:color="000000" w:sz="4" w:space="0"/>
              <w:right w:val="nil"/>
            </w:tcBorders>
          </w:tcPr>
          <w:p w14:paraId="59C56A9B">
            <w:pPr>
              <w:pStyle w:val="98"/>
              <w:rPr>
                <w:color w:val="auto"/>
                <w:highlight w:val="none"/>
              </w:rPr>
            </w:pPr>
          </w:p>
        </w:tc>
        <w:tc>
          <w:tcPr>
            <w:tcW w:w="878" w:type="dxa"/>
            <w:tcBorders>
              <w:left w:val="single" w:color="000000" w:sz="4" w:space="0"/>
              <w:right w:val="nil"/>
            </w:tcBorders>
          </w:tcPr>
          <w:p w14:paraId="0A9E43AD">
            <w:pPr>
              <w:pStyle w:val="98"/>
              <w:rPr>
                <w:color w:val="auto"/>
                <w:highlight w:val="none"/>
              </w:rPr>
            </w:pPr>
          </w:p>
        </w:tc>
      </w:tr>
      <w:tr w14:paraId="2DD32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262" w:type="dxa"/>
            <w:tcBorders>
              <w:left w:val="nil"/>
            </w:tcBorders>
          </w:tcPr>
          <w:p w14:paraId="6B29A0BC">
            <w:pPr>
              <w:pStyle w:val="98"/>
              <w:rPr>
                <w:color w:val="auto"/>
                <w:highlight w:val="none"/>
              </w:rPr>
            </w:pPr>
          </w:p>
        </w:tc>
        <w:tc>
          <w:tcPr>
            <w:tcW w:w="1585" w:type="dxa"/>
          </w:tcPr>
          <w:p w14:paraId="0F18B0C4">
            <w:pPr>
              <w:pStyle w:val="98"/>
              <w:rPr>
                <w:color w:val="auto"/>
                <w:highlight w:val="none"/>
              </w:rPr>
            </w:pPr>
          </w:p>
        </w:tc>
        <w:tc>
          <w:tcPr>
            <w:tcW w:w="1560" w:type="dxa"/>
          </w:tcPr>
          <w:p w14:paraId="562C8EE4">
            <w:pPr>
              <w:pStyle w:val="98"/>
              <w:rPr>
                <w:color w:val="auto"/>
                <w:highlight w:val="none"/>
              </w:rPr>
            </w:pPr>
          </w:p>
        </w:tc>
        <w:tc>
          <w:tcPr>
            <w:tcW w:w="1476" w:type="dxa"/>
          </w:tcPr>
          <w:p w14:paraId="10EABE9E">
            <w:pPr>
              <w:pStyle w:val="98"/>
              <w:rPr>
                <w:color w:val="auto"/>
                <w:highlight w:val="none"/>
              </w:rPr>
            </w:pPr>
          </w:p>
        </w:tc>
        <w:tc>
          <w:tcPr>
            <w:tcW w:w="912" w:type="dxa"/>
          </w:tcPr>
          <w:p w14:paraId="16D820C9">
            <w:pPr>
              <w:pStyle w:val="98"/>
              <w:rPr>
                <w:color w:val="auto"/>
                <w:highlight w:val="none"/>
              </w:rPr>
            </w:pPr>
          </w:p>
        </w:tc>
        <w:tc>
          <w:tcPr>
            <w:tcW w:w="1560" w:type="dxa"/>
          </w:tcPr>
          <w:p w14:paraId="38307083">
            <w:pPr>
              <w:pStyle w:val="98"/>
              <w:rPr>
                <w:color w:val="auto"/>
                <w:highlight w:val="none"/>
              </w:rPr>
            </w:pPr>
          </w:p>
        </w:tc>
        <w:tc>
          <w:tcPr>
            <w:tcW w:w="2280" w:type="dxa"/>
          </w:tcPr>
          <w:p w14:paraId="776A93F6">
            <w:pPr>
              <w:pStyle w:val="98"/>
              <w:rPr>
                <w:color w:val="auto"/>
                <w:highlight w:val="none"/>
              </w:rPr>
            </w:pPr>
          </w:p>
        </w:tc>
        <w:tc>
          <w:tcPr>
            <w:tcW w:w="1778" w:type="dxa"/>
            <w:tcBorders>
              <w:right w:val="single" w:color="000000" w:sz="4" w:space="0"/>
            </w:tcBorders>
          </w:tcPr>
          <w:p w14:paraId="47B49128">
            <w:pPr>
              <w:pStyle w:val="98"/>
              <w:rPr>
                <w:color w:val="auto"/>
                <w:highlight w:val="none"/>
              </w:rPr>
            </w:pPr>
          </w:p>
        </w:tc>
        <w:tc>
          <w:tcPr>
            <w:tcW w:w="934" w:type="dxa"/>
            <w:tcBorders>
              <w:left w:val="single" w:color="000000" w:sz="4" w:space="0"/>
              <w:right w:val="nil"/>
            </w:tcBorders>
          </w:tcPr>
          <w:p w14:paraId="2992F69F">
            <w:pPr>
              <w:pStyle w:val="98"/>
              <w:rPr>
                <w:color w:val="auto"/>
                <w:highlight w:val="none"/>
              </w:rPr>
            </w:pPr>
          </w:p>
        </w:tc>
        <w:tc>
          <w:tcPr>
            <w:tcW w:w="878" w:type="dxa"/>
            <w:tcBorders>
              <w:left w:val="single" w:color="000000" w:sz="4" w:space="0"/>
              <w:right w:val="nil"/>
            </w:tcBorders>
          </w:tcPr>
          <w:p w14:paraId="619BCC00">
            <w:pPr>
              <w:pStyle w:val="98"/>
              <w:rPr>
                <w:color w:val="auto"/>
                <w:highlight w:val="none"/>
              </w:rPr>
            </w:pPr>
          </w:p>
        </w:tc>
      </w:tr>
    </w:tbl>
    <w:p w14:paraId="24E6EF2A">
      <w:pPr>
        <w:spacing w:line="304" w:lineRule="auto"/>
        <w:rPr>
          <w:color w:val="auto"/>
          <w:highlight w:val="none"/>
        </w:rPr>
      </w:pPr>
    </w:p>
    <w:p w14:paraId="3DBA7B1F">
      <w:pPr>
        <w:rPr>
          <w:color w:val="auto"/>
          <w:spacing w:val="-13"/>
          <w:sz w:val="30"/>
          <w:szCs w:val="30"/>
          <w:highlight w:val="none"/>
        </w:rPr>
      </w:pPr>
    </w:p>
    <w:p w14:paraId="32E0DE9F">
      <w:pPr>
        <w:pStyle w:val="19"/>
        <w:spacing w:before="98" w:line="219" w:lineRule="auto"/>
        <w:rPr>
          <w:color w:val="auto"/>
          <w:spacing w:val="-13"/>
          <w:sz w:val="30"/>
          <w:szCs w:val="30"/>
          <w:highlight w:val="none"/>
        </w:rPr>
        <w:sectPr>
          <w:footerReference r:id="rId9" w:type="default"/>
          <w:pgSz w:w="16841" w:h="11907" w:orient="landscape"/>
          <w:pgMar w:top="1785" w:right="1427" w:bottom="1441" w:left="1271" w:header="0" w:footer="1108" w:gutter="0"/>
          <w:pgBorders>
            <w:top w:val="none" w:sz="0" w:space="0"/>
            <w:left w:val="none" w:sz="0" w:space="0"/>
            <w:bottom w:val="none" w:sz="0" w:space="0"/>
            <w:right w:val="none" w:sz="0" w:space="0"/>
          </w:pgBorders>
          <w:pgNumType w:fmt="decimal"/>
          <w:cols w:equalWidth="0" w:num="1">
            <w:col w:w="8679"/>
          </w:cols>
        </w:sectPr>
      </w:pPr>
    </w:p>
    <w:p w14:paraId="36D1772A">
      <w:pPr>
        <w:pStyle w:val="19"/>
        <w:spacing w:before="98" w:line="219" w:lineRule="auto"/>
        <w:rPr>
          <w:color w:val="auto"/>
          <w:sz w:val="30"/>
          <w:szCs w:val="30"/>
          <w:highlight w:val="none"/>
        </w:rPr>
      </w:pPr>
      <w:r>
        <w:rPr>
          <w:color w:val="auto"/>
          <w:spacing w:val="-13"/>
          <w:sz w:val="30"/>
          <w:szCs w:val="30"/>
          <w:highlight w:val="none"/>
        </w:rPr>
        <w:t>附件</w:t>
      </w:r>
      <w:r>
        <w:rPr>
          <w:rFonts w:ascii="Calibri" w:hAnsi="Calibri" w:eastAsia="Calibri" w:cs="Calibri"/>
          <w:color w:val="auto"/>
          <w:spacing w:val="-13"/>
          <w:sz w:val="30"/>
          <w:szCs w:val="30"/>
          <w:highlight w:val="none"/>
        </w:rPr>
        <w:t>2</w:t>
      </w:r>
      <w:r>
        <w:rPr>
          <w:color w:val="auto"/>
          <w:spacing w:val="-13"/>
          <w:sz w:val="30"/>
          <w:szCs w:val="30"/>
          <w:highlight w:val="none"/>
        </w:rPr>
        <w:t>：</w:t>
      </w:r>
    </w:p>
    <w:p w14:paraId="718A6849">
      <w:pPr>
        <w:spacing w:before="187" w:line="223" w:lineRule="auto"/>
        <w:jc w:val="center"/>
        <w:rPr>
          <w:rFonts w:ascii="黑体" w:hAnsi="黑体" w:eastAsia="黑体" w:cs="黑体"/>
          <w:color w:val="auto"/>
          <w:sz w:val="31"/>
          <w:szCs w:val="31"/>
          <w:highlight w:val="none"/>
          <w:lang w:eastAsia="zh-CN"/>
        </w:rPr>
      </w:pPr>
      <w:r>
        <w:rPr>
          <w:rFonts w:ascii="黑体" w:hAnsi="黑体" w:eastAsia="黑体" w:cs="黑体"/>
          <w:color w:val="auto"/>
          <w:spacing w:val="6"/>
          <w:sz w:val="31"/>
          <w:szCs w:val="31"/>
          <w:highlight w:val="none"/>
          <w:lang w:eastAsia="zh-CN"/>
        </w:rPr>
        <w:t>工程质量保修书（房屋建筑工程）</w:t>
      </w:r>
    </w:p>
    <w:p w14:paraId="71CD2B31">
      <w:pPr>
        <w:pStyle w:val="19"/>
        <w:spacing w:before="278" w:line="388" w:lineRule="auto"/>
        <w:jc w:val="both"/>
        <w:rPr>
          <w:color w:val="auto"/>
          <w:sz w:val="24"/>
          <w:szCs w:val="24"/>
          <w:highlight w:val="none"/>
          <w:lang w:eastAsia="zh-CN"/>
        </w:rPr>
      </w:pPr>
      <w:r>
        <w:rPr>
          <w:color w:val="auto"/>
          <w:spacing w:val="-13"/>
          <w:sz w:val="24"/>
          <w:szCs w:val="24"/>
          <w:highlight w:val="none"/>
          <w:lang w:eastAsia="zh-CN"/>
        </w:rPr>
        <w:t>发包人（全称</w:t>
      </w:r>
      <w:r>
        <w:rPr>
          <w:color w:val="auto"/>
          <w:spacing w:val="-19"/>
          <w:sz w:val="24"/>
          <w:szCs w:val="24"/>
          <w:highlight w:val="none"/>
          <w:lang w:eastAsia="zh-CN"/>
        </w:rPr>
        <w:t>）：</w:t>
      </w:r>
      <w:r>
        <w:rPr>
          <w:rFonts w:hint="eastAsia"/>
          <w:color w:val="auto"/>
          <w:sz w:val="24"/>
          <w:szCs w:val="24"/>
          <w:highlight w:val="none"/>
          <w:u w:val="single"/>
          <w:lang w:eastAsia="zh-CN"/>
        </w:rPr>
        <w:t xml:space="preserve">北海市海城区教育局 </w:t>
      </w:r>
    </w:p>
    <w:p w14:paraId="18A63BBF">
      <w:pPr>
        <w:pStyle w:val="19"/>
        <w:spacing w:line="220" w:lineRule="auto"/>
        <w:rPr>
          <w:color w:val="auto"/>
          <w:sz w:val="24"/>
          <w:szCs w:val="24"/>
          <w:highlight w:val="none"/>
          <w:lang w:eastAsia="zh-CN"/>
        </w:rPr>
      </w:pPr>
      <w:r>
        <w:rPr>
          <w:color w:val="auto"/>
          <w:spacing w:val="-12"/>
          <w:sz w:val="24"/>
          <w:szCs w:val="24"/>
          <w:highlight w:val="none"/>
          <w:lang w:eastAsia="zh-CN"/>
        </w:rPr>
        <w:t>承包人（全称</w:t>
      </w:r>
      <w:r>
        <w:rPr>
          <w:color w:val="auto"/>
          <w:spacing w:val="-20"/>
          <w:sz w:val="24"/>
          <w:szCs w:val="24"/>
          <w:highlight w:val="none"/>
          <w:lang w:eastAsia="zh-CN"/>
        </w:rPr>
        <w:t>）：</w:t>
      </w:r>
      <w:r>
        <w:rPr>
          <w:rFonts w:hint="eastAsia"/>
          <w:color w:val="auto"/>
          <w:sz w:val="24"/>
          <w:szCs w:val="24"/>
          <w:highlight w:val="none"/>
          <w:u w:val="single"/>
          <w:lang w:eastAsia="zh-CN"/>
        </w:rPr>
        <w:t xml:space="preserve">         </w:t>
      </w:r>
    </w:p>
    <w:p w14:paraId="706B26B8">
      <w:pPr>
        <w:spacing w:line="407" w:lineRule="auto"/>
        <w:rPr>
          <w:color w:val="auto"/>
          <w:sz w:val="24"/>
          <w:szCs w:val="24"/>
          <w:highlight w:val="none"/>
          <w:lang w:eastAsia="zh-CN"/>
        </w:rPr>
      </w:pPr>
    </w:p>
    <w:p w14:paraId="52FB4B4E">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3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lang w:eastAsia="zh-CN"/>
        </w:rPr>
        <w:t>发包人和承包人根据《中华人民共和国建筑法》和《建设工程质量管理条例》，经协商一致</w:t>
      </w:r>
      <w:r>
        <w:rPr>
          <w:rFonts w:hint="eastAsia" w:asciiTheme="minorEastAsia" w:hAnsiTheme="minorEastAsia" w:eastAsiaTheme="minorEastAsia" w:cstheme="minorEastAsia"/>
          <w:color w:val="auto"/>
          <w:spacing w:val="-1"/>
          <w:sz w:val="24"/>
          <w:szCs w:val="24"/>
          <w:highlight w:val="none"/>
          <w:lang w:eastAsia="zh-CN"/>
        </w:rPr>
        <w:t>就</w:t>
      </w:r>
      <w:r>
        <w:rPr>
          <w:rFonts w:hint="eastAsia" w:asciiTheme="minorEastAsia" w:hAnsiTheme="minorEastAsia" w:eastAsiaTheme="minorEastAsia" w:cstheme="minorEastAsia"/>
          <w:color w:val="auto"/>
          <w:sz w:val="24"/>
          <w:szCs w:val="24"/>
          <w:highlight w:val="none"/>
        </w:rPr>
        <w:fldChar w:fldCharType="begin"/>
      </w:r>
      <w:r>
        <w:rPr>
          <w:rFonts w:hint="eastAsia" w:asciiTheme="minorEastAsia" w:hAnsiTheme="minorEastAsia" w:eastAsiaTheme="minorEastAsia" w:cstheme="minorEastAsia"/>
          <w:color w:val="auto"/>
          <w:sz w:val="24"/>
          <w:szCs w:val="24"/>
          <w:highlight w:val="none"/>
        </w:rPr>
        <w:instrText xml:space="preserve"> HYPERLINK "http://192.168.0.88:81/admin/project/edit/id/2406.html" </w:instrText>
      </w:r>
      <w:r>
        <w:rPr>
          <w:rFonts w:hint="eastAsia" w:asciiTheme="minorEastAsia" w:hAnsiTheme="minorEastAsia" w:eastAsiaTheme="minorEastAsia" w:cstheme="minorEastAsia"/>
          <w:color w:val="auto"/>
          <w:sz w:val="24"/>
          <w:szCs w:val="24"/>
          <w:highlight w:val="none"/>
        </w:rPr>
        <w:fldChar w:fldCharType="separate"/>
      </w:r>
      <w:r>
        <w:rPr>
          <w:rFonts w:hint="eastAsia" w:asciiTheme="minorEastAsia" w:hAnsiTheme="minorEastAsia" w:eastAsiaTheme="minorEastAsia" w:cstheme="minorEastAsia"/>
          <w:color w:val="auto"/>
          <w:spacing w:val="-1"/>
          <w:sz w:val="24"/>
          <w:szCs w:val="24"/>
          <w:highlight w:val="none"/>
          <w:u w:val="single"/>
          <w:lang w:eastAsia="zh-CN"/>
        </w:rPr>
        <w:t xml:space="preserve">        </w:t>
      </w:r>
      <w:r>
        <w:rPr>
          <w:rFonts w:hint="eastAsia" w:asciiTheme="minorEastAsia" w:hAnsiTheme="minorEastAsia" w:eastAsiaTheme="minorEastAsia" w:cstheme="minorEastAsia"/>
          <w:color w:val="auto"/>
          <w:spacing w:val="-1"/>
          <w:sz w:val="24"/>
          <w:szCs w:val="24"/>
          <w:highlight w:val="none"/>
          <w:u w:val="single"/>
          <w:lang w:eastAsia="zh-CN"/>
        </w:rPr>
        <w:fldChar w:fldCharType="end"/>
      </w:r>
      <w:r>
        <w:rPr>
          <w:rFonts w:hint="eastAsia" w:asciiTheme="minorEastAsia" w:hAnsiTheme="minorEastAsia" w:eastAsiaTheme="minorEastAsia" w:cstheme="minorEastAsia"/>
          <w:color w:val="auto"/>
          <w:spacing w:val="-1"/>
          <w:sz w:val="24"/>
          <w:szCs w:val="24"/>
          <w:highlight w:val="none"/>
          <w:u w:val="single"/>
          <w:lang w:eastAsia="zh-CN"/>
        </w:rPr>
        <w:t>（</w:t>
      </w:r>
      <w:r>
        <w:rPr>
          <w:rFonts w:hint="eastAsia" w:asciiTheme="minorEastAsia" w:hAnsiTheme="minorEastAsia" w:eastAsiaTheme="minorEastAsia" w:cstheme="minorEastAsia"/>
          <w:color w:val="auto"/>
          <w:spacing w:val="-1"/>
          <w:sz w:val="24"/>
          <w:szCs w:val="24"/>
          <w:highlight w:val="none"/>
          <w:lang w:eastAsia="zh-CN"/>
        </w:rPr>
        <w:t>工程全称）</w:t>
      </w:r>
      <w:r>
        <w:rPr>
          <w:rFonts w:hint="eastAsia" w:asciiTheme="minorEastAsia" w:hAnsiTheme="minorEastAsia" w:eastAsiaTheme="minorEastAsia" w:cstheme="minorEastAsia"/>
          <w:color w:val="auto"/>
          <w:spacing w:val="-2"/>
          <w:sz w:val="24"/>
          <w:szCs w:val="24"/>
          <w:highlight w:val="none"/>
          <w:lang w:eastAsia="zh-CN"/>
        </w:rPr>
        <w:t>签订工程质量保修书。</w:t>
      </w:r>
    </w:p>
    <w:p w14:paraId="78AB094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一、工程质量保修范围和内容</w:t>
      </w:r>
    </w:p>
    <w:p w14:paraId="57B07A4C">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5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6"/>
          <w:sz w:val="24"/>
          <w:szCs w:val="24"/>
          <w:highlight w:val="none"/>
          <w:lang w:eastAsia="zh-CN"/>
        </w:rPr>
        <w:t>承包人在质量保修期内，按照有关法律规定和合同约定，承担工程质量保修责任。</w:t>
      </w:r>
    </w:p>
    <w:p w14:paraId="6AD977D7">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4"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质量保修范围包括地基基础工程、主体结构工</w:t>
      </w:r>
      <w:r>
        <w:rPr>
          <w:rFonts w:hint="eastAsia" w:asciiTheme="minorEastAsia" w:hAnsiTheme="minorEastAsia" w:eastAsiaTheme="minorEastAsia" w:cstheme="minorEastAsia"/>
          <w:color w:val="auto"/>
          <w:sz w:val="24"/>
          <w:szCs w:val="24"/>
          <w:highlight w:val="none"/>
          <w:lang w:eastAsia="zh-CN"/>
        </w:rPr>
        <w:t>程，屋面防水工程、有防水要求的卫生间、</w:t>
      </w:r>
      <w:r>
        <w:rPr>
          <w:rFonts w:hint="eastAsia" w:asciiTheme="minorEastAsia" w:hAnsiTheme="minorEastAsia" w:eastAsiaTheme="minorEastAsia" w:cstheme="minorEastAsia"/>
          <w:color w:val="auto"/>
          <w:spacing w:val="-2"/>
          <w:sz w:val="24"/>
          <w:szCs w:val="24"/>
          <w:highlight w:val="none"/>
          <w:lang w:eastAsia="zh-CN"/>
        </w:rPr>
        <w:t>房间和外墙面的防渗漏，供热与供冷系统，电气管</w:t>
      </w:r>
      <w:r>
        <w:rPr>
          <w:rFonts w:hint="eastAsia" w:asciiTheme="minorEastAsia" w:hAnsiTheme="minorEastAsia" w:eastAsiaTheme="minorEastAsia" w:cstheme="minorEastAsia"/>
          <w:color w:val="auto"/>
          <w:spacing w:val="-3"/>
          <w:sz w:val="24"/>
          <w:szCs w:val="24"/>
          <w:highlight w:val="none"/>
          <w:lang w:eastAsia="zh-CN"/>
        </w:rPr>
        <w:t>线、给排水管道、设备安装和装修工程，以</w:t>
      </w:r>
      <w:r>
        <w:rPr>
          <w:rFonts w:hint="eastAsia" w:asciiTheme="minorEastAsia" w:hAnsiTheme="minorEastAsia" w:eastAsiaTheme="minorEastAsia" w:cstheme="minorEastAsia"/>
          <w:color w:val="auto"/>
          <w:sz w:val="24"/>
          <w:szCs w:val="24"/>
          <w:highlight w:val="none"/>
          <w:lang w:eastAsia="zh-CN"/>
        </w:rPr>
        <w:t>及双方约定的其他项目。具体保修的内容，双方约定如</w:t>
      </w:r>
      <w:r>
        <w:rPr>
          <w:rFonts w:hint="eastAsia" w:asciiTheme="minorEastAsia" w:hAnsiTheme="minorEastAsia" w:eastAsiaTheme="minorEastAsia" w:cstheme="minorEastAsia"/>
          <w:color w:val="auto"/>
          <w:spacing w:val="-1"/>
          <w:sz w:val="24"/>
          <w:szCs w:val="24"/>
          <w:highlight w:val="none"/>
          <w:lang w:eastAsia="zh-CN"/>
        </w:rPr>
        <w:t>下：</w:t>
      </w:r>
    </w:p>
    <w:p w14:paraId="70B91604">
      <w:pPr>
        <w:keepNext w:val="0"/>
        <w:keepLines w:val="0"/>
        <w:pageBreakBefore w:val="0"/>
        <w:widowControl/>
        <w:tabs>
          <w:tab w:val="left" w:pos="3084"/>
          <w:tab w:val="left" w:pos="8622"/>
        </w:tabs>
        <w:kinsoku w:val="0"/>
        <w:wordWrap/>
        <w:overflowPunct/>
        <w:topLinePunct w:val="0"/>
        <w:autoSpaceDE w:val="0"/>
        <w:autoSpaceDN w:val="0"/>
        <w:bidi w:val="0"/>
        <w:adjustRightInd w:val="0"/>
        <w:snapToGrid w:val="0"/>
        <w:spacing w:line="440" w:lineRule="exact"/>
        <w:ind w:left="0" w:right="0" w:firstLine="48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u w:val="single"/>
          <w:lang w:eastAsia="zh-CN"/>
        </w:rPr>
        <w:tab/>
      </w:r>
      <w:r>
        <w:rPr>
          <w:rFonts w:hint="eastAsia" w:asciiTheme="minorEastAsia" w:hAnsiTheme="minorEastAsia" w:eastAsiaTheme="minorEastAsia" w:cstheme="minorEastAsia"/>
          <w:color w:val="auto"/>
          <w:sz w:val="24"/>
          <w:szCs w:val="24"/>
          <w:highlight w:val="none"/>
          <w:u w:val="single"/>
          <w:lang w:eastAsia="zh-CN"/>
        </w:rPr>
        <w:t>/</w:t>
      </w:r>
      <w:r>
        <w:rPr>
          <w:rFonts w:hint="eastAsia" w:asciiTheme="minorEastAsia" w:hAnsiTheme="minorEastAsia" w:eastAsiaTheme="minorEastAsia" w:cstheme="minorEastAsia"/>
          <w:color w:val="auto"/>
          <w:sz w:val="24"/>
          <w:szCs w:val="24"/>
          <w:highlight w:val="none"/>
          <w:u w:val="single"/>
          <w:lang w:eastAsia="zh-CN"/>
        </w:rPr>
        <w:tab/>
      </w:r>
    </w:p>
    <w:p w14:paraId="77410ADB">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p>
    <w:p w14:paraId="21D5790B">
      <w:pPr>
        <w:pStyle w:val="19"/>
        <w:keepNext w:val="0"/>
        <w:keepLines w:val="0"/>
        <w:pageBreakBefore w:val="0"/>
        <w:widowControl/>
        <w:tabs>
          <w:tab w:val="left" w:pos="8202"/>
        </w:tabs>
        <w:kinsoku w:val="0"/>
        <w:wordWrap/>
        <w:overflowPunct/>
        <w:topLinePunct w:val="0"/>
        <w:autoSpaceDE w:val="0"/>
        <w:autoSpaceDN w:val="0"/>
        <w:bidi w:val="0"/>
        <w:adjustRightInd w:val="0"/>
        <w:snapToGrid w:val="0"/>
        <w:spacing w:line="440" w:lineRule="exact"/>
        <w:ind w:left="0" w:right="0" w:firstLine="48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u w:val="single"/>
          <w:lang w:eastAsia="zh-CN"/>
        </w:rPr>
        <w:tab/>
      </w:r>
      <w:r>
        <w:rPr>
          <w:rFonts w:hint="eastAsia" w:asciiTheme="minorEastAsia" w:hAnsiTheme="minorEastAsia" w:eastAsiaTheme="minorEastAsia" w:cstheme="minorEastAsia"/>
          <w:color w:val="auto"/>
          <w:spacing w:val="6"/>
          <w:sz w:val="24"/>
          <w:szCs w:val="24"/>
          <w:highlight w:val="none"/>
          <w:lang w:eastAsia="zh-CN"/>
        </w:rPr>
        <w:t>。</w:t>
      </w:r>
    </w:p>
    <w:p w14:paraId="4D0D0322">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二、质量保修期</w:t>
      </w:r>
    </w:p>
    <w:p w14:paraId="690BD12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根据《建设工程质量管理条例》及有关规定，工程的质量保修期如下：</w:t>
      </w:r>
    </w:p>
    <w:p w14:paraId="5B8FD5C8">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1．地基基础工程和主体结构工程为设计文件规定的工程合理使用</w:t>
      </w:r>
      <w:r>
        <w:rPr>
          <w:rFonts w:hint="eastAsia" w:asciiTheme="minorEastAsia" w:hAnsiTheme="minorEastAsia" w:eastAsiaTheme="minorEastAsia" w:cstheme="minorEastAsia"/>
          <w:color w:val="auto"/>
          <w:spacing w:val="-3"/>
          <w:sz w:val="24"/>
          <w:szCs w:val="24"/>
          <w:highlight w:val="none"/>
          <w:lang w:eastAsia="zh-CN"/>
        </w:rPr>
        <w:t>年限；</w:t>
      </w:r>
    </w:p>
    <w:p w14:paraId="7C31C4B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2．屋面防水工程、有防水要求的卫生间、房间和外墙面的</w:t>
      </w:r>
      <w:r>
        <w:rPr>
          <w:rFonts w:hint="eastAsia" w:asciiTheme="minorEastAsia" w:hAnsiTheme="minorEastAsia" w:eastAsiaTheme="minorEastAsia" w:cstheme="minorEastAsia"/>
          <w:color w:val="auto"/>
          <w:spacing w:val="-3"/>
          <w:sz w:val="24"/>
          <w:szCs w:val="24"/>
          <w:highlight w:val="none"/>
          <w:lang w:eastAsia="zh-CN"/>
        </w:rPr>
        <w:t>防渗为</w:t>
      </w:r>
      <w:r>
        <w:rPr>
          <w:rFonts w:hint="eastAsia" w:asciiTheme="minorEastAsia" w:hAnsiTheme="minorEastAsia" w:eastAsiaTheme="minorEastAsia" w:cstheme="minorEastAsia"/>
          <w:color w:val="auto"/>
          <w:sz w:val="24"/>
          <w:szCs w:val="24"/>
          <w:highlight w:val="none"/>
          <w:u w:val="single"/>
          <w:lang w:eastAsia="zh-CN"/>
        </w:rPr>
        <w:t>5</w:t>
      </w:r>
      <w:r>
        <w:rPr>
          <w:rFonts w:hint="eastAsia" w:asciiTheme="minorEastAsia" w:hAnsiTheme="minorEastAsia" w:eastAsiaTheme="minorEastAsia" w:cstheme="minorEastAsia"/>
          <w:color w:val="auto"/>
          <w:spacing w:val="-3"/>
          <w:sz w:val="24"/>
          <w:szCs w:val="24"/>
          <w:highlight w:val="none"/>
          <w:lang w:eastAsia="zh-CN"/>
        </w:rPr>
        <w:t>年；</w:t>
      </w:r>
    </w:p>
    <w:p w14:paraId="6595345A">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4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3．装修工程为</w:t>
      </w:r>
      <w:r>
        <w:rPr>
          <w:rFonts w:hint="eastAsia" w:asciiTheme="minorEastAsia" w:hAnsiTheme="minorEastAsia" w:eastAsiaTheme="minorEastAsia" w:cstheme="minorEastAsia"/>
          <w:color w:val="auto"/>
          <w:spacing w:val="12"/>
          <w:sz w:val="24"/>
          <w:szCs w:val="24"/>
          <w:highlight w:val="none"/>
          <w:u w:val="single"/>
          <w:lang w:eastAsia="zh-CN"/>
        </w:rPr>
        <w:t>2</w:t>
      </w:r>
      <w:r>
        <w:rPr>
          <w:rFonts w:hint="eastAsia" w:asciiTheme="minorEastAsia" w:hAnsiTheme="minorEastAsia" w:eastAsiaTheme="minorEastAsia" w:cstheme="minorEastAsia"/>
          <w:color w:val="auto"/>
          <w:spacing w:val="-8"/>
          <w:sz w:val="24"/>
          <w:szCs w:val="24"/>
          <w:highlight w:val="none"/>
          <w:lang w:eastAsia="zh-CN"/>
        </w:rPr>
        <w:t>年；</w:t>
      </w:r>
    </w:p>
    <w:p w14:paraId="63105F11">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4．电气管线、给排水管道、设备安装工程为</w:t>
      </w:r>
      <w:r>
        <w:rPr>
          <w:rFonts w:hint="eastAsia" w:asciiTheme="minorEastAsia" w:hAnsiTheme="minorEastAsia" w:eastAsiaTheme="minorEastAsia" w:cstheme="minorEastAsia"/>
          <w:color w:val="auto"/>
          <w:spacing w:val="12"/>
          <w:sz w:val="24"/>
          <w:szCs w:val="24"/>
          <w:highlight w:val="none"/>
          <w:u w:val="single"/>
          <w:lang w:eastAsia="zh-CN"/>
        </w:rPr>
        <w:t>2</w:t>
      </w:r>
      <w:r>
        <w:rPr>
          <w:rFonts w:hint="eastAsia" w:asciiTheme="minorEastAsia" w:hAnsiTheme="minorEastAsia" w:eastAsiaTheme="minorEastAsia" w:cstheme="minorEastAsia"/>
          <w:color w:val="auto"/>
          <w:spacing w:val="-3"/>
          <w:sz w:val="24"/>
          <w:szCs w:val="24"/>
          <w:highlight w:val="none"/>
          <w:lang w:eastAsia="zh-CN"/>
        </w:rPr>
        <w:t>年；</w:t>
      </w:r>
    </w:p>
    <w:p w14:paraId="06FEC900">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5．供热与供冷系统为</w:t>
      </w:r>
      <w:r>
        <w:rPr>
          <w:rFonts w:hint="eastAsia" w:asciiTheme="minorEastAsia" w:hAnsiTheme="minorEastAsia" w:eastAsiaTheme="minorEastAsia" w:cstheme="minorEastAsia"/>
          <w:color w:val="auto"/>
          <w:spacing w:val="13"/>
          <w:sz w:val="24"/>
          <w:szCs w:val="24"/>
          <w:highlight w:val="none"/>
          <w:u w:val="single"/>
          <w:lang w:eastAsia="zh-CN"/>
        </w:rPr>
        <w:t>2</w:t>
      </w:r>
      <w:r>
        <w:rPr>
          <w:rFonts w:hint="eastAsia" w:asciiTheme="minorEastAsia" w:hAnsiTheme="minorEastAsia" w:eastAsiaTheme="minorEastAsia" w:cstheme="minorEastAsia"/>
          <w:color w:val="auto"/>
          <w:spacing w:val="-3"/>
          <w:sz w:val="24"/>
          <w:szCs w:val="24"/>
          <w:highlight w:val="none"/>
          <w:lang w:eastAsia="zh-CN"/>
        </w:rPr>
        <w:t>个采暖期、供冷期；</w:t>
      </w:r>
    </w:p>
    <w:p w14:paraId="7C589F94">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6．住宅小区内的给排水设施、道路等配套工程为</w:t>
      </w:r>
      <w:r>
        <w:rPr>
          <w:rFonts w:hint="eastAsia" w:asciiTheme="minorEastAsia" w:hAnsiTheme="minorEastAsia" w:eastAsiaTheme="minorEastAsia" w:cstheme="minorEastAsia"/>
          <w:color w:val="auto"/>
          <w:spacing w:val="13"/>
          <w:sz w:val="24"/>
          <w:szCs w:val="24"/>
          <w:highlight w:val="none"/>
          <w:u w:val="single"/>
          <w:lang w:eastAsia="zh-CN"/>
        </w:rPr>
        <w:t xml:space="preserve">    2    </w:t>
      </w:r>
      <w:r>
        <w:rPr>
          <w:rFonts w:hint="eastAsia" w:asciiTheme="minorEastAsia" w:hAnsiTheme="minorEastAsia" w:eastAsiaTheme="minorEastAsia" w:cstheme="minorEastAsia"/>
          <w:color w:val="auto"/>
          <w:spacing w:val="-3"/>
          <w:sz w:val="24"/>
          <w:szCs w:val="24"/>
          <w:highlight w:val="none"/>
          <w:lang w:eastAsia="zh-CN"/>
        </w:rPr>
        <w:t>年；</w:t>
      </w:r>
    </w:p>
    <w:p w14:paraId="3FD32F98">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7．其他项目保修期限约定如下：</w:t>
      </w:r>
    </w:p>
    <w:p w14:paraId="1A4A0DED">
      <w:pPr>
        <w:keepNext w:val="0"/>
        <w:keepLines w:val="0"/>
        <w:pageBreakBefore w:val="0"/>
        <w:widowControl/>
        <w:tabs>
          <w:tab w:val="left" w:pos="8622"/>
        </w:tabs>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u w:val="single"/>
          <w:lang w:eastAsia="zh-CN"/>
        </w:rPr>
        <w:t>其他项目的保修期为1年。</w:t>
      </w:r>
    </w:p>
    <w:p w14:paraId="32B0812A">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position w:val="14"/>
          <w:sz w:val="24"/>
          <w:szCs w:val="24"/>
          <w:highlight w:val="none"/>
          <w:lang w:eastAsia="zh-CN"/>
        </w:rPr>
        <w:t>质量保修期自工程竣工验收合格之日起计算。</w:t>
      </w:r>
    </w:p>
    <w:p w14:paraId="337E143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2"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三、缺陷责任期</w:t>
      </w:r>
    </w:p>
    <w:p w14:paraId="1DD16E61">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工程缺陷责任期为</w:t>
      </w:r>
      <w:r>
        <w:rPr>
          <w:rFonts w:hint="eastAsia" w:asciiTheme="minorEastAsia" w:hAnsiTheme="minorEastAsia" w:eastAsiaTheme="minorEastAsia" w:cstheme="minorEastAsia"/>
          <w:color w:val="auto"/>
          <w:spacing w:val="12"/>
          <w:sz w:val="24"/>
          <w:szCs w:val="24"/>
          <w:highlight w:val="none"/>
          <w:u w:val="single"/>
          <w:lang w:val="en-US" w:eastAsia="zh-CN"/>
        </w:rPr>
        <w:t>12</w:t>
      </w:r>
      <w:r>
        <w:rPr>
          <w:rFonts w:hint="eastAsia" w:asciiTheme="minorEastAsia" w:hAnsiTheme="minorEastAsia" w:eastAsiaTheme="minorEastAsia" w:cstheme="minorEastAsia"/>
          <w:color w:val="auto"/>
          <w:spacing w:val="-4"/>
          <w:sz w:val="24"/>
          <w:szCs w:val="24"/>
          <w:highlight w:val="none"/>
          <w:lang w:eastAsia="zh-CN"/>
        </w:rPr>
        <w:t>个月（最长不超过24个月</w:t>
      </w:r>
      <w:r>
        <w:rPr>
          <w:rFonts w:hint="eastAsia" w:asciiTheme="minorEastAsia" w:hAnsiTheme="minorEastAsia" w:eastAsiaTheme="minorEastAsia" w:cstheme="minorEastAsia"/>
          <w:color w:val="auto"/>
          <w:spacing w:val="-27"/>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lang w:eastAsia="zh-CN"/>
        </w:rPr>
        <w:t>缺陷责任期自工程竣工验收合格</w:t>
      </w:r>
      <w:r>
        <w:rPr>
          <w:rFonts w:hint="eastAsia" w:asciiTheme="minorEastAsia" w:hAnsiTheme="minorEastAsia" w:eastAsiaTheme="minorEastAsia" w:cstheme="minorEastAsia"/>
          <w:color w:val="auto"/>
          <w:spacing w:val="1"/>
          <w:sz w:val="24"/>
          <w:szCs w:val="24"/>
          <w:highlight w:val="none"/>
          <w:lang w:eastAsia="zh-CN"/>
        </w:rPr>
        <w:t>之日起计算。单位工程先于全部工程进行验收，单位工程缺陷责任期自单位工程验收合格之日</w:t>
      </w:r>
      <w:r>
        <w:rPr>
          <w:rFonts w:hint="eastAsia" w:asciiTheme="minorEastAsia" w:hAnsiTheme="minorEastAsia" w:eastAsiaTheme="minorEastAsia" w:cstheme="minorEastAsia"/>
          <w:color w:val="auto"/>
          <w:spacing w:val="-9"/>
          <w:sz w:val="24"/>
          <w:szCs w:val="24"/>
          <w:highlight w:val="none"/>
          <w:lang w:eastAsia="zh-CN"/>
        </w:rPr>
        <w:t>起算。</w:t>
      </w:r>
    </w:p>
    <w:p w14:paraId="6E7B6F0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缺陷责任期</w:t>
      </w:r>
      <w:r>
        <w:rPr>
          <w:rFonts w:hint="eastAsia" w:asciiTheme="minorEastAsia" w:hAnsiTheme="minorEastAsia" w:eastAsiaTheme="minorEastAsia" w:cstheme="minorEastAsia"/>
          <w:color w:val="auto"/>
          <w:spacing w:val="-3"/>
          <w:sz w:val="24"/>
          <w:szCs w:val="24"/>
          <w:highlight w:val="none"/>
          <w:u w:val="none"/>
          <w:lang w:eastAsia="zh-CN"/>
        </w:rPr>
        <w:t>满</w:t>
      </w:r>
      <w:r>
        <w:rPr>
          <w:rFonts w:hint="eastAsia" w:asciiTheme="minorEastAsia" w:hAnsiTheme="minorEastAsia" w:eastAsiaTheme="minorEastAsia" w:cstheme="minorEastAsia"/>
          <w:color w:val="auto"/>
          <w:spacing w:val="-3"/>
          <w:sz w:val="24"/>
          <w:szCs w:val="24"/>
          <w:highlight w:val="none"/>
          <w:lang w:eastAsia="zh-CN"/>
        </w:rPr>
        <w:t>之日起</w:t>
      </w:r>
      <w:r>
        <w:rPr>
          <w:rFonts w:hint="eastAsia" w:asciiTheme="minorEastAsia" w:hAnsiTheme="minorEastAsia" w:eastAsiaTheme="minorEastAsia" w:cstheme="minorEastAsia"/>
          <w:color w:val="auto"/>
          <w:spacing w:val="-3"/>
          <w:sz w:val="24"/>
          <w:szCs w:val="24"/>
          <w:highlight w:val="none"/>
          <w:u w:val="single"/>
          <w:lang w:eastAsia="zh-CN"/>
        </w:rPr>
        <w:t>14</w:t>
      </w:r>
      <w:r>
        <w:rPr>
          <w:rFonts w:hint="eastAsia" w:asciiTheme="minorEastAsia" w:hAnsiTheme="minorEastAsia" w:eastAsiaTheme="minorEastAsia" w:cstheme="minorEastAsia"/>
          <w:color w:val="auto"/>
          <w:spacing w:val="-3"/>
          <w:sz w:val="24"/>
          <w:szCs w:val="24"/>
          <w:highlight w:val="none"/>
          <w:lang w:eastAsia="zh-CN"/>
        </w:rPr>
        <w:t>天</w:t>
      </w:r>
      <w:r>
        <w:rPr>
          <w:rFonts w:hint="eastAsia" w:asciiTheme="minorEastAsia" w:hAnsiTheme="minorEastAsia" w:eastAsiaTheme="minorEastAsia" w:cstheme="minorEastAsia"/>
          <w:color w:val="auto"/>
          <w:spacing w:val="-3"/>
          <w:sz w:val="24"/>
          <w:szCs w:val="24"/>
          <w:highlight w:val="none"/>
          <w:u w:val="single"/>
          <w:lang w:eastAsia="zh-CN"/>
        </w:rPr>
        <w:t>（按合同约定期限</w:t>
      </w:r>
      <w:r>
        <w:rPr>
          <w:rFonts w:hint="eastAsia" w:asciiTheme="minorEastAsia" w:hAnsiTheme="minorEastAsia" w:eastAsiaTheme="minorEastAsia" w:cstheme="minorEastAsia"/>
          <w:color w:val="auto"/>
          <w:spacing w:val="-43"/>
          <w:sz w:val="24"/>
          <w:szCs w:val="24"/>
          <w:highlight w:val="none"/>
          <w:u w:val="single"/>
          <w:lang w:eastAsia="zh-CN"/>
        </w:rPr>
        <w:t>）</w:t>
      </w:r>
      <w:r>
        <w:rPr>
          <w:rFonts w:hint="eastAsia" w:asciiTheme="minorEastAsia" w:hAnsiTheme="minorEastAsia" w:eastAsiaTheme="minorEastAsia" w:cstheme="minorEastAsia"/>
          <w:color w:val="auto"/>
          <w:spacing w:val="-43"/>
          <w:sz w:val="24"/>
          <w:szCs w:val="24"/>
          <w:highlight w:val="none"/>
          <w:u w:val="none"/>
          <w:lang w:eastAsia="zh-CN"/>
        </w:rPr>
        <w:t>，</w:t>
      </w:r>
      <w:r>
        <w:rPr>
          <w:rFonts w:hint="eastAsia" w:asciiTheme="minorEastAsia" w:hAnsiTheme="minorEastAsia" w:eastAsiaTheme="minorEastAsia" w:cstheme="minorEastAsia"/>
          <w:color w:val="auto"/>
          <w:spacing w:val="-3"/>
          <w:sz w:val="24"/>
          <w:szCs w:val="24"/>
          <w:highlight w:val="none"/>
          <w:lang w:eastAsia="zh-CN"/>
        </w:rPr>
        <w:t>发包人应退还剩余的质量保证金。</w:t>
      </w:r>
    </w:p>
    <w:p w14:paraId="2036D2C9">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四、质量保修责任</w:t>
      </w:r>
    </w:p>
    <w:p w14:paraId="2FCAB68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0"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1．属于保修范围、内容的项目，承包人应当在接到保修通知之日起</w:t>
      </w:r>
      <w:r>
        <w:rPr>
          <w:rFonts w:hint="eastAsia" w:asciiTheme="minorEastAsia" w:hAnsiTheme="minorEastAsia" w:eastAsiaTheme="minorEastAsia" w:cstheme="minorEastAsia"/>
          <w:color w:val="auto"/>
          <w:spacing w:val="-5"/>
          <w:sz w:val="24"/>
          <w:szCs w:val="24"/>
          <w:highlight w:val="none"/>
          <w:u w:val="single"/>
          <w:lang w:eastAsia="zh-CN"/>
        </w:rPr>
        <w:t>1</w:t>
      </w:r>
      <w:r>
        <w:rPr>
          <w:rFonts w:hint="eastAsia" w:asciiTheme="minorEastAsia" w:hAnsiTheme="minorEastAsia" w:eastAsiaTheme="minorEastAsia" w:cstheme="minorEastAsia"/>
          <w:color w:val="auto"/>
          <w:spacing w:val="-5"/>
          <w:sz w:val="24"/>
          <w:szCs w:val="24"/>
          <w:highlight w:val="none"/>
          <w:lang w:eastAsia="zh-CN"/>
        </w:rPr>
        <w:t>天内派人保修。</w:t>
      </w:r>
    </w:p>
    <w:p w14:paraId="3BCFA52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承包人不在约定期限内派人保修的，发包人可以委托他</w:t>
      </w:r>
      <w:r>
        <w:rPr>
          <w:rFonts w:hint="eastAsia" w:asciiTheme="minorEastAsia" w:hAnsiTheme="minorEastAsia" w:eastAsiaTheme="minorEastAsia" w:cstheme="minorEastAsia"/>
          <w:color w:val="auto"/>
          <w:spacing w:val="-5"/>
          <w:sz w:val="24"/>
          <w:szCs w:val="24"/>
          <w:highlight w:val="none"/>
          <w:lang w:eastAsia="zh-CN"/>
        </w:rPr>
        <w:t>人修理，修理费用从质量保证金内扣除。</w:t>
      </w:r>
    </w:p>
    <w:p w14:paraId="7B15ED4E">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jc w:val="left"/>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2．发生紧急事故需抢修的，承包人在接到事故通知后，应当立即到达事故现场抢修。</w:t>
      </w:r>
    </w:p>
    <w:p w14:paraId="007160A9">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8" w:firstLineChars="200"/>
        <w:jc w:val="left"/>
        <w:textAlignment w:val="baseline"/>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3．对于涉及结构安全的质量问题，应当按照《建设工程质量管理条例</w:t>
      </w:r>
      <w:r>
        <w:rPr>
          <w:rFonts w:hint="eastAsia" w:asciiTheme="minorEastAsia" w:hAnsiTheme="minorEastAsia" w:eastAsiaTheme="minorEastAsia" w:cstheme="minorEastAsia"/>
          <w:color w:val="auto"/>
          <w:spacing w:val="-4"/>
          <w:sz w:val="24"/>
          <w:szCs w:val="24"/>
          <w:highlight w:val="none"/>
          <w:lang w:eastAsia="zh-CN"/>
        </w:rPr>
        <w:t>》的规定，立即向当</w:t>
      </w:r>
      <w:r>
        <w:rPr>
          <w:rFonts w:hint="eastAsia" w:asciiTheme="minorEastAsia" w:hAnsiTheme="minorEastAsia" w:eastAsiaTheme="minorEastAsia" w:cstheme="minorEastAsia"/>
          <w:color w:val="auto"/>
          <w:spacing w:val="1"/>
          <w:sz w:val="24"/>
          <w:szCs w:val="24"/>
          <w:highlight w:val="none"/>
          <w:lang w:eastAsia="zh-CN"/>
        </w:rPr>
        <w:t>地建设行政主管部门和有关部门报告，采取安全防范措施，并由原设计人或者具有相应资质等</w:t>
      </w:r>
      <w:r>
        <w:rPr>
          <w:rFonts w:hint="eastAsia" w:asciiTheme="minorEastAsia" w:hAnsiTheme="minorEastAsia" w:eastAsiaTheme="minorEastAsia" w:cstheme="minorEastAsia"/>
          <w:color w:val="auto"/>
          <w:spacing w:val="-2"/>
          <w:sz w:val="24"/>
          <w:szCs w:val="24"/>
          <w:highlight w:val="none"/>
          <w:lang w:eastAsia="zh-CN"/>
        </w:rPr>
        <w:t>级的设计人提出保修方案，承包人实施保修。</w:t>
      </w:r>
    </w:p>
    <w:p w14:paraId="45E40827">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4．质量保修完成后， 由发包人组织验收。</w:t>
      </w:r>
    </w:p>
    <w:p w14:paraId="60FA9B26">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五、保修费用</w:t>
      </w:r>
    </w:p>
    <w:p w14:paraId="63275229">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保修费用由造成质量缺陷的责任方承担。</w:t>
      </w:r>
    </w:p>
    <w:p w14:paraId="751D9FCC">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六、双方约定的其他工程质量保修事项：</w:t>
      </w:r>
      <w:r>
        <w:rPr>
          <w:rFonts w:hint="eastAsia" w:asciiTheme="minorEastAsia" w:hAnsiTheme="minorEastAsia" w:eastAsiaTheme="minorEastAsia" w:cstheme="minorEastAsia"/>
          <w:color w:val="auto"/>
          <w:spacing w:val="-4"/>
          <w:sz w:val="24"/>
          <w:szCs w:val="24"/>
          <w:highlight w:val="none"/>
          <w:u w:val="single"/>
          <w:lang w:eastAsia="zh-CN"/>
        </w:rPr>
        <w:t>/</w:t>
      </w:r>
      <w:r>
        <w:rPr>
          <w:rFonts w:hint="eastAsia" w:asciiTheme="minorEastAsia" w:hAnsiTheme="minorEastAsia" w:eastAsiaTheme="minorEastAsia" w:cstheme="minorEastAsia"/>
          <w:color w:val="auto"/>
          <w:spacing w:val="-4"/>
          <w:sz w:val="24"/>
          <w:szCs w:val="24"/>
          <w:highlight w:val="none"/>
          <w:lang w:eastAsia="zh-CN"/>
        </w:rPr>
        <w:t>。</w:t>
      </w:r>
    </w:p>
    <w:p w14:paraId="420F8B3D">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jc w:val="left"/>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工程质量保修书由发包人、承包人在工程竣工验收前共同签署， 作为施工合同附件，其有效期限至保修期满。</w:t>
      </w:r>
    </w:p>
    <w:p w14:paraId="6B21A897">
      <w:pPr>
        <w:spacing w:before="8"/>
        <w:rPr>
          <w:color w:val="auto"/>
          <w:sz w:val="24"/>
          <w:szCs w:val="24"/>
          <w:highlight w:val="none"/>
          <w:lang w:eastAsia="zh-CN"/>
        </w:rPr>
      </w:pPr>
    </w:p>
    <w:p w14:paraId="5F7B9FDF">
      <w:pPr>
        <w:spacing w:before="8"/>
        <w:rPr>
          <w:color w:val="auto"/>
          <w:sz w:val="24"/>
          <w:szCs w:val="24"/>
          <w:highlight w:val="none"/>
          <w:lang w:eastAsia="zh-CN"/>
        </w:rPr>
      </w:pPr>
    </w:p>
    <w:p w14:paraId="6DF80D68">
      <w:pPr>
        <w:rPr>
          <w:color w:val="auto"/>
          <w:sz w:val="24"/>
          <w:szCs w:val="24"/>
          <w:highlight w:val="none"/>
          <w:lang w:eastAsia="zh-CN"/>
        </w:rPr>
        <w:sectPr>
          <w:pgSz w:w="11907" w:h="16841"/>
          <w:pgMar w:top="1429" w:right="1440" w:bottom="1270" w:left="1786" w:header="0" w:footer="1106" w:gutter="0"/>
          <w:pgBorders>
            <w:top w:val="none" w:sz="0" w:space="0"/>
            <w:left w:val="none" w:sz="0" w:space="0"/>
            <w:bottom w:val="none" w:sz="0" w:space="0"/>
            <w:right w:val="none" w:sz="0" w:space="0"/>
          </w:pgBorders>
          <w:pgNumType w:fmt="decimal"/>
          <w:cols w:space="425" w:num="1"/>
        </w:sectPr>
      </w:pPr>
    </w:p>
    <w:p w14:paraId="5F15FDA0">
      <w:pPr>
        <w:pStyle w:val="19"/>
        <w:spacing w:before="42" w:line="359" w:lineRule="auto"/>
        <w:ind w:left="23"/>
        <w:rPr>
          <w:color w:val="auto"/>
          <w:sz w:val="24"/>
          <w:szCs w:val="24"/>
          <w:highlight w:val="none"/>
          <w:lang w:eastAsia="zh-CN"/>
        </w:rPr>
      </w:pPr>
      <w:r>
        <w:rPr>
          <w:rFonts w:hint="eastAsia"/>
          <w:color w:val="auto"/>
          <w:spacing w:val="-2"/>
          <w:sz w:val="24"/>
          <w:szCs w:val="24"/>
          <w:highlight w:val="none"/>
          <w:lang w:eastAsia="zh-CN"/>
        </w:rPr>
        <w:t>发包人（公章</w:t>
      </w:r>
      <w:r>
        <w:rPr>
          <w:rFonts w:hint="eastAsia"/>
          <w:color w:val="auto"/>
          <w:spacing w:val="-52"/>
          <w:sz w:val="24"/>
          <w:szCs w:val="24"/>
          <w:highlight w:val="none"/>
          <w:lang w:eastAsia="zh-CN"/>
        </w:rPr>
        <w:t>）：</w:t>
      </w:r>
      <w:r>
        <w:rPr>
          <w:rFonts w:hint="eastAsia"/>
          <w:color w:val="auto"/>
          <w:sz w:val="24"/>
          <w:szCs w:val="24"/>
          <w:highlight w:val="none"/>
          <w:u w:val="single"/>
          <w:lang w:eastAsia="zh-CN"/>
        </w:rPr>
        <w:t>北海市海城区教育局</w:t>
      </w:r>
    </w:p>
    <w:p w14:paraId="59351866">
      <w:pPr>
        <w:pStyle w:val="19"/>
        <w:spacing w:before="1" w:line="229" w:lineRule="auto"/>
        <w:ind w:left="20"/>
        <w:rPr>
          <w:color w:val="auto"/>
          <w:sz w:val="24"/>
          <w:szCs w:val="24"/>
          <w:highlight w:val="none"/>
          <w:lang w:eastAsia="zh-CN"/>
        </w:rPr>
      </w:pPr>
      <w:r>
        <w:rPr>
          <w:rFonts w:hint="eastAsia"/>
          <w:color w:val="auto"/>
          <w:spacing w:val="-17"/>
          <w:sz w:val="24"/>
          <w:szCs w:val="24"/>
          <w:highlight w:val="none"/>
          <w:lang w:eastAsia="zh-CN"/>
        </w:rPr>
        <w:t>地址：</w:t>
      </w:r>
      <w:r>
        <w:rPr>
          <w:rFonts w:hint="eastAsia"/>
          <w:color w:val="auto"/>
          <w:sz w:val="24"/>
          <w:szCs w:val="24"/>
          <w:highlight w:val="none"/>
          <w:u w:val="single"/>
          <w:lang w:eastAsia="zh-CN"/>
        </w:rPr>
        <w:t>北海市贵州路52号。</w:t>
      </w:r>
    </w:p>
    <w:p w14:paraId="1C5D1E8A">
      <w:pPr>
        <w:pStyle w:val="19"/>
        <w:spacing w:before="146" w:line="221" w:lineRule="auto"/>
        <w:ind w:left="21"/>
        <w:rPr>
          <w:color w:val="auto"/>
          <w:sz w:val="24"/>
          <w:szCs w:val="24"/>
          <w:highlight w:val="none"/>
          <w:lang w:eastAsia="zh-CN"/>
        </w:rPr>
      </w:pPr>
      <w:r>
        <w:rPr>
          <w:rFonts w:hint="eastAsia"/>
          <w:color w:val="auto"/>
          <w:spacing w:val="-1"/>
          <w:sz w:val="24"/>
          <w:szCs w:val="24"/>
          <w:highlight w:val="none"/>
          <w:lang w:eastAsia="zh-CN"/>
        </w:rPr>
        <w:t>法定代表人（签字</w:t>
      </w:r>
      <w:r>
        <w:rPr>
          <w:rFonts w:hint="eastAsia"/>
          <w:color w:val="auto"/>
          <w:spacing w:val="-53"/>
          <w:sz w:val="24"/>
          <w:szCs w:val="24"/>
          <w:highlight w:val="none"/>
          <w:lang w:eastAsia="zh-CN"/>
        </w:rPr>
        <w:t>）：</w:t>
      </w:r>
    </w:p>
    <w:p w14:paraId="2425E106">
      <w:pPr>
        <w:pStyle w:val="19"/>
        <w:spacing w:before="159" w:line="221" w:lineRule="auto"/>
        <w:ind w:left="19"/>
        <w:rPr>
          <w:color w:val="auto"/>
          <w:sz w:val="24"/>
          <w:szCs w:val="24"/>
          <w:highlight w:val="none"/>
          <w:lang w:eastAsia="zh-CN"/>
        </w:rPr>
      </w:pPr>
      <w:r>
        <w:rPr>
          <w:rFonts w:hint="eastAsia"/>
          <w:color w:val="auto"/>
          <w:spacing w:val="-1"/>
          <w:sz w:val="24"/>
          <w:szCs w:val="24"/>
          <w:highlight w:val="none"/>
          <w:lang w:eastAsia="zh-CN"/>
        </w:rPr>
        <w:t>委托代理人（签字</w:t>
      </w:r>
      <w:r>
        <w:rPr>
          <w:rFonts w:hint="eastAsia"/>
          <w:color w:val="auto"/>
          <w:spacing w:val="-52"/>
          <w:sz w:val="24"/>
          <w:szCs w:val="24"/>
          <w:highlight w:val="none"/>
          <w:lang w:eastAsia="zh-CN"/>
        </w:rPr>
        <w:t>）：</w:t>
      </w:r>
    </w:p>
    <w:p w14:paraId="0D1C0602">
      <w:pPr>
        <w:pStyle w:val="19"/>
        <w:spacing w:before="146" w:line="221" w:lineRule="auto"/>
        <w:ind w:left="21"/>
        <w:rPr>
          <w:color w:val="auto"/>
          <w:spacing w:val="-1"/>
          <w:sz w:val="24"/>
          <w:szCs w:val="24"/>
          <w:highlight w:val="none"/>
          <w:lang w:eastAsia="zh-CN"/>
        </w:rPr>
      </w:pPr>
      <w:r>
        <w:rPr>
          <w:rFonts w:hint="eastAsia"/>
          <w:color w:val="auto"/>
          <w:spacing w:val="-1"/>
          <w:sz w:val="24"/>
          <w:szCs w:val="24"/>
          <w:highlight w:val="none"/>
          <w:lang w:eastAsia="zh-CN"/>
        </w:rPr>
        <w:t>电话：</w:t>
      </w:r>
      <w:r>
        <w:rPr>
          <w:rFonts w:hint="eastAsia"/>
          <w:color w:val="auto"/>
          <w:sz w:val="24"/>
          <w:szCs w:val="24"/>
          <w:highlight w:val="none"/>
          <w:u w:val="single"/>
          <w:lang w:val="en-US" w:eastAsia="zh-CN"/>
        </w:rPr>
        <w:t xml:space="preserve">                </w:t>
      </w:r>
    </w:p>
    <w:p w14:paraId="5B16FF65">
      <w:pPr>
        <w:pStyle w:val="19"/>
        <w:spacing w:before="146" w:line="221" w:lineRule="auto"/>
        <w:ind w:left="21"/>
        <w:rPr>
          <w:color w:val="auto"/>
          <w:spacing w:val="-1"/>
          <w:sz w:val="24"/>
          <w:szCs w:val="24"/>
          <w:highlight w:val="none"/>
          <w:lang w:eastAsia="zh-CN"/>
        </w:rPr>
      </w:pPr>
      <w:r>
        <w:rPr>
          <w:rFonts w:hint="eastAsia"/>
          <w:color w:val="auto"/>
          <w:spacing w:val="-1"/>
          <w:sz w:val="24"/>
          <w:szCs w:val="24"/>
          <w:highlight w:val="none"/>
          <w:lang w:eastAsia="zh-CN"/>
        </w:rPr>
        <w:t>传真：</w:t>
      </w:r>
      <w:r>
        <w:rPr>
          <w:rFonts w:hint="eastAsia"/>
          <w:color w:val="auto"/>
          <w:sz w:val="24"/>
          <w:szCs w:val="24"/>
          <w:highlight w:val="none"/>
          <w:u w:val="single"/>
          <w:lang w:val="en-US" w:eastAsia="zh-CN"/>
        </w:rPr>
        <w:t xml:space="preserve">                </w:t>
      </w:r>
    </w:p>
    <w:p w14:paraId="2D4AAA0B">
      <w:pPr>
        <w:pStyle w:val="19"/>
        <w:spacing w:before="158" w:line="221" w:lineRule="auto"/>
        <w:ind w:left="21"/>
        <w:rPr>
          <w:color w:val="auto"/>
          <w:sz w:val="24"/>
          <w:szCs w:val="24"/>
          <w:highlight w:val="none"/>
          <w:lang w:eastAsia="zh-CN"/>
        </w:rPr>
      </w:pPr>
      <w:r>
        <w:rPr>
          <w:rFonts w:hint="eastAsia"/>
          <w:color w:val="auto"/>
          <w:spacing w:val="-17"/>
          <w:sz w:val="24"/>
          <w:szCs w:val="24"/>
          <w:highlight w:val="none"/>
          <w:lang w:eastAsia="zh-CN"/>
        </w:rPr>
        <w:t>开户银行：</w:t>
      </w:r>
      <w:r>
        <w:rPr>
          <w:rFonts w:hint="eastAsia"/>
          <w:color w:val="auto"/>
          <w:sz w:val="24"/>
          <w:szCs w:val="24"/>
          <w:highlight w:val="none"/>
          <w:u w:val="single"/>
          <w:lang w:eastAsia="zh-CN"/>
        </w:rPr>
        <w:t xml:space="preserve"> 建行北海解放路支行   </w:t>
      </w:r>
    </w:p>
    <w:p w14:paraId="08B2DB6C">
      <w:pPr>
        <w:pStyle w:val="19"/>
        <w:spacing w:before="156" w:line="222" w:lineRule="auto"/>
        <w:ind w:left="23"/>
        <w:rPr>
          <w:color w:val="auto"/>
          <w:sz w:val="24"/>
          <w:szCs w:val="24"/>
          <w:highlight w:val="none"/>
          <w:lang w:eastAsia="zh-CN"/>
        </w:rPr>
      </w:pPr>
      <w:r>
        <w:rPr>
          <w:rFonts w:hint="eastAsia"/>
          <w:color w:val="auto"/>
          <w:spacing w:val="-32"/>
          <w:sz w:val="24"/>
          <w:szCs w:val="24"/>
          <w:highlight w:val="none"/>
          <w:lang w:eastAsia="zh-CN"/>
        </w:rPr>
        <w:t>账号：</w:t>
      </w:r>
      <w:r>
        <w:rPr>
          <w:rFonts w:hint="eastAsia"/>
          <w:color w:val="auto"/>
          <w:sz w:val="24"/>
          <w:szCs w:val="24"/>
          <w:highlight w:val="none"/>
          <w:u w:val="single"/>
          <w:lang w:eastAsia="zh-CN"/>
        </w:rPr>
        <w:t>45001655111050501814</w:t>
      </w:r>
    </w:p>
    <w:p w14:paraId="047AD53E">
      <w:pPr>
        <w:pStyle w:val="19"/>
        <w:spacing w:before="158" w:line="186" w:lineRule="auto"/>
        <w:ind w:left="35"/>
        <w:rPr>
          <w:color w:val="auto"/>
          <w:sz w:val="24"/>
          <w:szCs w:val="24"/>
          <w:highlight w:val="none"/>
          <w:lang w:eastAsia="zh-CN"/>
        </w:rPr>
      </w:pPr>
      <w:r>
        <w:rPr>
          <w:rFonts w:hint="eastAsia"/>
          <w:color w:val="auto"/>
          <w:spacing w:val="-20"/>
          <w:sz w:val="24"/>
          <w:szCs w:val="24"/>
          <w:highlight w:val="none"/>
          <w:lang w:eastAsia="zh-CN"/>
        </w:rPr>
        <w:t>邮政编码：</w:t>
      </w:r>
      <w:r>
        <w:rPr>
          <w:rFonts w:hint="eastAsia"/>
          <w:color w:val="auto"/>
          <w:sz w:val="24"/>
          <w:szCs w:val="24"/>
          <w:highlight w:val="none"/>
          <w:u w:val="single"/>
          <w:lang w:eastAsia="zh-CN"/>
        </w:rPr>
        <w:t>536000</w:t>
      </w:r>
    </w:p>
    <w:p w14:paraId="003220A6">
      <w:pPr>
        <w:spacing w:line="14" w:lineRule="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column"/>
      </w:r>
    </w:p>
    <w:p w14:paraId="3862ED36">
      <w:pPr>
        <w:pStyle w:val="19"/>
        <w:spacing w:before="41" w:line="359" w:lineRule="auto"/>
        <w:rPr>
          <w:color w:val="auto"/>
          <w:sz w:val="24"/>
          <w:szCs w:val="24"/>
          <w:highlight w:val="none"/>
          <w:lang w:eastAsia="zh-CN"/>
        </w:rPr>
      </w:pPr>
      <w:r>
        <w:rPr>
          <w:rFonts w:hint="eastAsia"/>
          <w:color w:val="auto"/>
          <w:spacing w:val="-1"/>
          <w:sz w:val="24"/>
          <w:szCs w:val="24"/>
          <w:highlight w:val="none"/>
          <w:lang w:eastAsia="zh-CN"/>
        </w:rPr>
        <w:t>承包人（公章</w:t>
      </w:r>
      <w:r>
        <w:rPr>
          <w:rFonts w:hint="eastAsia"/>
          <w:color w:val="auto"/>
          <w:spacing w:val="-54"/>
          <w:sz w:val="24"/>
          <w:szCs w:val="24"/>
          <w:highlight w:val="none"/>
          <w:lang w:eastAsia="zh-CN"/>
        </w:rPr>
        <w:t>）：</w:t>
      </w:r>
      <w:r>
        <w:rPr>
          <w:rFonts w:hint="eastAsia"/>
          <w:color w:val="auto"/>
          <w:sz w:val="24"/>
          <w:szCs w:val="24"/>
          <w:highlight w:val="none"/>
          <w:u w:val="single"/>
          <w:lang w:eastAsia="zh-CN"/>
        </w:rPr>
        <w:t xml:space="preserve">        </w:t>
      </w:r>
    </w:p>
    <w:p w14:paraId="64D049F3">
      <w:pPr>
        <w:pStyle w:val="19"/>
        <w:spacing w:before="1" w:line="229" w:lineRule="auto"/>
        <w:ind w:left="58"/>
        <w:rPr>
          <w:rFonts w:hint="default"/>
          <w:color w:val="auto"/>
          <w:sz w:val="24"/>
          <w:szCs w:val="24"/>
          <w:highlight w:val="none"/>
          <w:lang w:val="en-US" w:eastAsia="zh-CN"/>
        </w:rPr>
      </w:pPr>
      <w:r>
        <w:rPr>
          <w:rFonts w:hint="eastAsia"/>
          <w:color w:val="auto"/>
          <w:spacing w:val="-1"/>
          <w:sz w:val="24"/>
          <w:szCs w:val="24"/>
          <w:highlight w:val="none"/>
          <w:lang w:eastAsia="zh-CN"/>
        </w:rPr>
        <w:t>地址：</w:t>
      </w:r>
      <w:r>
        <w:rPr>
          <w:rFonts w:hint="eastAsia"/>
          <w:color w:val="auto"/>
          <w:sz w:val="24"/>
          <w:szCs w:val="24"/>
          <w:highlight w:val="none"/>
          <w:u w:val="single"/>
          <w:lang w:val="en-US" w:eastAsia="zh-CN"/>
        </w:rPr>
        <w:t xml:space="preserve">                </w:t>
      </w:r>
    </w:p>
    <w:p w14:paraId="442C7A88">
      <w:pPr>
        <w:pStyle w:val="19"/>
        <w:spacing w:before="146" w:line="221" w:lineRule="auto"/>
        <w:ind w:left="58"/>
        <w:rPr>
          <w:color w:val="auto"/>
          <w:sz w:val="24"/>
          <w:szCs w:val="24"/>
          <w:highlight w:val="none"/>
          <w:lang w:eastAsia="zh-CN"/>
        </w:rPr>
      </w:pPr>
      <w:r>
        <w:rPr>
          <w:rFonts w:hint="eastAsia"/>
          <w:color w:val="auto"/>
          <w:spacing w:val="-1"/>
          <w:sz w:val="24"/>
          <w:szCs w:val="24"/>
          <w:highlight w:val="none"/>
          <w:lang w:eastAsia="zh-CN"/>
        </w:rPr>
        <w:t>法定代表人（签字</w:t>
      </w:r>
      <w:r>
        <w:rPr>
          <w:rFonts w:hint="eastAsia"/>
          <w:color w:val="auto"/>
          <w:spacing w:val="-54"/>
          <w:sz w:val="24"/>
          <w:szCs w:val="24"/>
          <w:highlight w:val="none"/>
          <w:lang w:eastAsia="zh-CN"/>
        </w:rPr>
        <w:t>）：</w:t>
      </w:r>
    </w:p>
    <w:p w14:paraId="52075CBB">
      <w:pPr>
        <w:pStyle w:val="19"/>
        <w:spacing w:before="159" w:line="221" w:lineRule="auto"/>
        <w:ind w:left="57"/>
        <w:rPr>
          <w:color w:val="auto"/>
          <w:sz w:val="24"/>
          <w:szCs w:val="24"/>
          <w:highlight w:val="none"/>
          <w:lang w:eastAsia="zh-CN"/>
        </w:rPr>
      </w:pPr>
      <w:r>
        <w:rPr>
          <w:rFonts w:hint="eastAsia"/>
          <w:color w:val="auto"/>
          <w:spacing w:val="-1"/>
          <w:sz w:val="24"/>
          <w:szCs w:val="24"/>
          <w:highlight w:val="none"/>
          <w:lang w:eastAsia="zh-CN"/>
        </w:rPr>
        <w:t>委托代理人（签字</w:t>
      </w:r>
      <w:r>
        <w:rPr>
          <w:rFonts w:hint="eastAsia"/>
          <w:color w:val="auto"/>
          <w:spacing w:val="-53"/>
          <w:sz w:val="24"/>
          <w:szCs w:val="24"/>
          <w:highlight w:val="none"/>
          <w:lang w:eastAsia="zh-CN"/>
        </w:rPr>
        <w:t>）：</w:t>
      </w:r>
    </w:p>
    <w:p w14:paraId="530047A4">
      <w:pPr>
        <w:pStyle w:val="19"/>
        <w:spacing w:before="157" w:line="223" w:lineRule="auto"/>
        <w:ind w:left="82"/>
        <w:rPr>
          <w:color w:val="auto"/>
          <w:sz w:val="24"/>
          <w:szCs w:val="24"/>
          <w:highlight w:val="none"/>
          <w:lang w:eastAsia="zh-CN"/>
        </w:rPr>
      </w:pPr>
      <w:r>
        <w:rPr>
          <w:rFonts w:hint="eastAsia"/>
          <w:color w:val="auto"/>
          <w:spacing w:val="-1"/>
          <w:sz w:val="24"/>
          <w:szCs w:val="24"/>
          <w:highlight w:val="none"/>
          <w:lang w:eastAsia="zh-CN"/>
        </w:rPr>
        <w:t>电话：</w:t>
      </w:r>
      <w:r>
        <w:rPr>
          <w:rFonts w:hint="eastAsia"/>
          <w:color w:val="auto"/>
          <w:spacing w:val="-1"/>
          <w:sz w:val="24"/>
          <w:szCs w:val="24"/>
          <w:highlight w:val="none"/>
          <w:u w:val="single"/>
          <w:lang w:val="en-US" w:eastAsia="zh-CN"/>
        </w:rPr>
        <w:t xml:space="preserve"> </w:t>
      </w:r>
      <w:r>
        <w:rPr>
          <w:rFonts w:hint="eastAsia"/>
          <w:color w:val="auto"/>
          <w:spacing w:val="-1"/>
          <w:sz w:val="24"/>
          <w:szCs w:val="24"/>
          <w:highlight w:val="none"/>
          <w:lang w:val="en-US" w:eastAsia="zh-CN"/>
        </w:rPr>
        <w:t xml:space="preserve">                </w:t>
      </w:r>
      <w:r>
        <w:rPr>
          <w:rFonts w:hint="eastAsia"/>
          <w:color w:val="auto"/>
          <w:sz w:val="24"/>
          <w:szCs w:val="24"/>
          <w:highlight w:val="none"/>
          <w:u w:val="single"/>
          <w:lang w:val="en-US" w:eastAsia="zh-CN"/>
        </w:rPr>
        <w:t xml:space="preserve"> </w:t>
      </w:r>
    </w:p>
    <w:p w14:paraId="512323AF">
      <w:pPr>
        <w:pStyle w:val="19"/>
        <w:spacing w:before="154" w:line="220" w:lineRule="auto"/>
        <w:ind w:left="56"/>
        <w:rPr>
          <w:color w:val="auto"/>
          <w:sz w:val="24"/>
          <w:szCs w:val="24"/>
          <w:highlight w:val="none"/>
          <w:lang w:eastAsia="zh-CN"/>
        </w:rPr>
      </w:pPr>
      <w:r>
        <w:rPr>
          <w:rFonts w:hint="eastAsia"/>
          <w:color w:val="auto"/>
          <w:spacing w:val="-1"/>
          <w:sz w:val="24"/>
          <w:szCs w:val="24"/>
          <w:highlight w:val="none"/>
          <w:lang w:eastAsia="zh-CN"/>
        </w:rPr>
        <w:t>传真：</w:t>
      </w:r>
    </w:p>
    <w:p w14:paraId="10793C57">
      <w:pPr>
        <w:pStyle w:val="19"/>
        <w:spacing w:before="159" w:line="221" w:lineRule="auto"/>
        <w:rPr>
          <w:rFonts w:hint="default"/>
          <w:color w:val="auto"/>
          <w:sz w:val="24"/>
          <w:szCs w:val="24"/>
          <w:highlight w:val="none"/>
          <w:lang w:val="en-US" w:eastAsia="zh-CN"/>
        </w:rPr>
      </w:pPr>
      <w:r>
        <w:rPr>
          <w:rFonts w:hint="eastAsia"/>
          <w:color w:val="auto"/>
          <w:spacing w:val="-2"/>
          <w:sz w:val="24"/>
          <w:szCs w:val="24"/>
          <w:highlight w:val="none"/>
          <w:lang w:eastAsia="zh-CN"/>
        </w:rPr>
        <w:t>开户银行：</w:t>
      </w:r>
      <w:r>
        <w:rPr>
          <w:rFonts w:hint="eastAsia"/>
          <w:color w:val="auto"/>
          <w:spacing w:val="-2"/>
          <w:sz w:val="24"/>
          <w:szCs w:val="24"/>
          <w:highlight w:val="none"/>
          <w:lang w:val="en-US" w:eastAsia="zh-CN"/>
        </w:rPr>
        <w:t xml:space="preserve">  </w:t>
      </w:r>
    </w:p>
    <w:p w14:paraId="4E51CE51">
      <w:pPr>
        <w:pStyle w:val="19"/>
        <w:spacing w:before="156" w:line="222" w:lineRule="auto"/>
        <w:ind w:left="106"/>
        <w:rPr>
          <w:color w:val="auto"/>
          <w:sz w:val="24"/>
          <w:szCs w:val="24"/>
          <w:highlight w:val="none"/>
          <w:lang w:eastAsia="zh-CN"/>
        </w:rPr>
      </w:pPr>
      <w:r>
        <w:rPr>
          <w:rFonts w:hint="eastAsia"/>
          <w:color w:val="auto"/>
          <w:spacing w:val="-31"/>
          <w:sz w:val="24"/>
          <w:szCs w:val="24"/>
          <w:highlight w:val="none"/>
          <w:lang w:eastAsia="zh-CN"/>
        </w:rPr>
        <w:t>账号：</w:t>
      </w:r>
    </w:p>
    <w:p w14:paraId="26EC6A42">
      <w:pPr>
        <w:pStyle w:val="19"/>
        <w:spacing w:before="158" w:line="186" w:lineRule="auto"/>
        <w:rPr>
          <w:color w:val="auto"/>
          <w:sz w:val="24"/>
          <w:szCs w:val="24"/>
          <w:highlight w:val="none"/>
          <w:lang w:eastAsia="zh-CN"/>
        </w:rPr>
      </w:pPr>
      <w:r>
        <w:rPr>
          <w:rFonts w:hint="eastAsia"/>
          <w:color w:val="auto"/>
          <w:spacing w:val="-5"/>
          <w:sz w:val="24"/>
          <w:szCs w:val="24"/>
          <w:highlight w:val="none"/>
          <w:lang w:eastAsia="zh-CN"/>
        </w:rPr>
        <w:t>邮政编码：</w:t>
      </w:r>
    </w:p>
    <w:p w14:paraId="3E1E6ED1">
      <w:pPr>
        <w:spacing w:line="186" w:lineRule="auto"/>
        <w:rPr>
          <w:color w:val="auto"/>
          <w:sz w:val="24"/>
          <w:szCs w:val="24"/>
          <w:highlight w:val="none"/>
          <w:lang w:eastAsia="zh-CN"/>
        </w:rPr>
        <w:sectPr>
          <w:type w:val="continuous"/>
          <w:pgSz w:w="11907" w:h="16841"/>
          <w:pgMar w:top="1429" w:right="1440" w:bottom="1270" w:left="1786" w:header="0" w:footer="1106" w:gutter="0"/>
          <w:pgBorders>
            <w:top w:val="none" w:sz="0" w:space="0"/>
            <w:left w:val="none" w:sz="0" w:space="0"/>
            <w:bottom w:val="none" w:sz="0" w:space="0"/>
            <w:right w:val="none" w:sz="0" w:space="0"/>
          </w:pgBorders>
          <w:pgNumType w:fmt="decimal"/>
          <w:cols w:equalWidth="0" w:num="2">
            <w:col w:w="4128" w:space="425"/>
            <w:col w:w="4128"/>
          </w:cols>
        </w:sectPr>
      </w:pPr>
    </w:p>
    <w:p w14:paraId="372C7DD3">
      <w:pPr>
        <w:spacing w:line="14" w:lineRule="auto"/>
        <w:rPr>
          <w:color w:val="auto"/>
          <w:sz w:val="2"/>
          <w:highlight w:val="none"/>
          <w:lang w:eastAsia="zh-CN"/>
        </w:rPr>
      </w:pPr>
    </w:p>
    <w:p w14:paraId="240638E1">
      <w:pPr>
        <w:spacing w:before="98" w:line="218" w:lineRule="auto"/>
        <w:ind w:left="231"/>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3</w:t>
      </w:r>
      <w:r>
        <w:rPr>
          <w:rFonts w:ascii="仿宋" w:hAnsi="仿宋" w:eastAsia="仿宋" w:cs="仿宋"/>
          <w:color w:val="auto"/>
          <w:spacing w:val="-12"/>
          <w:sz w:val="30"/>
          <w:szCs w:val="30"/>
          <w:highlight w:val="none"/>
          <w:lang w:eastAsia="zh-CN"/>
        </w:rPr>
        <w:t>：</w:t>
      </w:r>
    </w:p>
    <w:p w14:paraId="14333EB9">
      <w:pPr>
        <w:spacing w:before="204" w:line="219" w:lineRule="auto"/>
        <w:ind w:left="3050"/>
        <w:rPr>
          <w:rFonts w:ascii="黑体" w:hAnsi="黑体" w:eastAsia="黑体" w:cs="黑体"/>
          <w:color w:val="auto"/>
          <w:sz w:val="30"/>
          <w:szCs w:val="30"/>
          <w:highlight w:val="none"/>
          <w:lang w:eastAsia="zh-CN"/>
        </w:rPr>
      </w:pPr>
      <w:r>
        <w:rPr>
          <w:rFonts w:ascii="黑体" w:hAnsi="黑体" w:eastAsia="黑体" w:cs="黑体"/>
          <w:color w:val="auto"/>
          <w:spacing w:val="-2"/>
          <w:sz w:val="30"/>
          <w:szCs w:val="30"/>
          <w:highlight w:val="none"/>
          <w:lang w:eastAsia="zh-CN"/>
        </w:rPr>
        <w:t>主要建设工程文件目录</w:t>
      </w:r>
    </w:p>
    <w:p w14:paraId="0AF44B19">
      <w:pPr>
        <w:spacing w:line="110" w:lineRule="exact"/>
        <w:rPr>
          <w:color w:val="auto"/>
          <w:highlight w:val="none"/>
          <w:lang w:eastAsia="zh-CN"/>
        </w:rPr>
      </w:pPr>
    </w:p>
    <w:tbl>
      <w:tblPr>
        <w:tblStyle w:val="88"/>
        <w:tblW w:w="904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271"/>
        <w:gridCol w:w="1448"/>
        <w:gridCol w:w="1238"/>
        <w:gridCol w:w="1449"/>
        <w:gridCol w:w="1675"/>
      </w:tblGrid>
      <w:tr w14:paraId="2880B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962" w:type="dxa"/>
            <w:tcBorders>
              <w:top w:val="single" w:color="000000" w:sz="10" w:space="0"/>
              <w:left w:val="single" w:color="000000" w:sz="10" w:space="0"/>
            </w:tcBorders>
          </w:tcPr>
          <w:p w14:paraId="33B25910">
            <w:pPr>
              <w:spacing w:before="115" w:line="215" w:lineRule="auto"/>
              <w:ind w:left="96"/>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文件名称</w:t>
            </w:r>
          </w:p>
        </w:tc>
        <w:tc>
          <w:tcPr>
            <w:tcW w:w="1271" w:type="dxa"/>
            <w:tcBorders>
              <w:top w:val="single" w:color="000000" w:sz="10" w:space="0"/>
            </w:tcBorders>
          </w:tcPr>
          <w:p w14:paraId="463167DF">
            <w:pPr>
              <w:spacing w:before="115" w:line="215" w:lineRule="auto"/>
              <w:ind w:left="95"/>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套数</w:t>
            </w:r>
          </w:p>
        </w:tc>
        <w:tc>
          <w:tcPr>
            <w:tcW w:w="1448" w:type="dxa"/>
            <w:tcBorders>
              <w:top w:val="single" w:color="000000" w:sz="10" w:space="0"/>
            </w:tcBorders>
          </w:tcPr>
          <w:p w14:paraId="7F94A278">
            <w:pPr>
              <w:spacing w:before="115" w:line="215" w:lineRule="auto"/>
              <w:jc w:val="right"/>
              <w:rPr>
                <w:rFonts w:ascii="仿宋" w:hAnsi="仿宋" w:eastAsia="仿宋" w:cs="仿宋"/>
                <w:color w:val="auto"/>
                <w:sz w:val="28"/>
                <w:szCs w:val="28"/>
                <w:highlight w:val="none"/>
              </w:rPr>
            </w:pPr>
            <w:r>
              <w:rPr>
                <w:rFonts w:ascii="仿宋" w:hAnsi="仿宋" w:eastAsia="仿宋" w:cs="仿宋"/>
                <w:color w:val="auto"/>
                <w:spacing w:val="-27"/>
                <w:sz w:val="28"/>
                <w:szCs w:val="28"/>
                <w:highlight w:val="none"/>
              </w:rPr>
              <w:t>费用（元）</w:t>
            </w:r>
          </w:p>
        </w:tc>
        <w:tc>
          <w:tcPr>
            <w:tcW w:w="1238" w:type="dxa"/>
            <w:tcBorders>
              <w:top w:val="single" w:color="000000" w:sz="10" w:space="0"/>
            </w:tcBorders>
          </w:tcPr>
          <w:p w14:paraId="533442AA">
            <w:pPr>
              <w:spacing w:before="115" w:line="215" w:lineRule="auto"/>
              <w:ind w:left="110"/>
              <w:rPr>
                <w:rFonts w:ascii="仿宋" w:hAnsi="仿宋" w:eastAsia="仿宋" w:cs="仿宋"/>
                <w:color w:val="auto"/>
                <w:sz w:val="28"/>
                <w:szCs w:val="28"/>
                <w:highlight w:val="none"/>
              </w:rPr>
            </w:pPr>
            <w:r>
              <w:rPr>
                <w:rFonts w:ascii="仿宋" w:hAnsi="仿宋" w:eastAsia="仿宋" w:cs="仿宋"/>
                <w:color w:val="auto"/>
                <w:spacing w:val="-6"/>
                <w:sz w:val="28"/>
                <w:szCs w:val="28"/>
                <w:highlight w:val="none"/>
              </w:rPr>
              <w:t>质量</w:t>
            </w:r>
          </w:p>
        </w:tc>
        <w:tc>
          <w:tcPr>
            <w:tcW w:w="1449" w:type="dxa"/>
            <w:tcBorders>
              <w:top w:val="single" w:color="000000" w:sz="10" w:space="0"/>
            </w:tcBorders>
          </w:tcPr>
          <w:p w14:paraId="57702AF3">
            <w:pPr>
              <w:spacing w:before="115" w:line="215" w:lineRule="auto"/>
              <w:ind w:left="183"/>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移交时间</w:t>
            </w:r>
          </w:p>
        </w:tc>
        <w:tc>
          <w:tcPr>
            <w:tcW w:w="1675" w:type="dxa"/>
            <w:tcBorders>
              <w:top w:val="single" w:color="000000" w:sz="10" w:space="0"/>
              <w:right w:val="single" w:color="000000" w:sz="10" w:space="0"/>
            </w:tcBorders>
          </w:tcPr>
          <w:p w14:paraId="415CC35A">
            <w:pPr>
              <w:spacing w:before="115" w:line="215" w:lineRule="auto"/>
              <w:ind w:left="434"/>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责任人</w:t>
            </w:r>
          </w:p>
        </w:tc>
      </w:tr>
      <w:tr w14:paraId="7976B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1962" w:type="dxa"/>
            <w:tcBorders>
              <w:left w:val="single" w:color="000000" w:sz="10" w:space="0"/>
            </w:tcBorders>
          </w:tcPr>
          <w:p w14:paraId="10C34815">
            <w:pPr>
              <w:pStyle w:val="98"/>
              <w:rPr>
                <w:color w:val="auto"/>
                <w:highlight w:val="none"/>
              </w:rPr>
            </w:pPr>
          </w:p>
        </w:tc>
        <w:tc>
          <w:tcPr>
            <w:tcW w:w="1271" w:type="dxa"/>
          </w:tcPr>
          <w:p w14:paraId="70F6C644">
            <w:pPr>
              <w:pStyle w:val="98"/>
              <w:rPr>
                <w:color w:val="auto"/>
                <w:highlight w:val="none"/>
              </w:rPr>
            </w:pPr>
          </w:p>
        </w:tc>
        <w:tc>
          <w:tcPr>
            <w:tcW w:w="1448" w:type="dxa"/>
          </w:tcPr>
          <w:p w14:paraId="1F968449">
            <w:pPr>
              <w:pStyle w:val="98"/>
              <w:rPr>
                <w:color w:val="auto"/>
                <w:highlight w:val="none"/>
              </w:rPr>
            </w:pPr>
          </w:p>
        </w:tc>
        <w:tc>
          <w:tcPr>
            <w:tcW w:w="1238" w:type="dxa"/>
          </w:tcPr>
          <w:p w14:paraId="13B9A490">
            <w:pPr>
              <w:pStyle w:val="98"/>
              <w:rPr>
                <w:color w:val="auto"/>
                <w:highlight w:val="none"/>
              </w:rPr>
            </w:pPr>
          </w:p>
        </w:tc>
        <w:tc>
          <w:tcPr>
            <w:tcW w:w="1449" w:type="dxa"/>
          </w:tcPr>
          <w:p w14:paraId="613873DD">
            <w:pPr>
              <w:pStyle w:val="98"/>
              <w:rPr>
                <w:color w:val="auto"/>
                <w:highlight w:val="none"/>
              </w:rPr>
            </w:pPr>
          </w:p>
        </w:tc>
        <w:tc>
          <w:tcPr>
            <w:tcW w:w="1675" w:type="dxa"/>
            <w:tcBorders>
              <w:right w:val="single" w:color="000000" w:sz="10" w:space="0"/>
            </w:tcBorders>
          </w:tcPr>
          <w:p w14:paraId="10935F6A">
            <w:pPr>
              <w:pStyle w:val="98"/>
              <w:rPr>
                <w:color w:val="auto"/>
                <w:highlight w:val="none"/>
              </w:rPr>
            </w:pPr>
          </w:p>
        </w:tc>
      </w:tr>
      <w:tr w14:paraId="14478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56C1D93E">
            <w:pPr>
              <w:pStyle w:val="98"/>
              <w:rPr>
                <w:color w:val="auto"/>
                <w:highlight w:val="none"/>
              </w:rPr>
            </w:pPr>
          </w:p>
        </w:tc>
        <w:tc>
          <w:tcPr>
            <w:tcW w:w="1271" w:type="dxa"/>
          </w:tcPr>
          <w:p w14:paraId="7D83CAEF">
            <w:pPr>
              <w:pStyle w:val="98"/>
              <w:rPr>
                <w:color w:val="auto"/>
                <w:highlight w:val="none"/>
              </w:rPr>
            </w:pPr>
          </w:p>
        </w:tc>
        <w:tc>
          <w:tcPr>
            <w:tcW w:w="1448" w:type="dxa"/>
          </w:tcPr>
          <w:p w14:paraId="6DFFBD6E">
            <w:pPr>
              <w:pStyle w:val="98"/>
              <w:rPr>
                <w:color w:val="auto"/>
                <w:highlight w:val="none"/>
              </w:rPr>
            </w:pPr>
          </w:p>
        </w:tc>
        <w:tc>
          <w:tcPr>
            <w:tcW w:w="1238" w:type="dxa"/>
          </w:tcPr>
          <w:p w14:paraId="3B3DFC2D">
            <w:pPr>
              <w:pStyle w:val="98"/>
              <w:rPr>
                <w:color w:val="auto"/>
                <w:highlight w:val="none"/>
              </w:rPr>
            </w:pPr>
          </w:p>
        </w:tc>
        <w:tc>
          <w:tcPr>
            <w:tcW w:w="1449" w:type="dxa"/>
          </w:tcPr>
          <w:p w14:paraId="528EDF88">
            <w:pPr>
              <w:pStyle w:val="98"/>
              <w:rPr>
                <w:color w:val="auto"/>
                <w:highlight w:val="none"/>
              </w:rPr>
            </w:pPr>
          </w:p>
        </w:tc>
        <w:tc>
          <w:tcPr>
            <w:tcW w:w="1675" w:type="dxa"/>
            <w:tcBorders>
              <w:right w:val="single" w:color="000000" w:sz="10" w:space="0"/>
            </w:tcBorders>
          </w:tcPr>
          <w:p w14:paraId="28A7BFF4">
            <w:pPr>
              <w:pStyle w:val="98"/>
              <w:rPr>
                <w:color w:val="auto"/>
                <w:highlight w:val="none"/>
              </w:rPr>
            </w:pPr>
          </w:p>
        </w:tc>
      </w:tr>
      <w:tr w14:paraId="0CD97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628FE6A0">
            <w:pPr>
              <w:pStyle w:val="98"/>
              <w:rPr>
                <w:color w:val="auto"/>
                <w:highlight w:val="none"/>
              </w:rPr>
            </w:pPr>
          </w:p>
        </w:tc>
        <w:tc>
          <w:tcPr>
            <w:tcW w:w="1271" w:type="dxa"/>
          </w:tcPr>
          <w:p w14:paraId="72E2F72E">
            <w:pPr>
              <w:pStyle w:val="98"/>
              <w:rPr>
                <w:color w:val="auto"/>
                <w:highlight w:val="none"/>
              </w:rPr>
            </w:pPr>
          </w:p>
        </w:tc>
        <w:tc>
          <w:tcPr>
            <w:tcW w:w="1448" w:type="dxa"/>
          </w:tcPr>
          <w:p w14:paraId="38273CBF">
            <w:pPr>
              <w:pStyle w:val="98"/>
              <w:rPr>
                <w:color w:val="auto"/>
                <w:highlight w:val="none"/>
              </w:rPr>
            </w:pPr>
          </w:p>
        </w:tc>
        <w:tc>
          <w:tcPr>
            <w:tcW w:w="1238" w:type="dxa"/>
          </w:tcPr>
          <w:p w14:paraId="7618D6A5">
            <w:pPr>
              <w:pStyle w:val="98"/>
              <w:rPr>
                <w:color w:val="auto"/>
                <w:highlight w:val="none"/>
              </w:rPr>
            </w:pPr>
          </w:p>
        </w:tc>
        <w:tc>
          <w:tcPr>
            <w:tcW w:w="1449" w:type="dxa"/>
          </w:tcPr>
          <w:p w14:paraId="39A7F99B">
            <w:pPr>
              <w:pStyle w:val="98"/>
              <w:rPr>
                <w:color w:val="auto"/>
                <w:highlight w:val="none"/>
              </w:rPr>
            </w:pPr>
          </w:p>
        </w:tc>
        <w:tc>
          <w:tcPr>
            <w:tcW w:w="1675" w:type="dxa"/>
            <w:tcBorders>
              <w:right w:val="single" w:color="000000" w:sz="10" w:space="0"/>
            </w:tcBorders>
          </w:tcPr>
          <w:p w14:paraId="49D2161C">
            <w:pPr>
              <w:pStyle w:val="98"/>
              <w:rPr>
                <w:color w:val="auto"/>
                <w:highlight w:val="none"/>
              </w:rPr>
            </w:pPr>
          </w:p>
        </w:tc>
      </w:tr>
      <w:tr w14:paraId="1DF7F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403C0A9F">
            <w:pPr>
              <w:pStyle w:val="98"/>
              <w:rPr>
                <w:color w:val="auto"/>
                <w:highlight w:val="none"/>
              </w:rPr>
            </w:pPr>
          </w:p>
        </w:tc>
        <w:tc>
          <w:tcPr>
            <w:tcW w:w="1271" w:type="dxa"/>
          </w:tcPr>
          <w:p w14:paraId="265BB663">
            <w:pPr>
              <w:pStyle w:val="98"/>
              <w:rPr>
                <w:color w:val="auto"/>
                <w:highlight w:val="none"/>
              </w:rPr>
            </w:pPr>
          </w:p>
        </w:tc>
        <w:tc>
          <w:tcPr>
            <w:tcW w:w="1448" w:type="dxa"/>
          </w:tcPr>
          <w:p w14:paraId="269BA825">
            <w:pPr>
              <w:pStyle w:val="98"/>
              <w:rPr>
                <w:color w:val="auto"/>
                <w:highlight w:val="none"/>
              </w:rPr>
            </w:pPr>
          </w:p>
        </w:tc>
        <w:tc>
          <w:tcPr>
            <w:tcW w:w="1238" w:type="dxa"/>
          </w:tcPr>
          <w:p w14:paraId="7B00FBC4">
            <w:pPr>
              <w:pStyle w:val="98"/>
              <w:rPr>
                <w:color w:val="auto"/>
                <w:highlight w:val="none"/>
              </w:rPr>
            </w:pPr>
          </w:p>
        </w:tc>
        <w:tc>
          <w:tcPr>
            <w:tcW w:w="1449" w:type="dxa"/>
          </w:tcPr>
          <w:p w14:paraId="5F5DDF05">
            <w:pPr>
              <w:pStyle w:val="98"/>
              <w:rPr>
                <w:color w:val="auto"/>
                <w:highlight w:val="none"/>
              </w:rPr>
            </w:pPr>
          </w:p>
        </w:tc>
        <w:tc>
          <w:tcPr>
            <w:tcW w:w="1675" w:type="dxa"/>
            <w:tcBorders>
              <w:right w:val="single" w:color="000000" w:sz="10" w:space="0"/>
            </w:tcBorders>
          </w:tcPr>
          <w:p w14:paraId="4E8BA8C9">
            <w:pPr>
              <w:pStyle w:val="98"/>
              <w:rPr>
                <w:color w:val="auto"/>
                <w:highlight w:val="none"/>
              </w:rPr>
            </w:pPr>
          </w:p>
        </w:tc>
      </w:tr>
      <w:tr w14:paraId="3FB4E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00CBCBCF">
            <w:pPr>
              <w:pStyle w:val="98"/>
              <w:rPr>
                <w:color w:val="auto"/>
                <w:highlight w:val="none"/>
              </w:rPr>
            </w:pPr>
          </w:p>
        </w:tc>
        <w:tc>
          <w:tcPr>
            <w:tcW w:w="1271" w:type="dxa"/>
          </w:tcPr>
          <w:p w14:paraId="01B88235">
            <w:pPr>
              <w:pStyle w:val="98"/>
              <w:rPr>
                <w:color w:val="auto"/>
                <w:highlight w:val="none"/>
              </w:rPr>
            </w:pPr>
          </w:p>
        </w:tc>
        <w:tc>
          <w:tcPr>
            <w:tcW w:w="1448" w:type="dxa"/>
          </w:tcPr>
          <w:p w14:paraId="1D21CBD6">
            <w:pPr>
              <w:pStyle w:val="98"/>
              <w:rPr>
                <w:color w:val="auto"/>
                <w:highlight w:val="none"/>
              </w:rPr>
            </w:pPr>
          </w:p>
        </w:tc>
        <w:tc>
          <w:tcPr>
            <w:tcW w:w="1238" w:type="dxa"/>
          </w:tcPr>
          <w:p w14:paraId="2FF1CDC9">
            <w:pPr>
              <w:pStyle w:val="98"/>
              <w:rPr>
                <w:color w:val="auto"/>
                <w:highlight w:val="none"/>
              </w:rPr>
            </w:pPr>
          </w:p>
        </w:tc>
        <w:tc>
          <w:tcPr>
            <w:tcW w:w="1449" w:type="dxa"/>
          </w:tcPr>
          <w:p w14:paraId="38591E36">
            <w:pPr>
              <w:pStyle w:val="98"/>
              <w:rPr>
                <w:color w:val="auto"/>
                <w:highlight w:val="none"/>
              </w:rPr>
            </w:pPr>
          </w:p>
        </w:tc>
        <w:tc>
          <w:tcPr>
            <w:tcW w:w="1675" w:type="dxa"/>
            <w:tcBorders>
              <w:right w:val="single" w:color="000000" w:sz="10" w:space="0"/>
            </w:tcBorders>
          </w:tcPr>
          <w:p w14:paraId="0486615E">
            <w:pPr>
              <w:pStyle w:val="98"/>
              <w:rPr>
                <w:color w:val="auto"/>
                <w:highlight w:val="none"/>
              </w:rPr>
            </w:pPr>
          </w:p>
        </w:tc>
      </w:tr>
      <w:tr w14:paraId="733CD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089935D5">
            <w:pPr>
              <w:pStyle w:val="98"/>
              <w:rPr>
                <w:color w:val="auto"/>
                <w:highlight w:val="none"/>
              </w:rPr>
            </w:pPr>
          </w:p>
        </w:tc>
        <w:tc>
          <w:tcPr>
            <w:tcW w:w="1271" w:type="dxa"/>
          </w:tcPr>
          <w:p w14:paraId="77BA9058">
            <w:pPr>
              <w:pStyle w:val="98"/>
              <w:rPr>
                <w:color w:val="auto"/>
                <w:highlight w:val="none"/>
              </w:rPr>
            </w:pPr>
          </w:p>
        </w:tc>
        <w:tc>
          <w:tcPr>
            <w:tcW w:w="1448" w:type="dxa"/>
          </w:tcPr>
          <w:p w14:paraId="00068B89">
            <w:pPr>
              <w:pStyle w:val="98"/>
              <w:rPr>
                <w:color w:val="auto"/>
                <w:highlight w:val="none"/>
              </w:rPr>
            </w:pPr>
          </w:p>
        </w:tc>
        <w:tc>
          <w:tcPr>
            <w:tcW w:w="1238" w:type="dxa"/>
          </w:tcPr>
          <w:p w14:paraId="10209D29">
            <w:pPr>
              <w:pStyle w:val="98"/>
              <w:rPr>
                <w:color w:val="auto"/>
                <w:highlight w:val="none"/>
              </w:rPr>
            </w:pPr>
          </w:p>
        </w:tc>
        <w:tc>
          <w:tcPr>
            <w:tcW w:w="1449" w:type="dxa"/>
          </w:tcPr>
          <w:p w14:paraId="23570364">
            <w:pPr>
              <w:pStyle w:val="98"/>
              <w:rPr>
                <w:color w:val="auto"/>
                <w:highlight w:val="none"/>
              </w:rPr>
            </w:pPr>
          </w:p>
        </w:tc>
        <w:tc>
          <w:tcPr>
            <w:tcW w:w="1675" w:type="dxa"/>
            <w:tcBorders>
              <w:right w:val="single" w:color="000000" w:sz="10" w:space="0"/>
            </w:tcBorders>
          </w:tcPr>
          <w:p w14:paraId="74AEFE8E">
            <w:pPr>
              <w:pStyle w:val="98"/>
              <w:rPr>
                <w:color w:val="auto"/>
                <w:highlight w:val="none"/>
              </w:rPr>
            </w:pPr>
          </w:p>
        </w:tc>
      </w:tr>
      <w:tr w14:paraId="3C8C5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424D9A87">
            <w:pPr>
              <w:pStyle w:val="98"/>
              <w:rPr>
                <w:color w:val="auto"/>
                <w:highlight w:val="none"/>
              </w:rPr>
            </w:pPr>
          </w:p>
        </w:tc>
        <w:tc>
          <w:tcPr>
            <w:tcW w:w="1271" w:type="dxa"/>
          </w:tcPr>
          <w:p w14:paraId="704C0F81">
            <w:pPr>
              <w:pStyle w:val="98"/>
              <w:rPr>
                <w:color w:val="auto"/>
                <w:highlight w:val="none"/>
              </w:rPr>
            </w:pPr>
          </w:p>
        </w:tc>
        <w:tc>
          <w:tcPr>
            <w:tcW w:w="1448" w:type="dxa"/>
          </w:tcPr>
          <w:p w14:paraId="328F85BE">
            <w:pPr>
              <w:pStyle w:val="98"/>
              <w:rPr>
                <w:color w:val="auto"/>
                <w:highlight w:val="none"/>
              </w:rPr>
            </w:pPr>
          </w:p>
        </w:tc>
        <w:tc>
          <w:tcPr>
            <w:tcW w:w="1238" w:type="dxa"/>
          </w:tcPr>
          <w:p w14:paraId="1C603CB1">
            <w:pPr>
              <w:pStyle w:val="98"/>
              <w:rPr>
                <w:color w:val="auto"/>
                <w:highlight w:val="none"/>
              </w:rPr>
            </w:pPr>
          </w:p>
        </w:tc>
        <w:tc>
          <w:tcPr>
            <w:tcW w:w="1449" w:type="dxa"/>
          </w:tcPr>
          <w:p w14:paraId="6355535F">
            <w:pPr>
              <w:pStyle w:val="98"/>
              <w:rPr>
                <w:color w:val="auto"/>
                <w:highlight w:val="none"/>
              </w:rPr>
            </w:pPr>
          </w:p>
        </w:tc>
        <w:tc>
          <w:tcPr>
            <w:tcW w:w="1675" w:type="dxa"/>
            <w:tcBorders>
              <w:right w:val="single" w:color="000000" w:sz="10" w:space="0"/>
            </w:tcBorders>
          </w:tcPr>
          <w:p w14:paraId="129A86D1">
            <w:pPr>
              <w:pStyle w:val="98"/>
              <w:rPr>
                <w:color w:val="auto"/>
                <w:highlight w:val="none"/>
              </w:rPr>
            </w:pPr>
          </w:p>
        </w:tc>
      </w:tr>
      <w:tr w14:paraId="43F04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4E66D27C">
            <w:pPr>
              <w:pStyle w:val="98"/>
              <w:rPr>
                <w:color w:val="auto"/>
                <w:highlight w:val="none"/>
              </w:rPr>
            </w:pPr>
          </w:p>
        </w:tc>
        <w:tc>
          <w:tcPr>
            <w:tcW w:w="1271" w:type="dxa"/>
          </w:tcPr>
          <w:p w14:paraId="6C39510E">
            <w:pPr>
              <w:pStyle w:val="98"/>
              <w:rPr>
                <w:color w:val="auto"/>
                <w:highlight w:val="none"/>
              </w:rPr>
            </w:pPr>
          </w:p>
        </w:tc>
        <w:tc>
          <w:tcPr>
            <w:tcW w:w="1448" w:type="dxa"/>
          </w:tcPr>
          <w:p w14:paraId="4ECF669F">
            <w:pPr>
              <w:pStyle w:val="98"/>
              <w:rPr>
                <w:color w:val="auto"/>
                <w:highlight w:val="none"/>
              </w:rPr>
            </w:pPr>
          </w:p>
        </w:tc>
        <w:tc>
          <w:tcPr>
            <w:tcW w:w="1238" w:type="dxa"/>
          </w:tcPr>
          <w:p w14:paraId="5C3A8C28">
            <w:pPr>
              <w:pStyle w:val="98"/>
              <w:rPr>
                <w:color w:val="auto"/>
                <w:highlight w:val="none"/>
              </w:rPr>
            </w:pPr>
          </w:p>
        </w:tc>
        <w:tc>
          <w:tcPr>
            <w:tcW w:w="1449" w:type="dxa"/>
          </w:tcPr>
          <w:p w14:paraId="498A2DA2">
            <w:pPr>
              <w:pStyle w:val="98"/>
              <w:rPr>
                <w:color w:val="auto"/>
                <w:highlight w:val="none"/>
              </w:rPr>
            </w:pPr>
          </w:p>
        </w:tc>
        <w:tc>
          <w:tcPr>
            <w:tcW w:w="1675" w:type="dxa"/>
            <w:tcBorders>
              <w:right w:val="single" w:color="000000" w:sz="10" w:space="0"/>
            </w:tcBorders>
          </w:tcPr>
          <w:p w14:paraId="033B5261">
            <w:pPr>
              <w:pStyle w:val="98"/>
              <w:rPr>
                <w:color w:val="auto"/>
                <w:highlight w:val="none"/>
              </w:rPr>
            </w:pPr>
          </w:p>
        </w:tc>
      </w:tr>
      <w:tr w14:paraId="0C7A1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0E9DD0F7">
            <w:pPr>
              <w:pStyle w:val="98"/>
              <w:rPr>
                <w:color w:val="auto"/>
                <w:highlight w:val="none"/>
              </w:rPr>
            </w:pPr>
          </w:p>
        </w:tc>
        <w:tc>
          <w:tcPr>
            <w:tcW w:w="1271" w:type="dxa"/>
          </w:tcPr>
          <w:p w14:paraId="3C156E7A">
            <w:pPr>
              <w:pStyle w:val="98"/>
              <w:rPr>
                <w:color w:val="auto"/>
                <w:highlight w:val="none"/>
              </w:rPr>
            </w:pPr>
          </w:p>
        </w:tc>
        <w:tc>
          <w:tcPr>
            <w:tcW w:w="1448" w:type="dxa"/>
          </w:tcPr>
          <w:p w14:paraId="0297C344">
            <w:pPr>
              <w:pStyle w:val="98"/>
              <w:rPr>
                <w:color w:val="auto"/>
                <w:highlight w:val="none"/>
              </w:rPr>
            </w:pPr>
          </w:p>
        </w:tc>
        <w:tc>
          <w:tcPr>
            <w:tcW w:w="1238" w:type="dxa"/>
          </w:tcPr>
          <w:p w14:paraId="1B7121AA">
            <w:pPr>
              <w:pStyle w:val="98"/>
              <w:rPr>
                <w:color w:val="auto"/>
                <w:highlight w:val="none"/>
              </w:rPr>
            </w:pPr>
          </w:p>
        </w:tc>
        <w:tc>
          <w:tcPr>
            <w:tcW w:w="1449" w:type="dxa"/>
          </w:tcPr>
          <w:p w14:paraId="3321A7CA">
            <w:pPr>
              <w:pStyle w:val="98"/>
              <w:rPr>
                <w:color w:val="auto"/>
                <w:highlight w:val="none"/>
              </w:rPr>
            </w:pPr>
          </w:p>
        </w:tc>
        <w:tc>
          <w:tcPr>
            <w:tcW w:w="1675" w:type="dxa"/>
            <w:tcBorders>
              <w:right w:val="single" w:color="000000" w:sz="10" w:space="0"/>
            </w:tcBorders>
          </w:tcPr>
          <w:p w14:paraId="581E3397">
            <w:pPr>
              <w:pStyle w:val="98"/>
              <w:rPr>
                <w:color w:val="auto"/>
                <w:highlight w:val="none"/>
              </w:rPr>
            </w:pPr>
          </w:p>
        </w:tc>
      </w:tr>
      <w:tr w14:paraId="1184D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28685B74">
            <w:pPr>
              <w:pStyle w:val="98"/>
              <w:rPr>
                <w:color w:val="auto"/>
                <w:highlight w:val="none"/>
              </w:rPr>
            </w:pPr>
          </w:p>
        </w:tc>
        <w:tc>
          <w:tcPr>
            <w:tcW w:w="1271" w:type="dxa"/>
          </w:tcPr>
          <w:p w14:paraId="324DAF69">
            <w:pPr>
              <w:pStyle w:val="98"/>
              <w:rPr>
                <w:color w:val="auto"/>
                <w:highlight w:val="none"/>
              </w:rPr>
            </w:pPr>
          </w:p>
        </w:tc>
        <w:tc>
          <w:tcPr>
            <w:tcW w:w="1448" w:type="dxa"/>
          </w:tcPr>
          <w:p w14:paraId="29ADE139">
            <w:pPr>
              <w:pStyle w:val="98"/>
              <w:rPr>
                <w:color w:val="auto"/>
                <w:highlight w:val="none"/>
              </w:rPr>
            </w:pPr>
          </w:p>
        </w:tc>
        <w:tc>
          <w:tcPr>
            <w:tcW w:w="1238" w:type="dxa"/>
          </w:tcPr>
          <w:p w14:paraId="6048BB5C">
            <w:pPr>
              <w:pStyle w:val="98"/>
              <w:rPr>
                <w:color w:val="auto"/>
                <w:highlight w:val="none"/>
              </w:rPr>
            </w:pPr>
          </w:p>
        </w:tc>
        <w:tc>
          <w:tcPr>
            <w:tcW w:w="1449" w:type="dxa"/>
          </w:tcPr>
          <w:p w14:paraId="2B371F5E">
            <w:pPr>
              <w:pStyle w:val="98"/>
              <w:rPr>
                <w:color w:val="auto"/>
                <w:highlight w:val="none"/>
              </w:rPr>
            </w:pPr>
          </w:p>
        </w:tc>
        <w:tc>
          <w:tcPr>
            <w:tcW w:w="1675" w:type="dxa"/>
            <w:tcBorders>
              <w:right w:val="single" w:color="000000" w:sz="10" w:space="0"/>
            </w:tcBorders>
          </w:tcPr>
          <w:p w14:paraId="06FEBEA4">
            <w:pPr>
              <w:pStyle w:val="98"/>
              <w:rPr>
                <w:color w:val="auto"/>
                <w:highlight w:val="none"/>
              </w:rPr>
            </w:pPr>
          </w:p>
        </w:tc>
      </w:tr>
      <w:tr w14:paraId="589EC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3F7139F2">
            <w:pPr>
              <w:pStyle w:val="98"/>
              <w:rPr>
                <w:color w:val="auto"/>
                <w:highlight w:val="none"/>
              </w:rPr>
            </w:pPr>
          </w:p>
        </w:tc>
        <w:tc>
          <w:tcPr>
            <w:tcW w:w="1271" w:type="dxa"/>
          </w:tcPr>
          <w:p w14:paraId="564F67FB">
            <w:pPr>
              <w:pStyle w:val="98"/>
              <w:rPr>
                <w:color w:val="auto"/>
                <w:highlight w:val="none"/>
              </w:rPr>
            </w:pPr>
          </w:p>
        </w:tc>
        <w:tc>
          <w:tcPr>
            <w:tcW w:w="1448" w:type="dxa"/>
          </w:tcPr>
          <w:p w14:paraId="74D01663">
            <w:pPr>
              <w:pStyle w:val="98"/>
              <w:rPr>
                <w:color w:val="auto"/>
                <w:highlight w:val="none"/>
              </w:rPr>
            </w:pPr>
          </w:p>
        </w:tc>
        <w:tc>
          <w:tcPr>
            <w:tcW w:w="1238" w:type="dxa"/>
          </w:tcPr>
          <w:p w14:paraId="3C9AC3C5">
            <w:pPr>
              <w:pStyle w:val="98"/>
              <w:rPr>
                <w:color w:val="auto"/>
                <w:highlight w:val="none"/>
              </w:rPr>
            </w:pPr>
          </w:p>
        </w:tc>
        <w:tc>
          <w:tcPr>
            <w:tcW w:w="1449" w:type="dxa"/>
          </w:tcPr>
          <w:p w14:paraId="47EAC128">
            <w:pPr>
              <w:pStyle w:val="98"/>
              <w:rPr>
                <w:color w:val="auto"/>
                <w:highlight w:val="none"/>
              </w:rPr>
            </w:pPr>
          </w:p>
        </w:tc>
        <w:tc>
          <w:tcPr>
            <w:tcW w:w="1675" w:type="dxa"/>
            <w:tcBorders>
              <w:right w:val="single" w:color="000000" w:sz="10" w:space="0"/>
            </w:tcBorders>
          </w:tcPr>
          <w:p w14:paraId="4F3B515A">
            <w:pPr>
              <w:pStyle w:val="98"/>
              <w:rPr>
                <w:color w:val="auto"/>
                <w:highlight w:val="none"/>
              </w:rPr>
            </w:pPr>
          </w:p>
        </w:tc>
      </w:tr>
      <w:tr w14:paraId="339A7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18F272BA">
            <w:pPr>
              <w:pStyle w:val="98"/>
              <w:rPr>
                <w:color w:val="auto"/>
                <w:highlight w:val="none"/>
              </w:rPr>
            </w:pPr>
          </w:p>
        </w:tc>
        <w:tc>
          <w:tcPr>
            <w:tcW w:w="1271" w:type="dxa"/>
          </w:tcPr>
          <w:p w14:paraId="2C2938B1">
            <w:pPr>
              <w:pStyle w:val="98"/>
              <w:rPr>
                <w:color w:val="auto"/>
                <w:highlight w:val="none"/>
              </w:rPr>
            </w:pPr>
          </w:p>
        </w:tc>
        <w:tc>
          <w:tcPr>
            <w:tcW w:w="1448" w:type="dxa"/>
          </w:tcPr>
          <w:p w14:paraId="703A58B0">
            <w:pPr>
              <w:pStyle w:val="98"/>
              <w:rPr>
                <w:color w:val="auto"/>
                <w:highlight w:val="none"/>
              </w:rPr>
            </w:pPr>
          </w:p>
        </w:tc>
        <w:tc>
          <w:tcPr>
            <w:tcW w:w="1238" w:type="dxa"/>
          </w:tcPr>
          <w:p w14:paraId="0510BC26">
            <w:pPr>
              <w:pStyle w:val="98"/>
              <w:rPr>
                <w:color w:val="auto"/>
                <w:highlight w:val="none"/>
              </w:rPr>
            </w:pPr>
          </w:p>
        </w:tc>
        <w:tc>
          <w:tcPr>
            <w:tcW w:w="1449" w:type="dxa"/>
          </w:tcPr>
          <w:p w14:paraId="39F81388">
            <w:pPr>
              <w:pStyle w:val="98"/>
              <w:rPr>
                <w:color w:val="auto"/>
                <w:highlight w:val="none"/>
              </w:rPr>
            </w:pPr>
          </w:p>
        </w:tc>
        <w:tc>
          <w:tcPr>
            <w:tcW w:w="1675" w:type="dxa"/>
            <w:tcBorders>
              <w:right w:val="single" w:color="000000" w:sz="10" w:space="0"/>
            </w:tcBorders>
          </w:tcPr>
          <w:p w14:paraId="695B3654">
            <w:pPr>
              <w:pStyle w:val="98"/>
              <w:rPr>
                <w:color w:val="auto"/>
                <w:highlight w:val="none"/>
              </w:rPr>
            </w:pPr>
          </w:p>
        </w:tc>
      </w:tr>
      <w:tr w14:paraId="292D2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266C3BB4">
            <w:pPr>
              <w:pStyle w:val="98"/>
              <w:rPr>
                <w:color w:val="auto"/>
                <w:highlight w:val="none"/>
              </w:rPr>
            </w:pPr>
          </w:p>
        </w:tc>
        <w:tc>
          <w:tcPr>
            <w:tcW w:w="1271" w:type="dxa"/>
          </w:tcPr>
          <w:p w14:paraId="7F5868D5">
            <w:pPr>
              <w:pStyle w:val="98"/>
              <w:rPr>
                <w:color w:val="auto"/>
                <w:highlight w:val="none"/>
              </w:rPr>
            </w:pPr>
          </w:p>
        </w:tc>
        <w:tc>
          <w:tcPr>
            <w:tcW w:w="1448" w:type="dxa"/>
          </w:tcPr>
          <w:p w14:paraId="4D8A4224">
            <w:pPr>
              <w:pStyle w:val="98"/>
              <w:rPr>
                <w:color w:val="auto"/>
                <w:highlight w:val="none"/>
              </w:rPr>
            </w:pPr>
          </w:p>
        </w:tc>
        <w:tc>
          <w:tcPr>
            <w:tcW w:w="1238" w:type="dxa"/>
          </w:tcPr>
          <w:p w14:paraId="328A5323">
            <w:pPr>
              <w:pStyle w:val="98"/>
              <w:rPr>
                <w:color w:val="auto"/>
                <w:highlight w:val="none"/>
              </w:rPr>
            </w:pPr>
          </w:p>
        </w:tc>
        <w:tc>
          <w:tcPr>
            <w:tcW w:w="1449" w:type="dxa"/>
          </w:tcPr>
          <w:p w14:paraId="7B2656A2">
            <w:pPr>
              <w:pStyle w:val="98"/>
              <w:rPr>
                <w:color w:val="auto"/>
                <w:highlight w:val="none"/>
              </w:rPr>
            </w:pPr>
          </w:p>
        </w:tc>
        <w:tc>
          <w:tcPr>
            <w:tcW w:w="1675" w:type="dxa"/>
            <w:tcBorders>
              <w:right w:val="single" w:color="000000" w:sz="10" w:space="0"/>
            </w:tcBorders>
          </w:tcPr>
          <w:p w14:paraId="7FB452E9">
            <w:pPr>
              <w:pStyle w:val="98"/>
              <w:rPr>
                <w:color w:val="auto"/>
                <w:highlight w:val="none"/>
              </w:rPr>
            </w:pPr>
          </w:p>
        </w:tc>
      </w:tr>
      <w:tr w14:paraId="11D2C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962" w:type="dxa"/>
            <w:tcBorders>
              <w:left w:val="single" w:color="000000" w:sz="10" w:space="0"/>
            </w:tcBorders>
          </w:tcPr>
          <w:p w14:paraId="2FC584A0">
            <w:pPr>
              <w:pStyle w:val="98"/>
              <w:rPr>
                <w:color w:val="auto"/>
                <w:highlight w:val="none"/>
              </w:rPr>
            </w:pPr>
          </w:p>
        </w:tc>
        <w:tc>
          <w:tcPr>
            <w:tcW w:w="1271" w:type="dxa"/>
          </w:tcPr>
          <w:p w14:paraId="6A25D140">
            <w:pPr>
              <w:pStyle w:val="98"/>
              <w:rPr>
                <w:color w:val="auto"/>
                <w:highlight w:val="none"/>
              </w:rPr>
            </w:pPr>
          </w:p>
        </w:tc>
        <w:tc>
          <w:tcPr>
            <w:tcW w:w="1448" w:type="dxa"/>
          </w:tcPr>
          <w:p w14:paraId="37524154">
            <w:pPr>
              <w:pStyle w:val="98"/>
              <w:rPr>
                <w:color w:val="auto"/>
                <w:highlight w:val="none"/>
              </w:rPr>
            </w:pPr>
          </w:p>
        </w:tc>
        <w:tc>
          <w:tcPr>
            <w:tcW w:w="1238" w:type="dxa"/>
          </w:tcPr>
          <w:p w14:paraId="23FE381F">
            <w:pPr>
              <w:pStyle w:val="98"/>
              <w:rPr>
                <w:color w:val="auto"/>
                <w:highlight w:val="none"/>
              </w:rPr>
            </w:pPr>
          </w:p>
        </w:tc>
        <w:tc>
          <w:tcPr>
            <w:tcW w:w="1449" w:type="dxa"/>
          </w:tcPr>
          <w:p w14:paraId="27529061">
            <w:pPr>
              <w:pStyle w:val="98"/>
              <w:rPr>
                <w:color w:val="auto"/>
                <w:highlight w:val="none"/>
              </w:rPr>
            </w:pPr>
          </w:p>
        </w:tc>
        <w:tc>
          <w:tcPr>
            <w:tcW w:w="1675" w:type="dxa"/>
            <w:tcBorders>
              <w:right w:val="single" w:color="000000" w:sz="10" w:space="0"/>
            </w:tcBorders>
          </w:tcPr>
          <w:p w14:paraId="742EA6A1">
            <w:pPr>
              <w:pStyle w:val="98"/>
              <w:rPr>
                <w:color w:val="auto"/>
                <w:highlight w:val="none"/>
              </w:rPr>
            </w:pPr>
          </w:p>
        </w:tc>
      </w:tr>
      <w:tr w14:paraId="46BDC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26E1FC25">
            <w:pPr>
              <w:pStyle w:val="98"/>
              <w:rPr>
                <w:color w:val="auto"/>
                <w:highlight w:val="none"/>
              </w:rPr>
            </w:pPr>
          </w:p>
        </w:tc>
        <w:tc>
          <w:tcPr>
            <w:tcW w:w="1271" w:type="dxa"/>
          </w:tcPr>
          <w:p w14:paraId="40BE3B0D">
            <w:pPr>
              <w:pStyle w:val="98"/>
              <w:rPr>
                <w:color w:val="auto"/>
                <w:highlight w:val="none"/>
              </w:rPr>
            </w:pPr>
          </w:p>
        </w:tc>
        <w:tc>
          <w:tcPr>
            <w:tcW w:w="1448" w:type="dxa"/>
          </w:tcPr>
          <w:p w14:paraId="4EA351C4">
            <w:pPr>
              <w:pStyle w:val="98"/>
              <w:rPr>
                <w:color w:val="auto"/>
                <w:highlight w:val="none"/>
              </w:rPr>
            </w:pPr>
          </w:p>
        </w:tc>
        <w:tc>
          <w:tcPr>
            <w:tcW w:w="1238" w:type="dxa"/>
          </w:tcPr>
          <w:p w14:paraId="58D404AB">
            <w:pPr>
              <w:pStyle w:val="98"/>
              <w:rPr>
                <w:color w:val="auto"/>
                <w:highlight w:val="none"/>
              </w:rPr>
            </w:pPr>
          </w:p>
        </w:tc>
        <w:tc>
          <w:tcPr>
            <w:tcW w:w="1449" w:type="dxa"/>
          </w:tcPr>
          <w:p w14:paraId="14A43A52">
            <w:pPr>
              <w:pStyle w:val="98"/>
              <w:rPr>
                <w:color w:val="auto"/>
                <w:highlight w:val="none"/>
              </w:rPr>
            </w:pPr>
          </w:p>
        </w:tc>
        <w:tc>
          <w:tcPr>
            <w:tcW w:w="1675" w:type="dxa"/>
            <w:tcBorders>
              <w:right w:val="single" w:color="000000" w:sz="10" w:space="0"/>
            </w:tcBorders>
          </w:tcPr>
          <w:p w14:paraId="2C6F3D32">
            <w:pPr>
              <w:pStyle w:val="98"/>
              <w:rPr>
                <w:color w:val="auto"/>
                <w:highlight w:val="none"/>
              </w:rPr>
            </w:pPr>
          </w:p>
        </w:tc>
      </w:tr>
      <w:tr w14:paraId="1555E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50F5B190">
            <w:pPr>
              <w:pStyle w:val="98"/>
              <w:rPr>
                <w:color w:val="auto"/>
                <w:highlight w:val="none"/>
              </w:rPr>
            </w:pPr>
          </w:p>
        </w:tc>
        <w:tc>
          <w:tcPr>
            <w:tcW w:w="1271" w:type="dxa"/>
          </w:tcPr>
          <w:p w14:paraId="2B7D87AA">
            <w:pPr>
              <w:pStyle w:val="98"/>
              <w:rPr>
                <w:color w:val="auto"/>
                <w:highlight w:val="none"/>
              </w:rPr>
            </w:pPr>
          </w:p>
        </w:tc>
        <w:tc>
          <w:tcPr>
            <w:tcW w:w="1448" w:type="dxa"/>
          </w:tcPr>
          <w:p w14:paraId="6E2B31E1">
            <w:pPr>
              <w:pStyle w:val="98"/>
              <w:rPr>
                <w:color w:val="auto"/>
                <w:highlight w:val="none"/>
              </w:rPr>
            </w:pPr>
          </w:p>
        </w:tc>
        <w:tc>
          <w:tcPr>
            <w:tcW w:w="1238" w:type="dxa"/>
          </w:tcPr>
          <w:p w14:paraId="75243D38">
            <w:pPr>
              <w:pStyle w:val="98"/>
              <w:rPr>
                <w:color w:val="auto"/>
                <w:highlight w:val="none"/>
              </w:rPr>
            </w:pPr>
          </w:p>
        </w:tc>
        <w:tc>
          <w:tcPr>
            <w:tcW w:w="1449" w:type="dxa"/>
          </w:tcPr>
          <w:p w14:paraId="59DC6267">
            <w:pPr>
              <w:pStyle w:val="98"/>
              <w:rPr>
                <w:color w:val="auto"/>
                <w:highlight w:val="none"/>
              </w:rPr>
            </w:pPr>
          </w:p>
        </w:tc>
        <w:tc>
          <w:tcPr>
            <w:tcW w:w="1675" w:type="dxa"/>
            <w:tcBorders>
              <w:right w:val="single" w:color="000000" w:sz="10" w:space="0"/>
            </w:tcBorders>
          </w:tcPr>
          <w:p w14:paraId="32C694C6">
            <w:pPr>
              <w:pStyle w:val="98"/>
              <w:rPr>
                <w:color w:val="auto"/>
                <w:highlight w:val="none"/>
              </w:rPr>
            </w:pPr>
          </w:p>
        </w:tc>
      </w:tr>
      <w:tr w14:paraId="336E2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tcPr>
          <w:p w14:paraId="2FD42B0C">
            <w:pPr>
              <w:pStyle w:val="98"/>
              <w:rPr>
                <w:color w:val="auto"/>
                <w:highlight w:val="none"/>
              </w:rPr>
            </w:pPr>
          </w:p>
        </w:tc>
        <w:tc>
          <w:tcPr>
            <w:tcW w:w="1271" w:type="dxa"/>
          </w:tcPr>
          <w:p w14:paraId="45170FD4">
            <w:pPr>
              <w:pStyle w:val="98"/>
              <w:rPr>
                <w:color w:val="auto"/>
                <w:highlight w:val="none"/>
              </w:rPr>
            </w:pPr>
          </w:p>
        </w:tc>
        <w:tc>
          <w:tcPr>
            <w:tcW w:w="1448" w:type="dxa"/>
          </w:tcPr>
          <w:p w14:paraId="6B9C94F2">
            <w:pPr>
              <w:pStyle w:val="98"/>
              <w:rPr>
                <w:color w:val="auto"/>
                <w:highlight w:val="none"/>
              </w:rPr>
            </w:pPr>
          </w:p>
        </w:tc>
        <w:tc>
          <w:tcPr>
            <w:tcW w:w="1238" w:type="dxa"/>
          </w:tcPr>
          <w:p w14:paraId="7E6C71F1">
            <w:pPr>
              <w:pStyle w:val="98"/>
              <w:rPr>
                <w:color w:val="auto"/>
                <w:highlight w:val="none"/>
              </w:rPr>
            </w:pPr>
          </w:p>
        </w:tc>
        <w:tc>
          <w:tcPr>
            <w:tcW w:w="1449" w:type="dxa"/>
          </w:tcPr>
          <w:p w14:paraId="35E5A558">
            <w:pPr>
              <w:pStyle w:val="98"/>
              <w:rPr>
                <w:color w:val="auto"/>
                <w:highlight w:val="none"/>
              </w:rPr>
            </w:pPr>
          </w:p>
        </w:tc>
        <w:tc>
          <w:tcPr>
            <w:tcW w:w="1675" w:type="dxa"/>
            <w:tcBorders>
              <w:right w:val="single" w:color="000000" w:sz="10" w:space="0"/>
            </w:tcBorders>
          </w:tcPr>
          <w:p w14:paraId="0D66779A">
            <w:pPr>
              <w:pStyle w:val="98"/>
              <w:rPr>
                <w:color w:val="auto"/>
                <w:highlight w:val="none"/>
              </w:rPr>
            </w:pPr>
          </w:p>
        </w:tc>
      </w:tr>
      <w:tr w14:paraId="314AF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962" w:type="dxa"/>
            <w:tcBorders>
              <w:left w:val="single" w:color="000000" w:sz="10" w:space="0"/>
            </w:tcBorders>
          </w:tcPr>
          <w:p w14:paraId="3F1622EE">
            <w:pPr>
              <w:pStyle w:val="98"/>
              <w:rPr>
                <w:color w:val="auto"/>
                <w:highlight w:val="none"/>
              </w:rPr>
            </w:pPr>
          </w:p>
        </w:tc>
        <w:tc>
          <w:tcPr>
            <w:tcW w:w="1271" w:type="dxa"/>
          </w:tcPr>
          <w:p w14:paraId="269B2887">
            <w:pPr>
              <w:pStyle w:val="98"/>
              <w:rPr>
                <w:color w:val="auto"/>
                <w:highlight w:val="none"/>
              </w:rPr>
            </w:pPr>
          </w:p>
        </w:tc>
        <w:tc>
          <w:tcPr>
            <w:tcW w:w="1448" w:type="dxa"/>
          </w:tcPr>
          <w:p w14:paraId="56E6C4D3">
            <w:pPr>
              <w:pStyle w:val="98"/>
              <w:rPr>
                <w:color w:val="auto"/>
                <w:highlight w:val="none"/>
              </w:rPr>
            </w:pPr>
          </w:p>
        </w:tc>
        <w:tc>
          <w:tcPr>
            <w:tcW w:w="1238" w:type="dxa"/>
          </w:tcPr>
          <w:p w14:paraId="6FC4099A">
            <w:pPr>
              <w:pStyle w:val="98"/>
              <w:rPr>
                <w:color w:val="auto"/>
                <w:highlight w:val="none"/>
              </w:rPr>
            </w:pPr>
          </w:p>
        </w:tc>
        <w:tc>
          <w:tcPr>
            <w:tcW w:w="1449" w:type="dxa"/>
          </w:tcPr>
          <w:p w14:paraId="15249316">
            <w:pPr>
              <w:pStyle w:val="98"/>
              <w:rPr>
                <w:color w:val="auto"/>
                <w:highlight w:val="none"/>
              </w:rPr>
            </w:pPr>
          </w:p>
        </w:tc>
        <w:tc>
          <w:tcPr>
            <w:tcW w:w="1675" w:type="dxa"/>
            <w:tcBorders>
              <w:right w:val="single" w:color="000000" w:sz="10" w:space="0"/>
            </w:tcBorders>
          </w:tcPr>
          <w:p w14:paraId="532AF0A9">
            <w:pPr>
              <w:pStyle w:val="98"/>
              <w:rPr>
                <w:color w:val="auto"/>
                <w:highlight w:val="none"/>
              </w:rPr>
            </w:pPr>
          </w:p>
        </w:tc>
      </w:tr>
      <w:tr w14:paraId="0F615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1962" w:type="dxa"/>
            <w:tcBorders>
              <w:left w:val="single" w:color="000000" w:sz="10" w:space="0"/>
              <w:bottom w:val="single" w:color="000000" w:sz="10" w:space="0"/>
            </w:tcBorders>
          </w:tcPr>
          <w:p w14:paraId="7BDF23EC">
            <w:pPr>
              <w:pStyle w:val="98"/>
              <w:rPr>
                <w:color w:val="auto"/>
                <w:highlight w:val="none"/>
              </w:rPr>
            </w:pPr>
          </w:p>
        </w:tc>
        <w:tc>
          <w:tcPr>
            <w:tcW w:w="1271" w:type="dxa"/>
            <w:tcBorders>
              <w:bottom w:val="single" w:color="000000" w:sz="10" w:space="0"/>
            </w:tcBorders>
          </w:tcPr>
          <w:p w14:paraId="0B663C1D">
            <w:pPr>
              <w:pStyle w:val="98"/>
              <w:rPr>
                <w:color w:val="auto"/>
                <w:highlight w:val="none"/>
              </w:rPr>
            </w:pPr>
          </w:p>
        </w:tc>
        <w:tc>
          <w:tcPr>
            <w:tcW w:w="1448" w:type="dxa"/>
            <w:tcBorders>
              <w:bottom w:val="single" w:color="000000" w:sz="10" w:space="0"/>
            </w:tcBorders>
          </w:tcPr>
          <w:p w14:paraId="4880A426">
            <w:pPr>
              <w:pStyle w:val="98"/>
              <w:rPr>
                <w:color w:val="auto"/>
                <w:highlight w:val="none"/>
              </w:rPr>
            </w:pPr>
          </w:p>
        </w:tc>
        <w:tc>
          <w:tcPr>
            <w:tcW w:w="1238" w:type="dxa"/>
            <w:tcBorders>
              <w:bottom w:val="single" w:color="000000" w:sz="10" w:space="0"/>
            </w:tcBorders>
          </w:tcPr>
          <w:p w14:paraId="25363906">
            <w:pPr>
              <w:pStyle w:val="98"/>
              <w:rPr>
                <w:color w:val="auto"/>
                <w:highlight w:val="none"/>
              </w:rPr>
            </w:pPr>
          </w:p>
        </w:tc>
        <w:tc>
          <w:tcPr>
            <w:tcW w:w="1449" w:type="dxa"/>
            <w:tcBorders>
              <w:bottom w:val="single" w:color="000000" w:sz="10" w:space="0"/>
            </w:tcBorders>
          </w:tcPr>
          <w:p w14:paraId="64007780">
            <w:pPr>
              <w:pStyle w:val="98"/>
              <w:rPr>
                <w:color w:val="auto"/>
                <w:highlight w:val="none"/>
              </w:rPr>
            </w:pPr>
          </w:p>
        </w:tc>
        <w:tc>
          <w:tcPr>
            <w:tcW w:w="1675" w:type="dxa"/>
            <w:tcBorders>
              <w:bottom w:val="single" w:color="000000" w:sz="10" w:space="0"/>
              <w:right w:val="single" w:color="000000" w:sz="10" w:space="0"/>
            </w:tcBorders>
          </w:tcPr>
          <w:p w14:paraId="1F7F6B99">
            <w:pPr>
              <w:pStyle w:val="98"/>
              <w:rPr>
                <w:color w:val="auto"/>
                <w:highlight w:val="none"/>
              </w:rPr>
            </w:pPr>
          </w:p>
        </w:tc>
      </w:tr>
    </w:tbl>
    <w:p w14:paraId="26121CA2">
      <w:pPr>
        <w:rPr>
          <w:color w:val="auto"/>
          <w:highlight w:val="none"/>
        </w:rPr>
      </w:pPr>
    </w:p>
    <w:p w14:paraId="4D3038E1">
      <w:pPr>
        <w:rPr>
          <w:rFonts w:ascii="仿宋" w:hAnsi="仿宋" w:eastAsia="仿宋" w:cs="仿宋"/>
          <w:color w:val="auto"/>
          <w:spacing w:val="-10"/>
          <w:sz w:val="30"/>
          <w:szCs w:val="30"/>
          <w:highlight w:val="none"/>
        </w:rPr>
      </w:pPr>
      <w:r>
        <w:rPr>
          <w:rFonts w:ascii="仿宋" w:hAnsi="仿宋" w:eastAsia="仿宋" w:cs="仿宋"/>
          <w:color w:val="auto"/>
          <w:spacing w:val="-10"/>
          <w:sz w:val="30"/>
          <w:szCs w:val="30"/>
          <w:highlight w:val="none"/>
        </w:rPr>
        <w:br w:type="page"/>
      </w:r>
    </w:p>
    <w:p w14:paraId="2A888C65">
      <w:pPr>
        <w:spacing w:before="98" w:line="218" w:lineRule="auto"/>
        <w:rPr>
          <w:rFonts w:ascii="仿宋" w:hAnsi="仿宋" w:eastAsia="仿宋" w:cs="仿宋"/>
          <w:color w:val="auto"/>
          <w:sz w:val="30"/>
          <w:szCs w:val="30"/>
          <w:highlight w:val="none"/>
        </w:rPr>
      </w:pPr>
      <w:r>
        <w:rPr>
          <w:rFonts w:ascii="仿宋" w:hAnsi="仿宋" w:eastAsia="仿宋" w:cs="仿宋"/>
          <w:color w:val="auto"/>
          <w:spacing w:val="-10"/>
          <w:sz w:val="30"/>
          <w:szCs w:val="30"/>
          <w:highlight w:val="none"/>
        </w:rPr>
        <w:t>附件</w:t>
      </w:r>
      <w:r>
        <w:rPr>
          <w:rFonts w:ascii="Calibri" w:hAnsi="Calibri" w:eastAsia="Calibri" w:cs="Calibri"/>
          <w:color w:val="auto"/>
          <w:spacing w:val="-10"/>
          <w:sz w:val="30"/>
          <w:szCs w:val="30"/>
          <w:highlight w:val="none"/>
        </w:rPr>
        <w:t>4</w:t>
      </w:r>
      <w:r>
        <w:rPr>
          <w:rFonts w:ascii="仿宋" w:hAnsi="仿宋" w:eastAsia="仿宋" w:cs="仿宋"/>
          <w:color w:val="auto"/>
          <w:spacing w:val="-10"/>
          <w:sz w:val="30"/>
          <w:szCs w:val="30"/>
          <w:highlight w:val="none"/>
        </w:rPr>
        <w:t>：</w:t>
      </w:r>
    </w:p>
    <w:p w14:paraId="7297C90D">
      <w:pPr>
        <w:spacing w:before="204" w:line="219" w:lineRule="auto"/>
        <w:ind w:left="2521"/>
        <w:rPr>
          <w:rFonts w:ascii="黑体" w:hAnsi="黑体" w:eastAsia="黑体" w:cs="黑体"/>
          <w:color w:val="auto"/>
          <w:sz w:val="30"/>
          <w:szCs w:val="30"/>
          <w:highlight w:val="none"/>
          <w:lang w:eastAsia="zh-CN"/>
        </w:rPr>
      </w:pPr>
      <w:r>
        <w:rPr>
          <w:rFonts w:ascii="黑体" w:hAnsi="黑体" w:eastAsia="黑体" w:cs="黑体"/>
          <w:color w:val="auto"/>
          <w:spacing w:val="-1"/>
          <w:sz w:val="30"/>
          <w:szCs w:val="30"/>
          <w:highlight w:val="none"/>
          <w:lang w:eastAsia="zh-CN"/>
        </w:rPr>
        <w:t>承包人用于本工程施工的机械设备表</w:t>
      </w:r>
    </w:p>
    <w:p w14:paraId="3058EFC0">
      <w:pPr>
        <w:spacing w:line="110" w:lineRule="exact"/>
        <w:rPr>
          <w:color w:val="auto"/>
          <w:highlight w:val="none"/>
          <w:lang w:eastAsia="zh-CN"/>
        </w:rPr>
      </w:pPr>
    </w:p>
    <w:tbl>
      <w:tblPr>
        <w:tblStyle w:val="88"/>
        <w:tblW w:w="981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4"/>
        <w:gridCol w:w="1845"/>
        <w:gridCol w:w="1377"/>
        <w:gridCol w:w="744"/>
        <w:gridCol w:w="852"/>
        <w:gridCol w:w="840"/>
        <w:gridCol w:w="1476"/>
        <w:gridCol w:w="933"/>
        <w:gridCol w:w="926"/>
      </w:tblGrid>
      <w:tr w14:paraId="118A1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jc w:val="center"/>
        </w:trPr>
        <w:tc>
          <w:tcPr>
            <w:tcW w:w="824" w:type="dxa"/>
          </w:tcPr>
          <w:p w14:paraId="703A9852">
            <w:pPr>
              <w:pStyle w:val="98"/>
              <w:spacing w:line="243" w:lineRule="auto"/>
              <w:jc w:val="center"/>
              <w:rPr>
                <w:color w:val="auto"/>
                <w:highlight w:val="none"/>
                <w:lang w:eastAsia="zh-CN"/>
              </w:rPr>
            </w:pPr>
          </w:p>
          <w:p w14:paraId="6474E9E9">
            <w:pPr>
              <w:spacing w:before="91" w:line="219" w:lineRule="auto"/>
              <w:ind w:left="110"/>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序号</w:t>
            </w:r>
          </w:p>
        </w:tc>
        <w:tc>
          <w:tcPr>
            <w:tcW w:w="1845" w:type="dxa"/>
          </w:tcPr>
          <w:p w14:paraId="5C83629B">
            <w:pPr>
              <w:spacing w:before="115" w:line="252" w:lineRule="auto"/>
              <w:ind w:left="104" w:right="90" w:hanging="2"/>
              <w:jc w:val="center"/>
              <w:rPr>
                <w:rFonts w:ascii="仿宋" w:hAnsi="仿宋" w:eastAsia="仿宋" w:cs="仿宋"/>
                <w:color w:val="auto"/>
                <w:sz w:val="28"/>
                <w:szCs w:val="28"/>
                <w:highlight w:val="none"/>
              </w:rPr>
            </w:pPr>
            <w:r>
              <w:rPr>
                <w:rFonts w:ascii="仿宋" w:hAnsi="仿宋" w:eastAsia="仿宋" w:cs="仿宋"/>
                <w:color w:val="auto"/>
                <w:spacing w:val="24"/>
                <w:sz w:val="28"/>
                <w:szCs w:val="28"/>
                <w:highlight w:val="none"/>
              </w:rPr>
              <w:t>机械或设</w:t>
            </w:r>
            <w:r>
              <w:rPr>
                <w:rFonts w:ascii="仿宋" w:hAnsi="仿宋" w:eastAsia="仿宋" w:cs="仿宋"/>
                <w:color w:val="auto"/>
                <w:spacing w:val="-5"/>
                <w:sz w:val="28"/>
                <w:szCs w:val="28"/>
                <w:highlight w:val="none"/>
              </w:rPr>
              <w:t>备名称</w:t>
            </w:r>
          </w:p>
        </w:tc>
        <w:tc>
          <w:tcPr>
            <w:tcW w:w="1377" w:type="dxa"/>
          </w:tcPr>
          <w:p w14:paraId="3C71A1BA">
            <w:pPr>
              <w:spacing w:before="115" w:line="252" w:lineRule="auto"/>
              <w:ind w:left="116" w:right="89" w:hanging="14"/>
              <w:jc w:val="center"/>
              <w:rPr>
                <w:rFonts w:ascii="仿宋" w:hAnsi="仿宋" w:eastAsia="仿宋" w:cs="仿宋"/>
                <w:color w:val="auto"/>
                <w:sz w:val="28"/>
                <w:szCs w:val="28"/>
                <w:highlight w:val="none"/>
              </w:rPr>
            </w:pPr>
            <w:r>
              <w:rPr>
                <w:rFonts w:ascii="仿宋" w:hAnsi="仿宋" w:eastAsia="仿宋" w:cs="仿宋"/>
                <w:color w:val="auto"/>
                <w:spacing w:val="-17"/>
                <w:sz w:val="28"/>
                <w:szCs w:val="28"/>
                <w:highlight w:val="none"/>
              </w:rPr>
              <w:t>规格</w:t>
            </w:r>
          </w:p>
          <w:p w14:paraId="3F893A5D">
            <w:pPr>
              <w:spacing w:before="115" w:line="252" w:lineRule="auto"/>
              <w:ind w:left="116" w:right="89" w:hanging="14"/>
              <w:jc w:val="center"/>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型号</w:t>
            </w:r>
          </w:p>
        </w:tc>
        <w:tc>
          <w:tcPr>
            <w:tcW w:w="744" w:type="dxa"/>
          </w:tcPr>
          <w:p w14:paraId="3F513C75">
            <w:pPr>
              <w:pStyle w:val="98"/>
              <w:spacing w:line="244" w:lineRule="auto"/>
              <w:jc w:val="center"/>
              <w:rPr>
                <w:color w:val="auto"/>
                <w:highlight w:val="none"/>
              </w:rPr>
            </w:pPr>
          </w:p>
          <w:p w14:paraId="09441E23">
            <w:pPr>
              <w:spacing w:before="91" w:line="219" w:lineRule="auto"/>
              <w:ind w:left="103"/>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数量</w:t>
            </w:r>
          </w:p>
        </w:tc>
        <w:tc>
          <w:tcPr>
            <w:tcW w:w="852" w:type="dxa"/>
          </w:tcPr>
          <w:p w14:paraId="675710C2">
            <w:pPr>
              <w:pStyle w:val="98"/>
              <w:spacing w:line="244" w:lineRule="auto"/>
              <w:jc w:val="center"/>
              <w:rPr>
                <w:color w:val="auto"/>
                <w:highlight w:val="none"/>
              </w:rPr>
            </w:pPr>
          </w:p>
          <w:p w14:paraId="26FE69C8">
            <w:pPr>
              <w:spacing w:before="91" w:line="220" w:lineRule="auto"/>
              <w:ind w:left="106"/>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产地</w:t>
            </w:r>
          </w:p>
        </w:tc>
        <w:tc>
          <w:tcPr>
            <w:tcW w:w="840" w:type="dxa"/>
          </w:tcPr>
          <w:p w14:paraId="7C3F7BDB">
            <w:pPr>
              <w:spacing w:before="115" w:line="252" w:lineRule="auto"/>
              <w:ind w:left="112" w:right="84" w:hanging="4"/>
              <w:jc w:val="center"/>
              <w:rPr>
                <w:rFonts w:ascii="仿宋" w:hAnsi="仿宋" w:eastAsia="仿宋" w:cs="仿宋"/>
                <w:color w:val="auto"/>
                <w:sz w:val="28"/>
                <w:szCs w:val="28"/>
                <w:highlight w:val="none"/>
              </w:rPr>
            </w:pPr>
            <w:r>
              <w:rPr>
                <w:rFonts w:ascii="仿宋" w:hAnsi="仿宋" w:eastAsia="仿宋" w:cs="仿宋"/>
                <w:color w:val="auto"/>
                <w:spacing w:val="-18"/>
                <w:sz w:val="28"/>
                <w:szCs w:val="28"/>
                <w:highlight w:val="none"/>
              </w:rPr>
              <w:t>制造</w:t>
            </w:r>
            <w:r>
              <w:rPr>
                <w:rFonts w:ascii="仿宋" w:hAnsi="仿宋" w:eastAsia="仿宋" w:cs="仿宋"/>
                <w:color w:val="auto"/>
                <w:spacing w:val="-6"/>
                <w:sz w:val="28"/>
                <w:szCs w:val="28"/>
                <w:highlight w:val="none"/>
              </w:rPr>
              <w:t>年份</w:t>
            </w:r>
          </w:p>
        </w:tc>
        <w:tc>
          <w:tcPr>
            <w:tcW w:w="1476" w:type="dxa"/>
          </w:tcPr>
          <w:p w14:paraId="204806F1">
            <w:pPr>
              <w:spacing w:before="115" w:line="252" w:lineRule="auto"/>
              <w:ind w:left="108" w:right="85" w:hanging="1"/>
              <w:jc w:val="center"/>
              <w:rPr>
                <w:rFonts w:ascii="仿宋" w:hAnsi="仿宋" w:eastAsia="仿宋" w:cs="仿宋"/>
                <w:color w:val="auto"/>
                <w:sz w:val="28"/>
                <w:szCs w:val="28"/>
                <w:highlight w:val="none"/>
              </w:rPr>
            </w:pPr>
            <w:r>
              <w:rPr>
                <w:rFonts w:ascii="仿宋" w:hAnsi="仿宋" w:eastAsia="仿宋" w:cs="仿宋"/>
                <w:color w:val="auto"/>
                <w:spacing w:val="40"/>
                <w:sz w:val="28"/>
                <w:szCs w:val="28"/>
                <w:highlight w:val="none"/>
              </w:rPr>
              <w:t>额定功率</w:t>
            </w:r>
            <w:r>
              <w:rPr>
                <w:rFonts w:ascii="仿宋" w:hAnsi="仿宋" w:eastAsia="仿宋" w:cs="仿宋"/>
                <w:color w:val="auto"/>
                <w:spacing w:val="-4"/>
                <w:sz w:val="28"/>
                <w:szCs w:val="28"/>
                <w:highlight w:val="none"/>
              </w:rPr>
              <w:t>（</w:t>
            </w:r>
            <w:r>
              <w:rPr>
                <w:rFonts w:ascii="Times New Roman" w:hAnsi="Times New Roman" w:eastAsia="Times New Roman" w:cs="Times New Roman"/>
                <w:color w:val="auto"/>
                <w:spacing w:val="-4"/>
                <w:sz w:val="28"/>
                <w:szCs w:val="28"/>
                <w:highlight w:val="none"/>
              </w:rPr>
              <w:t>kW</w:t>
            </w:r>
            <w:r>
              <w:rPr>
                <w:rFonts w:ascii="仿宋" w:hAnsi="仿宋" w:eastAsia="仿宋" w:cs="仿宋"/>
                <w:color w:val="auto"/>
                <w:spacing w:val="-4"/>
                <w:sz w:val="28"/>
                <w:szCs w:val="28"/>
                <w:highlight w:val="none"/>
              </w:rPr>
              <w:t>）</w:t>
            </w:r>
          </w:p>
        </w:tc>
        <w:tc>
          <w:tcPr>
            <w:tcW w:w="933" w:type="dxa"/>
          </w:tcPr>
          <w:p w14:paraId="64E97667">
            <w:pPr>
              <w:spacing w:before="115" w:line="252" w:lineRule="auto"/>
              <w:ind w:left="123" w:right="85"/>
              <w:jc w:val="center"/>
              <w:rPr>
                <w:rFonts w:ascii="仿宋" w:hAnsi="仿宋" w:eastAsia="仿宋" w:cs="仿宋"/>
                <w:color w:val="auto"/>
                <w:sz w:val="28"/>
                <w:szCs w:val="28"/>
                <w:highlight w:val="none"/>
              </w:rPr>
            </w:pPr>
            <w:r>
              <w:rPr>
                <w:rFonts w:ascii="仿宋" w:hAnsi="仿宋" w:eastAsia="仿宋" w:cs="仿宋"/>
                <w:color w:val="auto"/>
                <w:spacing w:val="-28"/>
                <w:sz w:val="28"/>
                <w:szCs w:val="28"/>
                <w:highlight w:val="none"/>
              </w:rPr>
              <w:t>生产</w:t>
            </w:r>
            <w:r>
              <w:rPr>
                <w:rFonts w:ascii="仿宋" w:hAnsi="仿宋" w:eastAsia="仿宋" w:cs="仿宋"/>
                <w:color w:val="auto"/>
                <w:spacing w:val="-9"/>
                <w:sz w:val="28"/>
                <w:szCs w:val="28"/>
                <w:highlight w:val="none"/>
              </w:rPr>
              <w:t>能力</w:t>
            </w:r>
          </w:p>
        </w:tc>
        <w:tc>
          <w:tcPr>
            <w:tcW w:w="926" w:type="dxa"/>
          </w:tcPr>
          <w:p w14:paraId="24E0C096">
            <w:pPr>
              <w:pStyle w:val="98"/>
              <w:spacing w:line="244" w:lineRule="auto"/>
              <w:jc w:val="center"/>
              <w:rPr>
                <w:color w:val="auto"/>
                <w:highlight w:val="none"/>
              </w:rPr>
            </w:pPr>
          </w:p>
          <w:p w14:paraId="6923ADD0">
            <w:pPr>
              <w:spacing w:before="91" w:line="221" w:lineRule="auto"/>
              <w:ind w:left="109"/>
              <w:jc w:val="both"/>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备注</w:t>
            </w:r>
          </w:p>
        </w:tc>
      </w:tr>
      <w:tr w14:paraId="472B3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0FD3029">
            <w:pPr>
              <w:pStyle w:val="98"/>
              <w:spacing w:before="51" w:line="219" w:lineRule="auto"/>
              <w:jc w:val="center"/>
              <w:rPr>
                <w:rFonts w:ascii="宋体" w:hAnsi="宋体" w:eastAsia="宋体" w:cs="宋体"/>
                <w:color w:val="auto"/>
                <w:spacing w:val="-2"/>
                <w:highlight w:val="none"/>
              </w:rPr>
            </w:pPr>
          </w:p>
        </w:tc>
        <w:tc>
          <w:tcPr>
            <w:tcW w:w="1845" w:type="dxa"/>
            <w:vAlign w:val="center"/>
          </w:tcPr>
          <w:p w14:paraId="4E29F3A1">
            <w:pPr>
              <w:pStyle w:val="98"/>
              <w:spacing w:before="51" w:line="219" w:lineRule="auto"/>
              <w:jc w:val="center"/>
              <w:rPr>
                <w:rFonts w:ascii="宋体" w:hAnsi="宋体" w:eastAsia="宋体" w:cs="宋体"/>
                <w:color w:val="auto"/>
                <w:spacing w:val="-2"/>
                <w:highlight w:val="none"/>
              </w:rPr>
            </w:pPr>
          </w:p>
        </w:tc>
        <w:tc>
          <w:tcPr>
            <w:tcW w:w="1377" w:type="dxa"/>
            <w:vAlign w:val="center"/>
          </w:tcPr>
          <w:p w14:paraId="0FBE56F8">
            <w:pPr>
              <w:pStyle w:val="98"/>
              <w:spacing w:before="51" w:line="219" w:lineRule="auto"/>
              <w:jc w:val="center"/>
              <w:rPr>
                <w:rFonts w:ascii="宋体" w:hAnsi="宋体" w:eastAsia="宋体" w:cs="宋体"/>
                <w:color w:val="auto"/>
                <w:spacing w:val="-2"/>
                <w:highlight w:val="none"/>
              </w:rPr>
            </w:pPr>
          </w:p>
        </w:tc>
        <w:tc>
          <w:tcPr>
            <w:tcW w:w="744" w:type="dxa"/>
            <w:vAlign w:val="center"/>
          </w:tcPr>
          <w:p w14:paraId="39855030">
            <w:pPr>
              <w:pStyle w:val="98"/>
              <w:spacing w:before="51" w:line="219" w:lineRule="auto"/>
              <w:jc w:val="center"/>
              <w:rPr>
                <w:rFonts w:ascii="宋体" w:hAnsi="宋体" w:eastAsia="宋体" w:cs="宋体"/>
                <w:color w:val="auto"/>
                <w:spacing w:val="-2"/>
                <w:highlight w:val="none"/>
              </w:rPr>
            </w:pPr>
          </w:p>
        </w:tc>
        <w:tc>
          <w:tcPr>
            <w:tcW w:w="852" w:type="dxa"/>
            <w:vAlign w:val="center"/>
          </w:tcPr>
          <w:p w14:paraId="2F2B1BF8">
            <w:pPr>
              <w:pStyle w:val="98"/>
              <w:spacing w:before="51" w:line="219" w:lineRule="auto"/>
              <w:jc w:val="center"/>
              <w:rPr>
                <w:rFonts w:ascii="宋体" w:hAnsi="宋体" w:eastAsia="宋体" w:cs="宋体"/>
                <w:color w:val="auto"/>
                <w:spacing w:val="-2"/>
                <w:highlight w:val="none"/>
              </w:rPr>
            </w:pPr>
          </w:p>
        </w:tc>
        <w:tc>
          <w:tcPr>
            <w:tcW w:w="840" w:type="dxa"/>
            <w:vAlign w:val="center"/>
          </w:tcPr>
          <w:p w14:paraId="452DC035">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93D0D8E">
            <w:pPr>
              <w:pStyle w:val="98"/>
              <w:spacing w:before="51" w:line="219" w:lineRule="auto"/>
              <w:jc w:val="center"/>
              <w:rPr>
                <w:rFonts w:ascii="宋体" w:hAnsi="宋体" w:eastAsia="宋体" w:cs="宋体"/>
                <w:color w:val="auto"/>
                <w:spacing w:val="-2"/>
                <w:highlight w:val="none"/>
              </w:rPr>
            </w:pPr>
          </w:p>
        </w:tc>
        <w:tc>
          <w:tcPr>
            <w:tcW w:w="933" w:type="dxa"/>
            <w:vAlign w:val="center"/>
          </w:tcPr>
          <w:p w14:paraId="5D53AB6B">
            <w:pPr>
              <w:pStyle w:val="98"/>
              <w:spacing w:before="51" w:line="219" w:lineRule="auto"/>
              <w:jc w:val="center"/>
              <w:rPr>
                <w:rFonts w:ascii="宋体" w:hAnsi="宋体" w:eastAsia="宋体" w:cs="宋体"/>
                <w:color w:val="auto"/>
                <w:spacing w:val="-2"/>
                <w:highlight w:val="none"/>
              </w:rPr>
            </w:pPr>
          </w:p>
        </w:tc>
        <w:tc>
          <w:tcPr>
            <w:tcW w:w="926" w:type="dxa"/>
            <w:vAlign w:val="center"/>
          </w:tcPr>
          <w:p w14:paraId="3A02853C">
            <w:pPr>
              <w:pStyle w:val="98"/>
              <w:spacing w:before="51" w:line="219" w:lineRule="auto"/>
              <w:jc w:val="center"/>
              <w:rPr>
                <w:rFonts w:ascii="宋体" w:hAnsi="宋体" w:eastAsia="宋体" w:cs="宋体"/>
                <w:color w:val="auto"/>
                <w:spacing w:val="-2"/>
                <w:highlight w:val="none"/>
              </w:rPr>
            </w:pPr>
          </w:p>
        </w:tc>
      </w:tr>
      <w:tr w14:paraId="342CC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7E4A9CB0">
            <w:pPr>
              <w:pStyle w:val="98"/>
              <w:spacing w:before="51" w:line="219" w:lineRule="auto"/>
              <w:jc w:val="center"/>
              <w:rPr>
                <w:rFonts w:ascii="宋体" w:hAnsi="宋体" w:eastAsia="宋体" w:cs="宋体"/>
                <w:color w:val="auto"/>
                <w:spacing w:val="-2"/>
                <w:highlight w:val="none"/>
              </w:rPr>
            </w:pPr>
          </w:p>
        </w:tc>
        <w:tc>
          <w:tcPr>
            <w:tcW w:w="1845" w:type="dxa"/>
            <w:vAlign w:val="center"/>
          </w:tcPr>
          <w:p w14:paraId="2CAD43AF">
            <w:pPr>
              <w:pStyle w:val="98"/>
              <w:spacing w:before="51" w:line="219" w:lineRule="auto"/>
              <w:jc w:val="center"/>
              <w:rPr>
                <w:rFonts w:ascii="宋体" w:hAnsi="宋体" w:eastAsia="宋体" w:cs="宋体"/>
                <w:color w:val="auto"/>
                <w:spacing w:val="-2"/>
                <w:highlight w:val="none"/>
              </w:rPr>
            </w:pPr>
          </w:p>
        </w:tc>
        <w:tc>
          <w:tcPr>
            <w:tcW w:w="1377" w:type="dxa"/>
            <w:vAlign w:val="center"/>
          </w:tcPr>
          <w:p w14:paraId="680CC034">
            <w:pPr>
              <w:pStyle w:val="98"/>
              <w:spacing w:before="51" w:line="219" w:lineRule="auto"/>
              <w:jc w:val="center"/>
              <w:rPr>
                <w:rFonts w:ascii="宋体" w:hAnsi="宋体" w:eastAsia="宋体" w:cs="宋体"/>
                <w:color w:val="auto"/>
                <w:spacing w:val="-2"/>
                <w:highlight w:val="none"/>
              </w:rPr>
            </w:pPr>
          </w:p>
        </w:tc>
        <w:tc>
          <w:tcPr>
            <w:tcW w:w="744" w:type="dxa"/>
            <w:vAlign w:val="center"/>
          </w:tcPr>
          <w:p w14:paraId="671C0784">
            <w:pPr>
              <w:pStyle w:val="98"/>
              <w:spacing w:before="51" w:line="219" w:lineRule="auto"/>
              <w:jc w:val="center"/>
              <w:rPr>
                <w:rFonts w:ascii="宋体" w:hAnsi="宋体" w:eastAsia="宋体" w:cs="宋体"/>
                <w:color w:val="auto"/>
                <w:spacing w:val="-2"/>
                <w:highlight w:val="none"/>
              </w:rPr>
            </w:pPr>
          </w:p>
        </w:tc>
        <w:tc>
          <w:tcPr>
            <w:tcW w:w="852" w:type="dxa"/>
            <w:vAlign w:val="center"/>
          </w:tcPr>
          <w:p w14:paraId="5767D22F">
            <w:pPr>
              <w:pStyle w:val="98"/>
              <w:spacing w:before="51" w:line="219" w:lineRule="auto"/>
              <w:jc w:val="center"/>
              <w:rPr>
                <w:rFonts w:ascii="宋体" w:hAnsi="宋体" w:eastAsia="宋体" w:cs="宋体"/>
                <w:color w:val="auto"/>
                <w:spacing w:val="-2"/>
                <w:highlight w:val="none"/>
              </w:rPr>
            </w:pPr>
          </w:p>
        </w:tc>
        <w:tc>
          <w:tcPr>
            <w:tcW w:w="840" w:type="dxa"/>
            <w:vAlign w:val="center"/>
          </w:tcPr>
          <w:p w14:paraId="6EA89127">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0803597">
            <w:pPr>
              <w:pStyle w:val="98"/>
              <w:spacing w:before="51" w:line="219" w:lineRule="auto"/>
              <w:jc w:val="center"/>
              <w:rPr>
                <w:rFonts w:ascii="宋体" w:hAnsi="宋体" w:eastAsia="宋体" w:cs="宋体"/>
                <w:color w:val="auto"/>
                <w:spacing w:val="-2"/>
                <w:highlight w:val="none"/>
              </w:rPr>
            </w:pPr>
          </w:p>
        </w:tc>
        <w:tc>
          <w:tcPr>
            <w:tcW w:w="933" w:type="dxa"/>
            <w:vAlign w:val="center"/>
          </w:tcPr>
          <w:p w14:paraId="1D38486A">
            <w:pPr>
              <w:pStyle w:val="98"/>
              <w:spacing w:before="51" w:line="219" w:lineRule="auto"/>
              <w:jc w:val="center"/>
              <w:rPr>
                <w:rFonts w:ascii="宋体" w:hAnsi="宋体" w:eastAsia="宋体" w:cs="宋体"/>
                <w:color w:val="auto"/>
                <w:spacing w:val="-2"/>
                <w:highlight w:val="none"/>
              </w:rPr>
            </w:pPr>
          </w:p>
        </w:tc>
        <w:tc>
          <w:tcPr>
            <w:tcW w:w="926" w:type="dxa"/>
            <w:vAlign w:val="center"/>
          </w:tcPr>
          <w:p w14:paraId="69D46279">
            <w:pPr>
              <w:pStyle w:val="98"/>
              <w:spacing w:before="51" w:line="219" w:lineRule="auto"/>
              <w:jc w:val="center"/>
              <w:rPr>
                <w:rFonts w:ascii="宋体" w:hAnsi="宋体" w:eastAsia="宋体" w:cs="宋体"/>
                <w:color w:val="auto"/>
                <w:spacing w:val="-2"/>
                <w:highlight w:val="none"/>
              </w:rPr>
            </w:pPr>
          </w:p>
        </w:tc>
      </w:tr>
      <w:tr w14:paraId="18291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27D154A2">
            <w:pPr>
              <w:pStyle w:val="98"/>
              <w:spacing w:before="51" w:line="219" w:lineRule="auto"/>
              <w:jc w:val="center"/>
              <w:rPr>
                <w:rFonts w:ascii="宋体" w:hAnsi="宋体" w:eastAsia="宋体" w:cs="宋体"/>
                <w:color w:val="auto"/>
                <w:spacing w:val="-2"/>
                <w:highlight w:val="none"/>
              </w:rPr>
            </w:pPr>
          </w:p>
        </w:tc>
        <w:tc>
          <w:tcPr>
            <w:tcW w:w="1845" w:type="dxa"/>
            <w:vAlign w:val="center"/>
          </w:tcPr>
          <w:p w14:paraId="78E66CA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45165E27">
            <w:pPr>
              <w:pStyle w:val="98"/>
              <w:spacing w:before="51" w:line="219" w:lineRule="auto"/>
              <w:jc w:val="center"/>
              <w:rPr>
                <w:rFonts w:ascii="宋体" w:hAnsi="宋体" w:eastAsia="宋体" w:cs="宋体"/>
                <w:color w:val="auto"/>
                <w:spacing w:val="-2"/>
                <w:highlight w:val="none"/>
              </w:rPr>
            </w:pPr>
          </w:p>
        </w:tc>
        <w:tc>
          <w:tcPr>
            <w:tcW w:w="744" w:type="dxa"/>
            <w:vAlign w:val="center"/>
          </w:tcPr>
          <w:p w14:paraId="19568D7A">
            <w:pPr>
              <w:pStyle w:val="98"/>
              <w:spacing w:before="51" w:line="219" w:lineRule="auto"/>
              <w:jc w:val="center"/>
              <w:rPr>
                <w:rFonts w:ascii="宋体" w:hAnsi="宋体" w:eastAsia="宋体" w:cs="宋体"/>
                <w:color w:val="auto"/>
                <w:spacing w:val="-2"/>
                <w:highlight w:val="none"/>
              </w:rPr>
            </w:pPr>
          </w:p>
        </w:tc>
        <w:tc>
          <w:tcPr>
            <w:tcW w:w="852" w:type="dxa"/>
            <w:vAlign w:val="center"/>
          </w:tcPr>
          <w:p w14:paraId="7AE9AEBB">
            <w:pPr>
              <w:pStyle w:val="98"/>
              <w:spacing w:before="51" w:line="219" w:lineRule="auto"/>
              <w:jc w:val="center"/>
              <w:rPr>
                <w:rFonts w:ascii="宋体" w:hAnsi="宋体" w:eastAsia="宋体" w:cs="宋体"/>
                <w:color w:val="auto"/>
                <w:spacing w:val="-2"/>
                <w:highlight w:val="none"/>
              </w:rPr>
            </w:pPr>
          </w:p>
        </w:tc>
        <w:tc>
          <w:tcPr>
            <w:tcW w:w="840" w:type="dxa"/>
            <w:vAlign w:val="center"/>
          </w:tcPr>
          <w:p w14:paraId="3AAA13A7">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D1DB71D">
            <w:pPr>
              <w:pStyle w:val="98"/>
              <w:spacing w:before="51" w:line="219" w:lineRule="auto"/>
              <w:jc w:val="center"/>
              <w:rPr>
                <w:rFonts w:ascii="宋体" w:hAnsi="宋体" w:eastAsia="宋体" w:cs="宋体"/>
                <w:color w:val="auto"/>
                <w:spacing w:val="-2"/>
                <w:highlight w:val="none"/>
              </w:rPr>
            </w:pPr>
          </w:p>
        </w:tc>
        <w:tc>
          <w:tcPr>
            <w:tcW w:w="933" w:type="dxa"/>
            <w:vAlign w:val="center"/>
          </w:tcPr>
          <w:p w14:paraId="41B52694">
            <w:pPr>
              <w:pStyle w:val="98"/>
              <w:spacing w:before="51" w:line="219" w:lineRule="auto"/>
              <w:jc w:val="center"/>
              <w:rPr>
                <w:rFonts w:ascii="宋体" w:hAnsi="宋体" w:eastAsia="宋体" w:cs="宋体"/>
                <w:color w:val="auto"/>
                <w:spacing w:val="-2"/>
                <w:highlight w:val="none"/>
              </w:rPr>
            </w:pPr>
          </w:p>
        </w:tc>
        <w:tc>
          <w:tcPr>
            <w:tcW w:w="926" w:type="dxa"/>
            <w:vAlign w:val="center"/>
          </w:tcPr>
          <w:p w14:paraId="105D70B7">
            <w:pPr>
              <w:pStyle w:val="98"/>
              <w:spacing w:before="51" w:line="219" w:lineRule="auto"/>
              <w:jc w:val="center"/>
              <w:rPr>
                <w:rFonts w:ascii="宋体" w:hAnsi="宋体" w:eastAsia="宋体" w:cs="宋体"/>
                <w:color w:val="auto"/>
                <w:spacing w:val="-2"/>
                <w:highlight w:val="none"/>
              </w:rPr>
            </w:pPr>
          </w:p>
        </w:tc>
      </w:tr>
      <w:tr w14:paraId="706A3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371224B4">
            <w:pPr>
              <w:pStyle w:val="98"/>
              <w:spacing w:before="51" w:line="219" w:lineRule="auto"/>
              <w:jc w:val="center"/>
              <w:rPr>
                <w:rFonts w:ascii="宋体" w:hAnsi="宋体" w:eastAsia="宋体" w:cs="宋体"/>
                <w:color w:val="auto"/>
                <w:spacing w:val="-2"/>
                <w:highlight w:val="none"/>
              </w:rPr>
            </w:pPr>
          </w:p>
        </w:tc>
        <w:tc>
          <w:tcPr>
            <w:tcW w:w="1845" w:type="dxa"/>
            <w:vAlign w:val="center"/>
          </w:tcPr>
          <w:p w14:paraId="1112F02E">
            <w:pPr>
              <w:pStyle w:val="98"/>
              <w:spacing w:before="51" w:line="219" w:lineRule="auto"/>
              <w:jc w:val="center"/>
              <w:rPr>
                <w:rFonts w:ascii="宋体" w:hAnsi="宋体" w:eastAsia="宋体" w:cs="宋体"/>
                <w:color w:val="auto"/>
                <w:spacing w:val="-2"/>
                <w:highlight w:val="none"/>
              </w:rPr>
            </w:pPr>
          </w:p>
        </w:tc>
        <w:tc>
          <w:tcPr>
            <w:tcW w:w="1377" w:type="dxa"/>
            <w:vAlign w:val="center"/>
          </w:tcPr>
          <w:p w14:paraId="6D19C78A">
            <w:pPr>
              <w:pStyle w:val="98"/>
              <w:spacing w:before="51" w:line="219" w:lineRule="auto"/>
              <w:jc w:val="center"/>
              <w:rPr>
                <w:rFonts w:ascii="宋体" w:hAnsi="宋体" w:eastAsia="宋体" w:cs="宋体"/>
                <w:color w:val="auto"/>
                <w:spacing w:val="-2"/>
                <w:highlight w:val="none"/>
              </w:rPr>
            </w:pPr>
          </w:p>
        </w:tc>
        <w:tc>
          <w:tcPr>
            <w:tcW w:w="744" w:type="dxa"/>
            <w:vAlign w:val="center"/>
          </w:tcPr>
          <w:p w14:paraId="3B2F7141">
            <w:pPr>
              <w:pStyle w:val="98"/>
              <w:spacing w:before="51" w:line="219" w:lineRule="auto"/>
              <w:jc w:val="center"/>
              <w:rPr>
                <w:rFonts w:ascii="宋体" w:hAnsi="宋体" w:eastAsia="宋体" w:cs="宋体"/>
                <w:color w:val="auto"/>
                <w:spacing w:val="-2"/>
                <w:highlight w:val="none"/>
              </w:rPr>
            </w:pPr>
          </w:p>
        </w:tc>
        <w:tc>
          <w:tcPr>
            <w:tcW w:w="852" w:type="dxa"/>
            <w:vAlign w:val="center"/>
          </w:tcPr>
          <w:p w14:paraId="6E184BCC">
            <w:pPr>
              <w:pStyle w:val="98"/>
              <w:spacing w:before="51" w:line="219" w:lineRule="auto"/>
              <w:jc w:val="center"/>
              <w:rPr>
                <w:rFonts w:ascii="宋体" w:hAnsi="宋体" w:eastAsia="宋体" w:cs="宋体"/>
                <w:color w:val="auto"/>
                <w:spacing w:val="-2"/>
                <w:highlight w:val="none"/>
              </w:rPr>
            </w:pPr>
          </w:p>
        </w:tc>
        <w:tc>
          <w:tcPr>
            <w:tcW w:w="840" w:type="dxa"/>
            <w:vAlign w:val="center"/>
          </w:tcPr>
          <w:p w14:paraId="3481CCFF">
            <w:pPr>
              <w:pStyle w:val="98"/>
              <w:spacing w:before="51" w:line="219" w:lineRule="auto"/>
              <w:jc w:val="center"/>
              <w:rPr>
                <w:rFonts w:ascii="宋体" w:hAnsi="宋体" w:eastAsia="宋体" w:cs="宋体"/>
                <w:color w:val="auto"/>
                <w:spacing w:val="-2"/>
                <w:highlight w:val="none"/>
              </w:rPr>
            </w:pPr>
          </w:p>
        </w:tc>
        <w:tc>
          <w:tcPr>
            <w:tcW w:w="1476" w:type="dxa"/>
            <w:vAlign w:val="center"/>
          </w:tcPr>
          <w:p w14:paraId="1D52575E">
            <w:pPr>
              <w:pStyle w:val="98"/>
              <w:spacing w:before="51" w:line="219" w:lineRule="auto"/>
              <w:jc w:val="center"/>
              <w:rPr>
                <w:rFonts w:ascii="宋体" w:hAnsi="宋体" w:eastAsia="宋体" w:cs="宋体"/>
                <w:color w:val="auto"/>
                <w:spacing w:val="-2"/>
                <w:highlight w:val="none"/>
              </w:rPr>
            </w:pPr>
          </w:p>
        </w:tc>
        <w:tc>
          <w:tcPr>
            <w:tcW w:w="933" w:type="dxa"/>
            <w:vAlign w:val="center"/>
          </w:tcPr>
          <w:p w14:paraId="21A2CC01">
            <w:pPr>
              <w:pStyle w:val="98"/>
              <w:spacing w:before="51" w:line="219" w:lineRule="auto"/>
              <w:jc w:val="center"/>
              <w:rPr>
                <w:rFonts w:ascii="宋体" w:hAnsi="宋体" w:eastAsia="宋体" w:cs="宋体"/>
                <w:color w:val="auto"/>
                <w:spacing w:val="-2"/>
                <w:highlight w:val="none"/>
              </w:rPr>
            </w:pPr>
          </w:p>
        </w:tc>
        <w:tc>
          <w:tcPr>
            <w:tcW w:w="926" w:type="dxa"/>
            <w:vAlign w:val="center"/>
          </w:tcPr>
          <w:p w14:paraId="24F3DB62">
            <w:pPr>
              <w:pStyle w:val="98"/>
              <w:spacing w:before="51" w:line="219" w:lineRule="auto"/>
              <w:jc w:val="center"/>
              <w:rPr>
                <w:rFonts w:ascii="宋体" w:hAnsi="宋体" w:eastAsia="宋体" w:cs="宋体"/>
                <w:color w:val="auto"/>
                <w:spacing w:val="-2"/>
                <w:highlight w:val="none"/>
              </w:rPr>
            </w:pPr>
          </w:p>
        </w:tc>
      </w:tr>
      <w:tr w14:paraId="161F3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3EF280F9">
            <w:pPr>
              <w:pStyle w:val="98"/>
              <w:spacing w:before="51" w:line="219" w:lineRule="auto"/>
              <w:jc w:val="center"/>
              <w:rPr>
                <w:rFonts w:ascii="宋体" w:hAnsi="宋体" w:eastAsia="宋体" w:cs="宋体"/>
                <w:color w:val="auto"/>
                <w:spacing w:val="-2"/>
                <w:highlight w:val="none"/>
              </w:rPr>
            </w:pPr>
          </w:p>
        </w:tc>
        <w:tc>
          <w:tcPr>
            <w:tcW w:w="1845" w:type="dxa"/>
            <w:vAlign w:val="center"/>
          </w:tcPr>
          <w:p w14:paraId="6DBD0B62">
            <w:pPr>
              <w:pStyle w:val="98"/>
              <w:spacing w:before="51" w:line="219" w:lineRule="auto"/>
              <w:jc w:val="center"/>
              <w:rPr>
                <w:rFonts w:ascii="宋体" w:hAnsi="宋体" w:eastAsia="宋体" w:cs="宋体"/>
                <w:color w:val="auto"/>
                <w:spacing w:val="-2"/>
                <w:highlight w:val="none"/>
              </w:rPr>
            </w:pPr>
          </w:p>
        </w:tc>
        <w:tc>
          <w:tcPr>
            <w:tcW w:w="1377" w:type="dxa"/>
            <w:vAlign w:val="center"/>
          </w:tcPr>
          <w:p w14:paraId="27488668">
            <w:pPr>
              <w:pStyle w:val="98"/>
              <w:spacing w:before="51" w:line="219" w:lineRule="auto"/>
              <w:jc w:val="center"/>
              <w:rPr>
                <w:rFonts w:ascii="宋体" w:hAnsi="宋体" w:eastAsia="宋体" w:cs="宋体"/>
                <w:color w:val="auto"/>
                <w:spacing w:val="-2"/>
                <w:highlight w:val="none"/>
              </w:rPr>
            </w:pPr>
          </w:p>
        </w:tc>
        <w:tc>
          <w:tcPr>
            <w:tcW w:w="744" w:type="dxa"/>
            <w:vAlign w:val="center"/>
          </w:tcPr>
          <w:p w14:paraId="56898D38">
            <w:pPr>
              <w:pStyle w:val="98"/>
              <w:spacing w:before="51" w:line="219" w:lineRule="auto"/>
              <w:jc w:val="center"/>
              <w:rPr>
                <w:rFonts w:ascii="宋体" w:hAnsi="宋体" w:eastAsia="宋体" w:cs="宋体"/>
                <w:color w:val="auto"/>
                <w:spacing w:val="-2"/>
                <w:highlight w:val="none"/>
              </w:rPr>
            </w:pPr>
          </w:p>
        </w:tc>
        <w:tc>
          <w:tcPr>
            <w:tcW w:w="852" w:type="dxa"/>
            <w:vAlign w:val="center"/>
          </w:tcPr>
          <w:p w14:paraId="5ECC324E">
            <w:pPr>
              <w:pStyle w:val="98"/>
              <w:spacing w:before="51" w:line="219" w:lineRule="auto"/>
              <w:jc w:val="center"/>
              <w:rPr>
                <w:rFonts w:ascii="宋体" w:hAnsi="宋体" w:eastAsia="宋体" w:cs="宋体"/>
                <w:color w:val="auto"/>
                <w:spacing w:val="-2"/>
                <w:highlight w:val="none"/>
              </w:rPr>
            </w:pPr>
          </w:p>
        </w:tc>
        <w:tc>
          <w:tcPr>
            <w:tcW w:w="840" w:type="dxa"/>
            <w:vAlign w:val="center"/>
          </w:tcPr>
          <w:p w14:paraId="72660809">
            <w:pPr>
              <w:pStyle w:val="98"/>
              <w:spacing w:before="51" w:line="219" w:lineRule="auto"/>
              <w:jc w:val="center"/>
              <w:rPr>
                <w:rFonts w:ascii="宋体" w:hAnsi="宋体" w:eastAsia="宋体" w:cs="宋体"/>
                <w:color w:val="auto"/>
                <w:spacing w:val="-2"/>
                <w:highlight w:val="none"/>
              </w:rPr>
            </w:pPr>
          </w:p>
        </w:tc>
        <w:tc>
          <w:tcPr>
            <w:tcW w:w="1476" w:type="dxa"/>
            <w:vAlign w:val="center"/>
          </w:tcPr>
          <w:p w14:paraId="01C5E7D0">
            <w:pPr>
              <w:pStyle w:val="98"/>
              <w:spacing w:before="51" w:line="219" w:lineRule="auto"/>
              <w:jc w:val="center"/>
              <w:rPr>
                <w:rFonts w:ascii="宋体" w:hAnsi="宋体" w:eastAsia="宋体" w:cs="宋体"/>
                <w:color w:val="auto"/>
                <w:spacing w:val="-2"/>
                <w:highlight w:val="none"/>
              </w:rPr>
            </w:pPr>
          </w:p>
        </w:tc>
        <w:tc>
          <w:tcPr>
            <w:tcW w:w="933" w:type="dxa"/>
            <w:vAlign w:val="center"/>
          </w:tcPr>
          <w:p w14:paraId="2490DA38">
            <w:pPr>
              <w:pStyle w:val="98"/>
              <w:spacing w:before="51" w:line="219" w:lineRule="auto"/>
              <w:jc w:val="center"/>
              <w:rPr>
                <w:rFonts w:ascii="宋体" w:hAnsi="宋体" w:eastAsia="宋体" w:cs="宋体"/>
                <w:color w:val="auto"/>
                <w:spacing w:val="-2"/>
                <w:highlight w:val="none"/>
              </w:rPr>
            </w:pPr>
          </w:p>
        </w:tc>
        <w:tc>
          <w:tcPr>
            <w:tcW w:w="926" w:type="dxa"/>
            <w:vAlign w:val="center"/>
          </w:tcPr>
          <w:p w14:paraId="7D441FC1">
            <w:pPr>
              <w:pStyle w:val="98"/>
              <w:spacing w:before="51" w:line="219" w:lineRule="auto"/>
              <w:jc w:val="center"/>
              <w:rPr>
                <w:rFonts w:ascii="宋体" w:hAnsi="宋体" w:eastAsia="宋体" w:cs="宋体"/>
                <w:color w:val="auto"/>
                <w:spacing w:val="-2"/>
                <w:highlight w:val="none"/>
              </w:rPr>
            </w:pPr>
          </w:p>
        </w:tc>
      </w:tr>
      <w:tr w14:paraId="4E8824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20B3229E">
            <w:pPr>
              <w:pStyle w:val="98"/>
              <w:spacing w:before="51" w:line="219" w:lineRule="auto"/>
              <w:jc w:val="center"/>
              <w:rPr>
                <w:rFonts w:ascii="宋体" w:hAnsi="宋体" w:eastAsia="宋体" w:cs="宋体"/>
                <w:color w:val="auto"/>
                <w:spacing w:val="-2"/>
                <w:highlight w:val="none"/>
              </w:rPr>
            </w:pPr>
          </w:p>
        </w:tc>
        <w:tc>
          <w:tcPr>
            <w:tcW w:w="1845" w:type="dxa"/>
            <w:vAlign w:val="center"/>
          </w:tcPr>
          <w:p w14:paraId="50E238F7">
            <w:pPr>
              <w:pStyle w:val="98"/>
              <w:spacing w:before="51" w:line="219" w:lineRule="auto"/>
              <w:jc w:val="center"/>
              <w:rPr>
                <w:rFonts w:ascii="宋体" w:hAnsi="宋体" w:eastAsia="宋体" w:cs="宋体"/>
                <w:color w:val="auto"/>
                <w:spacing w:val="-2"/>
                <w:highlight w:val="none"/>
              </w:rPr>
            </w:pPr>
          </w:p>
        </w:tc>
        <w:tc>
          <w:tcPr>
            <w:tcW w:w="1377" w:type="dxa"/>
            <w:vAlign w:val="center"/>
          </w:tcPr>
          <w:p w14:paraId="3B4D2146">
            <w:pPr>
              <w:pStyle w:val="98"/>
              <w:spacing w:before="51" w:line="219" w:lineRule="auto"/>
              <w:jc w:val="center"/>
              <w:rPr>
                <w:rFonts w:ascii="宋体" w:hAnsi="宋体" w:eastAsia="宋体" w:cs="宋体"/>
                <w:color w:val="auto"/>
                <w:spacing w:val="-2"/>
                <w:highlight w:val="none"/>
              </w:rPr>
            </w:pPr>
          </w:p>
        </w:tc>
        <w:tc>
          <w:tcPr>
            <w:tcW w:w="744" w:type="dxa"/>
            <w:vAlign w:val="center"/>
          </w:tcPr>
          <w:p w14:paraId="593C1601">
            <w:pPr>
              <w:pStyle w:val="98"/>
              <w:spacing w:before="51" w:line="219" w:lineRule="auto"/>
              <w:jc w:val="center"/>
              <w:rPr>
                <w:rFonts w:ascii="宋体" w:hAnsi="宋体" w:eastAsia="宋体" w:cs="宋体"/>
                <w:color w:val="auto"/>
                <w:spacing w:val="-2"/>
                <w:highlight w:val="none"/>
              </w:rPr>
            </w:pPr>
          </w:p>
        </w:tc>
        <w:tc>
          <w:tcPr>
            <w:tcW w:w="852" w:type="dxa"/>
            <w:vAlign w:val="center"/>
          </w:tcPr>
          <w:p w14:paraId="2BCCA0AE">
            <w:pPr>
              <w:pStyle w:val="98"/>
              <w:spacing w:before="51" w:line="219" w:lineRule="auto"/>
              <w:jc w:val="center"/>
              <w:rPr>
                <w:rFonts w:ascii="宋体" w:hAnsi="宋体" w:eastAsia="宋体" w:cs="宋体"/>
                <w:color w:val="auto"/>
                <w:spacing w:val="-2"/>
                <w:highlight w:val="none"/>
              </w:rPr>
            </w:pPr>
          </w:p>
        </w:tc>
        <w:tc>
          <w:tcPr>
            <w:tcW w:w="840" w:type="dxa"/>
            <w:vAlign w:val="center"/>
          </w:tcPr>
          <w:p w14:paraId="24D67CC2">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E2C2E79">
            <w:pPr>
              <w:pStyle w:val="98"/>
              <w:spacing w:before="51" w:line="219" w:lineRule="auto"/>
              <w:jc w:val="center"/>
              <w:rPr>
                <w:rFonts w:ascii="宋体" w:hAnsi="宋体" w:eastAsia="宋体" w:cs="宋体"/>
                <w:color w:val="auto"/>
                <w:spacing w:val="-2"/>
                <w:highlight w:val="none"/>
              </w:rPr>
            </w:pPr>
          </w:p>
        </w:tc>
        <w:tc>
          <w:tcPr>
            <w:tcW w:w="933" w:type="dxa"/>
            <w:vAlign w:val="center"/>
          </w:tcPr>
          <w:p w14:paraId="2FC2949F">
            <w:pPr>
              <w:pStyle w:val="98"/>
              <w:spacing w:before="51" w:line="219" w:lineRule="auto"/>
              <w:jc w:val="center"/>
              <w:rPr>
                <w:rFonts w:ascii="宋体" w:hAnsi="宋体" w:eastAsia="宋体" w:cs="宋体"/>
                <w:color w:val="auto"/>
                <w:spacing w:val="-2"/>
                <w:highlight w:val="none"/>
              </w:rPr>
            </w:pPr>
          </w:p>
        </w:tc>
        <w:tc>
          <w:tcPr>
            <w:tcW w:w="926" w:type="dxa"/>
            <w:vAlign w:val="center"/>
          </w:tcPr>
          <w:p w14:paraId="4B9036B3">
            <w:pPr>
              <w:pStyle w:val="98"/>
              <w:spacing w:before="51" w:line="219" w:lineRule="auto"/>
              <w:jc w:val="center"/>
              <w:rPr>
                <w:rFonts w:ascii="宋体" w:hAnsi="宋体" w:eastAsia="宋体" w:cs="宋体"/>
                <w:color w:val="auto"/>
                <w:spacing w:val="-2"/>
                <w:highlight w:val="none"/>
              </w:rPr>
            </w:pPr>
          </w:p>
        </w:tc>
      </w:tr>
      <w:tr w14:paraId="7C990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jc w:val="center"/>
        </w:trPr>
        <w:tc>
          <w:tcPr>
            <w:tcW w:w="824" w:type="dxa"/>
            <w:vAlign w:val="center"/>
          </w:tcPr>
          <w:p w14:paraId="60207EEB">
            <w:pPr>
              <w:pStyle w:val="98"/>
              <w:spacing w:before="51" w:line="219" w:lineRule="auto"/>
              <w:jc w:val="center"/>
              <w:rPr>
                <w:rFonts w:ascii="宋体" w:hAnsi="宋体" w:eastAsia="宋体" w:cs="宋体"/>
                <w:color w:val="auto"/>
                <w:spacing w:val="-2"/>
                <w:highlight w:val="none"/>
              </w:rPr>
            </w:pPr>
          </w:p>
        </w:tc>
        <w:tc>
          <w:tcPr>
            <w:tcW w:w="1845" w:type="dxa"/>
            <w:vAlign w:val="center"/>
          </w:tcPr>
          <w:p w14:paraId="4D1DDE4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2EF5153">
            <w:pPr>
              <w:pStyle w:val="98"/>
              <w:spacing w:before="51" w:line="219" w:lineRule="auto"/>
              <w:jc w:val="center"/>
              <w:rPr>
                <w:rFonts w:ascii="宋体" w:hAnsi="宋体" w:eastAsia="宋体" w:cs="宋体"/>
                <w:color w:val="auto"/>
                <w:spacing w:val="-2"/>
                <w:highlight w:val="none"/>
              </w:rPr>
            </w:pPr>
          </w:p>
        </w:tc>
        <w:tc>
          <w:tcPr>
            <w:tcW w:w="744" w:type="dxa"/>
            <w:vAlign w:val="center"/>
          </w:tcPr>
          <w:p w14:paraId="0F828F4E">
            <w:pPr>
              <w:pStyle w:val="98"/>
              <w:spacing w:before="51" w:line="219" w:lineRule="auto"/>
              <w:jc w:val="center"/>
              <w:rPr>
                <w:rFonts w:ascii="宋体" w:hAnsi="宋体" w:eastAsia="宋体" w:cs="宋体"/>
                <w:color w:val="auto"/>
                <w:spacing w:val="-2"/>
                <w:highlight w:val="none"/>
              </w:rPr>
            </w:pPr>
          </w:p>
        </w:tc>
        <w:tc>
          <w:tcPr>
            <w:tcW w:w="852" w:type="dxa"/>
            <w:vAlign w:val="center"/>
          </w:tcPr>
          <w:p w14:paraId="15ABD93C">
            <w:pPr>
              <w:pStyle w:val="98"/>
              <w:spacing w:before="51" w:line="219" w:lineRule="auto"/>
              <w:jc w:val="center"/>
              <w:rPr>
                <w:rFonts w:ascii="宋体" w:hAnsi="宋体" w:eastAsia="宋体" w:cs="宋体"/>
                <w:color w:val="auto"/>
                <w:spacing w:val="-2"/>
                <w:highlight w:val="none"/>
              </w:rPr>
            </w:pPr>
          </w:p>
        </w:tc>
        <w:tc>
          <w:tcPr>
            <w:tcW w:w="840" w:type="dxa"/>
            <w:vAlign w:val="center"/>
          </w:tcPr>
          <w:p w14:paraId="7390EC9E">
            <w:pPr>
              <w:pStyle w:val="98"/>
              <w:spacing w:before="51" w:line="219" w:lineRule="auto"/>
              <w:jc w:val="center"/>
              <w:rPr>
                <w:rFonts w:ascii="宋体" w:hAnsi="宋体" w:eastAsia="宋体" w:cs="宋体"/>
                <w:color w:val="auto"/>
                <w:spacing w:val="-2"/>
                <w:highlight w:val="none"/>
              </w:rPr>
            </w:pPr>
          </w:p>
        </w:tc>
        <w:tc>
          <w:tcPr>
            <w:tcW w:w="1476" w:type="dxa"/>
            <w:vAlign w:val="center"/>
          </w:tcPr>
          <w:p w14:paraId="1DBFD227">
            <w:pPr>
              <w:pStyle w:val="98"/>
              <w:spacing w:before="51" w:line="219" w:lineRule="auto"/>
              <w:jc w:val="center"/>
              <w:rPr>
                <w:rFonts w:ascii="宋体" w:hAnsi="宋体" w:eastAsia="宋体" w:cs="宋体"/>
                <w:color w:val="auto"/>
                <w:spacing w:val="-2"/>
                <w:highlight w:val="none"/>
              </w:rPr>
            </w:pPr>
          </w:p>
        </w:tc>
        <w:tc>
          <w:tcPr>
            <w:tcW w:w="933" w:type="dxa"/>
            <w:vAlign w:val="center"/>
          </w:tcPr>
          <w:p w14:paraId="4CD705E4">
            <w:pPr>
              <w:pStyle w:val="98"/>
              <w:spacing w:before="51" w:line="219" w:lineRule="auto"/>
              <w:jc w:val="center"/>
              <w:rPr>
                <w:rFonts w:ascii="宋体" w:hAnsi="宋体" w:eastAsia="宋体" w:cs="宋体"/>
                <w:color w:val="auto"/>
                <w:spacing w:val="-2"/>
                <w:highlight w:val="none"/>
              </w:rPr>
            </w:pPr>
          </w:p>
        </w:tc>
        <w:tc>
          <w:tcPr>
            <w:tcW w:w="926" w:type="dxa"/>
            <w:vAlign w:val="center"/>
          </w:tcPr>
          <w:p w14:paraId="3CB161A3">
            <w:pPr>
              <w:pStyle w:val="98"/>
              <w:spacing w:before="51" w:line="219" w:lineRule="auto"/>
              <w:jc w:val="center"/>
              <w:rPr>
                <w:rFonts w:ascii="宋体" w:hAnsi="宋体" w:eastAsia="宋体" w:cs="宋体"/>
                <w:color w:val="auto"/>
                <w:spacing w:val="-2"/>
                <w:highlight w:val="none"/>
              </w:rPr>
            </w:pPr>
          </w:p>
        </w:tc>
      </w:tr>
      <w:tr w14:paraId="2FDEA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6AEA4B77">
            <w:pPr>
              <w:pStyle w:val="98"/>
              <w:spacing w:before="51" w:line="219" w:lineRule="auto"/>
              <w:jc w:val="center"/>
              <w:rPr>
                <w:rFonts w:ascii="宋体" w:hAnsi="宋体" w:eastAsia="宋体" w:cs="宋体"/>
                <w:color w:val="auto"/>
                <w:spacing w:val="-2"/>
                <w:highlight w:val="none"/>
              </w:rPr>
            </w:pPr>
          </w:p>
        </w:tc>
        <w:tc>
          <w:tcPr>
            <w:tcW w:w="1845" w:type="dxa"/>
            <w:vAlign w:val="center"/>
          </w:tcPr>
          <w:p w14:paraId="7BC3993C">
            <w:pPr>
              <w:pStyle w:val="98"/>
              <w:spacing w:before="51" w:line="219" w:lineRule="auto"/>
              <w:jc w:val="center"/>
              <w:rPr>
                <w:rFonts w:ascii="宋体" w:hAnsi="宋体" w:eastAsia="宋体" w:cs="宋体"/>
                <w:color w:val="auto"/>
                <w:spacing w:val="-2"/>
                <w:highlight w:val="none"/>
              </w:rPr>
            </w:pPr>
          </w:p>
        </w:tc>
        <w:tc>
          <w:tcPr>
            <w:tcW w:w="1377" w:type="dxa"/>
            <w:vAlign w:val="center"/>
          </w:tcPr>
          <w:p w14:paraId="74F69B78">
            <w:pPr>
              <w:pStyle w:val="98"/>
              <w:spacing w:before="51" w:line="219" w:lineRule="auto"/>
              <w:jc w:val="center"/>
              <w:rPr>
                <w:rFonts w:ascii="宋体" w:hAnsi="宋体" w:eastAsia="宋体" w:cs="宋体"/>
                <w:color w:val="auto"/>
                <w:spacing w:val="-2"/>
                <w:highlight w:val="none"/>
              </w:rPr>
            </w:pPr>
          </w:p>
        </w:tc>
        <w:tc>
          <w:tcPr>
            <w:tcW w:w="744" w:type="dxa"/>
            <w:vAlign w:val="center"/>
          </w:tcPr>
          <w:p w14:paraId="1140A743">
            <w:pPr>
              <w:pStyle w:val="98"/>
              <w:spacing w:before="51" w:line="219" w:lineRule="auto"/>
              <w:jc w:val="center"/>
              <w:rPr>
                <w:rFonts w:ascii="宋体" w:hAnsi="宋体" w:eastAsia="宋体" w:cs="宋体"/>
                <w:color w:val="auto"/>
                <w:spacing w:val="-2"/>
                <w:highlight w:val="none"/>
              </w:rPr>
            </w:pPr>
          </w:p>
        </w:tc>
        <w:tc>
          <w:tcPr>
            <w:tcW w:w="852" w:type="dxa"/>
            <w:vAlign w:val="center"/>
          </w:tcPr>
          <w:p w14:paraId="6F39D3C2">
            <w:pPr>
              <w:pStyle w:val="98"/>
              <w:spacing w:before="51" w:line="219" w:lineRule="auto"/>
              <w:jc w:val="center"/>
              <w:rPr>
                <w:rFonts w:ascii="宋体" w:hAnsi="宋体" w:eastAsia="宋体" w:cs="宋体"/>
                <w:color w:val="auto"/>
                <w:spacing w:val="-2"/>
                <w:highlight w:val="none"/>
              </w:rPr>
            </w:pPr>
          </w:p>
        </w:tc>
        <w:tc>
          <w:tcPr>
            <w:tcW w:w="840" w:type="dxa"/>
            <w:vAlign w:val="center"/>
          </w:tcPr>
          <w:p w14:paraId="72E5E6A0">
            <w:pPr>
              <w:pStyle w:val="98"/>
              <w:spacing w:before="51" w:line="219" w:lineRule="auto"/>
              <w:jc w:val="center"/>
              <w:rPr>
                <w:rFonts w:ascii="宋体" w:hAnsi="宋体" w:eastAsia="宋体" w:cs="宋体"/>
                <w:color w:val="auto"/>
                <w:spacing w:val="-2"/>
                <w:highlight w:val="none"/>
              </w:rPr>
            </w:pPr>
          </w:p>
        </w:tc>
        <w:tc>
          <w:tcPr>
            <w:tcW w:w="1476" w:type="dxa"/>
            <w:vAlign w:val="center"/>
          </w:tcPr>
          <w:p w14:paraId="2B053025">
            <w:pPr>
              <w:pStyle w:val="98"/>
              <w:spacing w:before="51" w:line="219" w:lineRule="auto"/>
              <w:jc w:val="center"/>
              <w:rPr>
                <w:rFonts w:ascii="宋体" w:hAnsi="宋体" w:eastAsia="宋体" w:cs="宋体"/>
                <w:color w:val="auto"/>
                <w:spacing w:val="-2"/>
                <w:highlight w:val="none"/>
              </w:rPr>
            </w:pPr>
          </w:p>
        </w:tc>
        <w:tc>
          <w:tcPr>
            <w:tcW w:w="933" w:type="dxa"/>
            <w:vAlign w:val="center"/>
          </w:tcPr>
          <w:p w14:paraId="40E2A38F">
            <w:pPr>
              <w:pStyle w:val="98"/>
              <w:spacing w:before="51" w:line="219" w:lineRule="auto"/>
              <w:jc w:val="center"/>
              <w:rPr>
                <w:rFonts w:ascii="宋体" w:hAnsi="宋体" w:eastAsia="宋体" w:cs="宋体"/>
                <w:color w:val="auto"/>
                <w:spacing w:val="-2"/>
                <w:highlight w:val="none"/>
              </w:rPr>
            </w:pPr>
          </w:p>
        </w:tc>
        <w:tc>
          <w:tcPr>
            <w:tcW w:w="926" w:type="dxa"/>
            <w:vAlign w:val="center"/>
          </w:tcPr>
          <w:p w14:paraId="1202348F">
            <w:pPr>
              <w:pStyle w:val="98"/>
              <w:spacing w:before="51" w:line="219" w:lineRule="auto"/>
              <w:jc w:val="center"/>
              <w:rPr>
                <w:rFonts w:ascii="宋体" w:hAnsi="宋体" w:eastAsia="宋体" w:cs="宋体"/>
                <w:color w:val="auto"/>
                <w:spacing w:val="-2"/>
                <w:highlight w:val="none"/>
              </w:rPr>
            </w:pPr>
          </w:p>
        </w:tc>
      </w:tr>
      <w:tr w14:paraId="68251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4516CE52">
            <w:pPr>
              <w:pStyle w:val="98"/>
              <w:spacing w:before="51" w:line="219" w:lineRule="auto"/>
              <w:jc w:val="center"/>
              <w:rPr>
                <w:rFonts w:ascii="宋体" w:hAnsi="宋体" w:eastAsia="宋体" w:cs="宋体"/>
                <w:color w:val="auto"/>
                <w:spacing w:val="-2"/>
                <w:highlight w:val="none"/>
              </w:rPr>
            </w:pPr>
          </w:p>
        </w:tc>
        <w:tc>
          <w:tcPr>
            <w:tcW w:w="1845" w:type="dxa"/>
            <w:vAlign w:val="center"/>
          </w:tcPr>
          <w:p w14:paraId="75176716">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816D46D">
            <w:pPr>
              <w:pStyle w:val="98"/>
              <w:spacing w:before="51" w:line="219" w:lineRule="auto"/>
              <w:jc w:val="center"/>
              <w:rPr>
                <w:rFonts w:ascii="宋体" w:hAnsi="宋体" w:eastAsia="宋体" w:cs="宋体"/>
                <w:color w:val="auto"/>
                <w:spacing w:val="-2"/>
                <w:highlight w:val="none"/>
              </w:rPr>
            </w:pPr>
          </w:p>
        </w:tc>
        <w:tc>
          <w:tcPr>
            <w:tcW w:w="744" w:type="dxa"/>
            <w:vAlign w:val="center"/>
          </w:tcPr>
          <w:p w14:paraId="5A9A2D29">
            <w:pPr>
              <w:pStyle w:val="98"/>
              <w:spacing w:before="51" w:line="219" w:lineRule="auto"/>
              <w:jc w:val="center"/>
              <w:rPr>
                <w:rFonts w:ascii="宋体" w:hAnsi="宋体" w:eastAsia="宋体" w:cs="宋体"/>
                <w:color w:val="auto"/>
                <w:spacing w:val="-2"/>
                <w:highlight w:val="none"/>
              </w:rPr>
            </w:pPr>
          </w:p>
        </w:tc>
        <w:tc>
          <w:tcPr>
            <w:tcW w:w="852" w:type="dxa"/>
            <w:vAlign w:val="center"/>
          </w:tcPr>
          <w:p w14:paraId="6DC5277C">
            <w:pPr>
              <w:pStyle w:val="98"/>
              <w:spacing w:before="51" w:line="219" w:lineRule="auto"/>
              <w:jc w:val="center"/>
              <w:rPr>
                <w:rFonts w:ascii="宋体" w:hAnsi="宋体" w:eastAsia="宋体" w:cs="宋体"/>
                <w:color w:val="auto"/>
                <w:spacing w:val="-2"/>
                <w:highlight w:val="none"/>
              </w:rPr>
            </w:pPr>
          </w:p>
        </w:tc>
        <w:tc>
          <w:tcPr>
            <w:tcW w:w="840" w:type="dxa"/>
            <w:vAlign w:val="center"/>
          </w:tcPr>
          <w:p w14:paraId="6310E904">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E9FA38B">
            <w:pPr>
              <w:pStyle w:val="98"/>
              <w:spacing w:before="51" w:line="219" w:lineRule="auto"/>
              <w:jc w:val="center"/>
              <w:rPr>
                <w:rFonts w:ascii="宋体" w:hAnsi="宋体" w:eastAsia="宋体" w:cs="宋体"/>
                <w:color w:val="auto"/>
                <w:spacing w:val="-2"/>
                <w:highlight w:val="none"/>
              </w:rPr>
            </w:pPr>
          </w:p>
        </w:tc>
        <w:tc>
          <w:tcPr>
            <w:tcW w:w="933" w:type="dxa"/>
            <w:vAlign w:val="center"/>
          </w:tcPr>
          <w:p w14:paraId="5E52EC3F">
            <w:pPr>
              <w:pStyle w:val="98"/>
              <w:spacing w:before="51" w:line="219" w:lineRule="auto"/>
              <w:jc w:val="center"/>
              <w:rPr>
                <w:rFonts w:ascii="宋体" w:hAnsi="宋体" w:eastAsia="宋体" w:cs="宋体"/>
                <w:color w:val="auto"/>
                <w:spacing w:val="-2"/>
                <w:highlight w:val="none"/>
              </w:rPr>
            </w:pPr>
          </w:p>
        </w:tc>
        <w:tc>
          <w:tcPr>
            <w:tcW w:w="926" w:type="dxa"/>
            <w:vAlign w:val="center"/>
          </w:tcPr>
          <w:p w14:paraId="09AFE741">
            <w:pPr>
              <w:pStyle w:val="98"/>
              <w:spacing w:before="51" w:line="219" w:lineRule="auto"/>
              <w:jc w:val="center"/>
              <w:rPr>
                <w:rFonts w:ascii="宋体" w:hAnsi="宋体" w:eastAsia="宋体" w:cs="宋体"/>
                <w:color w:val="auto"/>
                <w:spacing w:val="-2"/>
                <w:highlight w:val="none"/>
              </w:rPr>
            </w:pPr>
          </w:p>
        </w:tc>
      </w:tr>
      <w:tr w14:paraId="53FA79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22237A09">
            <w:pPr>
              <w:pStyle w:val="98"/>
              <w:spacing w:before="51" w:line="219" w:lineRule="auto"/>
              <w:jc w:val="center"/>
              <w:rPr>
                <w:rFonts w:ascii="宋体" w:hAnsi="宋体" w:eastAsia="宋体" w:cs="宋体"/>
                <w:color w:val="auto"/>
                <w:spacing w:val="-2"/>
                <w:highlight w:val="none"/>
              </w:rPr>
            </w:pPr>
          </w:p>
        </w:tc>
        <w:tc>
          <w:tcPr>
            <w:tcW w:w="1845" w:type="dxa"/>
            <w:vAlign w:val="center"/>
          </w:tcPr>
          <w:p w14:paraId="088B812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5BB8453D">
            <w:pPr>
              <w:pStyle w:val="98"/>
              <w:spacing w:before="51" w:line="219" w:lineRule="auto"/>
              <w:jc w:val="center"/>
              <w:rPr>
                <w:rFonts w:ascii="宋体" w:hAnsi="宋体" w:eastAsia="宋体" w:cs="宋体"/>
                <w:color w:val="auto"/>
                <w:spacing w:val="-2"/>
                <w:highlight w:val="none"/>
              </w:rPr>
            </w:pPr>
          </w:p>
        </w:tc>
        <w:tc>
          <w:tcPr>
            <w:tcW w:w="744" w:type="dxa"/>
            <w:vAlign w:val="center"/>
          </w:tcPr>
          <w:p w14:paraId="3AB9E85C">
            <w:pPr>
              <w:pStyle w:val="98"/>
              <w:spacing w:before="51" w:line="219" w:lineRule="auto"/>
              <w:jc w:val="center"/>
              <w:rPr>
                <w:rFonts w:ascii="宋体" w:hAnsi="宋体" w:eastAsia="宋体" w:cs="宋体"/>
                <w:color w:val="auto"/>
                <w:spacing w:val="-2"/>
                <w:highlight w:val="none"/>
              </w:rPr>
            </w:pPr>
          </w:p>
        </w:tc>
        <w:tc>
          <w:tcPr>
            <w:tcW w:w="852" w:type="dxa"/>
            <w:vAlign w:val="center"/>
          </w:tcPr>
          <w:p w14:paraId="05FB7673">
            <w:pPr>
              <w:pStyle w:val="98"/>
              <w:spacing w:before="51" w:line="219" w:lineRule="auto"/>
              <w:jc w:val="center"/>
              <w:rPr>
                <w:rFonts w:ascii="宋体" w:hAnsi="宋体" w:eastAsia="宋体" w:cs="宋体"/>
                <w:color w:val="auto"/>
                <w:spacing w:val="-2"/>
                <w:highlight w:val="none"/>
              </w:rPr>
            </w:pPr>
          </w:p>
        </w:tc>
        <w:tc>
          <w:tcPr>
            <w:tcW w:w="840" w:type="dxa"/>
            <w:vAlign w:val="center"/>
          </w:tcPr>
          <w:p w14:paraId="13D2B2F3">
            <w:pPr>
              <w:pStyle w:val="98"/>
              <w:spacing w:before="51" w:line="219" w:lineRule="auto"/>
              <w:jc w:val="center"/>
              <w:rPr>
                <w:rFonts w:ascii="宋体" w:hAnsi="宋体" w:eastAsia="宋体" w:cs="宋体"/>
                <w:color w:val="auto"/>
                <w:spacing w:val="-2"/>
                <w:highlight w:val="none"/>
              </w:rPr>
            </w:pPr>
          </w:p>
        </w:tc>
        <w:tc>
          <w:tcPr>
            <w:tcW w:w="1476" w:type="dxa"/>
            <w:vAlign w:val="center"/>
          </w:tcPr>
          <w:p w14:paraId="6B0285CC">
            <w:pPr>
              <w:pStyle w:val="98"/>
              <w:spacing w:before="51" w:line="219" w:lineRule="auto"/>
              <w:jc w:val="center"/>
              <w:rPr>
                <w:rFonts w:ascii="宋体" w:hAnsi="宋体" w:eastAsia="宋体" w:cs="宋体"/>
                <w:color w:val="auto"/>
                <w:spacing w:val="-2"/>
                <w:highlight w:val="none"/>
              </w:rPr>
            </w:pPr>
          </w:p>
        </w:tc>
        <w:tc>
          <w:tcPr>
            <w:tcW w:w="933" w:type="dxa"/>
            <w:vAlign w:val="center"/>
          </w:tcPr>
          <w:p w14:paraId="2F7A0BB2">
            <w:pPr>
              <w:pStyle w:val="98"/>
              <w:spacing w:before="51" w:line="219" w:lineRule="auto"/>
              <w:jc w:val="center"/>
              <w:rPr>
                <w:rFonts w:ascii="宋体" w:hAnsi="宋体" w:eastAsia="宋体" w:cs="宋体"/>
                <w:color w:val="auto"/>
                <w:spacing w:val="-2"/>
                <w:highlight w:val="none"/>
              </w:rPr>
            </w:pPr>
          </w:p>
        </w:tc>
        <w:tc>
          <w:tcPr>
            <w:tcW w:w="926" w:type="dxa"/>
            <w:vAlign w:val="center"/>
          </w:tcPr>
          <w:p w14:paraId="70DFB711">
            <w:pPr>
              <w:pStyle w:val="98"/>
              <w:spacing w:before="51" w:line="219" w:lineRule="auto"/>
              <w:jc w:val="center"/>
              <w:rPr>
                <w:rFonts w:ascii="宋体" w:hAnsi="宋体" w:eastAsia="宋体" w:cs="宋体"/>
                <w:color w:val="auto"/>
                <w:spacing w:val="-2"/>
                <w:highlight w:val="none"/>
              </w:rPr>
            </w:pPr>
          </w:p>
        </w:tc>
      </w:tr>
      <w:tr w14:paraId="096F7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778990B">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1C9CF5A">
            <w:pPr>
              <w:pStyle w:val="98"/>
              <w:spacing w:before="51" w:line="219" w:lineRule="auto"/>
              <w:jc w:val="center"/>
              <w:rPr>
                <w:rFonts w:ascii="宋体" w:hAnsi="宋体" w:eastAsia="宋体" w:cs="宋体"/>
                <w:color w:val="auto"/>
                <w:spacing w:val="-2"/>
                <w:highlight w:val="none"/>
              </w:rPr>
            </w:pPr>
          </w:p>
        </w:tc>
        <w:tc>
          <w:tcPr>
            <w:tcW w:w="1377" w:type="dxa"/>
            <w:vAlign w:val="center"/>
          </w:tcPr>
          <w:p w14:paraId="6A267666">
            <w:pPr>
              <w:pStyle w:val="98"/>
              <w:spacing w:before="51" w:line="219" w:lineRule="auto"/>
              <w:jc w:val="center"/>
              <w:rPr>
                <w:rFonts w:ascii="宋体" w:hAnsi="宋体" w:eastAsia="宋体" w:cs="宋体"/>
                <w:color w:val="auto"/>
                <w:spacing w:val="-2"/>
                <w:highlight w:val="none"/>
              </w:rPr>
            </w:pPr>
          </w:p>
        </w:tc>
        <w:tc>
          <w:tcPr>
            <w:tcW w:w="744" w:type="dxa"/>
            <w:vAlign w:val="center"/>
          </w:tcPr>
          <w:p w14:paraId="3B37ABBF">
            <w:pPr>
              <w:pStyle w:val="98"/>
              <w:spacing w:before="51" w:line="219" w:lineRule="auto"/>
              <w:jc w:val="center"/>
              <w:rPr>
                <w:rFonts w:ascii="宋体" w:hAnsi="宋体" w:eastAsia="宋体" w:cs="宋体"/>
                <w:color w:val="auto"/>
                <w:spacing w:val="-2"/>
                <w:highlight w:val="none"/>
              </w:rPr>
            </w:pPr>
          </w:p>
        </w:tc>
        <w:tc>
          <w:tcPr>
            <w:tcW w:w="852" w:type="dxa"/>
            <w:vAlign w:val="center"/>
          </w:tcPr>
          <w:p w14:paraId="3005307F">
            <w:pPr>
              <w:pStyle w:val="98"/>
              <w:spacing w:before="51" w:line="219" w:lineRule="auto"/>
              <w:jc w:val="center"/>
              <w:rPr>
                <w:rFonts w:ascii="宋体" w:hAnsi="宋体" w:eastAsia="宋体" w:cs="宋体"/>
                <w:color w:val="auto"/>
                <w:spacing w:val="-2"/>
                <w:highlight w:val="none"/>
              </w:rPr>
            </w:pPr>
          </w:p>
        </w:tc>
        <w:tc>
          <w:tcPr>
            <w:tcW w:w="840" w:type="dxa"/>
            <w:vAlign w:val="center"/>
          </w:tcPr>
          <w:p w14:paraId="57F0B709">
            <w:pPr>
              <w:pStyle w:val="98"/>
              <w:spacing w:before="51" w:line="219" w:lineRule="auto"/>
              <w:jc w:val="center"/>
              <w:rPr>
                <w:rFonts w:ascii="宋体" w:hAnsi="宋体" w:eastAsia="宋体" w:cs="宋体"/>
                <w:color w:val="auto"/>
                <w:spacing w:val="-2"/>
                <w:highlight w:val="none"/>
              </w:rPr>
            </w:pPr>
          </w:p>
        </w:tc>
        <w:tc>
          <w:tcPr>
            <w:tcW w:w="1476" w:type="dxa"/>
            <w:vAlign w:val="center"/>
          </w:tcPr>
          <w:p w14:paraId="33844E18">
            <w:pPr>
              <w:pStyle w:val="98"/>
              <w:spacing w:before="51" w:line="219" w:lineRule="auto"/>
              <w:jc w:val="center"/>
              <w:rPr>
                <w:rFonts w:ascii="宋体" w:hAnsi="宋体" w:eastAsia="宋体" w:cs="宋体"/>
                <w:color w:val="auto"/>
                <w:spacing w:val="-2"/>
                <w:highlight w:val="none"/>
              </w:rPr>
            </w:pPr>
          </w:p>
        </w:tc>
        <w:tc>
          <w:tcPr>
            <w:tcW w:w="933" w:type="dxa"/>
            <w:vAlign w:val="center"/>
          </w:tcPr>
          <w:p w14:paraId="7B4EB4B1">
            <w:pPr>
              <w:pStyle w:val="98"/>
              <w:spacing w:before="51" w:line="219" w:lineRule="auto"/>
              <w:jc w:val="center"/>
              <w:rPr>
                <w:rFonts w:ascii="宋体" w:hAnsi="宋体" w:eastAsia="宋体" w:cs="宋体"/>
                <w:color w:val="auto"/>
                <w:spacing w:val="-2"/>
                <w:highlight w:val="none"/>
              </w:rPr>
            </w:pPr>
          </w:p>
        </w:tc>
        <w:tc>
          <w:tcPr>
            <w:tcW w:w="926" w:type="dxa"/>
            <w:vAlign w:val="center"/>
          </w:tcPr>
          <w:p w14:paraId="668B37E3">
            <w:pPr>
              <w:pStyle w:val="98"/>
              <w:spacing w:before="51" w:line="219" w:lineRule="auto"/>
              <w:jc w:val="center"/>
              <w:rPr>
                <w:rFonts w:ascii="宋体" w:hAnsi="宋体" w:eastAsia="宋体" w:cs="宋体"/>
                <w:color w:val="auto"/>
                <w:spacing w:val="-2"/>
                <w:highlight w:val="none"/>
              </w:rPr>
            </w:pPr>
          </w:p>
        </w:tc>
      </w:tr>
      <w:tr w14:paraId="4595B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6BED8168">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DDAABC0">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343FBC3">
            <w:pPr>
              <w:pStyle w:val="98"/>
              <w:spacing w:before="51" w:line="219" w:lineRule="auto"/>
              <w:jc w:val="center"/>
              <w:rPr>
                <w:rFonts w:ascii="宋体" w:hAnsi="宋体" w:eastAsia="宋体" w:cs="宋体"/>
                <w:color w:val="auto"/>
                <w:spacing w:val="-2"/>
                <w:highlight w:val="none"/>
              </w:rPr>
            </w:pPr>
          </w:p>
        </w:tc>
        <w:tc>
          <w:tcPr>
            <w:tcW w:w="744" w:type="dxa"/>
            <w:vAlign w:val="center"/>
          </w:tcPr>
          <w:p w14:paraId="0EE74F51">
            <w:pPr>
              <w:pStyle w:val="98"/>
              <w:spacing w:before="51" w:line="219" w:lineRule="auto"/>
              <w:jc w:val="center"/>
              <w:rPr>
                <w:rFonts w:ascii="宋体" w:hAnsi="宋体" w:eastAsia="宋体" w:cs="宋体"/>
                <w:color w:val="auto"/>
                <w:spacing w:val="-2"/>
                <w:highlight w:val="none"/>
              </w:rPr>
            </w:pPr>
          </w:p>
        </w:tc>
        <w:tc>
          <w:tcPr>
            <w:tcW w:w="852" w:type="dxa"/>
            <w:vAlign w:val="center"/>
          </w:tcPr>
          <w:p w14:paraId="4D943758">
            <w:pPr>
              <w:pStyle w:val="98"/>
              <w:spacing w:before="51" w:line="219" w:lineRule="auto"/>
              <w:jc w:val="center"/>
              <w:rPr>
                <w:rFonts w:ascii="宋体" w:hAnsi="宋体" w:eastAsia="宋体" w:cs="宋体"/>
                <w:color w:val="auto"/>
                <w:spacing w:val="-2"/>
                <w:highlight w:val="none"/>
              </w:rPr>
            </w:pPr>
          </w:p>
        </w:tc>
        <w:tc>
          <w:tcPr>
            <w:tcW w:w="840" w:type="dxa"/>
            <w:vAlign w:val="center"/>
          </w:tcPr>
          <w:p w14:paraId="5CB08EFA">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C6D7514">
            <w:pPr>
              <w:pStyle w:val="98"/>
              <w:spacing w:before="51" w:line="219" w:lineRule="auto"/>
              <w:jc w:val="center"/>
              <w:rPr>
                <w:rFonts w:ascii="宋体" w:hAnsi="宋体" w:eastAsia="宋体" w:cs="宋体"/>
                <w:color w:val="auto"/>
                <w:spacing w:val="-2"/>
                <w:highlight w:val="none"/>
              </w:rPr>
            </w:pPr>
          </w:p>
        </w:tc>
        <w:tc>
          <w:tcPr>
            <w:tcW w:w="933" w:type="dxa"/>
            <w:vAlign w:val="center"/>
          </w:tcPr>
          <w:p w14:paraId="3D35666D">
            <w:pPr>
              <w:pStyle w:val="98"/>
              <w:spacing w:before="51" w:line="219" w:lineRule="auto"/>
              <w:jc w:val="center"/>
              <w:rPr>
                <w:rFonts w:ascii="宋体" w:hAnsi="宋体" w:eastAsia="宋体" w:cs="宋体"/>
                <w:color w:val="auto"/>
                <w:spacing w:val="-2"/>
                <w:highlight w:val="none"/>
              </w:rPr>
            </w:pPr>
          </w:p>
        </w:tc>
        <w:tc>
          <w:tcPr>
            <w:tcW w:w="926" w:type="dxa"/>
            <w:vAlign w:val="center"/>
          </w:tcPr>
          <w:p w14:paraId="0C4561FE">
            <w:pPr>
              <w:pStyle w:val="98"/>
              <w:spacing w:before="51" w:line="219" w:lineRule="auto"/>
              <w:jc w:val="center"/>
              <w:rPr>
                <w:rFonts w:ascii="宋体" w:hAnsi="宋体" w:eastAsia="宋体" w:cs="宋体"/>
                <w:color w:val="auto"/>
                <w:spacing w:val="-2"/>
                <w:highlight w:val="none"/>
              </w:rPr>
            </w:pPr>
          </w:p>
        </w:tc>
      </w:tr>
      <w:tr w14:paraId="74FC9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6C52636">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905B21F">
            <w:pPr>
              <w:pStyle w:val="98"/>
              <w:spacing w:before="51" w:line="219" w:lineRule="auto"/>
              <w:jc w:val="center"/>
              <w:rPr>
                <w:rFonts w:ascii="宋体" w:hAnsi="宋体" w:eastAsia="宋体" w:cs="宋体"/>
                <w:color w:val="auto"/>
                <w:spacing w:val="-2"/>
                <w:highlight w:val="none"/>
              </w:rPr>
            </w:pPr>
          </w:p>
        </w:tc>
        <w:tc>
          <w:tcPr>
            <w:tcW w:w="1377" w:type="dxa"/>
            <w:vAlign w:val="center"/>
          </w:tcPr>
          <w:p w14:paraId="28F1AA7E">
            <w:pPr>
              <w:pStyle w:val="98"/>
              <w:spacing w:before="51" w:line="219" w:lineRule="auto"/>
              <w:jc w:val="center"/>
              <w:rPr>
                <w:rFonts w:ascii="宋体" w:hAnsi="宋体" w:eastAsia="宋体" w:cs="宋体"/>
                <w:color w:val="auto"/>
                <w:spacing w:val="-2"/>
                <w:highlight w:val="none"/>
              </w:rPr>
            </w:pPr>
          </w:p>
        </w:tc>
        <w:tc>
          <w:tcPr>
            <w:tcW w:w="744" w:type="dxa"/>
            <w:vAlign w:val="center"/>
          </w:tcPr>
          <w:p w14:paraId="6EE8DCB4">
            <w:pPr>
              <w:pStyle w:val="98"/>
              <w:spacing w:before="51" w:line="219" w:lineRule="auto"/>
              <w:jc w:val="center"/>
              <w:rPr>
                <w:rFonts w:ascii="宋体" w:hAnsi="宋体" w:eastAsia="宋体" w:cs="宋体"/>
                <w:color w:val="auto"/>
                <w:spacing w:val="-2"/>
                <w:highlight w:val="none"/>
              </w:rPr>
            </w:pPr>
          </w:p>
        </w:tc>
        <w:tc>
          <w:tcPr>
            <w:tcW w:w="852" w:type="dxa"/>
            <w:vAlign w:val="center"/>
          </w:tcPr>
          <w:p w14:paraId="62E6D618">
            <w:pPr>
              <w:pStyle w:val="98"/>
              <w:spacing w:before="51" w:line="219" w:lineRule="auto"/>
              <w:jc w:val="center"/>
              <w:rPr>
                <w:rFonts w:ascii="宋体" w:hAnsi="宋体" w:eastAsia="宋体" w:cs="宋体"/>
                <w:color w:val="auto"/>
                <w:spacing w:val="-2"/>
                <w:highlight w:val="none"/>
              </w:rPr>
            </w:pPr>
          </w:p>
        </w:tc>
        <w:tc>
          <w:tcPr>
            <w:tcW w:w="840" w:type="dxa"/>
            <w:vAlign w:val="center"/>
          </w:tcPr>
          <w:p w14:paraId="347236D6">
            <w:pPr>
              <w:pStyle w:val="98"/>
              <w:spacing w:before="51" w:line="219" w:lineRule="auto"/>
              <w:jc w:val="center"/>
              <w:rPr>
                <w:rFonts w:ascii="宋体" w:hAnsi="宋体" w:eastAsia="宋体" w:cs="宋体"/>
                <w:color w:val="auto"/>
                <w:spacing w:val="-2"/>
                <w:highlight w:val="none"/>
              </w:rPr>
            </w:pPr>
          </w:p>
        </w:tc>
        <w:tc>
          <w:tcPr>
            <w:tcW w:w="1476" w:type="dxa"/>
            <w:vAlign w:val="center"/>
          </w:tcPr>
          <w:p w14:paraId="5C817EFF">
            <w:pPr>
              <w:pStyle w:val="98"/>
              <w:spacing w:before="51" w:line="219" w:lineRule="auto"/>
              <w:jc w:val="center"/>
              <w:rPr>
                <w:rFonts w:ascii="宋体" w:hAnsi="宋体" w:eastAsia="宋体" w:cs="宋体"/>
                <w:color w:val="auto"/>
                <w:spacing w:val="-2"/>
                <w:highlight w:val="none"/>
              </w:rPr>
            </w:pPr>
          </w:p>
        </w:tc>
        <w:tc>
          <w:tcPr>
            <w:tcW w:w="933" w:type="dxa"/>
            <w:vAlign w:val="center"/>
          </w:tcPr>
          <w:p w14:paraId="544C1D62">
            <w:pPr>
              <w:pStyle w:val="98"/>
              <w:spacing w:before="51" w:line="219" w:lineRule="auto"/>
              <w:jc w:val="center"/>
              <w:rPr>
                <w:rFonts w:ascii="宋体" w:hAnsi="宋体" w:eastAsia="宋体" w:cs="宋体"/>
                <w:color w:val="auto"/>
                <w:spacing w:val="-2"/>
                <w:highlight w:val="none"/>
              </w:rPr>
            </w:pPr>
          </w:p>
        </w:tc>
        <w:tc>
          <w:tcPr>
            <w:tcW w:w="926" w:type="dxa"/>
            <w:vAlign w:val="center"/>
          </w:tcPr>
          <w:p w14:paraId="7F8BA54D">
            <w:pPr>
              <w:pStyle w:val="98"/>
              <w:spacing w:before="51" w:line="219" w:lineRule="auto"/>
              <w:jc w:val="center"/>
              <w:rPr>
                <w:rFonts w:ascii="宋体" w:hAnsi="宋体" w:eastAsia="宋体" w:cs="宋体"/>
                <w:color w:val="auto"/>
                <w:spacing w:val="-2"/>
                <w:highlight w:val="none"/>
              </w:rPr>
            </w:pPr>
          </w:p>
        </w:tc>
      </w:tr>
      <w:tr w14:paraId="0B5BC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1C83C4F1">
            <w:pPr>
              <w:pStyle w:val="98"/>
              <w:spacing w:before="51" w:line="219" w:lineRule="auto"/>
              <w:jc w:val="center"/>
              <w:rPr>
                <w:rFonts w:ascii="宋体" w:hAnsi="宋体" w:eastAsia="宋体" w:cs="宋体"/>
                <w:color w:val="auto"/>
                <w:spacing w:val="-2"/>
                <w:highlight w:val="none"/>
              </w:rPr>
            </w:pPr>
          </w:p>
        </w:tc>
        <w:tc>
          <w:tcPr>
            <w:tcW w:w="1845" w:type="dxa"/>
            <w:vAlign w:val="center"/>
          </w:tcPr>
          <w:p w14:paraId="3513A7AF">
            <w:pPr>
              <w:pStyle w:val="98"/>
              <w:spacing w:before="51" w:line="219" w:lineRule="auto"/>
              <w:jc w:val="center"/>
              <w:rPr>
                <w:rFonts w:ascii="宋体" w:hAnsi="宋体" w:eastAsia="宋体" w:cs="宋体"/>
                <w:color w:val="auto"/>
                <w:spacing w:val="-2"/>
                <w:highlight w:val="none"/>
              </w:rPr>
            </w:pPr>
          </w:p>
        </w:tc>
        <w:tc>
          <w:tcPr>
            <w:tcW w:w="1377" w:type="dxa"/>
            <w:vAlign w:val="center"/>
          </w:tcPr>
          <w:p w14:paraId="4F537A1B">
            <w:pPr>
              <w:pStyle w:val="98"/>
              <w:spacing w:before="51" w:line="219" w:lineRule="auto"/>
              <w:jc w:val="center"/>
              <w:rPr>
                <w:rFonts w:ascii="宋体" w:hAnsi="宋体" w:eastAsia="宋体" w:cs="宋体"/>
                <w:color w:val="auto"/>
                <w:spacing w:val="-2"/>
                <w:highlight w:val="none"/>
              </w:rPr>
            </w:pPr>
          </w:p>
        </w:tc>
        <w:tc>
          <w:tcPr>
            <w:tcW w:w="744" w:type="dxa"/>
            <w:vAlign w:val="center"/>
          </w:tcPr>
          <w:p w14:paraId="7DE6E8D1">
            <w:pPr>
              <w:pStyle w:val="98"/>
              <w:spacing w:before="51" w:line="219" w:lineRule="auto"/>
              <w:jc w:val="center"/>
              <w:rPr>
                <w:rFonts w:ascii="宋体" w:hAnsi="宋体" w:eastAsia="宋体" w:cs="宋体"/>
                <w:color w:val="auto"/>
                <w:spacing w:val="-2"/>
                <w:highlight w:val="none"/>
              </w:rPr>
            </w:pPr>
          </w:p>
        </w:tc>
        <w:tc>
          <w:tcPr>
            <w:tcW w:w="852" w:type="dxa"/>
            <w:vAlign w:val="center"/>
          </w:tcPr>
          <w:p w14:paraId="6984A394">
            <w:pPr>
              <w:pStyle w:val="98"/>
              <w:spacing w:before="51" w:line="219" w:lineRule="auto"/>
              <w:jc w:val="center"/>
              <w:rPr>
                <w:rFonts w:ascii="宋体" w:hAnsi="宋体" w:eastAsia="宋体" w:cs="宋体"/>
                <w:color w:val="auto"/>
                <w:spacing w:val="-2"/>
                <w:highlight w:val="none"/>
              </w:rPr>
            </w:pPr>
          </w:p>
        </w:tc>
        <w:tc>
          <w:tcPr>
            <w:tcW w:w="840" w:type="dxa"/>
            <w:vAlign w:val="center"/>
          </w:tcPr>
          <w:p w14:paraId="6A178A6E">
            <w:pPr>
              <w:pStyle w:val="98"/>
              <w:spacing w:before="51" w:line="219" w:lineRule="auto"/>
              <w:jc w:val="center"/>
              <w:rPr>
                <w:rFonts w:ascii="宋体" w:hAnsi="宋体" w:eastAsia="宋体" w:cs="宋体"/>
                <w:color w:val="auto"/>
                <w:spacing w:val="-2"/>
                <w:highlight w:val="none"/>
              </w:rPr>
            </w:pPr>
          </w:p>
        </w:tc>
        <w:tc>
          <w:tcPr>
            <w:tcW w:w="1476" w:type="dxa"/>
            <w:vAlign w:val="center"/>
          </w:tcPr>
          <w:p w14:paraId="1123A0D9">
            <w:pPr>
              <w:pStyle w:val="98"/>
              <w:spacing w:before="51" w:line="219" w:lineRule="auto"/>
              <w:jc w:val="center"/>
              <w:rPr>
                <w:rFonts w:ascii="宋体" w:hAnsi="宋体" w:eastAsia="宋体" w:cs="宋体"/>
                <w:color w:val="auto"/>
                <w:spacing w:val="-2"/>
                <w:highlight w:val="none"/>
              </w:rPr>
            </w:pPr>
          </w:p>
        </w:tc>
        <w:tc>
          <w:tcPr>
            <w:tcW w:w="933" w:type="dxa"/>
            <w:vAlign w:val="center"/>
          </w:tcPr>
          <w:p w14:paraId="3149AB8A">
            <w:pPr>
              <w:pStyle w:val="98"/>
              <w:spacing w:before="51" w:line="219" w:lineRule="auto"/>
              <w:jc w:val="center"/>
              <w:rPr>
                <w:rFonts w:ascii="宋体" w:hAnsi="宋体" w:eastAsia="宋体" w:cs="宋体"/>
                <w:color w:val="auto"/>
                <w:spacing w:val="-2"/>
                <w:highlight w:val="none"/>
              </w:rPr>
            </w:pPr>
          </w:p>
        </w:tc>
        <w:tc>
          <w:tcPr>
            <w:tcW w:w="926" w:type="dxa"/>
            <w:vAlign w:val="center"/>
          </w:tcPr>
          <w:p w14:paraId="3BBD2E21">
            <w:pPr>
              <w:pStyle w:val="98"/>
              <w:spacing w:before="51" w:line="219" w:lineRule="auto"/>
              <w:jc w:val="center"/>
              <w:rPr>
                <w:rFonts w:ascii="宋体" w:hAnsi="宋体" w:eastAsia="宋体" w:cs="宋体"/>
                <w:color w:val="auto"/>
                <w:spacing w:val="-2"/>
                <w:highlight w:val="none"/>
              </w:rPr>
            </w:pPr>
          </w:p>
        </w:tc>
      </w:tr>
      <w:tr w14:paraId="1490B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824" w:type="dxa"/>
            <w:vAlign w:val="center"/>
          </w:tcPr>
          <w:p w14:paraId="1706C41E">
            <w:pPr>
              <w:pStyle w:val="98"/>
              <w:spacing w:before="51" w:line="219" w:lineRule="auto"/>
              <w:jc w:val="center"/>
              <w:rPr>
                <w:rFonts w:ascii="宋体" w:hAnsi="宋体" w:eastAsia="宋体" w:cs="宋体"/>
                <w:color w:val="auto"/>
                <w:spacing w:val="-2"/>
                <w:highlight w:val="none"/>
              </w:rPr>
            </w:pPr>
          </w:p>
        </w:tc>
        <w:tc>
          <w:tcPr>
            <w:tcW w:w="1845" w:type="dxa"/>
            <w:vAlign w:val="center"/>
          </w:tcPr>
          <w:p w14:paraId="59BD6F4C">
            <w:pPr>
              <w:pStyle w:val="98"/>
              <w:spacing w:before="51" w:line="219" w:lineRule="auto"/>
              <w:jc w:val="center"/>
              <w:rPr>
                <w:rFonts w:ascii="宋体" w:hAnsi="宋体" w:eastAsia="宋体" w:cs="宋体"/>
                <w:color w:val="auto"/>
                <w:spacing w:val="-2"/>
                <w:highlight w:val="none"/>
              </w:rPr>
            </w:pPr>
          </w:p>
        </w:tc>
        <w:tc>
          <w:tcPr>
            <w:tcW w:w="1377" w:type="dxa"/>
            <w:vAlign w:val="center"/>
          </w:tcPr>
          <w:p w14:paraId="76FDED16">
            <w:pPr>
              <w:pStyle w:val="98"/>
              <w:spacing w:before="51" w:line="219" w:lineRule="auto"/>
              <w:jc w:val="center"/>
              <w:rPr>
                <w:rFonts w:ascii="宋体" w:hAnsi="宋体" w:eastAsia="宋体" w:cs="宋体"/>
                <w:color w:val="auto"/>
                <w:spacing w:val="-2"/>
                <w:highlight w:val="none"/>
              </w:rPr>
            </w:pPr>
          </w:p>
        </w:tc>
        <w:tc>
          <w:tcPr>
            <w:tcW w:w="744" w:type="dxa"/>
            <w:vAlign w:val="center"/>
          </w:tcPr>
          <w:p w14:paraId="5EA250C8">
            <w:pPr>
              <w:pStyle w:val="98"/>
              <w:spacing w:before="51" w:line="219" w:lineRule="auto"/>
              <w:jc w:val="center"/>
              <w:rPr>
                <w:rFonts w:ascii="宋体" w:hAnsi="宋体" w:eastAsia="宋体" w:cs="宋体"/>
                <w:color w:val="auto"/>
                <w:spacing w:val="-2"/>
                <w:highlight w:val="none"/>
              </w:rPr>
            </w:pPr>
          </w:p>
        </w:tc>
        <w:tc>
          <w:tcPr>
            <w:tcW w:w="852" w:type="dxa"/>
            <w:vAlign w:val="center"/>
          </w:tcPr>
          <w:p w14:paraId="4CB8BF50">
            <w:pPr>
              <w:pStyle w:val="98"/>
              <w:spacing w:before="51" w:line="219" w:lineRule="auto"/>
              <w:jc w:val="center"/>
              <w:rPr>
                <w:rFonts w:ascii="宋体" w:hAnsi="宋体" w:eastAsia="宋体" w:cs="宋体"/>
                <w:color w:val="auto"/>
                <w:spacing w:val="-2"/>
                <w:highlight w:val="none"/>
              </w:rPr>
            </w:pPr>
          </w:p>
        </w:tc>
        <w:tc>
          <w:tcPr>
            <w:tcW w:w="840" w:type="dxa"/>
            <w:vAlign w:val="center"/>
          </w:tcPr>
          <w:p w14:paraId="197B6802">
            <w:pPr>
              <w:pStyle w:val="98"/>
              <w:spacing w:before="51" w:line="219" w:lineRule="auto"/>
              <w:jc w:val="center"/>
              <w:rPr>
                <w:rFonts w:ascii="宋体" w:hAnsi="宋体" w:eastAsia="宋体" w:cs="宋体"/>
                <w:color w:val="auto"/>
                <w:spacing w:val="-2"/>
                <w:highlight w:val="none"/>
              </w:rPr>
            </w:pPr>
          </w:p>
        </w:tc>
        <w:tc>
          <w:tcPr>
            <w:tcW w:w="1476" w:type="dxa"/>
            <w:vAlign w:val="center"/>
          </w:tcPr>
          <w:p w14:paraId="0691A8D8">
            <w:pPr>
              <w:pStyle w:val="98"/>
              <w:spacing w:before="51" w:line="219" w:lineRule="auto"/>
              <w:jc w:val="center"/>
              <w:rPr>
                <w:rFonts w:ascii="宋体" w:hAnsi="宋体" w:eastAsia="宋体" w:cs="宋体"/>
                <w:color w:val="auto"/>
                <w:spacing w:val="-2"/>
                <w:highlight w:val="none"/>
              </w:rPr>
            </w:pPr>
          </w:p>
        </w:tc>
        <w:tc>
          <w:tcPr>
            <w:tcW w:w="933" w:type="dxa"/>
            <w:vAlign w:val="center"/>
          </w:tcPr>
          <w:p w14:paraId="59955FEE">
            <w:pPr>
              <w:pStyle w:val="98"/>
              <w:spacing w:before="51" w:line="219" w:lineRule="auto"/>
              <w:jc w:val="center"/>
              <w:rPr>
                <w:rFonts w:ascii="宋体" w:hAnsi="宋体" w:eastAsia="宋体" w:cs="宋体"/>
                <w:color w:val="auto"/>
                <w:spacing w:val="-2"/>
                <w:highlight w:val="none"/>
              </w:rPr>
            </w:pPr>
          </w:p>
        </w:tc>
        <w:tc>
          <w:tcPr>
            <w:tcW w:w="926" w:type="dxa"/>
            <w:vAlign w:val="center"/>
          </w:tcPr>
          <w:p w14:paraId="4CD2ADBD">
            <w:pPr>
              <w:pStyle w:val="98"/>
              <w:spacing w:before="51" w:line="219" w:lineRule="auto"/>
              <w:jc w:val="center"/>
              <w:rPr>
                <w:rFonts w:ascii="宋体" w:hAnsi="宋体" w:eastAsia="宋体" w:cs="宋体"/>
                <w:color w:val="auto"/>
                <w:spacing w:val="-2"/>
                <w:highlight w:val="none"/>
              </w:rPr>
            </w:pPr>
          </w:p>
        </w:tc>
      </w:tr>
      <w:tr w14:paraId="49585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824" w:type="dxa"/>
            <w:vAlign w:val="center"/>
          </w:tcPr>
          <w:p w14:paraId="03BAB37A">
            <w:pPr>
              <w:pStyle w:val="98"/>
              <w:spacing w:before="51" w:line="219" w:lineRule="auto"/>
              <w:jc w:val="center"/>
              <w:rPr>
                <w:rFonts w:ascii="宋体" w:hAnsi="宋体" w:eastAsia="宋体" w:cs="宋体"/>
                <w:color w:val="auto"/>
                <w:spacing w:val="-2"/>
                <w:highlight w:val="none"/>
              </w:rPr>
            </w:pPr>
          </w:p>
        </w:tc>
        <w:tc>
          <w:tcPr>
            <w:tcW w:w="1845" w:type="dxa"/>
            <w:vAlign w:val="center"/>
          </w:tcPr>
          <w:p w14:paraId="127948A5">
            <w:pPr>
              <w:pStyle w:val="98"/>
              <w:spacing w:before="51" w:line="219" w:lineRule="auto"/>
              <w:jc w:val="center"/>
              <w:rPr>
                <w:rFonts w:ascii="宋体" w:hAnsi="宋体" w:eastAsia="宋体" w:cs="宋体"/>
                <w:color w:val="auto"/>
                <w:spacing w:val="-2"/>
                <w:highlight w:val="none"/>
              </w:rPr>
            </w:pPr>
          </w:p>
        </w:tc>
        <w:tc>
          <w:tcPr>
            <w:tcW w:w="1377" w:type="dxa"/>
            <w:vAlign w:val="center"/>
          </w:tcPr>
          <w:p w14:paraId="179D6C54">
            <w:pPr>
              <w:pStyle w:val="98"/>
              <w:spacing w:before="51" w:line="219" w:lineRule="auto"/>
              <w:jc w:val="center"/>
              <w:rPr>
                <w:rFonts w:ascii="宋体" w:hAnsi="宋体" w:eastAsia="宋体" w:cs="宋体"/>
                <w:color w:val="auto"/>
                <w:spacing w:val="-2"/>
                <w:highlight w:val="none"/>
              </w:rPr>
            </w:pPr>
          </w:p>
        </w:tc>
        <w:tc>
          <w:tcPr>
            <w:tcW w:w="744" w:type="dxa"/>
            <w:vAlign w:val="center"/>
          </w:tcPr>
          <w:p w14:paraId="7FC30503">
            <w:pPr>
              <w:pStyle w:val="98"/>
              <w:spacing w:before="51" w:line="219" w:lineRule="auto"/>
              <w:jc w:val="center"/>
              <w:rPr>
                <w:rFonts w:ascii="宋体" w:hAnsi="宋体" w:eastAsia="宋体" w:cs="宋体"/>
                <w:color w:val="auto"/>
                <w:spacing w:val="-2"/>
                <w:highlight w:val="none"/>
              </w:rPr>
            </w:pPr>
          </w:p>
        </w:tc>
        <w:tc>
          <w:tcPr>
            <w:tcW w:w="852" w:type="dxa"/>
            <w:vAlign w:val="center"/>
          </w:tcPr>
          <w:p w14:paraId="01CCF571">
            <w:pPr>
              <w:pStyle w:val="98"/>
              <w:spacing w:before="51" w:line="219" w:lineRule="auto"/>
              <w:jc w:val="center"/>
              <w:rPr>
                <w:rFonts w:ascii="宋体" w:hAnsi="宋体" w:eastAsia="宋体" w:cs="宋体"/>
                <w:color w:val="auto"/>
                <w:spacing w:val="-2"/>
                <w:highlight w:val="none"/>
              </w:rPr>
            </w:pPr>
          </w:p>
        </w:tc>
        <w:tc>
          <w:tcPr>
            <w:tcW w:w="840" w:type="dxa"/>
            <w:vAlign w:val="center"/>
          </w:tcPr>
          <w:p w14:paraId="5A8BB76C">
            <w:pPr>
              <w:pStyle w:val="98"/>
              <w:spacing w:before="51" w:line="219" w:lineRule="auto"/>
              <w:jc w:val="center"/>
              <w:rPr>
                <w:rFonts w:ascii="宋体" w:hAnsi="宋体" w:eastAsia="宋体" w:cs="宋体"/>
                <w:color w:val="auto"/>
                <w:spacing w:val="-2"/>
                <w:highlight w:val="none"/>
              </w:rPr>
            </w:pPr>
          </w:p>
        </w:tc>
        <w:tc>
          <w:tcPr>
            <w:tcW w:w="1476" w:type="dxa"/>
            <w:vAlign w:val="center"/>
          </w:tcPr>
          <w:p w14:paraId="481B50AC">
            <w:pPr>
              <w:pStyle w:val="98"/>
              <w:spacing w:before="51" w:line="219" w:lineRule="auto"/>
              <w:jc w:val="center"/>
              <w:rPr>
                <w:rFonts w:ascii="宋体" w:hAnsi="宋体" w:eastAsia="宋体" w:cs="宋体"/>
                <w:color w:val="auto"/>
                <w:spacing w:val="-2"/>
                <w:highlight w:val="none"/>
              </w:rPr>
            </w:pPr>
          </w:p>
        </w:tc>
        <w:tc>
          <w:tcPr>
            <w:tcW w:w="933" w:type="dxa"/>
            <w:vAlign w:val="center"/>
          </w:tcPr>
          <w:p w14:paraId="7ECEB19A">
            <w:pPr>
              <w:pStyle w:val="98"/>
              <w:spacing w:before="51" w:line="219" w:lineRule="auto"/>
              <w:jc w:val="center"/>
              <w:rPr>
                <w:rFonts w:ascii="宋体" w:hAnsi="宋体" w:eastAsia="宋体" w:cs="宋体"/>
                <w:color w:val="auto"/>
                <w:spacing w:val="-2"/>
                <w:highlight w:val="none"/>
              </w:rPr>
            </w:pPr>
          </w:p>
        </w:tc>
        <w:tc>
          <w:tcPr>
            <w:tcW w:w="926" w:type="dxa"/>
            <w:vAlign w:val="center"/>
          </w:tcPr>
          <w:p w14:paraId="5D8C3933">
            <w:pPr>
              <w:pStyle w:val="98"/>
              <w:spacing w:before="51" w:line="219" w:lineRule="auto"/>
              <w:jc w:val="center"/>
              <w:rPr>
                <w:rFonts w:ascii="宋体" w:hAnsi="宋体" w:eastAsia="宋体" w:cs="宋体"/>
                <w:color w:val="auto"/>
                <w:spacing w:val="-2"/>
                <w:highlight w:val="none"/>
              </w:rPr>
            </w:pPr>
          </w:p>
        </w:tc>
      </w:tr>
    </w:tbl>
    <w:p w14:paraId="4DB1A0AE">
      <w:pPr>
        <w:rPr>
          <w:rFonts w:ascii="仿宋" w:hAnsi="仿宋" w:eastAsia="仿宋" w:cs="仿宋"/>
          <w:color w:val="auto"/>
          <w:spacing w:val="-12"/>
          <w:sz w:val="30"/>
          <w:szCs w:val="30"/>
          <w:highlight w:val="none"/>
        </w:rPr>
      </w:pPr>
      <w:r>
        <w:rPr>
          <w:rFonts w:ascii="仿宋" w:hAnsi="仿宋" w:eastAsia="仿宋" w:cs="仿宋"/>
          <w:color w:val="auto"/>
          <w:spacing w:val="-12"/>
          <w:sz w:val="30"/>
          <w:szCs w:val="30"/>
          <w:highlight w:val="none"/>
        </w:rPr>
        <w:br w:type="page"/>
      </w:r>
    </w:p>
    <w:p w14:paraId="13FF5FF9">
      <w:pPr>
        <w:spacing w:before="95" w:line="218" w:lineRule="auto"/>
        <w:rPr>
          <w:color w:val="auto"/>
          <w:highlight w:val="none"/>
        </w:rPr>
      </w:pPr>
      <w:r>
        <w:rPr>
          <w:rFonts w:ascii="仿宋" w:hAnsi="仿宋" w:eastAsia="仿宋" w:cs="仿宋"/>
          <w:color w:val="auto"/>
          <w:spacing w:val="-12"/>
          <w:sz w:val="30"/>
          <w:szCs w:val="30"/>
          <w:highlight w:val="none"/>
        </w:rPr>
        <w:t>附件</w:t>
      </w:r>
      <w:r>
        <w:rPr>
          <w:rFonts w:ascii="Calibri" w:hAnsi="Calibri" w:eastAsia="Calibri" w:cs="Calibri"/>
          <w:color w:val="auto"/>
          <w:spacing w:val="-12"/>
          <w:sz w:val="30"/>
          <w:szCs w:val="30"/>
          <w:highlight w:val="none"/>
        </w:rPr>
        <w:t>5</w:t>
      </w:r>
      <w:r>
        <w:rPr>
          <w:rFonts w:ascii="仿宋" w:hAnsi="仿宋" w:eastAsia="仿宋" w:cs="仿宋"/>
          <w:color w:val="auto"/>
          <w:spacing w:val="-12"/>
          <w:sz w:val="30"/>
          <w:szCs w:val="30"/>
          <w:highlight w:val="none"/>
        </w:rPr>
        <w:t>：</w:t>
      </w:r>
    </w:p>
    <w:p w14:paraId="5A83E82B">
      <w:pPr>
        <w:spacing w:before="98" w:line="218" w:lineRule="auto"/>
        <w:ind w:left="3121"/>
        <w:rPr>
          <w:rFonts w:ascii="黑体" w:hAnsi="黑体" w:eastAsia="黑体" w:cs="黑体"/>
          <w:color w:val="auto"/>
          <w:sz w:val="30"/>
          <w:szCs w:val="30"/>
          <w:highlight w:val="none"/>
          <w:lang w:eastAsia="zh-CN"/>
        </w:rPr>
      </w:pPr>
      <w:r>
        <w:rPr>
          <w:rFonts w:ascii="黑体" w:hAnsi="黑体" w:eastAsia="黑体" w:cs="黑体"/>
          <w:color w:val="auto"/>
          <w:spacing w:val="-1"/>
          <w:sz w:val="30"/>
          <w:szCs w:val="30"/>
          <w:highlight w:val="none"/>
          <w:lang w:eastAsia="zh-CN"/>
        </w:rPr>
        <w:t>承包人主要施工管理人员表</w:t>
      </w:r>
    </w:p>
    <w:p w14:paraId="6C0F8469">
      <w:pPr>
        <w:spacing w:line="109" w:lineRule="exact"/>
        <w:rPr>
          <w:color w:val="auto"/>
          <w:highlight w:val="none"/>
          <w:lang w:eastAsia="zh-CN"/>
        </w:rPr>
      </w:pPr>
    </w:p>
    <w:tbl>
      <w:tblPr>
        <w:tblStyle w:val="88"/>
        <w:tblW w:w="981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6"/>
        <w:gridCol w:w="1418"/>
        <w:gridCol w:w="2012"/>
        <w:gridCol w:w="1416"/>
        <w:gridCol w:w="3095"/>
      </w:tblGrid>
      <w:tr w14:paraId="15E66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1876" w:type="dxa"/>
            <w:vAlign w:val="center"/>
          </w:tcPr>
          <w:p w14:paraId="57E9D02D">
            <w:pPr>
              <w:spacing w:before="117" w:line="213" w:lineRule="auto"/>
              <w:ind w:left="111"/>
              <w:jc w:val="center"/>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名称</w:t>
            </w:r>
          </w:p>
        </w:tc>
        <w:tc>
          <w:tcPr>
            <w:tcW w:w="1418" w:type="dxa"/>
            <w:vAlign w:val="center"/>
          </w:tcPr>
          <w:p w14:paraId="74AE2633">
            <w:pPr>
              <w:spacing w:before="117" w:line="213" w:lineRule="auto"/>
              <w:ind w:left="105"/>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姓名</w:t>
            </w:r>
          </w:p>
        </w:tc>
        <w:tc>
          <w:tcPr>
            <w:tcW w:w="2012" w:type="dxa"/>
            <w:vAlign w:val="center"/>
          </w:tcPr>
          <w:p w14:paraId="7CF22FFC">
            <w:pPr>
              <w:spacing w:before="101" w:line="209" w:lineRule="auto"/>
              <w:ind w:left="104"/>
              <w:jc w:val="center"/>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职务</w:t>
            </w:r>
          </w:p>
        </w:tc>
        <w:tc>
          <w:tcPr>
            <w:tcW w:w="1416" w:type="dxa"/>
            <w:vAlign w:val="center"/>
          </w:tcPr>
          <w:p w14:paraId="79ACBBCA">
            <w:pPr>
              <w:spacing w:before="101" w:line="209" w:lineRule="auto"/>
              <w:ind w:left="108"/>
              <w:jc w:val="center"/>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职称</w:t>
            </w:r>
          </w:p>
        </w:tc>
        <w:tc>
          <w:tcPr>
            <w:tcW w:w="3095" w:type="dxa"/>
            <w:vAlign w:val="center"/>
          </w:tcPr>
          <w:p w14:paraId="0C84EFB1">
            <w:pPr>
              <w:spacing w:before="101" w:line="209" w:lineRule="auto"/>
              <w:ind w:left="44"/>
              <w:jc w:val="center"/>
              <w:rPr>
                <w:rFonts w:ascii="仿宋" w:hAnsi="仿宋" w:eastAsia="仿宋" w:cs="仿宋"/>
                <w:color w:val="auto"/>
                <w:sz w:val="30"/>
                <w:szCs w:val="30"/>
                <w:highlight w:val="none"/>
              </w:rPr>
            </w:pPr>
            <w:r>
              <w:rPr>
                <w:rFonts w:ascii="仿宋" w:hAnsi="仿宋" w:eastAsia="仿宋" w:cs="仿宋"/>
                <w:color w:val="auto"/>
                <w:spacing w:val="-3"/>
                <w:sz w:val="30"/>
                <w:szCs w:val="30"/>
                <w:highlight w:val="none"/>
              </w:rPr>
              <w:t>计划进场时间</w:t>
            </w:r>
          </w:p>
        </w:tc>
      </w:tr>
      <w:tr w14:paraId="0AAA0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9817" w:type="dxa"/>
            <w:gridSpan w:val="5"/>
            <w:vAlign w:val="center"/>
          </w:tcPr>
          <w:p w14:paraId="239380E6">
            <w:pPr>
              <w:spacing w:before="111" w:line="212" w:lineRule="auto"/>
              <w:ind w:left="114"/>
              <w:jc w:val="center"/>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一、总部人员</w:t>
            </w:r>
          </w:p>
        </w:tc>
      </w:tr>
      <w:tr w14:paraId="2E83F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0D4F0CC0">
            <w:pPr>
              <w:spacing w:before="114" w:line="212"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项目主管</w:t>
            </w:r>
          </w:p>
        </w:tc>
        <w:tc>
          <w:tcPr>
            <w:tcW w:w="1418" w:type="dxa"/>
            <w:vAlign w:val="center"/>
          </w:tcPr>
          <w:p w14:paraId="7A55963E">
            <w:pPr>
              <w:pStyle w:val="98"/>
              <w:jc w:val="center"/>
              <w:rPr>
                <w:color w:val="auto"/>
                <w:highlight w:val="none"/>
              </w:rPr>
            </w:pPr>
          </w:p>
        </w:tc>
        <w:tc>
          <w:tcPr>
            <w:tcW w:w="2012" w:type="dxa"/>
            <w:vAlign w:val="center"/>
          </w:tcPr>
          <w:p w14:paraId="53094AF9">
            <w:pPr>
              <w:pStyle w:val="98"/>
              <w:jc w:val="center"/>
              <w:rPr>
                <w:color w:val="auto"/>
                <w:highlight w:val="none"/>
              </w:rPr>
            </w:pPr>
          </w:p>
        </w:tc>
        <w:tc>
          <w:tcPr>
            <w:tcW w:w="1416" w:type="dxa"/>
            <w:vAlign w:val="center"/>
          </w:tcPr>
          <w:p w14:paraId="05D612E8">
            <w:pPr>
              <w:pStyle w:val="98"/>
              <w:jc w:val="center"/>
              <w:rPr>
                <w:color w:val="auto"/>
                <w:highlight w:val="none"/>
              </w:rPr>
            </w:pPr>
          </w:p>
        </w:tc>
        <w:tc>
          <w:tcPr>
            <w:tcW w:w="3095" w:type="dxa"/>
            <w:vAlign w:val="center"/>
          </w:tcPr>
          <w:p w14:paraId="5DC20534">
            <w:pPr>
              <w:pStyle w:val="98"/>
              <w:jc w:val="center"/>
              <w:rPr>
                <w:color w:val="auto"/>
                <w:highlight w:val="none"/>
              </w:rPr>
            </w:pPr>
          </w:p>
        </w:tc>
      </w:tr>
      <w:tr w14:paraId="1799D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876" w:type="dxa"/>
            <w:vMerge w:val="restart"/>
            <w:tcBorders>
              <w:bottom w:val="nil"/>
            </w:tcBorders>
            <w:vAlign w:val="center"/>
          </w:tcPr>
          <w:p w14:paraId="75BEE9C5">
            <w:pPr>
              <w:pStyle w:val="98"/>
              <w:spacing w:line="409" w:lineRule="auto"/>
              <w:jc w:val="center"/>
              <w:rPr>
                <w:color w:val="auto"/>
                <w:highlight w:val="none"/>
              </w:rPr>
            </w:pPr>
          </w:p>
          <w:p w14:paraId="46009B4A">
            <w:pPr>
              <w:spacing w:before="91" w:line="218" w:lineRule="auto"/>
              <w:ind w:left="112"/>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418" w:type="dxa"/>
            <w:vAlign w:val="center"/>
          </w:tcPr>
          <w:p w14:paraId="15C0371E">
            <w:pPr>
              <w:pStyle w:val="98"/>
              <w:jc w:val="center"/>
              <w:rPr>
                <w:color w:val="auto"/>
                <w:highlight w:val="none"/>
              </w:rPr>
            </w:pPr>
          </w:p>
        </w:tc>
        <w:tc>
          <w:tcPr>
            <w:tcW w:w="2012" w:type="dxa"/>
            <w:vAlign w:val="center"/>
          </w:tcPr>
          <w:p w14:paraId="3551CBFE">
            <w:pPr>
              <w:pStyle w:val="98"/>
              <w:jc w:val="center"/>
              <w:rPr>
                <w:color w:val="auto"/>
                <w:highlight w:val="none"/>
              </w:rPr>
            </w:pPr>
          </w:p>
        </w:tc>
        <w:tc>
          <w:tcPr>
            <w:tcW w:w="1416" w:type="dxa"/>
            <w:vAlign w:val="center"/>
          </w:tcPr>
          <w:p w14:paraId="2C647798">
            <w:pPr>
              <w:pStyle w:val="98"/>
              <w:jc w:val="center"/>
              <w:rPr>
                <w:color w:val="auto"/>
                <w:highlight w:val="none"/>
              </w:rPr>
            </w:pPr>
          </w:p>
        </w:tc>
        <w:tc>
          <w:tcPr>
            <w:tcW w:w="3095" w:type="dxa"/>
            <w:vAlign w:val="center"/>
          </w:tcPr>
          <w:p w14:paraId="7EE5E3DA">
            <w:pPr>
              <w:pStyle w:val="98"/>
              <w:jc w:val="center"/>
              <w:rPr>
                <w:color w:val="auto"/>
                <w:highlight w:val="none"/>
              </w:rPr>
            </w:pPr>
          </w:p>
        </w:tc>
      </w:tr>
      <w:tr w14:paraId="31FCF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7EC641D2">
            <w:pPr>
              <w:pStyle w:val="98"/>
              <w:jc w:val="center"/>
              <w:rPr>
                <w:color w:val="auto"/>
                <w:highlight w:val="none"/>
              </w:rPr>
            </w:pPr>
          </w:p>
        </w:tc>
        <w:tc>
          <w:tcPr>
            <w:tcW w:w="1418" w:type="dxa"/>
            <w:vAlign w:val="center"/>
          </w:tcPr>
          <w:p w14:paraId="515DEA87">
            <w:pPr>
              <w:pStyle w:val="98"/>
              <w:jc w:val="center"/>
              <w:rPr>
                <w:color w:val="auto"/>
                <w:highlight w:val="none"/>
              </w:rPr>
            </w:pPr>
          </w:p>
        </w:tc>
        <w:tc>
          <w:tcPr>
            <w:tcW w:w="2012" w:type="dxa"/>
            <w:vAlign w:val="center"/>
          </w:tcPr>
          <w:p w14:paraId="7E4BF0D7">
            <w:pPr>
              <w:pStyle w:val="98"/>
              <w:jc w:val="center"/>
              <w:rPr>
                <w:color w:val="auto"/>
                <w:highlight w:val="none"/>
              </w:rPr>
            </w:pPr>
          </w:p>
        </w:tc>
        <w:tc>
          <w:tcPr>
            <w:tcW w:w="1416" w:type="dxa"/>
            <w:vAlign w:val="center"/>
          </w:tcPr>
          <w:p w14:paraId="7487EFE9">
            <w:pPr>
              <w:pStyle w:val="98"/>
              <w:jc w:val="center"/>
              <w:rPr>
                <w:color w:val="auto"/>
                <w:highlight w:val="none"/>
              </w:rPr>
            </w:pPr>
          </w:p>
        </w:tc>
        <w:tc>
          <w:tcPr>
            <w:tcW w:w="3095" w:type="dxa"/>
            <w:vAlign w:val="center"/>
          </w:tcPr>
          <w:p w14:paraId="256E3C4D">
            <w:pPr>
              <w:pStyle w:val="98"/>
              <w:jc w:val="center"/>
              <w:rPr>
                <w:color w:val="auto"/>
                <w:highlight w:val="none"/>
              </w:rPr>
            </w:pPr>
          </w:p>
        </w:tc>
      </w:tr>
      <w:tr w14:paraId="34791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876" w:type="dxa"/>
            <w:vMerge w:val="continue"/>
            <w:tcBorders>
              <w:top w:val="nil"/>
            </w:tcBorders>
            <w:vAlign w:val="center"/>
          </w:tcPr>
          <w:p w14:paraId="06E1D753">
            <w:pPr>
              <w:pStyle w:val="98"/>
              <w:jc w:val="center"/>
              <w:rPr>
                <w:color w:val="auto"/>
                <w:highlight w:val="none"/>
              </w:rPr>
            </w:pPr>
          </w:p>
        </w:tc>
        <w:tc>
          <w:tcPr>
            <w:tcW w:w="1418" w:type="dxa"/>
            <w:vAlign w:val="center"/>
          </w:tcPr>
          <w:p w14:paraId="75893761">
            <w:pPr>
              <w:pStyle w:val="98"/>
              <w:jc w:val="center"/>
              <w:rPr>
                <w:color w:val="auto"/>
                <w:highlight w:val="none"/>
              </w:rPr>
            </w:pPr>
          </w:p>
        </w:tc>
        <w:tc>
          <w:tcPr>
            <w:tcW w:w="2012" w:type="dxa"/>
            <w:vAlign w:val="center"/>
          </w:tcPr>
          <w:p w14:paraId="30842C33">
            <w:pPr>
              <w:pStyle w:val="98"/>
              <w:jc w:val="center"/>
              <w:rPr>
                <w:color w:val="auto"/>
                <w:highlight w:val="none"/>
              </w:rPr>
            </w:pPr>
          </w:p>
        </w:tc>
        <w:tc>
          <w:tcPr>
            <w:tcW w:w="1416" w:type="dxa"/>
            <w:vAlign w:val="center"/>
          </w:tcPr>
          <w:p w14:paraId="529E6683">
            <w:pPr>
              <w:pStyle w:val="98"/>
              <w:jc w:val="center"/>
              <w:rPr>
                <w:color w:val="auto"/>
                <w:highlight w:val="none"/>
              </w:rPr>
            </w:pPr>
          </w:p>
        </w:tc>
        <w:tc>
          <w:tcPr>
            <w:tcW w:w="3095" w:type="dxa"/>
            <w:vAlign w:val="center"/>
          </w:tcPr>
          <w:p w14:paraId="57E884C9">
            <w:pPr>
              <w:pStyle w:val="98"/>
              <w:jc w:val="center"/>
              <w:rPr>
                <w:color w:val="auto"/>
                <w:highlight w:val="none"/>
              </w:rPr>
            </w:pPr>
          </w:p>
        </w:tc>
      </w:tr>
      <w:tr w14:paraId="408D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9817" w:type="dxa"/>
            <w:gridSpan w:val="5"/>
            <w:vAlign w:val="center"/>
          </w:tcPr>
          <w:p w14:paraId="0DD966AD">
            <w:pPr>
              <w:spacing w:before="117" w:line="210" w:lineRule="auto"/>
              <w:ind w:left="118"/>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二、现场人员</w:t>
            </w:r>
          </w:p>
        </w:tc>
      </w:tr>
      <w:tr w14:paraId="7AE5B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Align w:val="center"/>
          </w:tcPr>
          <w:p w14:paraId="002961FE">
            <w:pPr>
              <w:spacing w:before="115" w:line="210"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项目经理</w:t>
            </w:r>
          </w:p>
        </w:tc>
        <w:tc>
          <w:tcPr>
            <w:tcW w:w="1418" w:type="dxa"/>
            <w:vAlign w:val="center"/>
          </w:tcPr>
          <w:p w14:paraId="037DB974">
            <w:pPr>
              <w:pStyle w:val="98"/>
              <w:jc w:val="center"/>
              <w:rPr>
                <w:rFonts w:ascii="仿宋" w:hAnsi="仿宋" w:eastAsia="仿宋" w:cs="仿宋"/>
                <w:color w:val="auto"/>
                <w:sz w:val="28"/>
                <w:szCs w:val="28"/>
                <w:highlight w:val="none"/>
              </w:rPr>
            </w:pPr>
          </w:p>
        </w:tc>
        <w:tc>
          <w:tcPr>
            <w:tcW w:w="2012" w:type="dxa"/>
            <w:vAlign w:val="center"/>
          </w:tcPr>
          <w:p w14:paraId="12D656A3">
            <w:pPr>
              <w:pStyle w:val="98"/>
              <w:jc w:val="center"/>
              <w:rPr>
                <w:rFonts w:ascii="仿宋" w:hAnsi="仿宋" w:eastAsia="仿宋" w:cs="仿宋"/>
                <w:color w:val="auto"/>
                <w:sz w:val="28"/>
                <w:szCs w:val="28"/>
                <w:highlight w:val="none"/>
                <w:lang w:eastAsia="zh-CN"/>
              </w:rPr>
            </w:pPr>
          </w:p>
        </w:tc>
        <w:tc>
          <w:tcPr>
            <w:tcW w:w="1416" w:type="dxa"/>
            <w:vAlign w:val="center"/>
          </w:tcPr>
          <w:p w14:paraId="72011841">
            <w:pPr>
              <w:pStyle w:val="98"/>
              <w:jc w:val="center"/>
              <w:rPr>
                <w:rFonts w:ascii="仿宋" w:hAnsi="仿宋" w:eastAsia="仿宋" w:cs="仿宋"/>
                <w:color w:val="auto"/>
                <w:sz w:val="28"/>
                <w:szCs w:val="28"/>
                <w:highlight w:val="none"/>
                <w:lang w:eastAsia="zh-CN"/>
              </w:rPr>
            </w:pPr>
          </w:p>
        </w:tc>
        <w:tc>
          <w:tcPr>
            <w:tcW w:w="3095" w:type="dxa"/>
            <w:vAlign w:val="center"/>
          </w:tcPr>
          <w:p w14:paraId="3D1BDE1E">
            <w:pPr>
              <w:pStyle w:val="98"/>
              <w:jc w:val="center"/>
              <w:rPr>
                <w:rFonts w:ascii="仿宋" w:hAnsi="仿宋" w:eastAsia="仿宋" w:cs="仿宋"/>
                <w:color w:val="auto"/>
                <w:sz w:val="28"/>
                <w:szCs w:val="28"/>
                <w:highlight w:val="none"/>
                <w:lang w:eastAsia="zh-CN"/>
              </w:rPr>
            </w:pPr>
          </w:p>
        </w:tc>
      </w:tr>
      <w:tr w14:paraId="6F108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5A199B71">
            <w:pPr>
              <w:spacing w:before="117" w:line="210"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项目副经理</w:t>
            </w:r>
          </w:p>
        </w:tc>
        <w:tc>
          <w:tcPr>
            <w:tcW w:w="1418" w:type="dxa"/>
            <w:vAlign w:val="center"/>
          </w:tcPr>
          <w:p w14:paraId="70C5267E">
            <w:pPr>
              <w:pStyle w:val="98"/>
              <w:jc w:val="center"/>
              <w:rPr>
                <w:rFonts w:ascii="仿宋" w:hAnsi="仿宋" w:eastAsia="仿宋" w:cs="仿宋"/>
                <w:color w:val="auto"/>
                <w:sz w:val="28"/>
                <w:szCs w:val="28"/>
                <w:highlight w:val="none"/>
              </w:rPr>
            </w:pPr>
          </w:p>
        </w:tc>
        <w:tc>
          <w:tcPr>
            <w:tcW w:w="2012" w:type="dxa"/>
            <w:vAlign w:val="center"/>
          </w:tcPr>
          <w:p w14:paraId="74A7B39E">
            <w:pPr>
              <w:pStyle w:val="98"/>
              <w:jc w:val="center"/>
              <w:rPr>
                <w:rFonts w:ascii="仿宋" w:hAnsi="仿宋" w:eastAsia="仿宋" w:cs="仿宋"/>
                <w:color w:val="auto"/>
                <w:sz w:val="28"/>
                <w:szCs w:val="28"/>
                <w:highlight w:val="none"/>
              </w:rPr>
            </w:pPr>
          </w:p>
        </w:tc>
        <w:tc>
          <w:tcPr>
            <w:tcW w:w="1416" w:type="dxa"/>
            <w:vAlign w:val="center"/>
          </w:tcPr>
          <w:p w14:paraId="73DEE19E">
            <w:pPr>
              <w:pStyle w:val="98"/>
              <w:jc w:val="center"/>
              <w:rPr>
                <w:rFonts w:ascii="仿宋" w:hAnsi="仿宋" w:eastAsia="仿宋" w:cs="仿宋"/>
                <w:color w:val="auto"/>
                <w:sz w:val="28"/>
                <w:szCs w:val="28"/>
                <w:highlight w:val="none"/>
              </w:rPr>
            </w:pPr>
          </w:p>
        </w:tc>
        <w:tc>
          <w:tcPr>
            <w:tcW w:w="3095" w:type="dxa"/>
            <w:vAlign w:val="center"/>
          </w:tcPr>
          <w:p w14:paraId="0AA9C235">
            <w:pPr>
              <w:pStyle w:val="98"/>
              <w:jc w:val="center"/>
              <w:rPr>
                <w:rFonts w:ascii="仿宋" w:hAnsi="仿宋" w:eastAsia="仿宋" w:cs="仿宋"/>
                <w:color w:val="auto"/>
                <w:sz w:val="28"/>
                <w:szCs w:val="28"/>
                <w:highlight w:val="none"/>
              </w:rPr>
            </w:pPr>
          </w:p>
        </w:tc>
      </w:tr>
      <w:tr w14:paraId="3F56EA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Align w:val="center"/>
          </w:tcPr>
          <w:p w14:paraId="28AC97F3">
            <w:pPr>
              <w:spacing w:before="115" w:line="210" w:lineRule="auto"/>
              <w:ind w:left="111"/>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技术负责人</w:t>
            </w:r>
          </w:p>
        </w:tc>
        <w:tc>
          <w:tcPr>
            <w:tcW w:w="1418" w:type="dxa"/>
            <w:vAlign w:val="center"/>
          </w:tcPr>
          <w:p w14:paraId="4467F02C">
            <w:pPr>
              <w:pStyle w:val="98"/>
              <w:jc w:val="center"/>
              <w:rPr>
                <w:rFonts w:ascii="仿宋" w:hAnsi="仿宋" w:eastAsia="仿宋" w:cs="仿宋"/>
                <w:color w:val="auto"/>
                <w:sz w:val="28"/>
                <w:szCs w:val="28"/>
                <w:highlight w:val="none"/>
              </w:rPr>
            </w:pPr>
          </w:p>
        </w:tc>
        <w:tc>
          <w:tcPr>
            <w:tcW w:w="2012" w:type="dxa"/>
            <w:vAlign w:val="center"/>
          </w:tcPr>
          <w:p w14:paraId="2C78AD16">
            <w:pPr>
              <w:pStyle w:val="98"/>
              <w:jc w:val="center"/>
              <w:rPr>
                <w:rFonts w:ascii="仿宋" w:hAnsi="仿宋" w:eastAsia="仿宋" w:cs="仿宋"/>
                <w:color w:val="auto"/>
                <w:sz w:val="28"/>
                <w:szCs w:val="28"/>
                <w:highlight w:val="none"/>
              </w:rPr>
            </w:pPr>
          </w:p>
        </w:tc>
        <w:tc>
          <w:tcPr>
            <w:tcW w:w="1416" w:type="dxa"/>
            <w:vAlign w:val="center"/>
          </w:tcPr>
          <w:p w14:paraId="7915F8FE">
            <w:pPr>
              <w:pStyle w:val="98"/>
              <w:jc w:val="center"/>
              <w:rPr>
                <w:rFonts w:ascii="仿宋" w:hAnsi="仿宋" w:eastAsia="仿宋" w:cs="仿宋"/>
                <w:color w:val="auto"/>
                <w:sz w:val="28"/>
                <w:szCs w:val="28"/>
                <w:highlight w:val="none"/>
              </w:rPr>
            </w:pPr>
          </w:p>
        </w:tc>
        <w:tc>
          <w:tcPr>
            <w:tcW w:w="3095" w:type="dxa"/>
            <w:vAlign w:val="center"/>
          </w:tcPr>
          <w:p w14:paraId="07772BC6">
            <w:pPr>
              <w:pStyle w:val="98"/>
              <w:jc w:val="center"/>
              <w:rPr>
                <w:rFonts w:ascii="仿宋" w:hAnsi="仿宋" w:eastAsia="仿宋" w:cs="仿宋"/>
                <w:color w:val="auto"/>
                <w:sz w:val="28"/>
                <w:szCs w:val="28"/>
                <w:highlight w:val="none"/>
              </w:rPr>
            </w:pPr>
          </w:p>
        </w:tc>
      </w:tr>
      <w:tr w14:paraId="4FA91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3C79FAD3">
            <w:pPr>
              <w:spacing w:before="117" w:line="210" w:lineRule="auto"/>
              <w:ind w:left="109"/>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造价管理</w:t>
            </w:r>
          </w:p>
        </w:tc>
        <w:tc>
          <w:tcPr>
            <w:tcW w:w="1418" w:type="dxa"/>
            <w:vAlign w:val="center"/>
          </w:tcPr>
          <w:p w14:paraId="541A6783">
            <w:pPr>
              <w:pStyle w:val="98"/>
              <w:jc w:val="center"/>
              <w:rPr>
                <w:rFonts w:ascii="仿宋" w:hAnsi="仿宋" w:eastAsia="仿宋" w:cs="仿宋"/>
                <w:color w:val="auto"/>
                <w:sz w:val="28"/>
                <w:szCs w:val="28"/>
                <w:highlight w:val="none"/>
              </w:rPr>
            </w:pPr>
          </w:p>
        </w:tc>
        <w:tc>
          <w:tcPr>
            <w:tcW w:w="2012" w:type="dxa"/>
            <w:vAlign w:val="center"/>
          </w:tcPr>
          <w:p w14:paraId="5DC6D821">
            <w:pPr>
              <w:pStyle w:val="98"/>
              <w:jc w:val="center"/>
              <w:rPr>
                <w:rFonts w:ascii="仿宋" w:hAnsi="仿宋" w:eastAsia="仿宋" w:cs="仿宋"/>
                <w:color w:val="auto"/>
                <w:sz w:val="28"/>
                <w:szCs w:val="28"/>
                <w:highlight w:val="none"/>
              </w:rPr>
            </w:pPr>
          </w:p>
        </w:tc>
        <w:tc>
          <w:tcPr>
            <w:tcW w:w="1416" w:type="dxa"/>
            <w:vAlign w:val="center"/>
          </w:tcPr>
          <w:p w14:paraId="7DD1905A">
            <w:pPr>
              <w:pStyle w:val="98"/>
              <w:jc w:val="center"/>
              <w:rPr>
                <w:rFonts w:ascii="仿宋" w:hAnsi="仿宋" w:eastAsia="仿宋" w:cs="仿宋"/>
                <w:color w:val="auto"/>
                <w:sz w:val="28"/>
                <w:szCs w:val="28"/>
                <w:highlight w:val="none"/>
              </w:rPr>
            </w:pPr>
          </w:p>
        </w:tc>
        <w:tc>
          <w:tcPr>
            <w:tcW w:w="3095" w:type="dxa"/>
            <w:vAlign w:val="center"/>
          </w:tcPr>
          <w:p w14:paraId="0E631199">
            <w:pPr>
              <w:pStyle w:val="98"/>
              <w:jc w:val="center"/>
              <w:rPr>
                <w:rFonts w:ascii="仿宋" w:hAnsi="仿宋" w:eastAsia="仿宋" w:cs="仿宋"/>
                <w:color w:val="auto"/>
                <w:sz w:val="28"/>
                <w:szCs w:val="28"/>
                <w:highlight w:val="none"/>
              </w:rPr>
            </w:pPr>
          </w:p>
        </w:tc>
      </w:tr>
      <w:tr w14:paraId="62FB5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restart"/>
            <w:tcBorders>
              <w:bottom w:val="nil"/>
            </w:tcBorders>
            <w:vAlign w:val="center"/>
          </w:tcPr>
          <w:p w14:paraId="71B18A5D">
            <w:pPr>
              <w:spacing w:before="91" w:line="220" w:lineRule="auto"/>
              <w:ind w:left="116"/>
              <w:jc w:val="center"/>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质量管理</w:t>
            </w:r>
          </w:p>
        </w:tc>
        <w:tc>
          <w:tcPr>
            <w:tcW w:w="1418" w:type="dxa"/>
            <w:vAlign w:val="center"/>
          </w:tcPr>
          <w:p w14:paraId="2562E846">
            <w:pPr>
              <w:pStyle w:val="98"/>
              <w:jc w:val="center"/>
              <w:rPr>
                <w:rFonts w:ascii="仿宋" w:hAnsi="仿宋" w:eastAsia="仿宋" w:cs="仿宋"/>
                <w:color w:val="auto"/>
                <w:sz w:val="28"/>
                <w:szCs w:val="28"/>
                <w:highlight w:val="none"/>
              </w:rPr>
            </w:pPr>
          </w:p>
        </w:tc>
        <w:tc>
          <w:tcPr>
            <w:tcW w:w="2012" w:type="dxa"/>
            <w:vAlign w:val="center"/>
          </w:tcPr>
          <w:p w14:paraId="17DC4742">
            <w:pPr>
              <w:pStyle w:val="98"/>
              <w:jc w:val="center"/>
              <w:rPr>
                <w:rFonts w:ascii="仿宋" w:hAnsi="仿宋" w:eastAsia="仿宋" w:cs="仿宋"/>
                <w:color w:val="auto"/>
                <w:sz w:val="28"/>
                <w:szCs w:val="28"/>
                <w:highlight w:val="none"/>
              </w:rPr>
            </w:pPr>
          </w:p>
        </w:tc>
        <w:tc>
          <w:tcPr>
            <w:tcW w:w="1416" w:type="dxa"/>
            <w:vAlign w:val="center"/>
          </w:tcPr>
          <w:p w14:paraId="09161D80">
            <w:pPr>
              <w:pStyle w:val="98"/>
              <w:jc w:val="center"/>
              <w:rPr>
                <w:rFonts w:ascii="仿宋" w:hAnsi="仿宋" w:eastAsia="仿宋" w:cs="仿宋"/>
                <w:color w:val="auto"/>
                <w:sz w:val="28"/>
                <w:szCs w:val="28"/>
                <w:highlight w:val="none"/>
              </w:rPr>
            </w:pPr>
          </w:p>
        </w:tc>
        <w:tc>
          <w:tcPr>
            <w:tcW w:w="3095" w:type="dxa"/>
            <w:vAlign w:val="center"/>
          </w:tcPr>
          <w:p w14:paraId="423504E0">
            <w:pPr>
              <w:pStyle w:val="98"/>
              <w:jc w:val="center"/>
              <w:rPr>
                <w:rFonts w:ascii="仿宋" w:hAnsi="仿宋" w:eastAsia="仿宋" w:cs="仿宋"/>
                <w:color w:val="auto"/>
                <w:sz w:val="28"/>
                <w:szCs w:val="28"/>
                <w:highlight w:val="none"/>
              </w:rPr>
            </w:pPr>
          </w:p>
        </w:tc>
      </w:tr>
      <w:tr w14:paraId="525B6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4484E1BE">
            <w:pPr>
              <w:pStyle w:val="98"/>
              <w:jc w:val="center"/>
              <w:rPr>
                <w:color w:val="auto"/>
                <w:highlight w:val="none"/>
              </w:rPr>
            </w:pPr>
          </w:p>
        </w:tc>
        <w:tc>
          <w:tcPr>
            <w:tcW w:w="1418" w:type="dxa"/>
            <w:vAlign w:val="center"/>
          </w:tcPr>
          <w:p w14:paraId="7D386A5E">
            <w:pPr>
              <w:pStyle w:val="98"/>
              <w:jc w:val="center"/>
              <w:rPr>
                <w:rFonts w:ascii="仿宋" w:hAnsi="仿宋" w:eastAsia="仿宋" w:cs="仿宋"/>
                <w:color w:val="auto"/>
                <w:sz w:val="28"/>
                <w:szCs w:val="28"/>
                <w:highlight w:val="none"/>
              </w:rPr>
            </w:pPr>
          </w:p>
        </w:tc>
        <w:tc>
          <w:tcPr>
            <w:tcW w:w="2012" w:type="dxa"/>
            <w:vAlign w:val="center"/>
          </w:tcPr>
          <w:p w14:paraId="5394DE01">
            <w:pPr>
              <w:pStyle w:val="98"/>
              <w:jc w:val="center"/>
              <w:rPr>
                <w:rFonts w:ascii="仿宋" w:hAnsi="仿宋" w:eastAsia="仿宋" w:cs="仿宋"/>
                <w:color w:val="auto"/>
                <w:sz w:val="28"/>
                <w:szCs w:val="28"/>
                <w:highlight w:val="none"/>
              </w:rPr>
            </w:pPr>
          </w:p>
        </w:tc>
        <w:tc>
          <w:tcPr>
            <w:tcW w:w="1416" w:type="dxa"/>
            <w:vAlign w:val="center"/>
          </w:tcPr>
          <w:p w14:paraId="579E4821">
            <w:pPr>
              <w:pStyle w:val="98"/>
              <w:jc w:val="center"/>
              <w:rPr>
                <w:rFonts w:ascii="仿宋" w:hAnsi="仿宋" w:eastAsia="仿宋" w:cs="仿宋"/>
                <w:color w:val="auto"/>
                <w:sz w:val="28"/>
                <w:szCs w:val="28"/>
                <w:highlight w:val="none"/>
              </w:rPr>
            </w:pPr>
          </w:p>
        </w:tc>
        <w:tc>
          <w:tcPr>
            <w:tcW w:w="3095" w:type="dxa"/>
            <w:vAlign w:val="center"/>
          </w:tcPr>
          <w:p w14:paraId="12E5C27D">
            <w:pPr>
              <w:pStyle w:val="98"/>
              <w:jc w:val="center"/>
              <w:rPr>
                <w:rFonts w:ascii="仿宋" w:hAnsi="仿宋" w:eastAsia="仿宋" w:cs="仿宋"/>
                <w:color w:val="auto"/>
                <w:sz w:val="28"/>
                <w:szCs w:val="28"/>
                <w:highlight w:val="none"/>
              </w:rPr>
            </w:pPr>
          </w:p>
        </w:tc>
      </w:tr>
      <w:tr w14:paraId="1BFB3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continue"/>
            <w:tcBorders>
              <w:top w:val="nil"/>
            </w:tcBorders>
            <w:vAlign w:val="center"/>
          </w:tcPr>
          <w:p w14:paraId="19D2C385">
            <w:pPr>
              <w:pStyle w:val="98"/>
              <w:jc w:val="center"/>
              <w:rPr>
                <w:color w:val="auto"/>
                <w:highlight w:val="none"/>
              </w:rPr>
            </w:pPr>
          </w:p>
        </w:tc>
        <w:tc>
          <w:tcPr>
            <w:tcW w:w="1418" w:type="dxa"/>
            <w:vAlign w:val="center"/>
          </w:tcPr>
          <w:p w14:paraId="2400FEB7">
            <w:pPr>
              <w:pStyle w:val="98"/>
              <w:jc w:val="center"/>
              <w:rPr>
                <w:rFonts w:ascii="仿宋" w:hAnsi="仿宋" w:eastAsia="仿宋" w:cs="仿宋"/>
                <w:color w:val="auto"/>
                <w:sz w:val="28"/>
                <w:szCs w:val="28"/>
                <w:highlight w:val="none"/>
              </w:rPr>
            </w:pPr>
          </w:p>
        </w:tc>
        <w:tc>
          <w:tcPr>
            <w:tcW w:w="2012" w:type="dxa"/>
            <w:vAlign w:val="center"/>
          </w:tcPr>
          <w:p w14:paraId="1EB911D3">
            <w:pPr>
              <w:pStyle w:val="98"/>
              <w:jc w:val="center"/>
              <w:rPr>
                <w:rFonts w:ascii="仿宋" w:hAnsi="仿宋" w:eastAsia="仿宋" w:cs="仿宋"/>
                <w:color w:val="auto"/>
                <w:sz w:val="28"/>
                <w:szCs w:val="28"/>
                <w:highlight w:val="none"/>
              </w:rPr>
            </w:pPr>
          </w:p>
        </w:tc>
        <w:tc>
          <w:tcPr>
            <w:tcW w:w="1416" w:type="dxa"/>
            <w:vAlign w:val="center"/>
          </w:tcPr>
          <w:p w14:paraId="5D3243DD">
            <w:pPr>
              <w:pStyle w:val="98"/>
              <w:jc w:val="center"/>
              <w:rPr>
                <w:rFonts w:ascii="仿宋" w:hAnsi="仿宋" w:eastAsia="仿宋" w:cs="仿宋"/>
                <w:color w:val="auto"/>
                <w:sz w:val="28"/>
                <w:szCs w:val="28"/>
                <w:highlight w:val="none"/>
              </w:rPr>
            </w:pPr>
          </w:p>
        </w:tc>
        <w:tc>
          <w:tcPr>
            <w:tcW w:w="3095" w:type="dxa"/>
            <w:vAlign w:val="center"/>
          </w:tcPr>
          <w:p w14:paraId="1B2F91D3">
            <w:pPr>
              <w:pStyle w:val="98"/>
              <w:jc w:val="center"/>
              <w:rPr>
                <w:rFonts w:ascii="仿宋" w:hAnsi="仿宋" w:eastAsia="仿宋" w:cs="仿宋"/>
                <w:color w:val="auto"/>
                <w:sz w:val="28"/>
                <w:szCs w:val="28"/>
                <w:highlight w:val="none"/>
              </w:rPr>
            </w:pPr>
          </w:p>
        </w:tc>
      </w:tr>
      <w:tr w14:paraId="23188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Align w:val="center"/>
          </w:tcPr>
          <w:p w14:paraId="5A5B0272">
            <w:pPr>
              <w:spacing w:before="117" w:line="210" w:lineRule="auto"/>
              <w:ind w:left="109"/>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材料管理</w:t>
            </w:r>
          </w:p>
        </w:tc>
        <w:tc>
          <w:tcPr>
            <w:tcW w:w="1418" w:type="dxa"/>
            <w:vAlign w:val="center"/>
          </w:tcPr>
          <w:p w14:paraId="59E71E4C">
            <w:pPr>
              <w:pStyle w:val="98"/>
              <w:jc w:val="center"/>
              <w:rPr>
                <w:rFonts w:ascii="仿宋" w:hAnsi="仿宋" w:eastAsia="仿宋" w:cs="仿宋"/>
                <w:color w:val="auto"/>
                <w:sz w:val="28"/>
                <w:szCs w:val="28"/>
                <w:highlight w:val="none"/>
              </w:rPr>
            </w:pPr>
          </w:p>
        </w:tc>
        <w:tc>
          <w:tcPr>
            <w:tcW w:w="2012" w:type="dxa"/>
            <w:vAlign w:val="center"/>
          </w:tcPr>
          <w:p w14:paraId="0315CD95">
            <w:pPr>
              <w:pStyle w:val="98"/>
              <w:jc w:val="center"/>
              <w:rPr>
                <w:rFonts w:ascii="仿宋" w:hAnsi="仿宋" w:eastAsia="仿宋" w:cs="仿宋"/>
                <w:color w:val="auto"/>
                <w:sz w:val="28"/>
                <w:szCs w:val="28"/>
                <w:highlight w:val="none"/>
                <w:lang w:eastAsia="zh-CN"/>
              </w:rPr>
            </w:pPr>
          </w:p>
        </w:tc>
        <w:tc>
          <w:tcPr>
            <w:tcW w:w="1416" w:type="dxa"/>
            <w:vAlign w:val="center"/>
          </w:tcPr>
          <w:p w14:paraId="45177EE4">
            <w:pPr>
              <w:pStyle w:val="98"/>
              <w:jc w:val="center"/>
              <w:rPr>
                <w:rFonts w:ascii="仿宋" w:hAnsi="仿宋" w:eastAsia="仿宋" w:cs="仿宋"/>
                <w:color w:val="auto"/>
                <w:sz w:val="28"/>
                <w:szCs w:val="28"/>
                <w:highlight w:val="none"/>
              </w:rPr>
            </w:pPr>
          </w:p>
        </w:tc>
        <w:tc>
          <w:tcPr>
            <w:tcW w:w="3095" w:type="dxa"/>
            <w:vAlign w:val="center"/>
          </w:tcPr>
          <w:p w14:paraId="3147856A">
            <w:pPr>
              <w:pStyle w:val="98"/>
              <w:jc w:val="center"/>
              <w:rPr>
                <w:rFonts w:ascii="仿宋" w:hAnsi="仿宋" w:eastAsia="仿宋" w:cs="仿宋"/>
                <w:color w:val="auto"/>
                <w:sz w:val="28"/>
                <w:szCs w:val="28"/>
                <w:highlight w:val="none"/>
              </w:rPr>
            </w:pPr>
          </w:p>
        </w:tc>
      </w:tr>
      <w:tr w14:paraId="114D4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Align w:val="center"/>
          </w:tcPr>
          <w:p w14:paraId="14136281">
            <w:pPr>
              <w:spacing w:before="115" w:line="210" w:lineRule="auto"/>
              <w:ind w:left="110"/>
              <w:jc w:val="center"/>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计划管理</w:t>
            </w:r>
          </w:p>
        </w:tc>
        <w:tc>
          <w:tcPr>
            <w:tcW w:w="1418" w:type="dxa"/>
            <w:vAlign w:val="center"/>
          </w:tcPr>
          <w:p w14:paraId="78C7AE7C">
            <w:pPr>
              <w:pStyle w:val="98"/>
              <w:jc w:val="center"/>
              <w:rPr>
                <w:rFonts w:ascii="仿宋" w:hAnsi="仿宋" w:eastAsia="仿宋" w:cs="仿宋"/>
                <w:color w:val="auto"/>
                <w:sz w:val="28"/>
                <w:szCs w:val="28"/>
                <w:highlight w:val="none"/>
              </w:rPr>
            </w:pPr>
          </w:p>
        </w:tc>
        <w:tc>
          <w:tcPr>
            <w:tcW w:w="2012" w:type="dxa"/>
            <w:vAlign w:val="center"/>
          </w:tcPr>
          <w:p w14:paraId="5DC63063">
            <w:pPr>
              <w:pStyle w:val="98"/>
              <w:jc w:val="center"/>
              <w:rPr>
                <w:rFonts w:ascii="仿宋" w:hAnsi="仿宋" w:eastAsia="仿宋" w:cs="仿宋"/>
                <w:color w:val="auto"/>
                <w:sz w:val="28"/>
                <w:szCs w:val="28"/>
                <w:highlight w:val="none"/>
              </w:rPr>
            </w:pPr>
          </w:p>
        </w:tc>
        <w:tc>
          <w:tcPr>
            <w:tcW w:w="1416" w:type="dxa"/>
            <w:vAlign w:val="center"/>
          </w:tcPr>
          <w:p w14:paraId="40EE6D3B">
            <w:pPr>
              <w:pStyle w:val="98"/>
              <w:jc w:val="center"/>
              <w:rPr>
                <w:rFonts w:ascii="仿宋" w:hAnsi="仿宋" w:eastAsia="仿宋" w:cs="仿宋"/>
                <w:color w:val="auto"/>
                <w:sz w:val="28"/>
                <w:szCs w:val="28"/>
                <w:highlight w:val="none"/>
              </w:rPr>
            </w:pPr>
          </w:p>
        </w:tc>
        <w:tc>
          <w:tcPr>
            <w:tcW w:w="3095" w:type="dxa"/>
            <w:vAlign w:val="center"/>
          </w:tcPr>
          <w:p w14:paraId="74352ED8">
            <w:pPr>
              <w:pStyle w:val="98"/>
              <w:jc w:val="center"/>
              <w:rPr>
                <w:rFonts w:ascii="仿宋" w:hAnsi="仿宋" w:eastAsia="仿宋" w:cs="仿宋"/>
                <w:color w:val="auto"/>
                <w:sz w:val="28"/>
                <w:szCs w:val="28"/>
                <w:highlight w:val="none"/>
              </w:rPr>
            </w:pPr>
          </w:p>
        </w:tc>
      </w:tr>
      <w:tr w14:paraId="1C65B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restart"/>
            <w:tcBorders>
              <w:bottom w:val="nil"/>
            </w:tcBorders>
            <w:vAlign w:val="center"/>
          </w:tcPr>
          <w:p w14:paraId="39B570BA">
            <w:pPr>
              <w:pStyle w:val="98"/>
              <w:spacing w:line="412" w:lineRule="auto"/>
              <w:jc w:val="center"/>
              <w:rPr>
                <w:color w:val="auto"/>
                <w:highlight w:val="none"/>
              </w:rPr>
            </w:pPr>
          </w:p>
          <w:p w14:paraId="33D484AD">
            <w:pPr>
              <w:spacing w:before="91" w:line="220" w:lineRule="auto"/>
              <w:ind w:left="113"/>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安全管理</w:t>
            </w:r>
          </w:p>
        </w:tc>
        <w:tc>
          <w:tcPr>
            <w:tcW w:w="1418" w:type="dxa"/>
            <w:vAlign w:val="center"/>
          </w:tcPr>
          <w:p w14:paraId="06C24B6D">
            <w:pPr>
              <w:pStyle w:val="98"/>
              <w:jc w:val="center"/>
              <w:rPr>
                <w:rFonts w:ascii="仿宋" w:hAnsi="仿宋" w:eastAsia="仿宋" w:cs="仿宋"/>
                <w:color w:val="auto"/>
                <w:sz w:val="28"/>
                <w:szCs w:val="28"/>
                <w:highlight w:val="none"/>
              </w:rPr>
            </w:pPr>
          </w:p>
        </w:tc>
        <w:tc>
          <w:tcPr>
            <w:tcW w:w="2012" w:type="dxa"/>
            <w:vAlign w:val="center"/>
          </w:tcPr>
          <w:p w14:paraId="30C09705">
            <w:pPr>
              <w:pStyle w:val="98"/>
              <w:jc w:val="center"/>
              <w:rPr>
                <w:rFonts w:ascii="仿宋" w:hAnsi="仿宋" w:eastAsia="仿宋" w:cs="仿宋"/>
                <w:color w:val="auto"/>
                <w:sz w:val="28"/>
                <w:szCs w:val="28"/>
                <w:highlight w:val="none"/>
                <w:lang w:eastAsia="zh-CN"/>
              </w:rPr>
            </w:pPr>
          </w:p>
        </w:tc>
        <w:tc>
          <w:tcPr>
            <w:tcW w:w="1416" w:type="dxa"/>
            <w:vAlign w:val="center"/>
          </w:tcPr>
          <w:p w14:paraId="43EA2822">
            <w:pPr>
              <w:pStyle w:val="98"/>
              <w:jc w:val="center"/>
              <w:rPr>
                <w:rFonts w:ascii="仿宋" w:hAnsi="仿宋" w:eastAsia="仿宋" w:cs="仿宋"/>
                <w:color w:val="auto"/>
                <w:sz w:val="28"/>
                <w:szCs w:val="28"/>
                <w:highlight w:val="none"/>
              </w:rPr>
            </w:pPr>
          </w:p>
        </w:tc>
        <w:tc>
          <w:tcPr>
            <w:tcW w:w="3095" w:type="dxa"/>
            <w:vAlign w:val="center"/>
          </w:tcPr>
          <w:p w14:paraId="5CA6C15F">
            <w:pPr>
              <w:pStyle w:val="98"/>
              <w:jc w:val="center"/>
              <w:rPr>
                <w:rFonts w:ascii="仿宋" w:hAnsi="仿宋" w:eastAsia="仿宋" w:cs="仿宋"/>
                <w:color w:val="auto"/>
                <w:sz w:val="28"/>
                <w:szCs w:val="28"/>
                <w:highlight w:val="none"/>
              </w:rPr>
            </w:pPr>
          </w:p>
        </w:tc>
      </w:tr>
      <w:tr w14:paraId="2B223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continue"/>
            <w:tcBorders>
              <w:top w:val="nil"/>
              <w:bottom w:val="nil"/>
            </w:tcBorders>
            <w:vAlign w:val="center"/>
          </w:tcPr>
          <w:p w14:paraId="6CBB1364">
            <w:pPr>
              <w:pStyle w:val="98"/>
              <w:jc w:val="center"/>
              <w:rPr>
                <w:color w:val="auto"/>
                <w:highlight w:val="none"/>
              </w:rPr>
            </w:pPr>
          </w:p>
        </w:tc>
        <w:tc>
          <w:tcPr>
            <w:tcW w:w="1418" w:type="dxa"/>
            <w:vAlign w:val="center"/>
          </w:tcPr>
          <w:p w14:paraId="45CE1747">
            <w:pPr>
              <w:pStyle w:val="98"/>
              <w:jc w:val="center"/>
              <w:rPr>
                <w:rFonts w:ascii="仿宋" w:hAnsi="仿宋" w:eastAsia="仿宋" w:cs="仿宋"/>
                <w:color w:val="auto"/>
                <w:sz w:val="28"/>
                <w:szCs w:val="28"/>
                <w:highlight w:val="none"/>
              </w:rPr>
            </w:pPr>
          </w:p>
        </w:tc>
        <w:tc>
          <w:tcPr>
            <w:tcW w:w="2012" w:type="dxa"/>
            <w:vAlign w:val="center"/>
          </w:tcPr>
          <w:p w14:paraId="049F21B5">
            <w:pPr>
              <w:pStyle w:val="98"/>
              <w:jc w:val="center"/>
              <w:rPr>
                <w:rFonts w:ascii="仿宋" w:hAnsi="仿宋" w:eastAsia="仿宋" w:cs="仿宋"/>
                <w:color w:val="auto"/>
                <w:sz w:val="28"/>
                <w:szCs w:val="28"/>
                <w:highlight w:val="none"/>
                <w:lang w:eastAsia="zh-CN"/>
              </w:rPr>
            </w:pPr>
          </w:p>
        </w:tc>
        <w:tc>
          <w:tcPr>
            <w:tcW w:w="1416" w:type="dxa"/>
            <w:vAlign w:val="center"/>
          </w:tcPr>
          <w:p w14:paraId="2094DEA0">
            <w:pPr>
              <w:pStyle w:val="98"/>
              <w:jc w:val="center"/>
              <w:rPr>
                <w:rFonts w:ascii="仿宋" w:hAnsi="仿宋" w:eastAsia="仿宋" w:cs="仿宋"/>
                <w:color w:val="auto"/>
                <w:sz w:val="28"/>
                <w:szCs w:val="28"/>
                <w:highlight w:val="none"/>
              </w:rPr>
            </w:pPr>
          </w:p>
        </w:tc>
        <w:tc>
          <w:tcPr>
            <w:tcW w:w="3095" w:type="dxa"/>
            <w:vAlign w:val="center"/>
          </w:tcPr>
          <w:p w14:paraId="742E245C">
            <w:pPr>
              <w:pStyle w:val="98"/>
              <w:jc w:val="center"/>
              <w:rPr>
                <w:rFonts w:ascii="仿宋" w:hAnsi="仿宋" w:eastAsia="仿宋" w:cs="仿宋"/>
                <w:color w:val="auto"/>
                <w:sz w:val="28"/>
                <w:szCs w:val="28"/>
                <w:highlight w:val="none"/>
              </w:rPr>
            </w:pPr>
          </w:p>
        </w:tc>
      </w:tr>
      <w:tr w14:paraId="22BE2F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tcBorders>
            <w:vAlign w:val="center"/>
          </w:tcPr>
          <w:p w14:paraId="7E52D5AF">
            <w:pPr>
              <w:pStyle w:val="98"/>
              <w:jc w:val="center"/>
              <w:rPr>
                <w:color w:val="auto"/>
                <w:highlight w:val="none"/>
              </w:rPr>
            </w:pPr>
          </w:p>
        </w:tc>
        <w:tc>
          <w:tcPr>
            <w:tcW w:w="1418" w:type="dxa"/>
            <w:vAlign w:val="center"/>
          </w:tcPr>
          <w:p w14:paraId="6FC79DFB">
            <w:pPr>
              <w:pStyle w:val="98"/>
              <w:jc w:val="center"/>
              <w:rPr>
                <w:rFonts w:ascii="仿宋" w:hAnsi="仿宋" w:eastAsia="仿宋" w:cs="仿宋"/>
                <w:color w:val="auto"/>
                <w:sz w:val="28"/>
                <w:szCs w:val="28"/>
                <w:highlight w:val="none"/>
              </w:rPr>
            </w:pPr>
          </w:p>
        </w:tc>
        <w:tc>
          <w:tcPr>
            <w:tcW w:w="2012" w:type="dxa"/>
            <w:vAlign w:val="center"/>
          </w:tcPr>
          <w:p w14:paraId="42E3A9ED">
            <w:pPr>
              <w:pStyle w:val="98"/>
              <w:jc w:val="center"/>
              <w:rPr>
                <w:rFonts w:ascii="仿宋" w:hAnsi="仿宋" w:eastAsia="仿宋" w:cs="仿宋"/>
                <w:color w:val="auto"/>
                <w:sz w:val="28"/>
                <w:szCs w:val="28"/>
                <w:highlight w:val="none"/>
              </w:rPr>
            </w:pPr>
          </w:p>
        </w:tc>
        <w:tc>
          <w:tcPr>
            <w:tcW w:w="1416" w:type="dxa"/>
            <w:vAlign w:val="center"/>
          </w:tcPr>
          <w:p w14:paraId="12B3245D">
            <w:pPr>
              <w:pStyle w:val="98"/>
              <w:jc w:val="center"/>
              <w:rPr>
                <w:rFonts w:ascii="仿宋" w:hAnsi="仿宋" w:eastAsia="仿宋" w:cs="仿宋"/>
                <w:color w:val="auto"/>
                <w:sz w:val="28"/>
                <w:szCs w:val="28"/>
                <w:highlight w:val="none"/>
              </w:rPr>
            </w:pPr>
          </w:p>
        </w:tc>
        <w:tc>
          <w:tcPr>
            <w:tcW w:w="3095" w:type="dxa"/>
            <w:vAlign w:val="center"/>
          </w:tcPr>
          <w:p w14:paraId="2073D8DE">
            <w:pPr>
              <w:pStyle w:val="98"/>
              <w:jc w:val="center"/>
              <w:rPr>
                <w:rFonts w:ascii="仿宋" w:hAnsi="仿宋" w:eastAsia="仿宋" w:cs="仿宋"/>
                <w:color w:val="auto"/>
                <w:sz w:val="28"/>
                <w:szCs w:val="28"/>
                <w:highlight w:val="none"/>
              </w:rPr>
            </w:pPr>
          </w:p>
        </w:tc>
      </w:tr>
      <w:tr w14:paraId="6F48C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restart"/>
            <w:tcBorders>
              <w:bottom w:val="nil"/>
            </w:tcBorders>
            <w:vAlign w:val="center"/>
          </w:tcPr>
          <w:p w14:paraId="7FD71234">
            <w:pPr>
              <w:pStyle w:val="98"/>
              <w:spacing w:line="285" w:lineRule="auto"/>
              <w:jc w:val="center"/>
              <w:rPr>
                <w:color w:val="auto"/>
                <w:highlight w:val="none"/>
              </w:rPr>
            </w:pPr>
          </w:p>
          <w:p w14:paraId="5BD2AF51">
            <w:pPr>
              <w:pStyle w:val="98"/>
              <w:spacing w:line="286" w:lineRule="auto"/>
              <w:jc w:val="center"/>
              <w:rPr>
                <w:color w:val="auto"/>
                <w:highlight w:val="none"/>
              </w:rPr>
            </w:pPr>
          </w:p>
          <w:p w14:paraId="73AA54D1">
            <w:pPr>
              <w:pStyle w:val="98"/>
              <w:spacing w:line="286" w:lineRule="auto"/>
              <w:jc w:val="center"/>
              <w:rPr>
                <w:color w:val="auto"/>
                <w:highlight w:val="none"/>
              </w:rPr>
            </w:pPr>
          </w:p>
          <w:p w14:paraId="75B74BEA">
            <w:pPr>
              <w:pStyle w:val="98"/>
              <w:spacing w:line="286" w:lineRule="auto"/>
              <w:jc w:val="center"/>
              <w:rPr>
                <w:color w:val="auto"/>
                <w:highlight w:val="none"/>
              </w:rPr>
            </w:pPr>
          </w:p>
          <w:p w14:paraId="106145F4">
            <w:pPr>
              <w:spacing w:before="91" w:line="218" w:lineRule="auto"/>
              <w:ind w:left="112"/>
              <w:jc w:val="center"/>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418" w:type="dxa"/>
            <w:vAlign w:val="center"/>
          </w:tcPr>
          <w:p w14:paraId="79AD16B6">
            <w:pPr>
              <w:pStyle w:val="98"/>
              <w:jc w:val="center"/>
              <w:rPr>
                <w:rFonts w:ascii="仿宋" w:hAnsi="仿宋" w:eastAsia="仿宋" w:cs="仿宋"/>
                <w:color w:val="auto"/>
                <w:sz w:val="28"/>
                <w:szCs w:val="28"/>
                <w:highlight w:val="none"/>
              </w:rPr>
            </w:pPr>
          </w:p>
        </w:tc>
        <w:tc>
          <w:tcPr>
            <w:tcW w:w="2012" w:type="dxa"/>
            <w:vAlign w:val="center"/>
          </w:tcPr>
          <w:p w14:paraId="63D035FD">
            <w:pPr>
              <w:pStyle w:val="98"/>
              <w:jc w:val="center"/>
              <w:rPr>
                <w:rFonts w:ascii="仿宋" w:hAnsi="仿宋" w:eastAsia="仿宋" w:cs="仿宋"/>
                <w:color w:val="auto"/>
                <w:sz w:val="28"/>
                <w:szCs w:val="28"/>
                <w:highlight w:val="none"/>
              </w:rPr>
            </w:pPr>
          </w:p>
        </w:tc>
        <w:tc>
          <w:tcPr>
            <w:tcW w:w="1416" w:type="dxa"/>
            <w:vAlign w:val="center"/>
          </w:tcPr>
          <w:p w14:paraId="49C53854">
            <w:pPr>
              <w:pStyle w:val="98"/>
              <w:jc w:val="center"/>
              <w:rPr>
                <w:rFonts w:ascii="仿宋" w:hAnsi="仿宋" w:eastAsia="仿宋" w:cs="仿宋"/>
                <w:color w:val="auto"/>
                <w:sz w:val="28"/>
                <w:szCs w:val="28"/>
                <w:highlight w:val="none"/>
              </w:rPr>
            </w:pPr>
          </w:p>
        </w:tc>
        <w:tc>
          <w:tcPr>
            <w:tcW w:w="3095" w:type="dxa"/>
            <w:vAlign w:val="center"/>
          </w:tcPr>
          <w:p w14:paraId="0DEE801B">
            <w:pPr>
              <w:pStyle w:val="98"/>
              <w:jc w:val="center"/>
              <w:rPr>
                <w:rFonts w:ascii="仿宋" w:hAnsi="仿宋" w:eastAsia="仿宋" w:cs="仿宋"/>
                <w:color w:val="auto"/>
                <w:sz w:val="28"/>
                <w:szCs w:val="28"/>
                <w:highlight w:val="none"/>
              </w:rPr>
            </w:pPr>
          </w:p>
        </w:tc>
      </w:tr>
      <w:tr w14:paraId="537F1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01894E7B">
            <w:pPr>
              <w:pStyle w:val="98"/>
              <w:jc w:val="center"/>
              <w:rPr>
                <w:color w:val="auto"/>
                <w:highlight w:val="none"/>
              </w:rPr>
            </w:pPr>
          </w:p>
        </w:tc>
        <w:tc>
          <w:tcPr>
            <w:tcW w:w="1418" w:type="dxa"/>
            <w:vAlign w:val="center"/>
          </w:tcPr>
          <w:p w14:paraId="3838BE07">
            <w:pPr>
              <w:pStyle w:val="98"/>
              <w:jc w:val="center"/>
              <w:rPr>
                <w:rFonts w:ascii="仿宋" w:hAnsi="仿宋" w:eastAsia="仿宋" w:cs="仿宋"/>
                <w:color w:val="auto"/>
                <w:sz w:val="28"/>
                <w:szCs w:val="28"/>
                <w:highlight w:val="none"/>
              </w:rPr>
            </w:pPr>
          </w:p>
        </w:tc>
        <w:tc>
          <w:tcPr>
            <w:tcW w:w="2012" w:type="dxa"/>
            <w:vAlign w:val="center"/>
          </w:tcPr>
          <w:p w14:paraId="1EB69F57">
            <w:pPr>
              <w:pStyle w:val="98"/>
              <w:jc w:val="center"/>
              <w:rPr>
                <w:rFonts w:ascii="仿宋" w:hAnsi="仿宋" w:eastAsia="仿宋" w:cs="仿宋"/>
                <w:color w:val="auto"/>
                <w:sz w:val="28"/>
                <w:szCs w:val="28"/>
                <w:highlight w:val="none"/>
              </w:rPr>
            </w:pPr>
          </w:p>
        </w:tc>
        <w:tc>
          <w:tcPr>
            <w:tcW w:w="1416" w:type="dxa"/>
            <w:vAlign w:val="center"/>
          </w:tcPr>
          <w:p w14:paraId="55FD9915">
            <w:pPr>
              <w:pStyle w:val="98"/>
              <w:jc w:val="center"/>
              <w:rPr>
                <w:rFonts w:ascii="仿宋" w:hAnsi="仿宋" w:eastAsia="仿宋" w:cs="仿宋"/>
                <w:color w:val="auto"/>
                <w:sz w:val="28"/>
                <w:szCs w:val="28"/>
                <w:highlight w:val="none"/>
              </w:rPr>
            </w:pPr>
          </w:p>
        </w:tc>
        <w:tc>
          <w:tcPr>
            <w:tcW w:w="3095" w:type="dxa"/>
            <w:vAlign w:val="center"/>
          </w:tcPr>
          <w:p w14:paraId="6313A36C">
            <w:pPr>
              <w:pStyle w:val="98"/>
              <w:jc w:val="center"/>
              <w:rPr>
                <w:rFonts w:ascii="仿宋" w:hAnsi="仿宋" w:eastAsia="仿宋" w:cs="仿宋"/>
                <w:color w:val="auto"/>
                <w:sz w:val="28"/>
                <w:szCs w:val="28"/>
                <w:highlight w:val="none"/>
              </w:rPr>
            </w:pPr>
          </w:p>
        </w:tc>
      </w:tr>
      <w:tr w14:paraId="0B818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jc w:val="center"/>
        </w:trPr>
        <w:tc>
          <w:tcPr>
            <w:tcW w:w="1876" w:type="dxa"/>
            <w:vMerge w:val="continue"/>
            <w:tcBorders>
              <w:top w:val="nil"/>
              <w:bottom w:val="nil"/>
            </w:tcBorders>
            <w:vAlign w:val="center"/>
          </w:tcPr>
          <w:p w14:paraId="6EC2EF0D">
            <w:pPr>
              <w:pStyle w:val="98"/>
              <w:jc w:val="center"/>
              <w:rPr>
                <w:color w:val="auto"/>
                <w:highlight w:val="none"/>
              </w:rPr>
            </w:pPr>
          </w:p>
        </w:tc>
        <w:tc>
          <w:tcPr>
            <w:tcW w:w="1418" w:type="dxa"/>
            <w:vAlign w:val="center"/>
          </w:tcPr>
          <w:p w14:paraId="42D91A5F">
            <w:pPr>
              <w:pStyle w:val="98"/>
              <w:jc w:val="center"/>
              <w:rPr>
                <w:color w:val="auto"/>
                <w:highlight w:val="none"/>
              </w:rPr>
            </w:pPr>
          </w:p>
        </w:tc>
        <w:tc>
          <w:tcPr>
            <w:tcW w:w="2012" w:type="dxa"/>
            <w:vAlign w:val="center"/>
          </w:tcPr>
          <w:p w14:paraId="39969ED8">
            <w:pPr>
              <w:pStyle w:val="98"/>
              <w:jc w:val="center"/>
              <w:rPr>
                <w:color w:val="auto"/>
                <w:highlight w:val="none"/>
              </w:rPr>
            </w:pPr>
          </w:p>
        </w:tc>
        <w:tc>
          <w:tcPr>
            <w:tcW w:w="1416" w:type="dxa"/>
            <w:vAlign w:val="center"/>
          </w:tcPr>
          <w:p w14:paraId="77A2FD74">
            <w:pPr>
              <w:pStyle w:val="98"/>
              <w:jc w:val="center"/>
              <w:rPr>
                <w:color w:val="auto"/>
                <w:highlight w:val="none"/>
              </w:rPr>
            </w:pPr>
          </w:p>
        </w:tc>
        <w:tc>
          <w:tcPr>
            <w:tcW w:w="3095" w:type="dxa"/>
            <w:vAlign w:val="center"/>
          </w:tcPr>
          <w:p w14:paraId="2F8502E4">
            <w:pPr>
              <w:pStyle w:val="98"/>
              <w:jc w:val="center"/>
              <w:rPr>
                <w:color w:val="auto"/>
                <w:highlight w:val="none"/>
              </w:rPr>
            </w:pPr>
          </w:p>
        </w:tc>
      </w:tr>
      <w:tr w14:paraId="0DD0C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1876" w:type="dxa"/>
            <w:vMerge w:val="continue"/>
            <w:tcBorders>
              <w:top w:val="nil"/>
              <w:bottom w:val="nil"/>
            </w:tcBorders>
            <w:vAlign w:val="center"/>
          </w:tcPr>
          <w:p w14:paraId="2CBE37D9">
            <w:pPr>
              <w:pStyle w:val="98"/>
              <w:jc w:val="center"/>
              <w:rPr>
                <w:color w:val="auto"/>
                <w:highlight w:val="none"/>
              </w:rPr>
            </w:pPr>
          </w:p>
        </w:tc>
        <w:tc>
          <w:tcPr>
            <w:tcW w:w="1418" w:type="dxa"/>
            <w:vAlign w:val="center"/>
          </w:tcPr>
          <w:p w14:paraId="72FA94BF">
            <w:pPr>
              <w:pStyle w:val="98"/>
              <w:jc w:val="center"/>
              <w:rPr>
                <w:color w:val="auto"/>
                <w:highlight w:val="none"/>
              </w:rPr>
            </w:pPr>
          </w:p>
        </w:tc>
        <w:tc>
          <w:tcPr>
            <w:tcW w:w="2012" w:type="dxa"/>
            <w:vAlign w:val="center"/>
          </w:tcPr>
          <w:p w14:paraId="7CE2CA7B">
            <w:pPr>
              <w:pStyle w:val="98"/>
              <w:jc w:val="center"/>
              <w:rPr>
                <w:color w:val="auto"/>
                <w:highlight w:val="none"/>
              </w:rPr>
            </w:pPr>
          </w:p>
        </w:tc>
        <w:tc>
          <w:tcPr>
            <w:tcW w:w="1416" w:type="dxa"/>
            <w:vAlign w:val="center"/>
          </w:tcPr>
          <w:p w14:paraId="219823D8">
            <w:pPr>
              <w:pStyle w:val="98"/>
              <w:jc w:val="center"/>
              <w:rPr>
                <w:color w:val="auto"/>
                <w:highlight w:val="none"/>
              </w:rPr>
            </w:pPr>
          </w:p>
        </w:tc>
        <w:tc>
          <w:tcPr>
            <w:tcW w:w="3095" w:type="dxa"/>
            <w:vAlign w:val="center"/>
          </w:tcPr>
          <w:p w14:paraId="2B26FE1D">
            <w:pPr>
              <w:pStyle w:val="98"/>
              <w:jc w:val="center"/>
              <w:rPr>
                <w:color w:val="auto"/>
                <w:highlight w:val="none"/>
              </w:rPr>
            </w:pPr>
          </w:p>
        </w:tc>
      </w:tr>
      <w:tr w14:paraId="45ABF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jc w:val="center"/>
        </w:trPr>
        <w:tc>
          <w:tcPr>
            <w:tcW w:w="1876" w:type="dxa"/>
            <w:vMerge w:val="continue"/>
            <w:tcBorders>
              <w:top w:val="nil"/>
              <w:bottom w:val="nil"/>
            </w:tcBorders>
            <w:vAlign w:val="center"/>
          </w:tcPr>
          <w:p w14:paraId="62DA824B">
            <w:pPr>
              <w:pStyle w:val="98"/>
              <w:jc w:val="center"/>
              <w:rPr>
                <w:color w:val="auto"/>
                <w:highlight w:val="none"/>
              </w:rPr>
            </w:pPr>
          </w:p>
        </w:tc>
        <w:tc>
          <w:tcPr>
            <w:tcW w:w="1418" w:type="dxa"/>
            <w:vAlign w:val="center"/>
          </w:tcPr>
          <w:p w14:paraId="3D63DDC6">
            <w:pPr>
              <w:pStyle w:val="98"/>
              <w:jc w:val="center"/>
              <w:rPr>
                <w:color w:val="auto"/>
                <w:highlight w:val="none"/>
              </w:rPr>
            </w:pPr>
          </w:p>
        </w:tc>
        <w:tc>
          <w:tcPr>
            <w:tcW w:w="2012" w:type="dxa"/>
            <w:vAlign w:val="center"/>
          </w:tcPr>
          <w:p w14:paraId="7C4B0FC2">
            <w:pPr>
              <w:pStyle w:val="98"/>
              <w:jc w:val="center"/>
              <w:rPr>
                <w:color w:val="auto"/>
                <w:highlight w:val="none"/>
              </w:rPr>
            </w:pPr>
          </w:p>
        </w:tc>
        <w:tc>
          <w:tcPr>
            <w:tcW w:w="1416" w:type="dxa"/>
            <w:vAlign w:val="center"/>
          </w:tcPr>
          <w:p w14:paraId="1B73E10F">
            <w:pPr>
              <w:pStyle w:val="98"/>
              <w:jc w:val="center"/>
              <w:rPr>
                <w:color w:val="auto"/>
                <w:highlight w:val="none"/>
              </w:rPr>
            </w:pPr>
          </w:p>
        </w:tc>
        <w:tc>
          <w:tcPr>
            <w:tcW w:w="3095" w:type="dxa"/>
            <w:vAlign w:val="center"/>
          </w:tcPr>
          <w:p w14:paraId="023369E2">
            <w:pPr>
              <w:pStyle w:val="98"/>
              <w:jc w:val="center"/>
              <w:rPr>
                <w:color w:val="auto"/>
                <w:highlight w:val="none"/>
              </w:rPr>
            </w:pPr>
          </w:p>
        </w:tc>
      </w:tr>
      <w:tr w14:paraId="69353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1876" w:type="dxa"/>
            <w:vMerge w:val="continue"/>
            <w:tcBorders>
              <w:top w:val="nil"/>
            </w:tcBorders>
            <w:vAlign w:val="center"/>
          </w:tcPr>
          <w:p w14:paraId="2456428A">
            <w:pPr>
              <w:pStyle w:val="98"/>
              <w:jc w:val="center"/>
              <w:rPr>
                <w:color w:val="auto"/>
                <w:highlight w:val="none"/>
              </w:rPr>
            </w:pPr>
          </w:p>
        </w:tc>
        <w:tc>
          <w:tcPr>
            <w:tcW w:w="1418" w:type="dxa"/>
            <w:vAlign w:val="center"/>
          </w:tcPr>
          <w:p w14:paraId="7C4880DA">
            <w:pPr>
              <w:pStyle w:val="98"/>
              <w:jc w:val="center"/>
              <w:rPr>
                <w:color w:val="auto"/>
                <w:highlight w:val="none"/>
              </w:rPr>
            </w:pPr>
          </w:p>
        </w:tc>
        <w:tc>
          <w:tcPr>
            <w:tcW w:w="2012" w:type="dxa"/>
            <w:vAlign w:val="center"/>
          </w:tcPr>
          <w:p w14:paraId="46AB9A01">
            <w:pPr>
              <w:pStyle w:val="98"/>
              <w:jc w:val="center"/>
              <w:rPr>
                <w:color w:val="auto"/>
                <w:highlight w:val="none"/>
              </w:rPr>
            </w:pPr>
          </w:p>
        </w:tc>
        <w:tc>
          <w:tcPr>
            <w:tcW w:w="1416" w:type="dxa"/>
            <w:vAlign w:val="center"/>
          </w:tcPr>
          <w:p w14:paraId="181BB943">
            <w:pPr>
              <w:pStyle w:val="98"/>
              <w:jc w:val="center"/>
              <w:rPr>
                <w:color w:val="auto"/>
                <w:highlight w:val="none"/>
              </w:rPr>
            </w:pPr>
          </w:p>
        </w:tc>
        <w:tc>
          <w:tcPr>
            <w:tcW w:w="3095" w:type="dxa"/>
            <w:vAlign w:val="center"/>
          </w:tcPr>
          <w:p w14:paraId="6C08960D">
            <w:pPr>
              <w:pStyle w:val="98"/>
              <w:jc w:val="center"/>
              <w:rPr>
                <w:color w:val="auto"/>
                <w:highlight w:val="none"/>
              </w:rPr>
            </w:pPr>
          </w:p>
        </w:tc>
      </w:tr>
    </w:tbl>
    <w:p w14:paraId="7CC6A70C">
      <w:pPr>
        <w:rPr>
          <w:color w:val="auto"/>
          <w:highlight w:val="none"/>
        </w:rPr>
      </w:pPr>
    </w:p>
    <w:p w14:paraId="1027CC93">
      <w:pPr>
        <w:rPr>
          <w:rFonts w:ascii="仿宋" w:hAnsi="仿宋" w:eastAsia="仿宋" w:cs="仿宋"/>
          <w:color w:val="auto"/>
          <w:spacing w:val="-13"/>
          <w:sz w:val="30"/>
          <w:szCs w:val="30"/>
          <w:highlight w:val="none"/>
        </w:rPr>
      </w:pPr>
      <w:r>
        <w:rPr>
          <w:rFonts w:ascii="仿宋" w:hAnsi="仿宋" w:eastAsia="仿宋" w:cs="仿宋"/>
          <w:color w:val="auto"/>
          <w:spacing w:val="-13"/>
          <w:sz w:val="30"/>
          <w:szCs w:val="30"/>
          <w:highlight w:val="none"/>
        </w:rPr>
        <w:br w:type="page"/>
      </w:r>
    </w:p>
    <w:p w14:paraId="66398EC6">
      <w:pPr>
        <w:spacing w:before="98" w:line="218" w:lineRule="auto"/>
        <w:rPr>
          <w:rFonts w:ascii="仿宋" w:hAnsi="仿宋" w:eastAsia="仿宋" w:cs="仿宋"/>
          <w:color w:val="auto"/>
          <w:sz w:val="30"/>
          <w:szCs w:val="30"/>
          <w:highlight w:val="none"/>
        </w:rPr>
      </w:pPr>
      <w:r>
        <w:rPr>
          <w:rFonts w:ascii="仿宋" w:hAnsi="仿宋" w:eastAsia="仿宋" w:cs="仿宋"/>
          <w:color w:val="auto"/>
          <w:spacing w:val="-13"/>
          <w:sz w:val="30"/>
          <w:szCs w:val="30"/>
          <w:highlight w:val="none"/>
        </w:rPr>
        <w:t>附件</w:t>
      </w:r>
      <w:r>
        <w:rPr>
          <w:rFonts w:ascii="Calibri" w:hAnsi="Calibri" w:eastAsia="Calibri" w:cs="Calibri"/>
          <w:color w:val="auto"/>
          <w:spacing w:val="-13"/>
          <w:sz w:val="30"/>
          <w:szCs w:val="30"/>
          <w:highlight w:val="none"/>
        </w:rPr>
        <w:t>6</w:t>
      </w:r>
      <w:r>
        <w:rPr>
          <w:rFonts w:ascii="仿宋" w:hAnsi="仿宋" w:eastAsia="仿宋" w:cs="仿宋"/>
          <w:color w:val="auto"/>
          <w:spacing w:val="-13"/>
          <w:sz w:val="30"/>
          <w:szCs w:val="30"/>
          <w:highlight w:val="none"/>
        </w:rPr>
        <w:t>：</w:t>
      </w:r>
    </w:p>
    <w:p w14:paraId="7664424E">
      <w:pPr>
        <w:spacing w:before="204" w:line="218" w:lineRule="auto"/>
        <w:ind w:left="3130"/>
        <w:rPr>
          <w:rFonts w:ascii="黑体" w:hAnsi="黑体" w:eastAsia="黑体" w:cs="黑体"/>
          <w:color w:val="auto"/>
          <w:sz w:val="30"/>
          <w:szCs w:val="30"/>
          <w:highlight w:val="none"/>
          <w:lang w:eastAsia="zh-CN"/>
        </w:rPr>
      </w:pPr>
      <w:r>
        <w:rPr>
          <w:rFonts w:ascii="黑体" w:hAnsi="黑体" w:eastAsia="黑体" w:cs="黑体"/>
          <w:color w:val="auto"/>
          <w:spacing w:val="-2"/>
          <w:sz w:val="30"/>
          <w:szCs w:val="30"/>
          <w:highlight w:val="none"/>
          <w:lang w:eastAsia="zh-CN"/>
        </w:rPr>
        <w:t>分包人主要施工管理人员表</w:t>
      </w:r>
    </w:p>
    <w:p w14:paraId="241825EC">
      <w:pPr>
        <w:spacing w:line="112" w:lineRule="exact"/>
        <w:rPr>
          <w:color w:val="auto"/>
          <w:highlight w:val="none"/>
          <w:lang w:eastAsia="zh-CN"/>
        </w:rPr>
      </w:pPr>
    </w:p>
    <w:tbl>
      <w:tblPr>
        <w:tblStyle w:val="88"/>
        <w:tblW w:w="88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6"/>
        <w:gridCol w:w="1282"/>
        <w:gridCol w:w="1024"/>
        <w:gridCol w:w="1026"/>
        <w:gridCol w:w="3850"/>
      </w:tblGrid>
      <w:tr w14:paraId="7158F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696" w:type="dxa"/>
          </w:tcPr>
          <w:p w14:paraId="55FD47DF">
            <w:pPr>
              <w:spacing w:before="116" w:line="212" w:lineRule="auto"/>
              <w:ind w:left="111"/>
              <w:rPr>
                <w:rFonts w:ascii="仿宋" w:hAnsi="仿宋" w:eastAsia="仿宋" w:cs="仿宋"/>
                <w:color w:val="auto"/>
                <w:sz w:val="28"/>
                <w:szCs w:val="28"/>
                <w:highlight w:val="none"/>
              </w:rPr>
            </w:pPr>
            <w:r>
              <w:rPr>
                <w:rFonts w:ascii="仿宋" w:hAnsi="仿宋" w:eastAsia="仿宋" w:cs="仿宋"/>
                <w:color w:val="auto"/>
                <w:spacing w:val="-10"/>
                <w:sz w:val="28"/>
                <w:szCs w:val="28"/>
                <w:highlight w:val="none"/>
              </w:rPr>
              <w:t>名称</w:t>
            </w:r>
          </w:p>
        </w:tc>
        <w:tc>
          <w:tcPr>
            <w:tcW w:w="1282" w:type="dxa"/>
          </w:tcPr>
          <w:p w14:paraId="778D0280">
            <w:pPr>
              <w:spacing w:before="116" w:line="212" w:lineRule="auto"/>
              <w:ind w:left="105"/>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姓名</w:t>
            </w:r>
          </w:p>
        </w:tc>
        <w:tc>
          <w:tcPr>
            <w:tcW w:w="1024" w:type="dxa"/>
          </w:tcPr>
          <w:p w14:paraId="0AEBAADF">
            <w:pPr>
              <w:spacing w:before="100" w:line="208" w:lineRule="auto"/>
              <w:ind w:left="104"/>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职务</w:t>
            </w:r>
          </w:p>
        </w:tc>
        <w:tc>
          <w:tcPr>
            <w:tcW w:w="1026" w:type="dxa"/>
          </w:tcPr>
          <w:p w14:paraId="628B000C">
            <w:pPr>
              <w:spacing w:before="100" w:line="208" w:lineRule="auto"/>
              <w:ind w:left="108"/>
              <w:rPr>
                <w:rFonts w:ascii="仿宋" w:hAnsi="仿宋" w:eastAsia="仿宋" w:cs="仿宋"/>
                <w:color w:val="auto"/>
                <w:sz w:val="30"/>
                <w:szCs w:val="30"/>
                <w:highlight w:val="none"/>
              </w:rPr>
            </w:pPr>
            <w:r>
              <w:rPr>
                <w:rFonts w:ascii="仿宋" w:hAnsi="仿宋" w:eastAsia="仿宋" w:cs="仿宋"/>
                <w:color w:val="auto"/>
                <w:spacing w:val="-5"/>
                <w:sz w:val="30"/>
                <w:szCs w:val="30"/>
                <w:highlight w:val="none"/>
              </w:rPr>
              <w:t>职称</w:t>
            </w:r>
          </w:p>
        </w:tc>
        <w:tc>
          <w:tcPr>
            <w:tcW w:w="3850" w:type="dxa"/>
          </w:tcPr>
          <w:p w14:paraId="54A47C9A">
            <w:pPr>
              <w:spacing w:before="100" w:line="208" w:lineRule="auto"/>
              <w:ind w:left="115"/>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主要资历、经验及承担过的项目</w:t>
            </w:r>
          </w:p>
        </w:tc>
      </w:tr>
      <w:tr w14:paraId="530D7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878" w:type="dxa"/>
            <w:gridSpan w:val="5"/>
          </w:tcPr>
          <w:p w14:paraId="1320FAA9">
            <w:pPr>
              <w:spacing w:before="111" w:line="214" w:lineRule="auto"/>
              <w:ind w:left="114"/>
              <w:rPr>
                <w:rFonts w:ascii="仿宋" w:hAnsi="仿宋" w:eastAsia="仿宋" w:cs="仿宋"/>
                <w:color w:val="auto"/>
                <w:sz w:val="28"/>
                <w:szCs w:val="28"/>
                <w:highlight w:val="none"/>
              </w:rPr>
            </w:pPr>
            <w:r>
              <w:rPr>
                <w:rFonts w:ascii="仿宋" w:hAnsi="仿宋" w:eastAsia="仿宋" w:cs="仿宋"/>
                <w:color w:val="auto"/>
                <w:spacing w:val="-8"/>
                <w:sz w:val="28"/>
                <w:szCs w:val="28"/>
                <w:highlight w:val="none"/>
              </w:rPr>
              <w:t>一、总部人员</w:t>
            </w:r>
          </w:p>
        </w:tc>
      </w:tr>
      <w:tr w14:paraId="5E959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96" w:type="dxa"/>
          </w:tcPr>
          <w:p w14:paraId="2BA85F9E">
            <w:pPr>
              <w:spacing w:before="111" w:line="212"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项目主管</w:t>
            </w:r>
          </w:p>
        </w:tc>
        <w:tc>
          <w:tcPr>
            <w:tcW w:w="1282" w:type="dxa"/>
          </w:tcPr>
          <w:p w14:paraId="6CED7AAA">
            <w:pPr>
              <w:pStyle w:val="98"/>
              <w:rPr>
                <w:color w:val="auto"/>
                <w:highlight w:val="none"/>
              </w:rPr>
            </w:pPr>
          </w:p>
        </w:tc>
        <w:tc>
          <w:tcPr>
            <w:tcW w:w="1024" w:type="dxa"/>
          </w:tcPr>
          <w:p w14:paraId="39DE126C">
            <w:pPr>
              <w:pStyle w:val="98"/>
              <w:rPr>
                <w:color w:val="auto"/>
                <w:highlight w:val="none"/>
              </w:rPr>
            </w:pPr>
          </w:p>
        </w:tc>
        <w:tc>
          <w:tcPr>
            <w:tcW w:w="1026" w:type="dxa"/>
          </w:tcPr>
          <w:p w14:paraId="5C2E04B8">
            <w:pPr>
              <w:pStyle w:val="98"/>
              <w:rPr>
                <w:color w:val="auto"/>
                <w:highlight w:val="none"/>
              </w:rPr>
            </w:pPr>
          </w:p>
        </w:tc>
        <w:tc>
          <w:tcPr>
            <w:tcW w:w="3850" w:type="dxa"/>
          </w:tcPr>
          <w:p w14:paraId="29E97105">
            <w:pPr>
              <w:pStyle w:val="98"/>
              <w:rPr>
                <w:color w:val="auto"/>
                <w:highlight w:val="none"/>
              </w:rPr>
            </w:pPr>
          </w:p>
        </w:tc>
      </w:tr>
      <w:tr w14:paraId="00020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restart"/>
            <w:tcBorders>
              <w:bottom w:val="nil"/>
            </w:tcBorders>
          </w:tcPr>
          <w:p w14:paraId="518B603A">
            <w:pPr>
              <w:pStyle w:val="98"/>
              <w:spacing w:line="410" w:lineRule="auto"/>
              <w:rPr>
                <w:color w:val="auto"/>
                <w:highlight w:val="none"/>
              </w:rPr>
            </w:pPr>
          </w:p>
          <w:p w14:paraId="1564E609">
            <w:pPr>
              <w:spacing w:before="91" w:line="218" w:lineRule="auto"/>
              <w:ind w:left="112"/>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282" w:type="dxa"/>
          </w:tcPr>
          <w:p w14:paraId="35406F1D">
            <w:pPr>
              <w:pStyle w:val="98"/>
              <w:rPr>
                <w:color w:val="auto"/>
                <w:highlight w:val="none"/>
              </w:rPr>
            </w:pPr>
          </w:p>
        </w:tc>
        <w:tc>
          <w:tcPr>
            <w:tcW w:w="1024" w:type="dxa"/>
          </w:tcPr>
          <w:p w14:paraId="54C949EB">
            <w:pPr>
              <w:pStyle w:val="98"/>
              <w:rPr>
                <w:color w:val="auto"/>
                <w:highlight w:val="none"/>
              </w:rPr>
            </w:pPr>
          </w:p>
        </w:tc>
        <w:tc>
          <w:tcPr>
            <w:tcW w:w="1026" w:type="dxa"/>
          </w:tcPr>
          <w:p w14:paraId="19E77721">
            <w:pPr>
              <w:pStyle w:val="98"/>
              <w:rPr>
                <w:color w:val="auto"/>
                <w:highlight w:val="none"/>
              </w:rPr>
            </w:pPr>
          </w:p>
        </w:tc>
        <w:tc>
          <w:tcPr>
            <w:tcW w:w="3850" w:type="dxa"/>
          </w:tcPr>
          <w:p w14:paraId="314BB6CB">
            <w:pPr>
              <w:pStyle w:val="98"/>
              <w:rPr>
                <w:color w:val="auto"/>
                <w:highlight w:val="none"/>
              </w:rPr>
            </w:pPr>
          </w:p>
        </w:tc>
      </w:tr>
      <w:tr w14:paraId="6FBB2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96" w:type="dxa"/>
            <w:vMerge w:val="continue"/>
            <w:tcBorders>
              <w:top w:val="nil"/>
              <w:bottom w:val="nil"/>
            </w:tcBorders>
          </w:tcPr>
          <w:p w14:paraId="1CD43C54">
            <w:pPr>
              <w:pStyle w:val="98"/>
              <w:rPr>
                <w:color w:val="auto"/>
                <w:highlight w:val="none"/>
              </w:rPr>
            </w:pPr>
          </w:p>
        </w:tc>
        <w:tc>
          <w:tcPr>
            <w:tcW w:w="1282" w:type="dxa"/>
          </w:tcPr>
          <w:p w14:paraId="49F32E27">
            <w:pPr>
              <w:pStyle w:val="98"/>
              <w:rPr>
                <w:color w:val="auto"/>
                <w:highlight w:val="none"/>
              </w:rPr>
            </w:pPr>
          </w:p>
        </w:tc>
        <w:tc>
          <w:tcPr>
            <w:tcW w:w="1024" w:type="dxa"/>
          </w:tcPr>
          <w:p w14:paraId="0228C97C">
            <w:pPr>
              <w:pStyle w:val="98"/>
              <w:rPr>
                <w:color w:val="auto"/>
                <w:highlight w:val="none"/>
              </w:rPr>
            </w:pPr>
          </w:p>
        </w:tc>
        <w:tc>
          <w:tcPr>
            <w:tcW w:w="1026" w:type="dxa"/>
          </w:tcPr>
          <w:p w14:paraId="70B85F51">
            <w:pPr>
              <w:pStyle w:val="98"/>
              <w:rPr>
                <w:color w:val="auto"/>
                <w:highlight w:val="none"/>
              </w:rPr>
            </w:pPr>
          </w:p>
        </w:tc>
        <w:tc>
          <w:tcPr>
            <w:tcW w:w="3850" w:type="dxa"/>
          </w:tcPr>
          <w:p w14:paraId="37283EAB">
            <w:pPr>
              <w:pStyle w:val="98"/>
              <w:rPr>
                <w:color w:val="auto"/>
                <w:highlight w:val="none"/>
              </w:rPr>
            </w:pPr>
          </w:p>
        </w:tc>
      </w:tr>
      <w:tr w14:paraId="78271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continue"/>
            <w:tcBorders>
              <w:top w:val="nil"/>
            </w:tcBorders>
          </w:tcPr>
          <w:p w14:paraId="41E213FF">
            <w:pPr>
              <w:pStyle w:val="98"/>
              <w:rPr>
                <w:color w:val="auto"/>
                <w:highlight w:val="none"/>
              </w:rPr>
            </w:pPr>
          </w:p>
        </w:tc>
        <w:tc>
          <w:tcPr>
            <w:tcW w:w="1282" w:type="dxa"/>
          </w:tcPr>
          <w:p w14:paraId="1124F48D">
            <w:pPr>
              <w:pStyle w:val="98"/>
              <w:rPr>
                <w:color w:val="auto"/>
                <w:highlight w:val="none"/>
              </w:rPr>
            </w:pPr>
          </w:p>
        </w:tc>
        <w:tc>
          <w:tcPr>
            <w:tcW w:w="1024" w:type="dxa"/>
          </w:tcPr>
          <w:p w14:paraId="0934F251">
            <w:pPr>
              <w:pStyle w:val="98"/>
              <w:rPr>
                <w:color w:val="auto"/>
                <w:highlight w:val="none"/>
              </w:rPr>
            </w:pPr>
          </w:p>
        </w:tc>
        <w:tc>
          <w:tcPr>
            <w:tcW w:w="1026" w:type="dxa"/>
          </w:tcPr>
          <w:p w14:paraId="700F08CB">
            <w:pPr>
              <w:pStyle w:val="98"/>
              <w:rPr>
                <w:color w:val="auto"/>
                <w:highlight w:val="none"/>
              </w:rPr>
            </w:pPr>
          </w:p>
        </w:tc>
        <w:tc>
          <w:tcPr>
            <w:tcW w:w="3850" w:type="dxa"/>
          </w:tcPr>
          <w:p w14:paraId="1AC22435">
            <w:pPr>
              <w:pStyle w:val="98"/>
              <w:rPr>
                <w:color w:val="auto"/>
                <w:highlight w:val="none"/>
              </w:rPr>
            </w:pPr>
          </w:p>
        </w:tc>
      </w:tr>
      <w:tr w14:paraId="55625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8878" w:type="dxa"/>
            <w:gridSpan w:val="5"/>
          </w:tcPr>
          <w:p w14:paraId="47424E76">
            <w:pPr>
              <w:spacing w:before="115" w:line="210" w:lineRule="auto"/>
              <w:ind w:left="118"/>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二、现场人员</w:t>
            </w:r>
          </w:p>
        </w:tc>
      </w:tr>
      <w:tr w14:paraId="446EF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tcPr>
          <w:p w14:paraId="510E1292">
            <w:pPr>
              <w:spacing w:before="114" w:line="212"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项目经理</w:t>
            </w:r>
          </w:p>
        </w:tc>
        <w:tc>
          <w:tcPr>
            <w:tcW w:w="1282" w:type="dxa"/>
          </w:tcPr>
          <w:p w14:paraId="25891088">
            <w:pPr>
              <w:pStyle w:val="98"/>
              <w:rPr>
                <w:color w:val="auto"/>
                <w:highlight w:val="none"/>
              </w:rPr>
            </w:pPr>
          </w:p>
        </w:tc>
        <w:tc>
          <w:tcPr>
            <w:tcW w:w="1024" w:type="dxa"/>
          </w:tcPr>
          <w:p w14:paraId="7B1EBC49">
            <w:pPr>
              <w:pStyle w:val="98"/>
              <w:rPr>
                <w:color w:val="auto"/>
                <w:highlight w:val="none"/>
              </w:rPr>
            </w:pPr>
          </w:p>
        </w:tc>
        <w:tc>
          <w:tcPr>
            <w:tcW w:w="1026" w:type="dxa"/>
          </w:tcPr>
          <w:p w14:paraId="1A91711C">
            <w:pPr>
              <w:pStyle w:val="98"/>
              <w:rPr>
                <w:color w:val="auto"/>
                <w:highlight w:val="none"/>
              </w:rPr>
            </w:pPr>
          </w:p>
        </w:tc>
        <w:tc>
          <w:tcPr>
            <w:tcW w:w="3850" w:type="dxa"/>
          </w:tcPr>
          <w:p w14:paraId="33AEFBAA">
            <w:pPr>
              <w:pStyle w:val="98"/>
              <w:rPr>
                <w:color w:val="auto"/>
                <w:highlight w:val="none"/>
              </w:rPr>
            </w:pPr>
          </w:p>
        </w:tc>
      </w:tr>
      <w:tr w14:paraId="6D88E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Pr>
          <w:p w14:paraId="38A03762">
            <w:pPr>
              <w:spacing w:before="115" w:line="210"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项目副经理</w:t>
            </w:r>
          </w:p>
        </w:tc>
        <w:tc>
          <w:tcPr>
            <w:tcW w:w="1282" w:type="dxa"/>
          </w:tcPr>
          <w:p w14:paraId="70CE26FC">
            <w:pPr>
              <w:pStyle w:val="98"/>
              <w:rPr>
                <w:color w:val="auto"/>
                <w:highlight w:val="none"/>
              </w:rPr>
            </w:pPr>
          </w:p>
        </w:tc>
        <w:tc>
          <w:tcPr>
            <w:tcW w:w="1024" w:type="dxa"/>
          </w:tcPr>
          <w:p w14:paraId="2EF1F359">
            <w:pPr>
              <w:pStyle w:val="98"/>
              <w:rPr>
                <w:color w:val="auto"/>
                <w:highlight w:val="none"/>
              </w:rPr>
            </w:pPr>
          </w:p>
        </w:tc>
        <w:tc>
          <w:tcPr>
            <w:tcW w:w="1026" w:type="dxa"/>
          </w:tcPr>
          <w:p w14:paraId="19D94BB3">
            <w:pPr>
              <w:pStyle w:val="98"/>
              <w:rPr>
                <w:color w:val="auto"/>
                <w:highlight w:val="none"/>
              </w:rPr>
            </w:pPr>
          </w:p>
        </w:tc>
        <w:tc>
          <w:tcPr>
            <w:tcW w:w="3850" w:type="dxa"/>
          </w:tcPr>
          <w:p w14:paraId="6809EB48">
            <w:pPr>
              <w:pStyle w:val="98"/>
              <w:rPr>
                <w:color w:val="auto"/>
                <w:highlight w:val="none"/>
              </w:rPr>
            </w:pPr>
          </w:p>
        </w:tc>
      </w:tr>
      <w:tr w14:paraId="4FB30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tcPr>
          <w:p w14:paraId="6BD40AD4">
            <w:pPr>
              <w:spacing w:before="114" w:line="212" w:lineRule="auto"/>
              <w:ind w:left="111"/>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技术负责人</w:t>
            </w:r>
          </w:p>
        </w:tc>
        <w:tc>
          <w:tcPr>
            <w:tcW w:w="1282" w:type="dxa"/>
          </w:tcPr>
          <w:p w14:paraId="4E035F3E">
            <w:pPr>
              <w:pStyle w:val="98"/>
              <w:rPr>
                <w:color w:val="auto"/>
                <w:highlight w:val="none"/>
              </w:rPr>
            </w:pPr>
          </w:p>
        </w:tc>
        <w:tc>
          <w:tcPr>
            <w:tcW w:w="1024" w:type="dxa"/>
          </w:tcPr>
          <w:p w14:paraId="19D67F37">
            <w:pPr>
              <w:pStyle w:val="98"/>
              <w:rPr>
                <w:color w:val="auto"/>
                <w:highlight w:val="none"/>
              </w:rPr>
            </w:pPr>
          </w:p>
        </w:tc>
        <w:tc>
          <w:tcPr>
            <w:tcW w:w="1026" w:type="dxa"/>
          </w:tcPr>
          <w:p w14:paraId="0FF5CA6D">
            <w:pPr>
              <w:pStyle w:val="98"/>
              <w:rPr>
                <w:color w:val="auto"/>
                <w:highlight w:val="none"/>
              </w:rPr>
            </w:pPr>
          </w:p>
        </w:tc>
        <w:tc>
          <w:tcPr>
            <w:tcW w:w="3850" w:type="dxa"/>
          </w:tcPr>
          <w:p w14:paraId="688B0CF7">
            <w:pPr>
              <w:pStyle w:val="98"/>
              <w:rPr>
                <w:color w:val="auto"/>
                <w:highlight w:val="none"/>
              </w:rPr>
            </w:pPr>
          </w:p>
        </w:tc>
      </w:tr>
      <w:tr w14:paraId="0AA0E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Pr>
          <w:p w14:paraId="0FD3A484">
            <w:pPr>
              <w:spacing w:before="115" w:line="210" w:lineRule="auto"/>
              <w:ind w:left="109"/>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造价管理</w:t>
            </w:r>
          </w:p>
        </w:tc>
        <w:tc>
          <w:tcPr>
            <w:tcW w:w="1282" w:type="dxa"/>
          </w:tcPr>
          <w:p w14:paraId="756CB18B">
            <w:pPr>
              <w:pStyle w:val="98"/>
              <w:rPr>
                <w:color w:val="auto"/>
                <w:highlight w:val="none"/>
              </w:rPr>
            </w:pPr>
          </w:p>
        </w:tc>
        <w:tc>
          <w:tcPr>
            <w:tcW w:w="1024" w:type="dxa"/>
          </w:tcPr>
          <w:p w14:paraId="2568894B">
            <w:pPr>
              <w:pStyle w:val="98"/>
              <w:rPr>
                <w:color w:val="auto"/>
                <w:highlight w:val="none"/>
              </w:rPr>
            </w:pPr>
          </w:p>
        </w:tc>
        <w:tc>
          <w:tcPr>
            <w:tcW w:w="1026" w:type="dxa"/>
          </w:tcPr>
          <w:p w14:paraId="0FB1E26D">
            <w:pPr>
              <w:pStyle w:val="98"/>
              <w:rPr>
                <w:color w:val="auto"/>
                <w:highlight w:val="none"/>
              </w:rPr>
            </w:pPr>
          </w:p>
        </w:tc>
        <w:tc>
          <w:tcPr>
            <w:tcW w:w="3850" w:type="dxa"/>
          </w:tcPr>
          <w:p w14:paraId="351288CF">
            <w:pPr>
              <w:pStyle w:val="98"/>
              <w:rPr>
                <w:color w:val="auto"/>
                <w:highlight w:val="none"/>
              </w:rPr>
            </w:pPr>
          </w:p>
        </w:tc>
      </w:tr>
      <w:tr w14:paraId="02B30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tcPr>
          <w:p w14:paraId="6B9628DD">
            <w:pPr>
              <w:spacing w:before="114" w:line="212" w:lineRule="auto"/>
              <w:ind w:left="116"/>
              <w:rPr>
                <w:rFonts w:ascii="仿宋" w:hAnsi="仿宋" w:eastAsia="仿宋" w:cs="仿宋"/>
                <w:color w:val="auto"/>
                <w:sz w:val="28"/>
                <w:szCs w:val="28"/>
                <w:highlight w:val="none"/>
              </w:rPr>
            </w:pPr>
            <w:r>
              <w:rPr>
                <w:rFonts w:ascii="仿宋" w:hAnsi="仿宋" w:eastAsia="仿宋" w:cs="仿宋"/>
                <w:color w:val="auto"/>
                <w:spacing w:val="-5"/>
                <w:sz w:val="28"/>
                <w:szCs w:val="28"/>
                <w:highlight w:val="none"/>
              </w:rPr>
              <w:t>质量管理</w:t>
            </w:r>
          </w:p>
        </w:tc>
        <w:tc>
          <w:tcPr>
            <w:tcW w:w="1282" w:type="dxa"/>
          </w:tcPr>
          <w:p w14:paraId="3FE5C9F0">
            <w:pPr>
              <w:pStyle w:val="98"/>
              <w:rPr>
                <w:color w:val="auto"/>
                <w:highlight w:val="none"/>
              </w:rPr>
            </w:pPr>
          </w:p>
        </w:tc>
        <w:tc>
          <w:tcPr>
            <w:tcW w:w="1024" w:type="dxa"/>
          </w:tcPr>
          <w:p w14:paraId="7BCFF950">
            <w:pPr>
              <w:pStyle w:val="98"/>
              <w:rPr>
                <w:color w:val="auto"/>
                <w:highlight w:val="none"/>
              </w:rPr>
            </w:pPr>
          </w:p>
        </w:tc>
        <w:tc>
          <w:tcPr>
            <w:tcW w:w="1026" w:type="dxa"/>
          </w:tcPr>
          <w:p w14:paraId="68ECEC4B">
            <w:pPr>
              <w:pStyle w:val="98"/>
              <w:rPr>
                <w:color w:val="auto"/>
                <w:highlight w:val="none"/>
              </w:rPr>
            </w:pPr>
          </w:p>
        </w:tc>
        <w:tc>
          <w:tcPr>
            <w:tcW w:w="3850" w:type="dxa"/>
          </w:tcPr>
          <w:p w14:paraId="1BA74D23">
            <w:pPr>
              <w:pStyle w:val="98"/>
              <w:rPr>
                <w:color w:val="auto"/>
                <w:highlight w:val="none"/>
              </w:rPr>
            </w:pPr>
          </w:p>
        </w:tc>
      </w:tr>
      <w:tr w14:paraId="7F72E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Borders>
              <w:bottom w:val="single" w:color="000000" w:sz="4" w:space="0"/>
            </w:tcBorders>
          </w:tcPr>
          <w:p w14:paraId="64B9B30C">
            <w:pPr>
              <w:spacing w:before="115" w:line="210" w:lineRule="auto"/>
              <w:ind w:left="109"/>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材料管理</w:t>
            </w:r>
          </w:p>
        </w:tc>
        <w:tc>
          <w:tcPr>
            <w:tcW w:w="1282" w:type="dxa"/>
            <w:tcBorders>
              <w:bottom w:val="single" w:color="000000" w:sz="4" w:space="0"/>
            </w:tcBorders>
          </w:tcPr>
          <w:p w14:paraId="0DA7A310">
            <w:pPr>
              <w:pStyle w:val="98"/>
              <w:rPr>
                <w:color w:val="auto"/>
                <w:highlight w:val="none"/>
              </w:rPr>
            </w:pPr>
          </w:p>
        </w:tc>
        <w:tc>
          <w:tcPr>
            <w:tcW w:w="1024" w:type="dxa"/>
            <w:tcBorders>
              <w:bottom w:val="single" w:color="000000" w:sz="4" w:space="0"/>
            </w:tcBorders>
          </w:tcPr>
          <w:p w14:paraId="4041A8E4">
            <w:pPr>
              <w:pStyle w:val="98"/>
              <w:rPr>
                <w:color w:val="auto"/>
                <w:highlight w:val="none"/>
              </w:rPr>
            </w:pPr>
          </w:p>
        </w:tc>
        <w:tc>
          <w:tcPr>
            <w:tcW w:w="1026" w:type="dxa"/>
            <w:tcBorders>
              <w:bottom w:val="single" w:color="000000" w:sz="4" w:space="0"/>
            </w:tcBorders>
          </w:tcPr>
          <w:p w14:paraId="284EAE82">
            <w:pPr>
              <w:pStyle w:val="98"/>
              <w:rPr>
                <w:color w:val="auto"/>
                <w:highlight w:val="none"/>
              </w:rPr>
            </w:pPr>
          </w:p>
        </w:tc>
        <w:tc>
          <w:tcPr>
            <w:tcW w:w="3850" w:type="dxa"/>
            <w:tcBorders>
              <w:bottom w:val="single" w:color="000000" w:sz="4" w:space="0"/>
            </w:tcBorders>
          </w:tcPr>
          <w:p w14:paraId="76C6F998">
            <w:pPr>
              <w:pStyle w:val="98"/>
              <w:rPr>
                <w:color w:val="auto"/>
                <w:highlight w:val="none"/>
              </w:rPr>
            </w:pPr>
          </w:p>
        </w:tc>
      </w:tr>
      <w:tr w14:paraId="69637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696" w:type="dxa"/>
            <w:tcBorders>
              <w:top w:val="single" w:color="000000" w:sz="4" w:space="0"/>
            </w:tcBorders>
          </w:tcPr>
          <w:p w14:paraId="34F83325">
            <w:pPr>
              <w:spacing w:before="109" w:line="212" w:lineRule="auto"/>
              <w:ind w:left="110"/>
              <w:rPr>
                <w:rFonts w:ascii="仿宋" w:hAnsi="仿宋" w:eastAsia="仿宋" w:cs="仿宋"/>
                <w:color w:val="auto"/>
                <w:sz w:val="28"/>
                <w:szCs w:val="28"/>
                <w:highlight w:val="none"/>
              </w:rPr>
            </w:pPr>
            <w:r>
              <w:rPr>
                <w:rFonts w:ascii="仿宋" w:hAnsi="仿宋" w:eastAsia="仿宋" w:cs="仿宋"/>
                <w:color w:val="auto"/>
                <w:spacing w:val="-3"/>
                <w:sz w:val="28"/>
                <w:szCs w:val="28"/>
                <w:highlight w:val="none"/>
              </w:rPr>
              <w:t>计划管理</w:t>
            </w:r>
          </w:p>
        </w:tc>
        <w:tc>
          <w:tcPr>
            <w:tcW w:w="1282" w:type="dxa"/>
            <w:tcBorders>
              <w:top w:val="single" w:color="000000" w:sz="4" w:space="0"/>
            </w:tcBorders>
          </w:tcPr>
          <w:p w14:paraId="0F268A9F">
            <w:pPr>
              <w:pStyle w:val="98"/>
              <w:rPr>
                <w:color w:val="auto"/>
                <w:highlight w:val="none"/>
              </w:rPr>
            </w:pPr>
          </w:p>
        </w:tc>
        <w:tc>
          <w:tcPr>
            <w:tcW w:w="1024" w:type="dxa"/>
            <w:tcBorders>
              <w:top w:val="single" w:color="000000" w:sz="4" w:space="0"/>
            </w:tcBorders>
          </w:tcPr>
          <w:p w14:paraId="262202E5">
            <w:pPr>
              <w:pStyle w:val="98"/>
              <w:rPr>
                <w:color w:val="auto"/>
                <w:highlight w:val="none"/>
              </w:rPr>
            </w:pPr>
          </w:p>
        </w:tc>
        <w:tc>
          <w:tcPr>
            <w:tcW w:w="1026" w:type="dxa"/>
            <w:tcBorders>
              <w:top w:val="single" w:color="000000" w:sz="4" w:space="0"/>
            </w:tcBorders>
          </w:tcPr>
          <w:p w14:paraId="24D27F9C">
            <w:pPr>
              <w:pStyle w:val="98"/>
              <w:rPr>
                <w:color w:val="auto"/>
                <w:highlight w:val="none"/>
              </w:rPr>
            </w:pPr>
          </w:p>
        </w:tc>
        <w:tc>
          <w:tcPr>
            <w:tcW w:w="3850" w:type="dxa"/>
            <w:tcBorders>
              <w:top w:val="single" w:color="000000" w:sz="4" w:space="0"/>
            </w:tcBorders>
          </w:tcPr>
          <w:p w14:paraId="74D2DCAE">
            <w:pPr>
              <w:pStyle w:val="98"/>
              <w:rPr>
                <w:color w:val="auto"/>
                <w:highlight w:val="none"/>
              </w:rPr>
            </w:pPr>
          </w:p>
        </w:tc>
      </w:tr>
      <w:tr w14:paraId="2AE6E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tcPr>
          <w:p w14:paraId="282D437F">
            <w:pPr>
              <w:spacing w:before="115" w:line="210" w:lineRule="auto"/>
              <w:ind w:left="113"/>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安全管理</w:t>
            </w:r>
          </w:p>
        </w:tc>
        <w:tc>
          <w:tcPr>
            <w:tcW w:w="1282" w:type="dxa"/>
          </w:tcPr>
          <w:p w14:paraId="1F234AB0">
            <w:pPr>
              <w:pStyle w:val="98"/>
              <w:rPr>
                <w:color w:val="auto"/>
                <w:highlight w:val="none"/>
              </w:rPr>
            </w:pPr>
          </w:p>
        </w:tc>
        <w:tc>
          <w:tcPr>
            <w:tcW w:w="1024" w:type="dxa"/>
          </w:tcPr>
          <w:p w14:paraId="255E9B47">
            <w:pPr>
              <w:pStyle w:val="98"/>
              <w:rPr>
                <w:color w:val="auto"/>
                <w:highlight w:val="none"/>
              </w:rPr>
            </w:pPr>
          </w:p>
        </w:tc>
        <w:tc>
          <w:tcPr>
            <w:tcW w:w="1026" w:type="dxa"/>
          </w:tcPr>
          <w:p w14:paraId="54A5BDC3">
            <w:pPr>
              <w:pStyle w:val="98"/>
              <w:rPr>
                <w:color w:val="auto"/>
                <w:highlight w:val="none"/>
              </w:rPr>
            </w:pPr>
          </w:p>
        </w:tc>
        <w:tc>
          <w:tcPr>
            <w:tcW w:w="3850" w:type="dxa"/>
          </w:tcPr>
          <w:p w14:paraId="66C12ECE">
            <w:pPr>
              <w:pStyle w:val="98"/>
              <w:rPr>
                <w:color w:val="auto"/>
                <w:highlight w:val="none"/>
              </w:rPr>
            </w:pPr>
          </w:p>
        </w:tc>
      </w:tr>
      <w:tr w14:paraId="29788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restart"/>
            <w:tcBorders>
              <w:bottom w:val="nil"/>
            </w:tcBorders>
          </w:tcPr>
          <w:p w14:paraId="1DF01C81">
            <w:pPr>
              <w:pStyle w:val="98"/>
              <w:spacing w:line="285" w:lineRule="auto"/>
              <w:rPr>
                <w:color w:val="auto"/>
                <w:highlight w:val="none"/>
              </w:rPr>
            </w:pPr>
          </w:p>
          <w:p w14:paraId="62C5F457">
            <w:pPr>
              <w:pStyle w:val="98"/>
              <w:spacing w:line="285" w:lineRule="auto"/>
              <w:rPr>
                <w:color w:val="auto"/>
                <w:highlight w:val="none"/>
              </w:rPr>
            </w:pPr>
          </w:p>
          <w:p w14:paraId="018B007B">
            <w:pPr>
              <w:pStyle w:val="98"/>
              <w:spacing w:line="286" w:lineRule="auto"/>
              <w:rPr>
                <w:color w:val="auto"/>
                <w:highlight w:val="none"/>
              </w:rPr>
            </w:pPr>
          </w:p>
          <w:p w14:paraId="6BC5B957">
            <w:pPr>
              <w:pStyle w:val="98"/>
              <w:spacing w:line="286" w:lineRule="auto"/>
              <w:rPr>
                <w:color w:val="auto"/>
                <w:highlight w:val="none"/>
              </w:rPr>
            </w:pPr>
          </w:p>
          <w:p w14:paraId="4BE9C93B">
            <w:pPr>
              <w:spacing w:before="91" w:line="218" w:lineRule="auto"/>
              <w:ind w:left="112"/>
              <w:rPr>
                <w:rFonts w:ascii="仿宋" w:hAnsi="仿宋" w:eastAsia="仿宋" w:cs="仿宋"/>
                <w:color w:val="auto"/>
                <w:sz w:val="28"/>
                <w:szCs w:val="28"/>
                <w:highlight w:val="none"/>
              </w:rPr>
            </w:pPr>
            <w:r>
              <w:rPr>
                <w:rFonts w:ascii="仿宋" w:hAnsi="仿宋" w:eastAsia="仿宋" w:cs="仿宋"/>
                <w:color w:val="auto"/>
                <w:spacing w:val="-4"/>
                <w:sz w:val="28"/>
                <w:szCs w:val="28"/>
                <w:highlight w:val="none"/>
              </w:rPr>
              <w:t>其他人员</w:t>
            </w:r>
          </w:p>
        </w:tc>
        <w:tc>
          <w:tcPr>
            <w:tcW w:w="1282" w:type="dxa"/>
          </w:tcPr>
          <w:p w14:paraId="4BD58EAD">
            <w:pPr>
              <w:pStyle w:val="98"/>
              <w:rPr>
                <w:color w:val="auto"/>
                <w:highlight w:val="none"/>
              </w:rPr>
            </w:pPr>
          </w:p>
        </w:tc>
        <w:tc>
          <w:tcPr>
            <w:tcW w:w="1024" w:type="dxa"/>
          </w:tcPr>
          <w:p w14:paraId="575316B2">
            <w:pPr>
              <w:pStyle w:val="98"/>
              <w:rPr>
                <w:color w:val="auto"/>
                <w:highlight w:val="none"/>
              </w:rPr>
            </w:pPr>
          </w:p>
        </w:tc>
        <w:tc>
          <w:tcPr>
            <w:tcW w:w="1026" w:type="dxa"/>
          </w:tcPr>
          <w:p w14:paraId="5EC286D9">
            <w:pPr>
              <w:pStyle w:val="98"/>
              <w:rPr>
                <w:color w:val="auto"/>
                <w:highlight w:val="none"/>
              </w:rPr>
            </w:pPr>
          </w:p>
        </w:tc>
        <w:tc>
          <w:tcPr>
            <w:tcW w:w="3850" w:type="dxa"/>
          </w:tcPr>
          <w:p w14:paraId="3ACCCB36">
            <w:pPr>
              <w:pStyle w:val="98"/>
              <w:rPr>
                <w:color w:val="auto"/>
                <w:highlight w:val="none"/>
              </w:rPr>
            </w:pPr>
          </w:p>
        </w:tc>
      </w:tr>
      <w:tr w14:paraId="6F856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696" w:type="dxa"/>
            <w:vMerge w:val="continue"/>
            <w:tcBorders>
              <w:top w:val="nil"/>
              <w:bottom w:val="nil"/>
            </w:tcBorders>
          </w:tcPr>
          <w:p w14:paraId="06361DBE">
            <w:pPr>
              <w:pStyle w:val="98"/>
              <w:rPr>
                <w:color w:val="auto"/>
                <w:highlight w:val="none"/>
              </w:rPr>
            </w:pPr>
          </w:p>
        </w:tc>
        <w:tc>
          <w:tcPr>
            <w:tcW w:w="1282" w:type="dxa"/>
          </w:tcPr>
          <w:p w14:paraId="34D54066">
            <w:pPr>
              <w:pStyle w:val="98"/>
              <w:rPr>
                <w:color w:val="auto"/>
                <w:highlight w:val="none"/>
              </w:rPr>
            </w:pPr>
          </w:p>
        </w:tc>
        <w:tc>
          <w:tcPr>
            <w:tcW w:w="1024" w:type="dxa"/>
          </w:tcPr>
          <w:p w14:paraId="08459868">
            <w:pPr>
              <w:pStyle w:val="98"/>
              <w:rPr>
                <w:color w:val="auto"/>
                <w:highlight w:val="none"/>
              </w:rPr>
            </w:pPr>
          </w:p>
        </w:tc>
        <w:tc>
          <w:tcPr>
            <w:tcW w:w="1026" w:type="dxa"/>
          </w:tcPr>
          <w:p w14:paraId="017413B2">
            <w:pPr>
              <w:pStyle w:val="98"/>
              <w:rPr>
                <w:color w:val="auto"/>
                <w:highlight w:val="none"/>
              </w:rPr>
            </w:pPr>
          </w:p>
        </w:tc>
        <w:tc>
          <w:tcPr>
            <w:tcW w:w="3850" w:type="dxa"/>
          </w:tcPr>
          <w:p w14:paraId="79545DE9">
            <w:pPr>
              <w:pStyle w:val="98"/>
              <w:rPr>
                <w:color w:val="auto"/>
                <w:highlight w:val="none"/>
              </w:rPr>
            </w:pPr>
          </w:p>
        </w:tc>
      </w:tr>
      <w:tr w14:paraId="07CA8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continue"/>
            <w:tcBorders>
              <w:top w:val="nil"/>
              <w:bottom w:val="nil"/>
            </w:tcBorders>
          </w:tcPr>
          <w:p w14:paraId="3D360F4A">
            <w:pPr>
              <w:pStyle w:val="98"/>
              <w:rPr>
                <w:color w:val="auto"/>
                <w:highlight w:val="none"/>
              </w:rPr>
            </w:pPr>
          </w:p>
        </w:tc>
        <w:tc>
          <w:tcPr>
            <w:tcW w:w="1282" w:type="dxa"/>
          </w:tcPr>
          <w:p w14:paraId="15EBB1A7">
            <w:pPr>
              <w:pStyle w:val="98"/>
              <w:rPr>
                <w:color w:val="auto"/>
                <w:highlight w:val="none"/>
              </w:rPr>
            </w:pPr>
          </w:p>
        </w:tc>
        <w:tc>
          <w:tcPr>
            <w:tcW w:w="1024" w:type="dxa"/>
          </w:tcPr>
          <w:p w14:paraId="02E9F55D">
            <w:pPr>
              <w:pStyle w:val="98"/>
              <w:rPr>
                <w:color w:val="auto"/>
                <w:highlight w:val="none"/>
              </w:rPr>
            </w:pPr>
          </w:p>
        </w:tc>
        <w:tc>
          <w:tcPr>
            <w:tcW w:w="1026" w:type="dxa"/>
          </w:tcPr>
          <w:p w14:paraId="41136327">
            <w:pPr>
              <w:pStyle w:val="98"/>
              <w:rPr>
                <w:color w:val="auto"/>
                <w:highlight w:val="none"/>
              </w:rPr>
            </w:pPr>
          </w:p>
        </w:tc>
        <w:tc>
          <w:tcPr>
            <w:tcW w:w="3850" w:type="dxa"/>
          </w:tcPr>
          <w:p w14:paraId="148B5C9B">
            <w:pPr>
              <w:pStyle w:val="98"/>
              <w:rPr>
                <w:color w:val="auto"/>
                <w:highlight w:val="none"/>
              </w:rPr>
            </w:pPr>
          </w:p>
        </w:tc>
      </w:tr>
      <w:tr w14:paraId="2EE7B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696" w:type="dxa"/>
            <w:vMerge w:val="continue"/>
            <w:tcBorders>
              <w:top w:val="nil"/>
              <w:bottom w:val="nil"/>
            </w:tcBorders>
          </w:tcPr>
          <w:p w14:paraId="61D5E1DC">
            <w:pPr>
              <w:pStyle w:val="98"/>
              <w:rPr>
                <w:color w:val="auto"/>
                <w:highlight w:val="none"/>
              </w:rPr>
            </w:pPr>
          </w:p>
        </w:tc>
        <w:tc>
          <w:tcPr>
            <w:tcW w:w="1282" w:type="dxa"/>
          </w:tcPr>
          <w:p w14:paraId="29F3CF1F">
            <w:pPr>
              <w:pStyle w:val="98"/>
              <w:rPr>
                <w:color w:val="auto"/>
                <w:highlight w:val="none"/>
              </w:rPr>
            </w:pPr>
          </w:p>
        </w:tc>
        <w:tc>
          <w:tcPr>
            <w:tcW w:w="1024" w:type="dxa"/>
          </w:tcPr>
          <w:p w14:paraId="5EE583BB">
            <w:pPr>
              <w:pStyle w:val="98"/>
              <w:rPr>
                <w:color w:val="auto"/>
                <w:highlight w:val="none"/>
              </w:rPr>
            </w:pPr>
          </w:p>
        </w:tc>
        <w:tc>
          <w:tcPr>
            <w:tcW w:w="1026" w:type="dxa"/>
          </w:tcPr>
          <w:p w14:paraId="3A41074D">
            <w:pPr>
              <w:pStyle w:val="98"/>
              <w:rPr>
                <w:color w:val="auto"/>
                <w:highlight w:val="none"/>
              </w:rPr>
            </w:pPr>
          </w:p>
        </w:tc>
        <w:tc>
          <w:tcPr>
            <w:tcW w:w="3850" w:type="dxa"/>
          </w:tcPr>
          <w:p w14:paraId="452E4C18">
            <w:pPr>
              <w:pStyle w:val="98"/>
              <w:rPr>
                <w:color w:val="auto"/>
                <w:highlight w:val="none"/>
              </w:rPr>
            </w:pPr>
          </w:p>
        </w:tc>
      </w:tr>
      <w:tr w14:paraId="5E3E7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696" w:type="dxa"/>
            <w:vMerge w:val="continue"/>
            <w:tcBorders>
              <w:top w:val="nil"/>
              <w:bottom w:val="nil"/>
            </w:tcBorders>
          </w:tcPr>
          <w:p w14:paraId="71EF8DD8">
            <w:pPr>
              <w:pStyle w:val="98"/>
              <w:rPr>
                <w:color w:val="auto"/>
                <w:highlight w:val="none"/>
              </w:rPr>
            </w:pPr>
          </w:p>
        </w:tc>
        <w:tc>
          <w:tcPr>
            <w:tcW w:w="1282" w:type="dxa"/>
          </w:tcPr>
          <w:p w14:paraId="0135AB94">
            <w:pPr>
              <w:pStyle w:val="98"/>
              <w:rPr>
                <w:color w:val="auto"/>
                <w:highlight w:val="none"/>
              </w:rPr>
            </w:pPr>
          </w:p>
        </w:tc>
        <w:tc>
          <w:tcPr>
            <w:tcW w:w="1024" w:type="dxa"/>
          </w:tcPr>
          <w:p w14:paraId="3A4DA594">
            <w:pPr>
              <w:pStyle w:val="98"/>
              <w:rPr>
                <w:color w:val="auto"/>
                <w:highlight w:val="none"/>
              </w:rPr>
            </w:pPr>
          </w:p>
        </w:tc>
        <w:tc>
          <w:tcPr>
            <w:tcW w:w="1026" w:type="dxa"/>
          </w:tcPr>
          <w:p w14:paraId="26428A68">
            <w:pPr>
              <w:pStyle w:val="98"/>
              <w:rPr>
                <w:color w:val="auto"/>
                <w:highlight w:val="none"/>
              </w:rPr>
            </w:pPr>
          </w:p>
        </w:tc>
        <w:tc>
          <w:tcPr>
            <w:tcW w:w="3850" w:type="dxa"/>
          </w:tcPr>
          <w:p w14:paraId="4F8B40D0">
            <w:pPr>
              <w:pStyle w:val="98"/>
              <w:rPr>
                <w:color w:val="auto"/>
                <w:highlight w:val="none"/>
              </w:rPr>
            </w:pPr>
          </w:p>
        </w:tc>
      </w:tr>
      <w:tr w14:paraId="03E4D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1696" w:type="dxa"/>
            <w:vMerge w:val="continue"/>
            <w:tcBorders>
              <w:top w:val="nil"/>
            </w:tcBorders>
          </w:tcPr>
          <w:p w14:paraId="4F074A66">
            <w:pPr>
              <w:pStyle w:val="98"/>
              <w:rPr>
                <w:color w:val="auto"/>
                <w:highlight w:val="none"/>
              </w:rPr>
            </w:pPr>
          </w:p>
        </w:tc>
        <w:tc>
          <w:tcPr>
            <w:tcW w:w="1282" w:type="dxa"/>
          </w:tcPr>
          <w:p w14:paraId="512A1027">
            <w:pPr>
              <w:pStyle w:val="98"/>
              <w:rPr>
                <w:color w:val="auto"/>
                <w:highlight w:val="none"/>
              </w:rPr>
            </w:pPr>
          </w:p>
        </w:tc>
        <w:tc>
          <w:tcPr>
            <w:tcW w:w="1024" w:type="dxa"/>
          </w:tcPr>
          <w:p w14:paraId="1CB85D74">
            <w:pPr>
              <w:pStyle w:val="98"/>
              <w:rPr>
                <w:color w:val="auto"/>
                <w:highlight w:val="none"/>
              </w:rPr>
            </w:pPr>
          </w:p>
        </w:tc>
        <w:tc>
          <w:tcPr>
            <w:tcW w:w="1026" w:type="dxa"/>
          </w:tcPr>
          <w:p w14:paraId="7C47E5FC">
            <w:pPr>
              <w:pStyle w:val="98"/>
              <w:rPr>
                <w:color w:val="auto"/>
                <w:highlight w:val="none"/>
              </w:rPr>
            </w:pPr>
          </w:p>
        </w:tc>
        <w:tc>
          <w:tcPr>
            <w:tcW w:w="3850" w:type="dxa"/>
          </w:tcPr>
          <w:p w14:paraId="5FDFD485">
            <w:pPr>
              <w:pStyle w:val="98"/>
              <w:rPr>
                <w:color w:val="auto"/>
                <w:highlight w:val="none"/>
              </w:rPr>
            </w:pPr>
          </w:p>
        </w:tc>
      </w:tr>
    </w:tbl>
    <w:p w14:paraId="2D13FD6B">
      <w:pPr>
        <w:rPr>
          <w:color w:val="auto"/>
          <w:highlight w:val="none"/>
        </w:rPr>
      </w:pPr>
    </w:p>
    <w:p w14:paraId="15035541">
      <w:pPr>
        <w:rPr>
          <w:rFonts w:ascii="黑体" w:hAnsi="黑体" w:eastAsia="黑体" w:cs="黑体"/>
          <w:color w:val="auto"/>
          <w:spacing w:val="-4"/>
          <w:sz w:val="31"/>
          <w:szCs w:val="31"/>
          <w:highlight w:val="none"/>
        </w:rPr>
      </w:pPr>
      <w:r>
        <w:rPr>
          <w:rFonts w:ascii="黑体" w:hAnsi="黑体" w:eastAsia="黑体" w:cs="黑体"/>
          <w:color w:val="auto"/>
          <w:spacing w:val="-4"/>
          <w:sz w:val="31"/>
          <w:szCs w:val="31"/>
          <w:highlight w:val="none"/>
        </w:rPr>
        <w:br w:type="page"/>
      </w:r>
    </w:p>
    <w:p w14:paraId="19503601">
      <w:pPr>
        <w:spacing w:before="101" w:line="227" w:lineRule="auto"/>
        <w:ind w:left="42"/>
        <w:rPr>
          <w:rFonts w:ascii="黑体" w:hAnsi="黑体" w:eastAsia="黑体" w:cs="黑体"/>
          <w:color w:val="auto"/>
          <w:sz w:val="31"/>
          <w:szCs w:val="31"/>
          <w:highlight w:val="none"/>
        </w:rPr>
      </w:pPr>
      <w:r>
        <w:rPr>
          <w:rFonts w:ascii="黑体" w:hAnsi="黑体" w:eastAsia="黑体" w:cs="黑体"/>
          <w:color w:val="auto"/>
          <w:spacing w:val="-4"/>
          <w:sz w:val="31"/>
          <w:szCs w:val="31"/>
          <w:highlight w:val="none"/>
        </w:rPr>
        <w:t>附件7</w:t>
      </w:r>
    </w:p>
    <w:p w14:paraId="32A63CE8">
      <w:pPr>
        <w:pStyle w:val="19"/>
        <w:spacing w:before="100" w:line="224" w:lineRule="auto"/>
        <w:ind w:left="3080"/>
        <w:rPr>
          <w:color w:val="auto"/>
          <w:sz w:val="31"/>
          <w:szCs w:val="31"/>
          <w:highlight w:val="none"/>
        </w:rPr>
      </w:pPr>
      <w:r>
        <w:rPr>
          <w:color w:val="auto"/>
          <w:spacing w:val="8"/>
          <w:sz w:val="31"/>
          <w:szCs w:val="31"/>
          <w:highlight w:val="none"/>
        </w:rPr>
        <w:t>履约保函示范文本</w:t>
      </w:r>
    </w:p>
    <w:p w14:paraId="4F256BC9">
      <w:pPr>
        <w:pStyle w:val="19"/>
        <w:spacing w:before="244" w:line="226" w:lineRule="auto"/>
        <w:ind w:left="3410"/>
        <w:rPr>
          <w:color w:val="auto"/>
          <w:sz w:val="31"/>
          <w:szCs w:val="31"/>
          <w:highlight w:val="none"/>
        </w:rPr>
      </w:pPr>
      <w:r>
        <w:rPr>
          <w:color w:val="auto"/>
          <w:spacing w:val="2"/>
          <w:sz w:val="31"/>
          <w:szCs w:val="31"/>
          <w:highlight w:val="none"/>
        </w:rPr>
        <w:t>（独立保函）</w:t>
      </w:r>
    </w:p>
    <w:p w14:paraId="47FEC74E">
      <w:pPr>
        <w:pStyle w:val="19"/>
        <w:spacing w:before="226" w:line="221" w:lineRule="auto"/>
        <w:ind w:left="6908"/>
        <w:rPr>
          <w:color w:val="auto"/>
          <w:highlight w:val="none"/>
        </w:rPr>
      </w:pPr>
      <w:r>
        <w:rPr>
          <w:color w:val="auto"/>
          <w:spacing w:val="-13"/>
          <w:highlight w:val="none"/>
        </w:rPr>
        <w:t>编号：</w:t>
      </w:r>
    </w:p>
    <w:p w14:paraId="668A685E">
      <w:pPr>
        <w:pStyle w:val="19"/>
        <w:spacing w:before="161" w:line="466" w:lineRule="exact"/>
        <w:ind w:left="52"/>
        <w:rPr>
          <w:color w:val="auto"/>
          <w:sz w:val="24"/>
          <w:szCs w:val="24"/>
          <w:highlight w:val="none"/>
        </w:rPr>
      </w:pPr>
      <w:r>
        <w:rPr>
          <w:color w:val="auto"/>
          <w:spacing w:val="-18"/>
          <w:position w:val="17"/>
          <w:sz w:val="24"/>
          <w:szCs w:val="24"/>
          <w:highlight w:val="none"/>
        </w:rPr>
        <w:t>申请人：</w:t>
      </w:r>
    </w:p>
    <w:p w14:paraId="596447DF">
      <w:pPr>
        <w:pStyle w:val="19"/>
        <w:spacing w:before="1" w:line="228" w:lineRule="auto"/>
        <w:ind w:left="261"/>
        <w:rPr>
          <w:color w:val="auto"/>
          <w:sz w:val="24"/>
          <w:szCs w:val="24"/>
          <w:highlight w:val="none"/>
        </w:rPr>
      </w:pPr>
      <w:r>
        <w:rPr>
          <w:color w:val="auto"/>
          <w:spacing w:val="-4"/>
          <w:sz w:val="24"/>
          <w:szCs w:val="24"/>
          <w:highlight w:val="none"/>
        </w:rPr>
        <w:t>地址：</w:t>
      </w:r>
    </w:p>
    <w:p w14:paraId="40F18607">
      <w:pPr>
        <w:pStyle w:val="19"/>
        <w:spacing w:before="170" w:line="222" w:lineRule="auto"/>
        <w:ind w:left="26"/>
        <w:rPr>
          <w:color w:val="auto"/>
          <w:sz w:val="24"/>
          <w:szCs w:val="24"/>
          <w:highlight w:val="none"/>
        </w:rPr>
      </w:pPr>
      <w:r>
        <w:rPr>
          <w:color w:val="auto"/>
          <w:spacing w:val="-14"/>
          <w:sz w:val="24"/>
          <w:szCs w:val="24"/>
          <w:highlight w:val="none"/>
        </w:rPr>
        <w:t>受益人：</w:t>
      </w:r>
    </w:p>
    <w:p w14:paraId="77058C5F">
      <w:pPr>
        <w:pStyle w:val="19"/>
        <w:spacing w:before="178" w:line="229" w:lineRule="auto"/>
        <w:ind w:left="261"/>
        <w:rPr>
          <w:color w:val="auto"/>
          <w:sz w:val="24"/>
          <w:szCs w:val="24"/>
          <w:highlight w:val="none"/>
        </w:rPr>
      </w:pPr>
      <w:r>
        <w:rPr>
          <w:color w:val="auto"/>
          <w:spacing w:val="-15"/>
          <w:sz w:val="24"/>
          <w:szCs w:val="24"/>
          <w:highlight w:val="none"/>
        </w:rPr>
        <w:t>地址：</w:t>
      </w:r>
    </w:p>
    <w:p w14:paraId="78FF6D42">
      <w:pPr>
        <w:pStyle w:val="19"/>
        <w:spacing w:before="170" w:line="221" w:lineRule="auto"/>
        <w:ind w:left="22"/>
        <w:rPr>
          <w:color w:val="auto"/>
          <w:sz w:val="24"/>
          <w:szCs w:val="24"/>
          <w:highlight w:val="none"/>
        </w:rPr>
      </w:pPr>
      <w:r>
        <w:rPr>
          <w:color w:val="auto"/>
          <w:spacing w:val="-13"/>
          <w:sz w:val="24"/>
          <w:szCs w:val="24"/>
          <w:highlight w:val="none"/>
        </w:rPr>
        <w:t>开立人：</w:t>
      </w:r>
    </w:p>
    <w:p w14:paraId="2DB54D96">
      <w:pPr>
        <w:pStyle w:val="19"/>
        <w:spacing w:before="178" w:line="229" w:lineRule="auto"/>
        <w:ind w:left="261"/>
        <w:rPr>
          <w:color w:val="auto"/>
          <w:sz w:val="24"/>
          <w:szCs w:val="24"/>
          <w:highlight w:val="none"/>
        </w:rPr>
      </w:pPr>
      <w:r>
        <w:rPr>
          <w:color w:val="auto"/>
          <w:spacing w:val="-15"/>
          <w:sz w:val="24"/>
          <w:szCs w:val="24"/>
          <w:highlight w:val="none"/>
        </w:rPr>
        <w:t>地址：</w:t>
      </w:r>
    </w:p>
    <w:p w14:paraId="2F0B78BF">
      <w:pPr>
        <w:spacing w:line="277" w:lineRule="auto"/>
        <w:rPr>
          <w:color w:val="auto"/>
          <w:highlight w:val="none"/>
        </w:rPr>
      </w:pPr>
    </w:p>
    <w:p w14:paraId="43940ADF">
      <w:pPr>
        <w:spacing w:line="277" w:lineRule="auto"/>
        <w:rPr>
          <w:color w:val="auto"/>
          <w:highlight w:val="none"/>
        </w:rPr>
      </w:pPr>
    </w:p>
    <w:p w14:paraId="4080799D">
      <w:pPr>
        <w:pStyle w:val="19"/>
        <w:tabs>
          <w:tab w:val="left" w:pos="1691"/>
        </w:tabs>
        <w:spacing w:before="79" w:line="222" w:lineRule="auto"/>
        <w:ind w:left="12"/>
        <w:rPr>
          <w:color w:val="auto"/>
          <w:sz w:val="24"/>
          <w:szCs w:val="24"/>
          <w:highlight w:val="none"/>
        </w:rPr>
      </w:pPr>
      <w:r>
        <w:rPr>
          <w:color w:val="auto"/>
          <w:sz w:val="24"/>
          <w:szCs w:val="24"/>
          <w:highlight w:val="none"/>
          <w:u w:val="single"/>
        </w:rPr>
        <w:tab/>
      </w:r>
      <w:r>
        <w:rPr>
          <w:color w:val="auto"/>
          <w:spacing w:val="-16"/>
          <w:sz w:val="24"/>
          <w:szCs w:val="24"/>
          <w:highlight w:val="none"/>
        </w:rPr>
        <w:t>（受益人名称</w:t>
      </w:r>
      <w:r>
        <w:rPr>
          <w:color w:val="auto"/>
          <w:spacing w:val="-21"/>
          <w:sz w:val="24"/>
          <w:szCs w:val="24"/>
          <w:highlight w:val="none"/>
        </w:rPr>
        <w:t>）：</w:t>
      </w:r>
    </w:p>
    <w:p w14:paraId="2BC9F78C">
      <w:pPr>
        <w:pStyle w:val="19"/>
        <w:spacing w:before="182" w:line="468" w:lineRule="exact"/>
        <w:ind w:left="505"/>
        <w:rPr>
          <w:color w:val="auto"/>
          <w:position w:val="17"/>
          <w:sz w:val="24"/>
          <w:szCs w:val="24"/>
          <w:highlight w:val="none"/>
          <w:lang w:eastAsia="zh-CN"/>
        </w:rPr>
      </w:pPr>
      <w:r>
        <w:rPr>
          <w:rFonts w:hint="eastAsia"/>
          <w:color w:val="auto"/>
          <w:position w:val="17"/>
          <w:sz w:val="24"/>
          <w:szCs w:val="24"/>
          <w:highlight w:val="none"/>
          <w:lang w:eastAsia="zh-CN"/>
        </w:rPr>
        <w:t>鉴于</w:t>
      </w:r>
      <w:r>
        <w:rPr>
          <w:color w:val="auto"/>
          <w:position w:val="17"/>
          <w:sz w:val="24"/>
          <w:szCs w:val="24"/>
          <w:highlight w:val="none"/>
          <w:lang w:eastAsia="zh-CN"/>
        </w:rPr>
        <w:t>（以下简称</w:t>
      </w:r>
      <w:r>
        <w:rPr>
          <w:rFonts w:hint="eastAsia"/>
          <w:color w:val="auto"/>
          <w:position w:val="17"/>
          <w:sz w:val="24"/>
          <w:szCs w:val="24"/>
          <w:highlight w:val="none"/>
          <w:lang w:eastAsia="zh-CN"/>
        </w:rPr>
        <w:t>“受益人”</w:t>
      </w:r>
      <w:r>
        <w:rPr>
          <w:color w:val="auto"/>
          <w:position w:val="17"/>
          <w:sz w:val="24"/>
          <w:szCs w:val="24"/>
          <w:highlight w:val="none"/>
          <w:lang w:eastAsia="zh-CN"/>
        </w:rPr>
        <w:t>）</w:t>
      </w:r>
      <w:r>
        <w:rPr>
          <w:rFonts w:hint="eastAsia"/>
          <w:color w:val="auto"/>
          <w:position w:val="17"/>
          <w:sz w:val="24"/>
          <w:szCs w:val="24"/>
          <w:highlight w:val="none"/>
          <w:lang w:eastAsia="zh-CN"/>
        </w:rPr>
        <w:t>与</w:t>
      </w:r>
      <w:r>
        <w:rPr>
          <w:color w:val="auto"/>
          <w:position w:val="17"/>
          <w:sz w:val="24"/>
          <w:szCs w:val="24"/>
          <w:highlight w:val="none"/>
          <w:lang w:eastAsia="zh-CN"/>
        </w:rPr>
        <w:t>（以下简称</w:t>
      </w:r>
      <w:r>
        <w:rPr>
          <w:rFonts w:hint="eastAsia"/>
          <w:color w:val="auto"/>
          <w:position w:val="17"/>
          <w:sz w:val="24"/>
          <w:szCs w:val="24"/>
          <w:highlight w:val="none"/>
          <w:lang w:eastAsia="zh-CN"/>
        </w:rPr>
        <w:t>“申请人”</w:t>
      </w:r>
      <w:r>
        <w:rPr>
          <w:color w:val="auto"/>
          <w:position w:val="17"/>
          <w:sz w:val="24"/>
          <w:szCs w:val="24"/>
          <w:highlight w:val="none"/>
          <w:lang w:eastAsia="zh-CN"/>
        </w:rPr>
        <w:t>）</w:t>
      </w:r>
      <w:r>
        <w:rPr>
          <w:rFonts w:hint="eastAsia"/>
          <w:color w:val="auto"/>
          <w:position w:val="17"/>
          <w:sz w:val="24"/>
          <w:szCs w:val="24"/>
          <w:highlight w:val="none"/>
          <w:lang w:eastAsia="zh-CN"/>
        </w:rPr>
        <w:t>于年月日就工程（以下简称“本工程”）施工和有关事项协商一致共同签订</w:t>
      </w:r>
      <w:r>
        <w:rPr>
          <w:rFonts w:hint="eastAsia"/>
          <w:color w:val="auto"/>
          <w:position w:val="17"/>
          <w:sz w:val="24"/>
          <w:szCs w:val="24"/>
          <w:highlight w:val="none"/>
          <w:u w:val="single"/>
          <w:lang w:eastAsia="zh-CN"/>
        </w:rPr>
        <w:t>《 》</w:t>
      </w:r>
      <w:r>
        <w:rPr>
          <w:rFonts w:hint="eastAsia"/>
          <w:color w:val="auto"/>
          <w:position w:val="17"/>
          <w:sz w:val="24"/>
          <w:szCs w:val="24"/>
          <w:highlight w:val="none"/>
          <w:lang w:eastAsia="zh-CN"/>
        </w:rPr>
        <w:t>（以下简称“基础合同”），我方（即“开立人”）根据基础合同了解到申请人为基础合同项下之承包人，受益人为基础合同项下之发包人，基于申请人</w:t>
      </w:r>
      <w:r>
        <w:rPr>
          <w:color w:val="auto"/>
          <w:position w:val="17"/>
          <w:sz w:val="24"/>
          <w:szCs w:val="24"/>
          <w:highlight w:val="none"/>
          <w:lang w:eastAsia="zh-CN"/>
        </w:rPr>
        <w:t>的请求，我方同意就</w:t>
      </w:r>
      <w:r>
        <w:rPr>
          <w:rFonts w:hint="eastAsia"/>
          <w:color w:val="auto"/>
          <w:position w:val="17"/>
          <w:sz w:val="24"/>
          <w:szCs w:val="24"/>
          <w:highlight w:val="none"/>
          <w:lang w:eastAsia="zh-CN"/>
        </w:rPr>
        <w:t>申请人</w:t>
      </w:r>
      <w:r>
        <w:rPr>
          <w:color w:val="auto"/>
          <w:position w:val="17"/>
          <w:sz w:val="24"/>
          <w:szCs w:val="24"/>
          <w:highlight w:val="none"/>
          <w:lang w:eastAsia="zh-CN"/>
        </w:rPr>
        <w:t>履行</w:t>
      </w:r>
      <w:r>
        <w:rPr>
          <w:rFonts w:hint="eastAsia"/>
          <w:color w:val="auto"/>
          <w:position w:val="17"/>
          <w:sz w:val="24"/>
          <w:szCs w:val="24"/>
          <w:highlight w:val="none"/>
          <w:lang w:eastAsia="zh-CN"/>
        </w:rPr>
        <w:t>与贵方签订的基础合同</w:t>
      </w:r>
      <w:r>
        <w:rPr>
          <w:color w:val="auto"/>
          <w:position w:val="17"/>
          <w:sz w:val="24"/>
          <w:szCs w:val="24"/>
          <w:highlight w:val="none"/>
          <w:lang w:eastAsia="zh-CN"/>
        </w:rPr>
        <w:t>项下的义务</w:t>
      </w:r>
      <w:r>
        <w:rPr>
          <w:rFonts w:hint="eastAsia"/>
          <w:color w:val="auto"/>
          <w:position w:val="17"/>
          <w:sz w:val="24"/>
          <w:szCs w:val="24"/>
          <w:highlight w:val="none"/>
          <w:lang w:eastAsia="zh-CN"/>
        </w:rPr>
        <w:t>，</w:t>
      </w:r>
      <w:r>
        <w:rPr>
          <w:color w:val="auto"/>
          <w:position w:val="17"/>
          <w:sz w:val="24"/>
          <w:szCs w:val="24"/>
          <w:highlight w:val="none"/>
          <w:lang w:eastAsia="zh-CN"/>
        </w:rPr>
        <w:t>向贵方提供不可撤销、</w:t>
      </w:r>
      <w:r>
        <w:rPr>
          <w:rFonts w:hint="eastAsia"/>
          <w:color w:val="auto"/>
          <w:position w:val="17"/>
          <w:sz w:val="24"/>
          <w:szCs w:val="24"/>
          <w:highlight w:val="none"/>
          <w:lang w:eastAsia="zh-CN"/>
        </w:rPr>
        <w:t>不可转让的见索即付</w:t>
      </w:r>
      <w:r>
        <w:rPr>
          <w:color w:val="auto"/>
          <w:position w:val="17"/>
          <w:sz w:val="24"/>
          <w:szCs w:val="24"/>
          <w:highlight w:val="none"/>
          <w:lang w:eastAsia="zh-CN"/>
        </w:rPr>
        <w:t>独立</w:t>
      </w:r>
      <w:r>
        <w:rPr>
          <w:rFonts w:hint="eastAsia"/>
          <w:color w:val="auto"/>
          <w:position w:val="17"/>
          <w:sz w:val="24"/>
          <w:szCs w:val="24"/>
          <w:highlight w:val="none"/>
          <w:lang w:eastAsia="zh-CN"/>
        </w:rPr>
        <w:t>保函（以下简称“本保函”）</w:t>
      </w:r>
      <w:r>
        <w:rPr>
          <w:color w:val="auto"/>
          <w:position w:val="17"/>
          <w:sz w:val="24"/>
          <w:szCs w:val="24"/>
          <w:highlight w:val="none"/>
          <w:lang w:eastAsia="zh-CN"/>
        </w:rPr>
        <w:t xml:space="preserve">。 </w:t>
      </w:r>
    </w:p>
    <w:p w14:paraId="55EEA069">
      <w:pPr>
        <w:pStyle w:val="19"/>
        <w:spacing w:before="182" w:line="468" w:lineRule="exact"/>
        <w:ind w:left="505"/>
        <w:rPr>
          <w:color w:val="auto"/>
          <w:sz w:val="24"/>
          <w:szCs w:val="24"/>
          <w:highlight w:val="none"/>
          <w:lang w:eastAsia="zh-CN"/>
        </w:rPr>
      </w:pPr>
      <w:r>
        <w:rPr>
          <w:color w:val="auto"/>
          <w:position w:val="17"/>
          <w:sz w:val="24"/>
          <w:szCs w:val="24"/>
          <w:highlight w:val="none"/>
          <w:lang w:eastAsia="zh-CN"/>
        </w:rPr>
        <w:t>一、本保函担保范围：承包人未按照基础合同的约定履行义务，应当向贵方承</w:t>
      </w:r>
    </w:p>
    <w:p w14:paraId="3FD720E3">
      <w:pPr>
        <w:pStyle w:val="19"/>
        <w:spacing w:line="219" w:lineRule="auto"/>
        <w:jc w:val="right"/>
        <w:rPr>
          <w:color w:val="auto"/>
          <w:sz w:val="24"/>
          <w:szCs w:val="24"/>
          <w:highlight w:val="none"/>
          <w:lang w:eastAsia="zh-CN"/>
        </w:rPr>
      </w:pPr>
      <w:r>
        <w:rPr>
          <w:color w:val="auto"/>
          <w:spacing w:val="-4"/>
          <w:sz w:val="24"/>
          <w:szCs w:val="24"/>
          <w:highlight w:val="none"/>
          <w:lang w:eastAsia="zh-CN"/>
        </w:rPr>
        <w:t>担的违约责任和赔偿因此造成的损失、利息、律师费、诉讼费用等实现债权的费用。</w:t>
      </w:r>
    </w:p>
    <w:p w14:paraId="7B3C4A57">
      <w:pPr>
        <w:pStyle w:val="19"/>
        <w:spacing w:before="181" w:line="219" w:lineRule="auto"/>
        <w:ind w:left="505"/>
        <w:rPr>
          <w:color w:val="auto"/>
          <w:sz w:val="24"/>
          <w:szCs w:val="24"/>
          <w:highlight w:val="none"/>
          <w:lang w:eastAsia="zh-CN"/>
        </w:rPr>
      </w:pPr>
      <w:r>
        <w:rPr>
          <w:color w:val="auto"/>
          <w:spacing w:val="-1"/>
          <w:sz w:val="24"/>
          <w:szCs w:val="24"/>
          <w:highlight w:val="none"/>
          <w:lang w:eastAsia="zh-CN"/>
        </w:rPr>
        <w:t>二、本保函担保金额最高不超过人民币（大写）元(¥</w:t>
      </w:r>
      <w:r>
        <w:rPr>
          <w:color w:val="auto"/>
          <w:spacing w:val="-2"/>
          <w:sz w:val="24"/>
          <w:szCs w:val="24"/>
          <w:highlight w:val="none"/>
          <w:lang w:eastAsia="zh-CN"/>
        </w:rPr>
        <w:t>)。</w:t>
      </w:r>
    </w:p>
    <w:p w14:paraId="6F21EC08">
      <w:pPr>
        <w:pStyle w:val="19"/>
        <w:spacing w:before="184" w:line="358" w:lineRule="auto"/>
        <w:ind w:left="501"/>
        <w:rPr>
          <w:color w:val="auto"/>
          <w:sz w:val="24"/>
          <w:szCs w:val="24"/>
          <w:highlight w:val="none"/>
          <w:lang w:eastAsia="zh-CN"/>
        </w:rPr>
      </w:pPr>
      <w:r>
        <w:rPr>
          <w:color w:val="auto"/>
          <w:spacing w:val="-6"/>
          <w:sz w:val="24"/>
          <w:szCs w:val="24"/>
          <w:highlight w:val="none"/>
          <w:lang w:eastAsia="zh-CN"/>
        </w:rPr>
        <w:t>三、本保函有效期自开立之日起至基础合同约</w:t>
      </w:r>
      <w:r>
        <w:rPr>
          <w:color w:val="auto"/>
          <w:spacing w:val="-7"/>
          <w:sz w:val="24"/>
          <w:szCs w:val="24"/>
          <w:highlight w:val="none"/>
          <w:lang w:eastAsia="zh-CN"/>
        </w:rPr>
        <w:t>定的缺陷责任期后日止，最迟</w:t>
      </w:r>
    </w:p>
    <w:p w14:paraId="2CE46CB1">
      <w:pPr>
        <w:pStyle w:val="19"/>
        <w:spacing w:line="219" w:lineRule="auto"/>
        <w:ind w:left="25"/>
        <w:rPr>
          <w:color w:val="auto"/>
          <w:sz w:val="24"/>
          <w:szCs w:val="24"/>
          <w:highlight w:val="none"/>
          <w:lang w:eastAsia="zh-CN"/>
        </w:rPr>
      </w:pPr>
      <w:r>
        <w:rPr>
          <w:color w:val="auto"/>
          <w:spacing w:val="-13"/>
          <w:sz w:val="24"/>
          <w:szCs w:val="24"/>
          <w:highlight w:val="none"/>
          <w:lang w:eastAsia="zh-CN"/>
        </w:rPr>
        <w:t>不超过年月日。</w:t>
      </w:r>
    </w:p>
    <w:p w14:paraId="77CECE5E">
      <w:pPr>
        <w:pStyle w:val="19"/>
        <w:spacing w:before="183" w:line="358" w:lineRule="auto"/>
        <w:ind w:left="523"/>
        <w:rPr>
          <w:color w:val="auto"/>
          <w:sz w:val="24"/>
          <w:szCs w:val="24"/>
          <w:highlight w:val="none"/>
          <w:lang w:eastAsia="zh-CN"/>
        </w:rPr>
      </w:pPr>
      <w:r>
        <w:rPr>
          <w:color w:val="auto"/>
          <w:spacing w:val="-3"/>
          <w:sz w:val="24"/>
          <w:szCs w:val="24"/>
          <w:highlight w:val="none"/>
          <w:lang w:eastAsia="zh-CN"/>
        </w:rPr>
        <w:t>四、我方承诺，在收到受益人发来的书面付款通知后的日</w:t>
      </w:r>
      <w:r>
        <w:rPr>
          <w:color w:val="auto"/>
          <w:spacing w:val="-4"/>
          <w:sz w:val="24"/>
          <w:szCs w:val="24"/>
          <w:highlight w:val="none"/>
          <w:lang w:eastAsia="zh-CN"/>
        </w:rPr>
        <w:t>内无条件支付，</w:t>
      </w:r>
    </w:p>
    <w:p w14:paraId="21832477">
      <w:pPr>
        <w:pStyle w:val="19"/>
        <w:spacing w:before="1" w:line="218" w:lineRule="auto"/>
        <w:ind w:left="25"/>
        <w:rPr>
          <w:color w:val="auto"/>
          <w:sz w:val="24"/>
          <w:szCs w:val="24"/>
          <w:highlight w:val="none"/>
          <w:lang w:eastAsia="zh-CN"/>
        </w:rPr>
      </w:pPr>
      <w:r>
        <w:rPr>
          <w:color w:val="auto"/>
          <w:spacing w:val="-3"/>
          <w:sz w:val="24"/>
          <w:szCs w:val="24"/>
          <w:highlight w:val="none"/>
          <w:lang w:eastAsia="zh-CN"/>
        </w:rPr>
        <w:t>前述书面付款通知即为付款要求之单据，且应满足以下要求：</w:t>
      </w:r>
    </w:p>
    <w:p w14:paraId="43ABD6DF">
      <w:pPr>
        <w:pStyle w:val="19"/>
        <w:spacing w:before="183" w:line="219" w:lineRule="auto"/>
        <w:ind w:left="507"/>
        <w:rPr>
          <w:color w:val="auto"/>
          <w:sz w:val="24"/>
          <w:szCs w:val="24"/>
          <w:highlight w:val="none"/>
          <w:lang w:eastAsia="zh-CN"/>
        </w:rPr>
      </w:pPr>
      <w:r>
        <w:rPr>
          <w:color w:val="auto"/>
          <w:spacing w:val="-4"/>
          <w:sz w:val="24"/>
          <w:szCs w:val="24"/>
          <w:highlight w:val="none"/>
          <w:lang w:eastAsia="zh-CN"/>
        </w:rPr>
        <w:t>（1）付款通知到达的日期在本保函的有效期内；</w:t>
      </w:r>
    </w:p>
    <w:p w14:paraId="04A1E38C">
      <w:pPr>
        <w:pStyle w:val="19"/>
        <w:spacing w:before="181" w:line="220" w:lineRule="auto"/>
        <w:ind w:left="507"/>
        <w:rPr>
          <w:color w:val="auto"/>
          <w:sz w:val="24"/>
          <w:szCs w:val="24"/>
          <w:highlight w:val="none"/>
          <w:lang w:eastAsia="zh-CN"/>
        </w:rPr>
      </w:pPr>
      <w:r>
        <w:rPr>
          <w:color w:val="auto"/>
          <w:spacing w:val="-6"/>
          <w:sz w:val="24"/>
          <w:szCs w:val="24"/>
          <w:highlight w:val="none"/>
          <w:lang w:eastAsia="zh-CN"/>
        </w:rPr>
        <w:t>（2）载明要求支付的金额；</w:t>
      </w:r>
    </w:p>
    <w:p w14:paraId="3A8569BB">
      <w:pPr>
        <w:pStyle w:val="19"/>
        <w:spacing w:before="182" w:line="220" w:lineRule="auto"/>
        <w:ind w:left="507"/>
        <w:rPr>
          <w:rFonts w:ascii="Arial"/>
          <w:color w:val="auto"/>
          <w:highlight w:val="none"/>
          <w:lang w:eastAsia="zh-CN"/>
        </w:rPr>
      </w:pPr>
      <w:r>
        <w:rPr>
          <w:color w:val="auto"/>
          <w:spacing w:val="-4"/>
          <w:sz w:val="24"/>
          <w:szCs w:val="24"/>
          <w:highlight w:val="none"/>
          <w:lang w:eastAsia="zh-CN"/>
        </w:rPr>
        <w:t>（3）载明申请人违反合同义务的条款和内容；</w:t>
      </w:r>
    </w:p>
    <w:p w14:paraId="400C1034">
      <w:pPr>
        <w:pStyle w:val="19"/>
        <w:spacing w:before="78" w:line="469" w:lineRule="exact"/>
        <w:ind w:right="22"/>
        <w:jc w:val="right"/>
        <w:rPr>
          <w:color w:val="auto"/>
          <w:sz w:val="24"/>
          <w:szCs w:val="24"/>
          <w:highlight w:val="none"/>
          <w:lang w:eastAsia="zh-CN"/>
        </w:rPr>
      </w:pPr>
      <w:r>
        <w:rPr>
          <w:color w:val="auto"/>
          <w:spacing w:val="-4"/>
          <w:position w:val="17"/>
          <w:sz w:val="24"/>
          <w:szCs w:val="24"/>
          <w:highlight w:val="none"/>
          <w:lang w:eastAsia="zh-CN"/>
        </w:rPr>
        <w:t>（4）声明不存在合同文件约定或我国法律规定免除申请人或开立人支付责任的</w:t>
      </w:r>
    </w:p>
    <w:p w14:paraId="49693EDD">
      <w:pPr>
        <w:pStyle w:val="19"/>
        <w:spacing w:line="220" w:lineRule="auto"/>
        <w:ind w:left="22"/>
        <w:rPr>
          <w:color w:val="auto"/>
          <w:sz w:val="24"/>
          <w:szCs w:val="24"/>
          <w:highlight w:val="none"/>
          <w:lang w:eastAsia="zh-CN"/>
        </w:rPr>
      </w:pPr>
      <w:r>
        <w:rPr>
          <w:color w:val="auto"/>
          <w:spacing w:val="-15"/>
          <w:sz w:val="24"/>
          <w:szCs w:val="24"/>
          <w:highlight w:val="none"/>
          <w:lang w:eastAsia="zh-CN"/>
        </w:rPr>
        <w:t>情形；</w:t>
      </w:r>
    </w:p>
    <w:p w14:paraId="196000DE">
      <w:pPr>
        <w:pStyle w:val="19"/>
        <w:spacing w:before="179" w:line="219" w:lineRule="auto"/>
        <w:ind w:left="507"/>
        <w:rPr>
          <w:color w:val="auto"/>
          <w:sz w:val="24"/>
          <w:szCs w:val="24"/>
          <w:highlight w:val="none"/>
          <w:lang w:eastAsia="zh-CN"/>
        </w:rPr>
      </w:pPr>
      <w:r>
        <w:rPr>
          <w:color w:val="auto"/>
          <w:spacing w:val="-5"/>
          <w:sz w:val="24"/>
          <w:szCs w:val="24"/>
          <w:highlight w:val="none"/>
          <w:lang w:eastAsia="zh-CN"/>
        </w:rPr>
        <w:t>（5）付款通知应在本保函有效期内到达的地址是：</w:t>
      </w:r>
      <w:r>
        <w:rPr>
          <w:color w:val="auto"/>
          <w:spacing w:val="-6"/>
          <w:sz w:val="24"/>
          <w:szCs w:val="24"/>
          <w:highlight w:val="none"/>
          <w:lang w:eastAsia="zh-CN"/>
        </w:rPr>
        <w:t>。</w:t>
      </w:r>
    </w:p>
    <w:p w14:paraId="2289BECD">
      <w:pPr>
        <w:pStyle w:val="19"/>
        <w:spacing w:before="183" w:line="466" w:lineRule="exact"/>
        <w:ind w:right="16"/>
        <w:jc w:val="right"/>
        <w:rPr>
          <w:color w:val="auto"/>
          <w:sz w:val="24"/>
          <w:szCs w:val="24"/>
          <w:highlight w:val="none"/>
          <w:lang w:eastAsia="zh-CN"/>
        </w:rPr>
      </w:pPr>
      <w:r>
        <w:rPr>
          <w:color w:val="auto"/>
          <w:position w:val="17"/>
          <w:sz w:val="24"/>
          <w:szCs w:val="24"/>
          <w:highlight w:val="none"/>
          <w:lang w:eastAsia="zh-CN"/>
        </w:rPr>
        <w:t>受益人发出的书面付款通知应由其为鉴明受益人法定代表人（负责人）或授权</w:t>
      </w:r>
    </w:p>
    <w:p w14:paraId="486199D8">
      <w:pPr>
        <w:pStyle w:val="19"/>
        <w:spacing w:before="1" w:line="218" w:lineRule="auto"/>
        <w:ind w:left="20"/>
        <w:rPr>
          <w:color w:val="auto"/>
          <w:sz w:val="24"/>
          <w:szCs w:val="24"/>
          <w:highlight w:val="none"/>
          <w:lang w:eastAsia="zh-CN"/>
        </w:rPr>
      </w:pPr>
      <w:r>
        <w:rPr>
          <w:color w:val="auto"/>
          <w:spacing w:val="-4"/>
          <w:sz w:val="24"/>
          <w:szCs w:val="24"/>
          <w:highlight w:val="none"/>
          <w:lang w:eastAsia="zh-CN"/>
        </w:rPr>
        <w:t>代理人签字并加盖公章。</w:t>
      </w:r>
    </w:p>
    <w:p w14:paraId="32EE22C7">
      <w:pPr>
        <w:pStyle w:val="19"/>
        <w:spacing w:before="183" w:line="466" w:lineRule="exact"/>
        <w:jc w:val="right"/>
        <w:rPr>
          <w:color w:val="auto"/>
          <w:sz w:val="24"/>
          <w:szCs w:val="24"/>
          <w:highlight w:val="none"/>
          <w:lang w:eastAsia="zh-CN"/>
        </w:rPr>
      </w:pPr>
      <w:r>
        <w:rPr>
          <w:color w:val="auto"/>
          <w:spacing w:val="-7"/>
          <w:position w:val="17"/>
          <w:sz w:val="24"/>
          <w:szCs w:val="24"/>
          <w:highlight w:val="none"/>
          <w:lang w:eastAsia="zh-CN"/>
        </w:rPr>
        <w:t>五、本保函项下的权利不得转让，不得设定担保。贵方未</w:t>
      </w:r>
      <w:r>
        <w:rPr>
          <w:color w:val="auto"/>
          <w:spacing w:val="-8"/>
          <w:position w:val="17"/>
          <w:sz w:val="24"/>
          <w:szCs w:val="24"/>
          <w:highlight w:val="none"/>
          <w:lang w:eastAsia="zh-CN"/>
        </w:rPr>
        <w:t>经我方书面同意转 让</w:t>
      </w:r>
    </w:p>
    <w:p w14:paraId="74D4AAE9">
      <w:pPr>
        <w:pStyle w:val="19"/>
        <w:spacing w:before="1" w:line="218" w:lineRule="auto"/>
        <w:ind w:left="22"/>
        <w:rPr>
          <w:color w:val="auto"/>
          <w:sz w:val="24"/>
          <w:szCs w:val="24"/>
          <w:highlight w:val="none"/>
          <w:lang w:eastAsia="zh-CN"/>
        </w:rPr>
      </w:pPr>
      <w:r>
        <w:rPr>
          <w:color w:val="auto"/>
          <w:spacing w:val="-9"/>
          <w:sz w:val="24"/>
          <w:szCs w:val="24"/>
          <w:highlight w:val="none"/>
          <w:lang w:eastAsia="zh-CN"/>
        </w:rPr>
        <w:t>本保函或其项下任何权利，对我方不发生法律效力。</w:t>
      </w:r>
    </w:p>
    <w:p w14:paraId="78849B57">
      <w:pPr>
        <w:pStyle w:val="19"/>
        <w:spacing w:before="183" w:line="466" w:lineRule="exact"/>
        <w:ind w:right="7"/>
        <w:jc w:val="right"/>
        <w:rPr>
          <w:color w:val="auto"/>
          <w:sz w:val="24"/>
          <w:szCs w:val="24"/>
          <w:highlight w:val="none"/>
          <w:lang w:eastAsia="zh-CN"/>
        </w:rPr>
      </w:pPr>
      <w:r>
        <w:rPr>
          <w:color w:val="auto"/>
          <w:position w:val="17"/>
          <w:sz w:val="24"/>
          <w:szCs w:val="24"/>
          <w:highlight w:val="none"/>
          <w:lang w:eastAsia="zh-CN"/>
        </w:rPr>
        <w:t>六、与本保函有关的基础合同不成立、不生效、无效、被撤销、被解除，不影</w:t>
      </w:r>
    </w:p>
    <w:p w14:paraId="5868254F">
      <w:pPr>
        <w:pStyle w:val="19"/>
        <w:spacing w:before="1" w:line="218" w:lineRule="auto"/>
        <w:ind w:left="33"/>
        <w:rPr>
          <w:color w:val="auto"/>
          <w:sz w:val="24"/>
          <w:szCs w:val="24"/>
          <w:highlight w:val="none"/>
          <w:lang w:eastAsia="zh-CN"/>
        </w:rPr>
      </w:pPr>
      <w:r>
        <w:rPr>
          <w:color w:val="auto"/>
          <w:spacing w:val="-6"/>
          <w:sz w:val="24"/>
          <w:szCs w:val="24"/>
          <w:highlight w:val="none"/>
          <w:lang w:eastAsia="zh-CN"/>
        </w:rPr>
        <w:t>响本保函的独立有效。</w:t>
      </w:r>
    </w:p>
    <w:p w14:paraId="3E21C77B">
      <w:pPr>
        <w:pStyle w:val="19"/>
        <w:spacing w:before="183" w:line="359" w:lineRule="auto"/>
        <w:ind w:left="22" w:right="6" w:firstLine="478"/>
        <w:rPr>
          <w:color w:val="auto"/>
          <w:sz w:val="24"/>
          <w:szCs w:val="24"/>
          <w:highlight w:val="none"/>
          <w:lang w:eastAsia="zh-CN"/>
        </w:rPr>
      </w:pPr>
      <w:r>
        <w:rPr>
          <w:color w:val="auto"/>
          <w:spacing w:val="-5"/>
          <w:sz w:val="24"/>
          <w:szCs w:val="24"/>
          <w:highlight w:val="none"/>
          <w:lang w:eastAsia="zh-CN"/>
        </w:rPr>
        <w:t>七、贵方应在本保函到期后的七日内将本保函正本退回</w:t>
      </w:r>
      <w:r>
        <w:rPr>
          <w:color w:val="auto"/>
          <w:spacing w:val="-6"/>
          <w:sz w:val="24"/>
          <w:szCs w:val="24"/>
          <w:highlight w:val="none"/>
          <w:lang w:eastAsia="zh-CN"/>
        </w:rPr>
        <w:t>我方注销， 但是不论贵</w:t>
      </w:r>
      <w:r>
        <w:rPr>
          <w:color w:val="auto"/>
          <w:sz w:val="24"/>
          <w:szCs w:val="24"/>
          <w:highlight w:val="none"/>
          <w:lang w:eastAsia="zh-CN"/>
        </w:rPr>
        <w:t xml:space="preserve"> 方是否按此要求将本保函正本退回我方，我方在本保函项下的义务和责任均在保函</w:t>
      </w:r>
    </w:p>
    <w:p w14:paraId="015110D0">
      <w:pPr>
        <w:pStyle w:val="19"/>
        <w:spacing w:line="220" w:lineRule="auto"/>
        <w:ind w:left="22"/>
        <w:rPr>
          <w:color w:val="auto"/>
          <w:sz w:val="24"/>
          <w:szCs w:val="24"/>
          <w:highlight w:val="none"/>
          <w:lang w:eastAsia="zh-CN"/>
        </w:rPr>
      </w:pPr>
      <w:r>
        <w:rPr>
          <w:color w:val="auto"/>
          <w:spacing w:val="-4"/>
          <w:sz w:val="24"/>
          <w:szCs w:val="24"/>
          <w:highlight w:val="none"/>
          <w:lang w:eastAsia="zh-CN"/>
        </w:rPr>
        <w:t>有效期到期后自动消灭。</w:t>
      </w:r>
    </w:p>
    <w:p w14:paraId="36560FA2">
      <w:pPr>
        <w:pStyle w:val="19"/>
        <w:spacing w:before="180" w:line="468" w:lineRule="exact"/>
        <w:ind w:right="9"/>
        <w:jc w:val="right"/>
        <w:rPr>
          <w:color w:val="auto"/>
          <w:sz w:val="24"/>
          <w:szCs w:val="24"/>
          <w:highlight w:val="none"/>
          <w:lang w:eastAsia="zh-CN"/>
        </w:rPr>
      </w:pPr>
      <w:r>
        <w:rPr>
          <w:color w:val="auto"/>
          <w:spacing w:val="-2"/>
          <w:position w:val="17"/>
          <w:sz w:val="24"/>
          <w:szCs w:val="24"/>
          <w:highlight w:val="none"/>
          <w:lang w:eastAsia="zh-CN"/>
        </w:rPr>
        <w:t>八、本保函适用的法律为中华人民共和国法律，争议裁判管辖地为中华人</w:t>
      </w:r>
      <w:r>
        <w:rPr>
          <w:color w:val="auto"/>
          <w:spacing w:val="-3"/>
          <w:position w:val="17"/>
          <w:sz w:val="24"/>
          <w:szCs w:val="24"/>
          <w:highlight w:val="none"/>
          <w:lang w:eastAsia="zh-CN"/>
        </w:rPr>
        <w:t>民共</w:t>
      </w:r>
    </w:p>
    <w:p w14:paraId="4CABFA2D">
      <w:pPr>
        <w:pStyle w:val="19"/>
        <w:spacing w:line="222" w:lineRule="auto"/>
        <w:ind w:left="22"/>
        <w:rPr>
          <w:color w:val="auto"/>
          <w:sz w:val="24"/>
          <w:szCs w:val="24"/>
          <w:highlight w:val="none"/>
          <w:lang w:eastAsia="zh-CN"/>
        </w:rPr>
      </w:pPr>
      <w:r>
        <w:rPr>
          <w:color w:val="auto"/>
          <w:spacing w:val="-2"/>
          <w:sz w:val="24"/>
          <w:szCs w:val="24"/>
          <w:highlight w:val="none"/>
          <w:lang w:eastAsia="zh-CN"/>
        </w:rPr>
        <w:t>和国。</w:t>
      </w:r>
    </w:p>
    <w:p w14:paraId="0B3B34DB">
      <w:pPr>
        <w:pStyle w:val="19"/>
        <w:spacing w:before="176" w:line="219" w:lineRule="auto"/>
        <w:ind w:left="507"/>
        <w:rPr>
          <w:color w:val="auto"/>
          <w:sz w:val="24"/>
          <w:szCs w:val="24"/>
          <w:highlight w:val="none"/>
          <w:lang w:eastAsia="zh-CN"/>
        </w:rPr>
      </w:pPr>
      <w:r>
        <w:rPr>
          <w:color w:val="auto"/>
          <w:spacing w:val="-4"/>
          <w:sz w:val="24"/>
          <w:szCs w:val="24"/>
          <w:highlight w:val="none"/>
          <w:lang w:eastAsia="zh-CN"/>
        </w:rPr>
        <w:t>九、本保函自我方法定代表人或授权代表签字并加盖公章之日起</w:t>
      </w:r>
      <w:r>
        <w:rPr>
          <w:color w:val="auto"/>
          <w:spacing w:val="-5"/>
          <w:sz w:val="24"/>
          <w:szCs w:val="24"/>
          <w:highlight w:val="none"/>
          <w:lang w:eastAsia="zh-CN"/>
        </w:rPr>
        <w:t>生效。</w:t>
      </w:r>
    </w:p>
    <w:p w14:paraId="51F37BCC">
      <w:pPr>
        <w:pStyle w:val="19"/>
        <w:spacing w:before="184" w:line="219" w:lineRule="auto"/>
        <w:ind w:left="502"/>
        <w:rPr>
          <w:color w:val="auto"/>
          <w:sz w:val="24"/>
          <w:szCs w:val="24"/>
          <w:highlight w:val="none"/>
          <w:lang w:eastAsia="zh-CN"/>
        </w:rPr>
      </w:pPr>
      <w:r>
        <w:rPr>
          <w:color w:val="auto"/>
          <w:sz w:val="24"/>
          <w:szCs w:val="24"/>
          <w:highlight w:val="none"/>
          <w:lang w:eastAsia="zh-CN"/>
        </w:rPr>
        <w:t>开 立人</w:t>
      </w:r>
      <w:r>
        <w:rPr>
          <w:color w:val="auto"/>
          <w:spacing w:val="-16"/>
          <w:sz w:val="24"/>
          <w:szCs w:val="24"/>
          <w:highlight w:val="none"/>
          <w:lang w:eastAsia="zh-CN"/>
        </w:rPr>
        <w:t>：（</w:t>
      </w:r>
      <w:r>
        <w:rPr>
          <w:color w:val="auto"/>
          <w:sz w:val="24"/>
          <w:szCs w:val="24"/>
          <w:highlight w:val="none"/>
          <w:lang w:eastAsia="zh-CN"/>
        </w:rPr>
        <w:t>公章）</w:t>
      </w:r>
    </w:p>
    <w:p w14:paraId="0629CCCF">
      <w:pPr>
        <w:pStyle w:val="19"/>
        <w:spacing w:before="183" w:line="220" w:lineRule="auto"/>
        <w:ind w:left="502"/>
        <w:rPr>
          <w:color w:val="auto"/>
          <w:sz w:val="24"/>
          <w:szCs w:val="24"/>
          <w:highlight w:val="none"/>
          <w:lang w:eastAsia="zh-CN"/>
        </w:rPr>
      </w:pPr>
      <w:r>
        <w:rPr>
          <w:color w:val="auto"/>
          <w:spacing w:val="-15"/>
          <w:sz w:val="24"/>
          <w:szCs w:val="24"/>
          <w:highlight w:val="none"/>
          <w:lang w:eastAsia="zh-CN"/>
        </w:rPr>
        <w:t>法定代表人（或授权代表</w:t>
      </w:r>
      <w:r>
        <w:rPr>
          <w:color w:val="auto"/>
          <w:spacing w:val="-5"/>
          <w:sz w:val="24"/>
          <w:szCs w:val="24"/>
          <w:highlight w:val="none"/>
          <w:lang w:eastAsia="zh-CN"/>
        </w:rPr>
        <w:t>）：（</w:t>
      </w:r>
      <w:r>
        <w:rPr>
          <w:color w:val="auto"/>
          <w:spacing w:val="-15"/>
          <w:sz w:val="24"/>
          <w:szCs w:val="24"/>
          <w:highlight w:val="none"/>
          <w:lang w:eastAsia="zh-CN"/>
        </w:rPr>
        <w:t>签字）</w:t>
      </w:r>
    </w:p>
    <w:p w14:paraId="11B35A31">
      <w:pPr>
        <w:pStyle w:val="19"/>
        <w:spacing w:before="180" w:line="468"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19E46DDE">
      <w:pPr>
        <w:pStyle w:val="19"/>
        <w:spacing w:before="1" w:line="219" w:lineRule="auto"/>
        <w:ind w:left="519"/>
        <w:rPr>
          <w:color w:val="auto"/>
          <w:sz w:val="24"/>
          <w:szCs w:val="24"/>
          <w:highlight w:val="none"/>
          <w:lang w:eastAsia="zh-CN"/>
        </w:rPr>
      </w:pPr>
      <w:r>
        <w:rPr>
          <w:color w:val="auto"/>
          <w:spacing w:val="-14"/>
          <w:sz w:val="24"/>
          <w:szCs w:val="24"/>
          <w:highlight w:val="none"/>
          <w:lang w:eastAsia="zh-CN"/>
        </w:rPr>
        <w:t>邮政编码：</w:t>
      </w:r>
    </w:p>
    <w:p w14:paraId="1A22DED7">
      <w:pPr>
        <w:pStyle w:val="19"/>
        <w:spacing w:before="180" w:line="222" w:lineRule="auto"/>
        <w:ind w:left="529"/>
        <w:rPr>
          <w:color w:val="auto"/>
          <w:sz w:val="24"/>
          <w:szCs w:val="24"/>
          <w:highlight w:val="none"/>
          <w:lang w:eastAsia="zh-CN"/>
        </w:rPr>
      </w:pPr>
      <w:r>
        <w:rPr>
          <w:color w:val="auto"/>
          <w:spacing w:val="-24"/>
          <w:sz w:val="24"/>
          <w:szCs w:val="24"/>
          <w:highlight w:val="none"/>
          <w:lang w:eastAsia="zh-CN"/>
        </w:rPr>
        <w:t>电话：</w:t>
      </w:r>
    </w:p>
    <w:p w14:paraId="5F5387C1">
      <w:pPr>
        <w:pStyle w:val="19"/>
        <w:spacing w:before="179" w:line="219" w:lineRule="auto"/>
        <w:ind w:left="499"/>
        <w:rPr>
          <w:color w:val="auto"/>
          <w:sz w:val="24"/>
          <w:szCs w:val="24"/>
          <w:highlight w:val="none"/>
          <w:lang w:eastAsia="zh-CN"/>
        </w:rPr>
      </w:pPr>
      <w:r>
        <w:rPr>
          <w:color w:val="auto"/>
          <w:spacing w:val="-14"/>
          <w:sz w:val="24"/>
          <w:szCs w:val="24"/>
          <w:highlight w:val="none"/>
          <w:lang w:eastAsia="zh-CN"/>
        </w:rPr>
        <w:t>传真：</w:t>
      </w:r>
    </w:p>
    <w:p w14:paraId="463C4971">
      <w:pPr>
        <w:pStyle w:val="19"/>
        <w:spacing w:before="181" w:line="220" w:lineRule="auto"/>
        <w:ind w:left="502"/>
        <w:rPr>
          <w:color w:val="auto"/>
          <w:sz w:val="24"/>
          <w:szCs w:val="24"/>
          <w:highlight w:val="none"/>
          <w:lang w:eastAsia="zh-CN"/>
        </w:rPr>
      </w:pPr>
      <w:r>
        <w:rPr>
          <w:color w:val="auto"/>
          <w:spacing w:val="-23"/>
          <w:sz w:val="24"/>
          <w:szCs w:val="24"/>
          <w:highlight w:val="none"/>
          <w:lang w:eastAsia="zh-CN"/>
        </w:rPr>
        <w:t>开立时间：年月</w:t>
      </w:r>
    </w:p>
    <w:p w14:paraId="5BEF6357">
      <w:pPr>
        <w:spacing w:line="319" w:lineRule="auto"/>
        <w:rPr>
          <w:color w:val="auto"/>
          <w:highlight w:val="none"/>
          <w:lang w:eastAsia="zh-CN"/>
        </w:rPr>
      </w:pPr>
    </w:p>
    <w:p w14:paraId="3056FD56">
      <w:pPr>
        <w:spacing w:line="320" w:lineRule="auto"/>
        <w:rPr>
          <w:rFonts w:eastAsia="宋体"/>
          <w:color w:val="auto"/>
          <w:highlight w:val="none"/>
          <w:lang w:eastAsia="zh-CN"/>
        </w:rPr>
      </w:pPr>
    </w:p>
    <w:p w14:paraId="5B703F21">
      <w:pPr>
        <w:spacing w:line="320" w:lineRule="auto"/>
        <w:rPr>
          <w:rFonts w:eastAsia="宋体"/>
          <w:color w:val="auto"/>
          <w:highlight w:val="none"/>
          <w:lang w:eastAsia="zh-CN"/>
        </w:rPr>
      </w:pPr>
    </w:p>
    <w:p w14:paraId="0A008FF4">
      <w:pPr>
        <w:spacing w:line="320" w:lineRule="auto"/>
        <w:rPr>
          <w:rFonts w:eastAsia="宋体"/>
          <w:color w:val="auto"/>
          <w:highlight w:val="none"/>
          <w:lang w:eastAsia="zh-CN"/>
        </w:rPr>
      </w:pPr>
    </w:p>
    <w:p w14:paraId="40E4979F">
      <w:pPr>
        <w:spacing w:line="320" w:lineRule="auto"/>
        <w:rPr>
          <w:rFonts w:eastAsia="宋体"/>
          <w:color w:val="auto"/>
          <w:highlight w:val="none"/>
          <w:lang w:eastAsia="zh-CN"/>
        </w:rPr>
      </w:pPr>
    </w:p>
    <w:p w14:paraId="4636C685">
      <w:pPr>
        <w:spacing w:line="320" w:lineRule="auto"/>
        <w:rPr>
          <w:rFonts w:eastAsia="宋体"/>
          <w:color w:val="auto"/>
          <w:highlight w:val="none"/>
          <w:lang w:eastAsia="zh-CN"/>
        </w:rPr>
      </w:pPr>
    </w:p>
    <w:p w14:paraId="4156A813">
      <w:pPr>
        <w:spacing w:line="320" w:lineRule="auto"/>
        <w:rPr>
          <w:rFonts w:eastAsia="宋体"/>
          <w:color w:val="auto"/>
          <w:highlight w:val="none"/>
          <w:lang w:eastAsia="zh-CN"/>
        </w:rPr>
      </w:pPr>
    </w:p>
    <w:p w14:paraId="494760BC">
      <w:pPr>
        <w:rPr>
          <w:rFonts w:eastAsia="宋体"/>
          <w:color w:val="auto"/>
          <w:highlight w:val="none"/>
          <w:lang w:eastAsia="zh-CN"/>
        </w:rPr>
      </w:pPr>
      <w:r>
        <w:rPr>
          <w:rFonts w:hint="eastAsia" w:eastAsia="宋体"/>
          <w:color w:val="auto"/>
          <w:highlight w:val="none"/>
          <w:lang w:eastAsia="zh-CN"/>
        </w:rPr>
        <w:br w:type="page"/>
      </w:r>
    </w:p>
    <w:p w14:paraId="4A968B6F">
      <w:pPr>
        <w:spacing w:before="98" w:line="218" w:lineRule="auto"/>
        <w:ind w:left="44"/>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7</w:t>
      </w:r>
      <w:r>
        <w:rPr>
          <w:rFonts w:ascii="仿宋" w:hAnsi="仿宋" w:eastAsia="仿宋" w:cs="仿宋"/>
          <w:color w:val="auto"/>
          <w:spacing w:val="-12"/>
          <w:sz w:val="30"/>
          <w:szCs w:val="30"/>
          <w:highlight w:val="none"/>
          <w:lang w:eastAsia="zh-CN"/>
        </w:rPr>
        <w:t>：</w:t>
      </w:r>
    </w:p>
    <w:p w14:paraId="3ACB6BFD">
      <w:pPr>
        <w:pStyle w:val="19"/>
        <w:spacing w:before="101" w:line="622" w:lineRule="exact"/>
        <w:ind w:left="3080"/>
        <w:rPr>
          <w:color w:val="auto"/>
          <w:sz w:val="31"/>
          <w:szCs w:val="31"/>
          <w:highlight w:val="none"/>
          <w:lang w:eastAsia="zh-CN"/>
        </w:rPr>
      </w:pPr>
      <w:r>
        <w:rPr>
          <w:color w:val="auto"/>
          <w:spacing w:val="8"/>
          <w:position w:val="23"/>
          <w:sz w:val="31"/>
          <w:szCs w:val="31"/>
          <w:highlight w:val="none"/>
          <w:lang w:eastAsia="zh-CN"/>
        </w:rPr>
        <w:t>履约保函示范文本</w:t>
      </w:r>
    </w:p>
    <w:p w14:paraId="45D4F92C">
      <w:pPr>
        <w:pStyle w:val="19"/>
        <w:spacing w:before="1" w:line="225" w:lineRule="auto"/>
        <w:ind w:left="3249"/>
        <w:rPr>
          <w:rFonts w:ascii="Arial"/>
          <w:color w:val="auto"/>
          <w:highlight w:val="none"/>
          <w:lang w:eastAsia="zh-CN"/>
        </w:rPr>
      </w:pPr>
      <w:r>
        <w:rPr>
          <w:color w:val="auto"/>
          <w:spacing w:val="3"/>
          <w:sz w:val="31"/>
          <w:szCs w:val="31"/>
          <w:highlight w:val="none"/>
          <w:lang w:eastAsia="zh-CN"/>
        </w:rPr>
        <w:t>（非独立保函）</w:t>
      </w:r>
    </w:p>
    <w:p w14:paraId="06A5A74A">
      <w:pPr>
        <w:pStyle w:val="19"/>
        <w:spacing w:before="69" w:line="221" w:lineRule="auto"/>
        <w:ind w:left="6908"/>
        <w:rPr>
          <w:color w:val="auto"/>
          <w:highlight w:val="none"/>
          <w:lang w:eastAsia="zh-CN"/>
        </w:rPr>
      </w:pPr>
      <w:r>
        <w:rPr>
          <w:color w:val="auto"/>
          <w:spacing w:val="-13"/>
          <w:highlight w:val="none"/>
          <w:lang w:eastAsia="zh-CN"/>
        </w:rPr>
        <w:t>编号：</w:t>
      </w:r>
    </w:p>
    <w:p w14:paraId="13DDF4A8">
      <w:pPr>
        <w:pStyle w:val="19"/>
        <w:spacing w:before="161" w:line="468" w:lineRule="exact"/>
        <w:ind w:left="21"/>
        <w:rPr>
          <w:color w:val="auto"/>
          <w:sz w:val="24"/>
          <w:szCs w:val="24"/>
          <w:highlight w:val="none"/>
          <w:lang w:eastAsia="zh-CN"/>
        </w:rPr>
      </w:pPr>
      <w:r>
        <w:rPr>
          <w:color w:val="auto"/>
          <w:spacing w:val="-13"/>
          <w:position w:val="17"/>
          <w:sz w:val="24"/>
          <w:szCs w:val="24"/>
          <w:highlight w:val="none"/>
          <w:lang w:eastAsia="zh-CN"/>
        </w:rPr>
        <w:t>承包人：</w:t>
      </w:r>
    </w:p>
    <w:p w14:paraId="5B000FB4">
      <w:pPr>
        <w:pStyle w:val="19"/>
        <w:spacing w:before="1" w:line="228" w:lineRule="auto"/>
        <w:ind w:left="21"/>
        <w:rPr>
          <w:color w:val="auto"/>
          <w:sz w:val="24"/>
          <w:szCs w:val="24"/>
          <w:highlight w:val="none"/>
          <w:lang w:eastAsia="zh-CN"/>
        </w:rPr>
      </w:pPr>
      <w:r>
        <w:rPr>
          <w:color w:val="auto"/>
          <w:spacing w:val="-4"/>
          <w:sz w:val="24"/>
          <w:szCs w:val="24"/>
          <w:highlight w:val="none"/>
          <w:lang w:eastAsia="zh-CN"/>
        </w:rPr>
        <w:t>地址：</w:t>
      </w:r>
    </w:p>
    <w:p w14:paraId="72DD4B57">
      <w:pPr>
        <w:pStyle w:val="19"/>
        <w:spacing w:before="168" w:line="468" w:lineRule="exact"/>
        <w:ind w:left="22"/>
        <w:rPr>
          <w:color w:val="auto"/>
          <w:sz w:val="24"/>
          <w:szCs w:val="24"/>
          <w:highlight w:val="none"/>
          <w:lang w:eastAsia="zh-CN"/>
        </w:rPr>
      </w:pPr>
      <w:r>
        <w:rPr>
          <w:color w:val="auto"/>
          <w:spacing w:val="-6"/>
          <w:position w:val="17"/>
          <w:sz w:val="24"/>
          <w:szCs w:val="24"/>
          <w:highlight w:val="none"/>
          <w:lang w:eastAsia="zh-CN"/>
        </w:rPr>
        <w:t>担保权人/发包人：</w:t>
      </w:r>
    </w:p>
    <w:p w14:paraId="64B656D7">
      <w:pPr>
        <w:pStyle w:val="19"/>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24702413">
      <w:pPr>
        <w:pStyle w:val="19"/>
        <w:spacing w:before="168" w:line="468" w:lineRule="exact"/>
        <w:ind w:left="22"/>
        <w:rPr>
          <w:color w:val="auto"/>
          <w:sz w:val="24"/>
          <w:szCs w:val="24"/>
          <w:highlight w:val="none"/>
          <w:lang w:eastAsia="zh-CN"/>
        </w:rPr>
      </w:pPr>
      <w:r>
        <w:rPr>
          <w:color w:val="auto"/>
          <w:spacing w:val="-13"/>
          <w:position w:val="17"/>
          <w:sz w:val="24"/>
          <w:szCs w:val="24"/>
          <w:highlight w:val="none"/>
          <w:lang w:eastAsia="zh-CN"/>
        </w:rPr>
        <w:t>保证人：</w:t>
      </w:r>
    </w:p>
    <w:p w14:paraId="6B33F60A">
      <w:pPr>
        <w:pStyle w:val="19"/>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2FACFFAB">
      <w:pPr>
        <w:spacing w:line="278" w:lineRule="auto"/>
        <w:rPr>
          <w:color w:val="auto"/>
          <w:highlight w:val="none"/>
          <w:lang w:eastAsia="zh-CN"/>
        </w:rPr>
      </w:pPr>
    </w:p>
    <w:p w14:paraId="48C144F3">
      <w:pPr>
        <w:pStyle w:val="19"/>
        <w:tabs>
          <w:tab w:val="left" w:pos="1691"/>
        </w:tabs>
        <w:spacing w:before="78" w:line="220" w:lineRule="auto"/>
        <w:ind w:left="12"/>
        <w:rPr>
          <w:color w:val="auto"/>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（发包人名称</w:t>
      </w:r>
      <w:r>
        <w:rPr>
          <w:color w:val="auto"/>
          <w:spacing w:val="-21"/>
          <w:sz w:val="24"/>
          <w:szCs w:val="24"/>
          <w:highlight w:val="none"/>
          <w:lang w:eastAsia="zh-CN"/>
        </w:rPr>
        <w:t>）：</w:t>
      </w:r>
    </w:p>
    <w:p w14:paraId="2CF4D7A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36" w:firstLineChars="200"/>
        <w:jc w:val="both"/>
        <w:textAlignment w:val="baseline"/>
        <w:rPr>
          <w:color w:val="auto"/>
          <w:sz w:val="24"/>
          <w:szCs w:val="24"/>
          <w:highlight w:val="none"/>
          <w:lang w:eastAsia="zh-CN"/>
        </w:rPr>
      </w:pPr>
      <w:r>
        <w:rPr>
          <w:color w:val="auto"/>
          <w:spacing w:val="-11"/>
          <w:sz w:val="24"/>
          <w:szCs w:val="24"/>
          <w:highlight w:val="none"/>
          <w:lang w:eastAsia="zh-CN"/>
        </w:rPr>
        <w:t>鉴于（以下简称“发包人”）与</w:t>
      </w:r>
      <w:r>
        <w:rPr>
          <w:color w:val="auto"/>
          <w:spacing w:val="-12"/>
          <w:sz w:val="24"/>
          <w:szCs w:val="24"/>
          <w:highlight w:val="none"/>
          <w:lang w:eastAsia="zh-CN"/>
        </w:rPr>
        <w:t xml:space="preserve"> （以下简称“承包人”）于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        》</w:t>
      </w:r>
      <w:r>
        <w:rPr>
          <w:color w:val="auto"/>
          <w:spacing w:val="-9"/>
          <w:sz w:val="24"/>
          <w:szCs w:val="24"/>
          <w:highlight w:val="none"/>
          <w:lang w:eastAsia="zh-CN"/>
        </w:rPr>
        <w:t>（以下简称“主合同”</w:t>
      </w:r>
      <w:r>
        <w:rPr>
          <w:color w:val="auto"/>
          <w:spacing w:val="-42"/>
          <w:w w:val="67"/>
          <w:sz w:val="24"/>
          <w:szCs w:val="24"/>
          <w:highlight w:val="none"/>
          <w:lang w:eastAsia="zh-CN"/>
        </w:rPr>
        <w:t>），</w:t>
      </w:r>
      <w:r>
        <w:rPr>
          <w:color w:val="auto"/>
          <w:spacing w:val="-9"/>
          <w:sz w:val="24"/>
          <w:szCs w:val="24"/>
          <w:highlight w:val="none"/>
          <w:lang w:eastAsia="zh-CN"/>
        </w:rPr>
        <w:t>我方即保证人基于承包人的请求，同</w:t>
      </w:r>
      <w:r>
        <w:rPr>
          <w:color w:val="auto"/>
          <w:spacing w:val="1"/>
          <w:sz w:val="24"/>
          <w:szCs w:val="24"/>
          <w:highlight w:val="none"/>
          <w:lang w:eastAsia="zh-CN"/>
        </w:rPr>
        <w:t>意就承包人履行与贵方签订的主合同项下的义务</w:t>
      </w:r>
      <w:r>
        <w:rPr>
          <w:color w:val="auto"/>
          <w:sz w:val="24"/>
          <w:szCs w:val="24"/>
          <w:highlight w:val="none"/>
          <w:lang w:eastAsia="zh-CN"/>
        </w:rPr>
        <w:t>，向贵方提供如下保证担保（以下</w:t>
      </w:r>
      <w:r>
        <w:rPr>
          <w:color w:val="auto"/>
          <w:spacing w:val="-21"/>
          <w:sz w:val="24"/>
          <w:szCs w:val="24"/>
          <w:highlight w:val="none"/>
          <w:lang w:eastAsia="zh-CN"/>
        </w:rPr>
        <w:t>简称“本保证担保”）。</w:t>
      </w:r>
    </w:p>
    <w:p w14:paraId="371EE3C2">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z w:val="24"/>
          <w:szCs w:val="24"/>
          <w:highlight w:val="none"/>
          <w:lang w:eastAsia="zh-CN"/>
        </w:rPr>
      </w:pPr>
      <w:r>
        <w:rPr>
          <w:color w:val="auto"/>
          <w:spacing w:val="-1"/>
          <w:sz w:val="24"/>
          <w:szCs w:val="24"/>
          <w:highlight w:val="none"/>
          <w:lang w:eastAsia="zh-CN"/>
        </w:rPr>
        <w:t>一、保证担保的范围及保证担保金额</w:t>
      </w:r>
    </w:p>
    <w:p w14:paraId="6C07860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1.保证担保范围：承包人未按照主合同的约定履行义务，应当向贵方承担的违</w:t>
      </w:r>
    </w:p>
    <w:p w14:paraId="127D70EE">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约责任和赔偿因此造成的损失、利息、律师费、诉讼费用等实现债权的费用。</w:t>
      </w:r>
    </w:p>
    <w:p w14:paraId="0B79E507">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z w:val="24"/>
          <w:szCs w:val="24"/>
          <w:highlight w:val="none"/>
          <w:lang w:eastAsia="zh-CN"/>
        </w:rPr>
      </w:pPr>
      <w:r>
        <w:rPr>
          <w:color w:val="auto"/>
          <w:spacing w:val="-1"/>
          <w:sz w:val="24"/>
          <w:szCs w:val="24"/>
          <w:highlight w:val="none"/>
          <w:lang w:eastAsia="zh-CN"/>
        </w:rPr>
        <w:t>2.保证担保金额最高不超过人民币（大写） 元(¥</w:t>
      </w:r>
      <w:r>
        <w:rPr>
          <w:color w:val="auto"/>
          <w:spacing w:val="-2"/>
          <w:sz w:val="24"/>
          <w:szCs w:val="24"/>
          <w:highlight w:val="none"/>
          <w:lang w:eastAsia="zh-CN"/>
        </w:rPr>
        <w:t>)。</w:t>
      </w:r>
    </w:p>
    <w:p w14:paraId="61F6305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z w:val="24"/>
          <w:szCs w:val="24"/>
          <w:highlight w:val="none"/>
          <w:lang w:eastAsia="zh-CN"/>
        </w:rPr>
      </w:pPr>
      <w:r>
        <w:rPr>
          <w:color w:val="auto"/>
          <w:spacing w:val="-1"/>
          <w:sz w:val="24"/>
          <w:szCs w:val="24"/>
          <w:highlight w:val="none"/>
          <w:lang w:eastAsia="zh-CN"/>
        </w:rPr>
        <w:t>二、保证担保的方式及保证期间</w:t>
      </w:r>
    </w:p>
    <w:p w14:paraId="6F987604">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1.保证担保方式：连带责任保证。</w:t>
      </w:r>
    </w:p>
    <w:p w14:paraId="2DB8B17A">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2.保证期间： 自出具之日起至主合同约定的缺陷责任期后日止，最迟不超过</w:t>
      </w:r>
    </w:p>
    <w:p w14:paraId="2F8F806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年</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月</w:t>
      </w:r>
      <w:r>
        <w:rPr>
          <w:rFonts w:hint="eastAsia"/>
          <w:color w:val="auto"/>
          <w:spacing w:val="-1"/>
          <w:sz w:val="24"/>
          <w:szCs w:val="24"/>
          <w:highlight w:val="none"/>
          <w:lang w:val="en-US" w:eastAsia="zh-CN"/>
        </w:rPr>
        <w:t xml:space="preserve">  </w:t>
      </w:r>
      <w:r>
        <w:rPr>
          <w:rFonts w:hint="eastAsia"/>
          <w:color w:val="auto"/>
          <w:spacing w:val="-1"/>
          <w:sz w:val="24"/>
          <w:szCs w:val="24"/>
          <w:highlight w:val="none"/>
          <w:lang w:eastAsia="zh-CN"/>
        </w:rPr>
        <w:t>日。</w:t>
      </w:r>
    </w:p>
    <w:p w14:paraId="27965E69">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80" w:firstLineChars="200"/>
        <w:textAlignment w:val="baseline"/>
        <w:rPr>
          <w:color w:val="auto"/>
          <w:sz w:val="24"/>
          <w:szCs w:val="24"/>
          <w:highlight w:val="none"/>
          <w:lang w:eastAsia="zh-CN"/>
        </w:rPr>
      </w:pPr>
      <w:r>
        <w:rPr>
          <w:color w:val="auto"/>
          <w:sz w:val="24"/>
          <w:szCs w:val="24"/>
          <w:highlight w:val="none"/>
          <w:lang w:eastAsia="zh-CN"/>
        </w:rPr>
        <w:t>三、承担保证担保责任的形式</w:t>
      </w:r>
    </w:p>
    <w:p w14:paraId="3D15B310">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我方按照贵方的要求以下列方式之一承担保证担保责任：</w:t>
      </w:r>
    </w:p>
    <w:p w14:paraId="3221974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1.向承包人资金、设备或者技术援助，使其能继续履行合同义务；</w:t>
      </w:r>
    </w:p>
    <w:p w14:paraId="07FFC03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2.直接接管该项工程或者委托经贵方同意的其他承包商，继续履行合同义务；</w:t>
      </w:r>
    </w:p>
    <w:p w14:paraId="358CC0B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3.在保证担保金额最高限额内，按照合同约定，向贵方承担违约责任和赔偿因此造成的损失，以及利息和律师费、诉讼费用等实现债权的费用。</w:t>
      </w:r>
    </w:p>
    <w:p w14:paraId="466A0111">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64" w:firstLineChars="200"/>
        <w:textAlignment w:val="baseline"/>
        <w:rPr>
          <w:color w:val="auto"/>
          <w:sz w:val="24"/>
          <w:szCs w:val="24"/>
          <w:highlight w:val="none"/>
          <w:lang w:eastAsia="zh-CN"/>
        </w:rPr>
      </w:pPr>
      <w:r>
        <w:rPr>
          <w:color w:val="auto"/>
          <w:spacing w:val="-4"/>
          <w:sz w:val="24"/>
          <w:szCs w:val="24"/>
          <w:highlight w:val="none"/>
          <w:lang w:eastAsia="zh-CN"/>
        </w:rPr>
        <w:t>四、代偿的安排</w:t>
      </w:r>
    </w:p>
    <w:p w14:paraId="5E9292F1">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pacing w:val="-1"/>
          <w:sz w:val="24"/>
          <w:szCs w:val="24"/>
          <w:highlight w:val="none"/>
          <w:lang w:eastAsia="zh-CN"/>
        </w:rPr>
      </w:pPr>
      <w:r>
        <w:rPr>
          <w:rFonts w:hint="eastAsia"/>
          <w:color w:val="auto"/>
          <w:spacing w:val="-1"/>
          <w:sz w:val="24"/>
          <w:szCs w:val="24"/>
          <w:highlight w:val="none"/>
          <w:lang w:eastAsia="zh-CN"/>
        </w:rPr>
        <w:t>1.贵方要求我方承担保证责任的，应向我方发出书面索赔通知及承包人未履行主合同约定义务的证明材料。索赔通知应写明要求索赔的金额，支付款项应到达的帐号，并附有说明承包人违反主合同造成贵方损失情况的证明材料。</w:t>
      </w:r>
    </w:p>
    <w:p w14:paraId="30996CCC">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pacing w:val="-1"/>
          <w:sz w:val="24"/>
          <w:szCs w:val="24"/>
          <w:highlight w:val="none"/>
          <w:lang w:eastAsia="zh-CN"/>
        </w:rPr>
      </w:pPr>
      <w:r>
        <w:rPr>
          <w:rFonts w:hint="eastAsia"/>
          <w:color w:val="auto"/>
          <w:spacing w:val="-1"/>
          <w:sz w:val="24"/>
          <w:szCs w:val="24"/>
          <w:highlight w:val="none"/>
          <w:lang w:eastAsia="zh-CN"/>
        </w:rPr>
        <w:t>2.贵方以工程质量不符合主合同约定标准为由，向我方提出违约索赔的，还需同时提供符合相应条件要求的工程质量检测部门出具的质量说明材料。</w:t>
      </w:r>
    </w:p>
    <w:p w14:paraId="6D9F08D4">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color w:val="auto"/>
          <w:spacing w:val="-1"/>
          <w:sz w:val="24"/>
          <w:szCs w:val="24"/>
          <w:highlight w:val="none"/>
          <w:lang w:eastAsia="zh-CN"/>
        </w:rPr>
      </w:pPr>
      <w:r>
        <w:rPr>
          <w:rFonts w:hint="eastAsia"/>
          <w:color w:val="auto"/>
          <w:spacing w:val="-1"/>
          <w:sz w:val="24"/>
          <w:szCs w:val="24"/>
          <w:highlight w:val="none"/>
          <w:lang w:eastAsia="zh-CN"/>
        </w:rPr>
        <w:t>3.我方收到贵方的书面索赔通知及相应证明材料后，在工作日内进行核定后按照本保函的承诺承担保证责任。</w:t>
      </w:r>
    </w:p>
    <w:p w14:paraId="36EC2314">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五、保证担保责任的解除</w:t>
      </w:r>
    </w:p>
    <w:p w14:paraId="6855FCD1">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1.保证期间届满贵方未向我方书面主张保证责任的，自保证期间届满次日起，</w:t>
      </w:r>
    </w:p>
    <w:p w14:paraId="54F8DD8A">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我方解除保证责任。</w:t>
      </w:r>
    </w:p>
    <w:p w14:paraId="7AAF43D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2.我方按照本保证担保向贵方履行了保证担保责任后，自我方向贵方支付的金</w:t>
      </w:r>
    </w:p>
    <w:p w14:paraId="625656C0">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额达到最高保证担保金额之日起， 保证担保责任解除。</w:t>
      </w:r>
    </w:p>
    <w:p w14:paraId="19C2C9AD">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3.按照法律法规的规定应解除我方保证担保责任的其它情形的，我方在本保证</w:t>
      </w:r>
    </w:p>
    <w:p w14:paraId="7DA4EF6D">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担保项下的保证担保责任亦解除。</w:t>
      </w:r>
    </w:p>
    <w:p w14:paraId="57633CA9">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4.我方解除保证责任后，贵方应按上述约定，自我方保证担保责任解除之日起七日内， 将本保证担保原件返还我方。但是不论贵方是否按此要求将本保证担保原件退回我方， 我方在本保证担保项下的义务和责任均自保证担保责任解除之日自动</w:t>
      </w:r>
    </w:p>
    <w:p w14:paraId="1DD48EDD">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消灭。</w:t>
      </w:r>
    </w:p>
    <w:p w14:paraId="25CF548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六、免责条款</w:t>
      </w:r>
    </w:p>
    <w:p w14:paraId="41FCBD34">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1.因贵方原因致使承包人未按照主合同约定履行义务的，我方不承担保证担保责任。</w:t>
      </w:r>
    </w:p>
    <w:p w14:paraId="2712E826">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2.依照法律规定或贵方与发包人的另行约定，免除承包人部分或全部义务的，</w:t>
      </w:r>
    </w:p>
    <w:p w14:paraId="6397A283">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我方亦免除其相应的保证担保责任。</w:t>
      </w:r>
    </w:p>
    <w:p w14:paraId="6191D646">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3.因不可抗力造成承包人未按照主合同约定履行义务的，我方不承担保证担保</w:t>
      </w:r>
    </w:p>
    <w:p w14:paraId="22E5994E">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right="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责任。</w:t>
      </w:r>
    </w:p>
    <w:p w14:paraId="347AD53D">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七、其他</w:t>
      </w:r>
    </w:p>
    <w:p w14:paraId="224176DD">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1.本保证担保项下的权利不得转让， 不得设定担保。贵方未经我方书面同意转让本保证担保或其项下任何权利，对我方不发生法律效力。</w:t>
      </w:r>
    </w:p>
    <w:p w14:paraId="1206BDCA">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2.本保证担保适用的法律为中华人民共和国法律，争议裁判管辖地为中华人民共和国。</w:t>
      </w:r>
    </w:p>
    <w:p w14:paraId="7A89D255">
      <w:pPr>
        <w:pStyle w:val="1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eastAsia"/>
          <w:color w:val="auto"/>
          <w:spacing w:val="-1"/>
          <w:sz w:val="24"/>
          <w:szCs w:val="24"/>
          <w:highlight w:val="none"/>
          <w:lang w:eastAsia="zh-CN"/>
        </w:rPr>
      </w:pPr>
      <w:r>
        <w:rPr>
          <w:rFonts w:hint="eastAsia"/>
          <w:color w:val="auto"/>
          <w:spacing w:val="-1"/>
          <w:sz w:val="24"/>
          <w:szCs w:val="24"/>
          <w:highlight w:val="none"/>
          <w:lang w:eastAsia="zh-CN"/>
        </w:rPr>
        <w:t>3.本保证担保自我方法定代表人或授权代表签字并加盖公章之日起生效。</w:t>
      </w:r>
    </w:p>
    <w:p w14:paraId="5D44A4DE">
      <w:pPr>
        <w:pStyle w:val="19"/>
        <w:spacing w:before="180" w:line="219" w:lineRule="auto"/>
        <w:ind w:left="506"/>
        <w:rPr>
          <w:color w:val="auto"/>
          <w:spacing w:val="-2"/>
          <w:sz w:val="24"/>
          <w:szCs w:val="24"/>
          <w:highlight w:val="none"/>
          <w:lang w:eastAsia="zh-CN"/>
        </w:rPr>
      </w:pPr>
    </w:p>
    <w:p w14:paraId="4E58A1DB">
      <w:pPr>
        <w:pStyle w:val="19"/>
        <w:spacing w:before="180" w:line="219" w:lineRule="auto"/>
        <w:ind w:left="506"/>
        <w:rPr>
          <w:color w:val="auto"/>
          <w:sz w:val="24"/>
          <w:szCs w:val="24"/>
          <w:highlight w:val="none"/>
          <w:lang w:eastAsia="zh-CN"/>
        </w:rPr>
      </w:pPr>
      <w:r>
        <w:rPr>
          <w:color w:val="auto"/>
          <w:spacing w:val="-8"/>
          <w:sz w:val="24"/>
          <w:szCs w:val="24"/>
          <w:highlight w:val="none"/>
          <w:lang w:eastAsia="zh-CN"/>
        </w:rPr>
        <w:t>保证人：</w:t>
      </w:r>
      <w:r>
        <w:rPr>
          <w:rFonts w:hint="eastAsia"/>
          <w:color w:val="auto"/>
          <w:spacing w:val="-8"/>
          <w:sz w:val="24"/>
          <w:szCs w:val="24"/>
          <w:highlight w:val="none"/>
          <w:lang w:eastAsia="zh-CN"/>
        </w:rPr>
        <w:t xml:space="preserve">                                  （公章）</w:t>
      </w:r>
    </w:p>
    <w:p w14:paraId="4C7C61D4">
      <w:pPr>
        <w:pStyle w:val="19"/>
        <w:spacing w:before="179" w:line="468" w:lineRule="exact"/>
        <w:ind w:left="502"/>
        <w:rPr>
          <w:color w:val="auto"/>
          <w:sz w:val="24"/>
          <w:szCs w:val="24"/>
          <w:highlight w:val="none"/>
          <w:lang w:eastAsia="zh-CN"/>
        </w:rPr>
      </w:pPr>
      <w:r>
        <w:rPr>
          <w:color w:val="auto"/>
          <w:spacing w:val="-13"/>
          <w:position w:val="17"/>
          <w:sz w:val="24"/>
          <w:szCs w:val="24"/>
          <w:highlight w:val="none"/>
          <w:lang w:eastAsia="zh-CN"/>
        </w:rPr>
        <w:t>法定代表人（或授权代表</w:t>
      </w:r>
      <w:r>
        <w:rPr>
          <w:color w:val="auto"/>
          <w:spacing w:val="-3"/>
          <w:position w:val="17"/>
          <w:sz w:val="24"/>
          <w:szCs w:val="24"/>
          <w:highlight w:val="none"/>
          <w:lang w:eastAsia="zh-CN"/>
        </w:rPr>
        <w:t>）</w:t>
      </w:r>
      <w:r>
        <w:rPr>
          <w:rFonts w:hint="eastAsia"/>
          <w:color w:val="auto"/>
          <w:spacing w:val="-3"/>
          <w:position w:val="17"/>
          <w:sz w:val="24"/>
          <w:szCs w:val="24"/>
          <w:highlight w:val="none"/>
          <w:lang w:eastAsia="zh-CN"/>
        </w:rPr>
        <w:t>：                 （签字）</w:t>
      </w:r>
    </w:p>
    <w:p w14:paraId="18A50B51">
      <w:pPr>
        <w:pStyle w:val="19"/>
        <w:spacing w:before="1" w:line="228" w:lineRule="auto"/>
        <w:ind w:left="501"/>
        <w:rPr>
          <w:color w:val="auto"/>
          <w:sz w:val="24"/>
          <w:szCs w:val="24"/>
          <w:highlight w:val="none"/>
          <w:lang w:eastAsia="zh-CN"/>
        </w:rPr>
      </w:pPr>
      <w:r>
        <w:rPr>
          <w:color w:val="auto"/>
          <w:spacing w:val="-15"/>
          <w:sz w:val="24"/>
          <w:szCs w:val="24"/>
          <w:highlight w:val="none"/>
          <w:lang w:eastAsia="zh-CN"/>
        </w:rPr>
        <w:t>地址：</w:t>
      </w:r>
    </w:p>
    <w:p w14:paraId="6C2C6FF8">
      <w:pPr>
        <w:pStyle w:val="19"/>
        <w:spacing w:before="168" w:line="468" w:lineRule="exact"/>
        <w:ind w:left="519"/>
        <w:rPr>
          <w:color w:val="auto"/>
          <w:sz w:val="24"/>
          <w:szCs w:val="24"/>
          <w:highlight w:val="none"/>
          <w:lang w:eastAsia="zh-CN"/>
        </w:rPr>
      </w:pPr>
      <w:r>
        <w:rPr>
          <w:color w:val="auto"/>
          <w:spacing w:val="-14"/>
          <w:position w:val="17"/>
          <w:sz w:val="24"/>
          <w:szCs w:val="24"/>
          <w:highlight w:val="none"/>
          <w:lang w:eastAsia="zh-CN"/>
        </w:rPr>
        <w:t>邮政编码：</w:t>
      </w:r>
    </w:p>
    <w:p w14:paraId="5DE7B97B">
      <w:pPr>
        <w:pStyle w:val="19"/>
        <w:spacing w:line="221" w:lineRule="auto"/>
        <w:ind w:left="529"/>
        <w:rPr>
          <w:color w:val="auto"/>
          <w:sz w:val="24"/>
          <w:szCs w:val="24"/>
          <w:highlight w:val="none"/>
          <w:lang w:eastAsia="zh-CN"/>
        </w:rPr>
      </w:pPr>
      <w:r>
        <w:rPr>
          <w:color w:val="auto"/>
          <w:spacing w:val="-24"/>
          <w:sz w:val="24"/>
          <w:szCs w:val="24"/>
          <w:highlight w:val="none"/>
          <w:lang w:eastAsia="zh-CN"/>
        </w:rPr>
        <w:t>电话：</w:t>
      </w:r>
    </w:p>
    <w:p w14:paraId="1F32E650">
      <w:pPr>
        <w:pStyle w:val="19"/>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0E57EC33">
      <w:pPr>
        <w:pStyle w:val="19"/>
        <w:spacing w:before="183" w:line="220" w:lineRule="auto"/>
        <w:ind w:left="512"/>
        <w:rPr>
          <w:color w:val="auto"/>
          <w:sz w:val="24"/>
          <w:szCs w:val="24"/>
          <w:highlight w:val="none"/>
          <w:lang w:eastAsia="zh-CN"/>
        </w:rPr>
      </w:pPr>
      <w:r>
        <w:rPr>
          <w:color w:val="auto"/>
          <w:spacing w:val="-25"/>
          <w:sz w:val="24"/>
          <w:szCs w:val="24"/>
          <w:highlight w:val="none"/>
          <w:lang w:eastAsia="zh-CN"/>
        </w:rPr>
        <w:t>时间：年月日</w:t>
      </w:r>
    </w:p>
    <w:p w14:paraId="69B413E4">
      <w:pPr>
        <w:spacing w:line="300" w:lineRule="auto"/>
        <w:rPr>
          <w:color w:val="auto"/>
          <w:highlight w:val="none"/>
          <w:lang w:eastAsia="zh-CN"/>
        </w:rPr>
      </w:pPr>
    </w:p>
    <w:p w14:paraId="39379917">
      <w:pPr>
        <w:spacing w:line="301" w:lineRule="auto"/>
        <w:rPr>
          <w:color w:val="auto"/>
          <w:highlight w:val="none"/>
          <w:lang w:eastAsia="zh-CN"/>
        </w:rPr>
      </w:pPr>
    </w:p>
    <w:p w14:paraId="21647D60">
      <w:pPr>
        <w:spacing w:before="98" w:line="218" w:lineRule="auto"/>
        <w:ind w:left="44"/>
        <w:rPr>
          <w:rFonts w:ascii="仿宋" w:hAnsi="仿宋" w:eastAsia="仿宋" w:cs="仿宋"/>
          <w:color w:val="auto"/>
          <w:spacing w:val="-12"/>
          <w:sz w:val="30"/>
          <w:szCs w:val="30"/>
          <w:highlight w:val="none"/>
          <w:lang w:eastAsia="zh-CN"/>
        </w:rPr>
      </w:pPr>
    </w:p>
    <w:p w14:paraId="5F3813C3">
      <w:pPr>
        <w:spacing w:before="98" w:line="218" w:lineRule="auto"/>
        <w:ind w:left="44"/>
        <w:rPr>
          <w:rFonts w:ascii="仿宋" w:hAnsi="仿宋" w:eastAsia="仿宋" w:cs="仿宋"/>
          <w:color w:val="auto"/>
          <w:spacing w:val="-12"/>
          <w:sz w:val="30"/>
          <w:szCs w:val="30"/>
          <w:highlight w:val="none"/>
          <w:lang w:eastAsia="zh-CN"/>
        </w:rPr>
      </w:pPr>
    </w:p>
    <w:p w14:paraId="77B083A9">
      <w:pPr>
        <w:spacing w:before="98" w:line="218" w:lineRule="auto"/>
        <w:ind w:left="44"/>
        <w:rPr>
          <w:rFonts w:ascii="仿宋" w:hAnsi="仿宋" w:eastAsia="仿宋" w:cs="仿宋"/>
          <w:color w:val="auto"/>
          <w:spacing w:val="-12"/>
          <w:sz w:val="30"/>
          <w:szCs w:val="30"/>
          <w:highlight w:val="none"/>
          <w:lang w:eastAsia="zh-CN"/>
        </w:rPr>
      </w:pPr>
    </w:p>
    <w:p w14:paraId="56D3B9BC">
      <w:pPr>
        <w:spacing w:before="98" w:line="218" w:lineRule="auto"/>
        <w:ind w:left="44"/>
        <w:rPr>
          <w:rFonts w:ascii="仿宋" w:hAnsi="仿宋" w:eastAsia="仿宋" w:cs="仿宋"/>
          <w:color w:val="auto"/>
          <w:spacing w:val="-12"/>
          <w:sz w:val="30"/>
          <w:szCs w:val="30"/>
          <w:highlight w:val="none"/>
          <w:lang w:eastAsia="zh-CN"/>
        </w:rPr>
      </w:pPr>
    </w:p>
    <w:p w14:paraId="6C9E78B5">
      <w:pPr>
        <w:spacing w:before="98" w:line="218" w:lineRule="auto"/>
        <w:ind w:left="44"/>
        <w:rPr>
          <w:rFonts w:ascii="仿宋" w:hAnsi="仿宋" w:eastAsia="仿宋" w:cs="仿宋"/>
          <w:color w:val="auto"/>
          <w:spacing w:val="-12"/>
          <w:sz w:val="30"/>
          <w:szCs w:val="30"/>
          <w:highlight w:val="none"/>
          <w:lang w:eastAsia="zh-CN"/>
        </w:rPr>
      </w:pPr>
    </w:p>
    <w:p w14:paraId="61C15BC5">
      <w:pPr>
        <w:spacing w:before="98" w:line="218" w:lineRule="auto"/>
        <w:ind w:left="44"/>
        <w:rPr>
          <w:rFonts w:ascii="仿宋" w:hAnsi="仿宋" w:eastAsia="仿宋" w:cs="仿宋"/>
          <w:color w:val="auto"/>
          <w:spacing w:val="-12"/>
          <w:sz w:val="30"/>
          <w:szCs w:val="30"/>
          <w:highlight w:val="none"/>
          <w:lang w:eastAsia="zh-CN"/>
        </w:rPr>
      </w:pPr>
    </w:p>
    <w:p w14:paraId="5765F38F">
      <w:pPr>
        <w:rPr>
          <w:rFonts w:ascii="仿宋" w:hAnsi="仿宋" w:eastAsia="仿宋" w:cs="仿宋"/>
          <w:color w:val="auto"/>
          <w:spacing w:val="-12"/>
          <w:sz w:val="30"/>
          <w:szCs w:val="30"/>
          <w:highlight w:val="none"/>
          <w:lang w:eastAsia="zh-CN"/>
        </w:rPr>
      </w:pPr>
      <w:r>
        <w:rPr>
          <w:rFonts w:ascii="仿宋" w:hAnsi="仿宋" w:eastAsia="仿宋" w:cs="仿宋"/>
          <w:color w:val="auto"/>
          <w:spacing w:val="-12"/>
          <w:sz w:val="30"/>
          <w:szCs w:val="30"/>
          <w:highlight w:val="none"/>
          <w:lang w:eastAsia="zh-CN"/>
        </w:rPr>
        <w:br w:type="page"/>
      </w:r>
    </w:p>
    <w:p w14:paraId="4892A55E">
      <w:pPr>
        <w:spacing w:before="98" w:line="218" w:lineRule="auto"/>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8</w:t>
      </w:r>
      <w:r>
        <w:rPr>
          <w:rFonts w:ascii="仿宋" w:hAnsi="仿宋" w:eastAsia="仿宋" w:cs="仿宋"/>
          <w:color w:val="auto"/>
          <w:spacing w:val="-12"/>
          <w:sz w:val="30"/>
          <w:szCs w:val="30"/>
          <w:highlight w:val="none"/>
          <w:lang w:eastAsia="zh-CN"/>
        </w:rPr>
        <w:t>：</w:t>
      </w:r>
    </w:p>
    <w:p w14:paraId="4AF814F7">
      <w:pPr>
        <w:pStyle w:val="19"/>
        <w:spacing w:before="101" w:line="224" w:lineRule="auto"/>
        <w:ind w:left="2917"/>
        <w:rPr>
          <w:color w:val="auto"/>
          <w:sz w:val="31"/>
          <w:szCs w:val="31"/>
          <w:highlight w:val="none"/>
          <w:lang w:eastAsia="zh-CN"/>
        </w:rPr>
      </w:pPr>
      <w:r>
        <w:rPr>
          <w:color w:val="auto"/>
          <w:spacing w:val="9"/>
          <w:sz w:val="31"/>
          <w:szCs w:val="31"/>
          <w:highlight w:val="none"/>
          <w:lang w:eastAsia="zh-CN"/>
        </w:rPr>
        <w:t>预付款保函示范文本</w:t>
      </w:r>
    </w:p>
    <w:p w14:paraId="024EBEDD">
      <w:pPr>
        <w:pStyle w:val="19"/>
        <w:spacing w:before="247" w:line="226" w:lineRule="auto"/>
        <w:ind w:left="3410"/>
        <w:rPr>
          <w:color w:val="auto"/>
          <w:sz w:val="31"/>
          <w:szCs w:val="31"/>
          <w:highlight w:val="none"/>
          <w:lang w:eastAsia="zh-CN"/>
        </w:rPr>
      </w:pPr>
      <w:r>
        <w:rPr>
          <w:color w:val="auto"/>
          <w:spacing w:val="2"/>
          <w:sz w:val="31"/>
          <w:szCs w:val="31"/>
          <w:highlight w:val="none"/>
          <w:lang w:eastAsia="zh-CN"/>
        </w:rPr>
        <w:t>（独立保函）</w:t>
      </w:r>
    </w:p>
    <w:p w14:paraId="7E36111A">
      <w:pPr>
        <w:pStyle w:val="19"/>
        <w:spacing w:before="225" w:line="221" w:lineRule="auto"/>
        <w:ind w:left="6908"/>
        <w:rPr>
          <w:color w:val="auto"/>
          <w:highlight w:val="none"/>
          <w:lang w:eastAsia="zh-CN"/>
        </w:rPr>
      </w:pPr>
      <w:r>
        <w:rPr>
          <w:color w:val="auto"/>
          <w:spacing w:val="-13"/>
          <w:highlight w:val="none"/>
          <w:lang w:eastAsia="zh-CN"/>
        </w:rPr>
        <w:t>编号：</w:t>
      </w:r>
    </w:p>
    <w:p w14:paraId="42CE3540">
      <w:pPr>
        <w:spacing w:line="274" w:lineRule="auto"/>
        <w:rPr>
          <w:color w:val="auto"/>
          <w:highlight w:val="none"/>
          <w:lang w:eastAsia="zh-CN"/>
        </w:rPr>
      </w:pPr>
    </w:p>
    <w:p w14:paraId="45570336">
      <w:pPr>
        <w:spacing w:line="274" w:lineRule="auto"/>
        <w:rPr>
          <w:color w:val="auto"/>
          <w:highlight w:val="none"/>
          <w:lang w:eastAsia="zh-CN"/>
        </w:rPr>
      </w:pPr>
    </w:p>
    <w:p w14:paraId="287F8AFA">
      <w:pPr>
        <w:pStyle w:val="19"/>
        <w:spacing w:before="78" w:line="465" w:lineRule="exact"/>
        <w:ind w:left="52"/>
        <w:rPr>
          <w:color w:val="auto"/>
          <w:sz w:val="24"/>
          <w:szCs w:val="24"/>
          <w:highlight w:val="none"/>
          <w:lang w:eastAsia="zh-CN"/>
        </w:rPr>
      </w:pPr>
      <w:r>
        <w:rPr>
          <w:color w:val="auto"/>
          <w:spacing w:val="-18"/>
          <w:position w:val="17"/>
          <w:sz w:val="24"/>
          <w:szCs w:val="24"/>
          <w:highlight w:val="none"/>
          <w:lang w:eastAsia="zh-CN"/>
        </w:rPr>
        <w:t>申请人：</w:t>
      </w:r>
    </w:p>
    <w:p w14:paraId="12B3A5CB">
      <w:pPr>
        <w:pStyle w:val="19"/>
        <w:spacing w:before="2" w:line="228" w:lineRule="auto"/>
        <w:ind w:left="261"/>
        <w:rPr>
          <w:color w:val="auto"/>
          <w:sz w:val="24"/>
          <w:szCs w:val="24"/>
          <w:highlight w:val="none"/>
          <w:lang w:eastAsia="zh-CN"/>
        </w:rPr>
      </w:pPr>
      <w:r>
        <w:rPr>
          <w:color w:val="auto"/>
          <w:spacing w:val="-4"/>
          <w:sz w:val="24"/>
          <w:szCs w:val="24"/>
          <w:highlight w:val="none"/>
          <w:lang w:eastAsia="zh-CN"/>
        </w:rPr>
        <w:t>地址：</w:t>
      </w:r>
    </w:p>
    <w:p w14:paraId="5CFD0C9A">
      <w:pPr>
        <w:pStyle w:val="19"/>
        <w:spacing w:before="170" w:line="222" w:lineRule="auto"/>
        <w:ind w:left="26"/>
        <w:rPr>
          <w:color w:val="auto"/>
          <w:sz w:val="24"/>
          <w:szCs w:val="24"/>
          <w:highlight w:val="none"/>
          <w:lang w:eastAsia="zh-CN"/>
        </w:rPr>
      </w:pPr>
      <w:r>
        <w:rPr>
          <w:color w:val="auto"/>
          <w:spacing w:val="-14"/>
          <w:sz w:val="24"/>
          <w:szCs w:val="24"/>
          <w:highlight w:val="none"/>
          <w:lang w:eastAsia="zh-CN"/>
        </w:rPr>
        <w:t>受益人：</w:t>
      </w:r>
    </w:p>
    <w:p w14:paraId="1906C462">
      <w:pPr>
        <w:pStyle w:val="19"/>
        <w:spacing w:before="179" w:line="229" w:lineRule="auto"/>
        <w:ind w:left="261"/>
        <w:rPr>
          <w:color w:val="auto"/>
          <w:sz w:val="24"/>
          <w:szCs w:val="24"/>
          <w:highlight w:val="none"/>
          <w:lang w:eastAsia="zh-CN"/>
        </w:rPr>
      </w:pPr>
      <w:r>
        <w:rPr>
          <w:color w:val="auto"/>
          <w:spacing w:val="-15"/>
          <w:sz w:val="24"/>
          <w:szCs w:val="24"/>
          <w:highlight w:val="none"/>
          <w:lang w:eastAsia="zh-CN"/>
        </w:rPr>
        <w:t>地址：</w:t>
      </w:r>
    </w:p>
    <w:p w14:paraId="59AE1885">
      <w:pPr>
        <w:pStyle w:val="19"/>
        <w:spacing w:before="168" w:line="221" w:lineRule="auto"/>
        <w:ind w:left="22"/>
        <w:rPr>
          <w:color w:val="auto"/>
          <w:sz w:val="24"/>
          <w:szCs w:val="24"/>
          <w:highlight w:val="none"/>
          <w:lang w:eastAsia="zh-CN"/>
        </w:rPr>
      </w:pPr>
      <w:r>
        <w:rPr>
          <w:color w:val="auto"/>
          <w:spacing w:val="-13"/>
          <w:sz w:val="24"/>
          <w:szCs w:val="24"/>
          <w:highlight w:val="none"/>
          <w:lang w:eastAsia="zh-CN"/>
        </w:rPr>
        <w:t>开立人：</w:t>
      </w:r>
    </w:p>
    <w:p w14:paraId="4F29462A">
      <w:pPr>
        <w:pStyle w:val="19"/>
        <w:spacing w:before="181" w:line="229" w:lineRule="auto"/>
        <w:ind w:left="261"/>
        <w:rPr>
          <w:color w:val="auto"/>
          <w:sz w:val="24"/>
          <w:szCs w:val="24"/>
          <w:highlight w:val="none"/>
          <w:lang w:eastAsia="zh-CN"/>
        </w:rPr>
      </w:pPr>
      <w:r>
        <w:rPr>
          <w:color w:val="auto"/>
          <w:spacing w:val="-15"/>
          <w:sz w:val="24"/>
          <w:szCs w:val="24"/>
          <w:highlight w:val="none"/>
          <w:lang w:eastAsia="zh-CN"/>
        </w:rPr>
        <w:t>地址：</w:t>
      </w:r>
    </w:p>
    <w:p w14:paraId="4BC19BD8">
      <w:pPr>
        <w:spacing w:line="277" w:lineRule="auto"/>
        <w:rPr>
          <w:color w:val="auto"/>
          <w:highlight w:val="none"/>
          <w:lang w:eastAsia="zh-CN"/>
        </w:rPr>
      </w:pPr>
    </w:p>
    <w:p w14:paraId="7135CB69">
      <w:pPr>
        <w:spacing w:line="277" w:lineRule="auto"/>
        <w:rPr>
          <w:color w:val="auto"/>
          <w:highlight w:val="none"/>
          <w:lang w:eastAsia="zh-CN"/>
        </w:rPr>
      </w:pPr>
    </w:p>
    <w:p w14:paraId="5DD52EA6">
      <w:pPr>
        <w:pStyle w:val="19"/>
        <w:tabs>
          <w:tab w:val="left" w:pos="1691"/>
        </w:tabs>
        <w:spacing w:before="79" w:line="222" w:lineRule="auto"/>
        <w:ind w:left="12"/>
        <w:rPr>
          <w:color w:val="auto"/>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（受益人名称</w:t>
      </w:r>
      <w:r>
        <w:rPr>
          <w:color w:val="auto"/>
          <w:spacing w:val="-21"/>
          <w:sz w:val="24"/>
          <w:szCs w:val="24"/>
          <w:highlight w:val="none"/>
          <w:lang w:eastAsia="zh-CN"/>
        </w:rPr>
        <w:t>）：</w:t>
      </w:r>
    </w:p>
    <w:p w14:paraId="6D71555D">
      <w:pPr>
        <w:pStyle w:val="19"/>
        <w:spacing w:before="179" w:line="359" w:lineRule="auto"/>
        <w:ind w:left="20" w:firstLine="483"/>
        <w:jc w:val="both"/>
        <w:rPr>
          <w:color w:val="auto"/>
          <w:sz w:val="24"/>
          <w:szCs w:val="24"/>
          <w:highlight w:val="none"/>
          <w:lang w:eastAsia="zh-CN"/>
        </w:rPr>
      </w:pPr>
      <w:r>
        <w:rPr>
          <w:color w:val="auto"/>
          <w:spacing w:val="-17"/>
          <w:sz w:val="24"/>
          <w:szCs w:val="24"/>
          <w:highlight w:val="none"/>
          <w:lang w:eastAsia="zh-CN"/>
        </w:rPr>
        <w:t>鉴</w:t>
      </w:r>
      <w:r>
        <w:rPr>
          <w:color w:val="auto"/>
          <w:spacing w:val="-16"/>
          <w:sz w:val="24"/>
          <w:szCs w:val="24"/>
          <w:highlight w:val="none"/>
          <w:lang w:eastAsia="zh-CN"/>
        </w:rPr>
        <w:t>于 （以下简称“受益人”）与 （以下简称“申请人”）</w:t>
      </w:r>
      <w:r>
        <w:rPr>
          <w:color w:val="auto"/>
          <w:spacing w:val="-15"/>
          <w:sz w:val="24"/>
          <w:szCs w:val="24"/>
          <w:highlight w:val="none"/>
          <w:lang w:eastAsia="zh-CN"/>
        </w:rPr>
        <w:t>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w:t>
      </w:r>
      <w:r>
        <w:rPr>
          <w:color w:val="auto"/>
          <w:spacing w:val="-9"/>
          <w:sz w:val="24"/>
          <w:szCs w:val="24"/>
          <w:highlight w:val="none"/>
          <w:lang w:eastAsia="zh-CN"/>
        </w:rPr>
        <w:t>（以下简称“基础合同”</w:t>
      </w:r>
      <w:r>
        <w:rPr>
          <w:color w:val="auto"/>
          <w:spacing w:val="-44"/>
          <w:w w:val="70"/>
          <w:sz w:val="24"/>
          <w:szCs w:val="24"/>
          <w:highlight w:val="none"/>
          <w:lang w:eastAsia="zh-CN"/>
        </w:rPr>
        <w:t>），</w:t>
      </w:r>
      <w:r>
        <w:rPr>
          <w:color w:val="auto"/>
          <w:spacing w:val="-9"/>
          <w:sz w:val="24"/>
          <w:szCs w:val="24"/>
          <w:highlight w:val="none"/>
          <w:lang w:eastAsia="zh-CN"/>
        </w:rPr>
        <w:t>我方（即“开立人”）根据主合同</w:t>
      </w:r>
      <w:r>
        <w:rPr>
          <w:color w:val="auto"/>
          <w:sz w:val="24"/>
          <w:szCs w:val="24"/>
          <w:highlight w:val="none"/>
          <w:lang w:eastAsia="zh-CN"/>
        </w:rPr>
        <w:t>了解到申请人为主合同项下之承包人，受益人为主合同项下之发包人，基于申请人</w:t>
      </w:r>
      <w:r>
        <w:rPr>
          <w:color w:val="auto"/>
          <w:spacing w:val="-3"/>
          <w:sz w:val="24"/>
          <w:szCs w:val="24"/>
          <w:highlight w:val="none"/>
          <w:lang w:eastAsia="zh-CN"/>
        </w:rPr>
        <w:t>的请求， 我方同意就申请人按照合同约定正确和合理地为合同目的使用预付款，向</w:t>
      </w:r>
      <w:r>
        <w:rPr>
          <w:color w:val="auto"/>
          <w:spacing w:val="-11"/>
          <w:sz w:val="24"/>
          <w:szCs w:val="24"/>
          <w:highlight w:val="none"/>
          <w:lang w:eastAsia="zh-CN"/>
        </w:rPr>
        <w:t>贵方提供不可撤销、不可转让的见索即付独立</w:t>
      </w:r>
      <w:r>
        <w:rPr>
          <w:color w:val="auto"/>
          <w:spacing w:val="-12"/>
          <w:sz w:val="24"/>
          <w:szCs w:val="24"/>
          <w:highlight w:val="none"/>
          <w:lang w:eastAsia="zh-CN"/>
        </w:rPr>
        <w:t>保函（以下简称“本保函”）。</w:t>
      </w:r>
    </w:p>
    <w:p w14:paraId="325FBCCA">
      <w:pPr>
        <w:pStyle w:val="19"/>
        <w:spacing w:before="78" w:line="359" w:lineRule="auto"/>
        <w:ind w:left="21" w:right="7" w:firstLine="483"/>
        <w:rPr>
          <w:color w:val="auto"/>
          <w:sz w:val="24"/>
          <w:szCs w:val="24"/>
          <w:highlight w:val="none"/>
          <w:lang w:eastAsia="zh-CN"/>
        </w:rPr>
      </w:pPr>
      <w:r>
        <w:rPr>
          <w:color w:val="auto"/>
          <w:sz w:val="24"/>
          <w:szCs w:val="24"/>
          <w:highlight w:val="none"/>
          <w:lang w:eastAsia="zh-CN"/>
        </w:rPr>
        <w:t>一、本保函担保范围：申请人未按照合同约定正确和合理地为合同目的使用预付款，应当向贵方承担的违约责任和赔偿因此造成的损失、利息、律师费、诉讼费</w:t>
      </w:r>
    </w:p>
    <w:p w14:paraId="067C9ED2">
      <w:pPr>
        <w:pStyle w:val="19"/>
        <w:spacing w:line="219" w:lineRule="auto"/>
        <w:ind w:left="23"/>
        <w:rPr>
          <w:color w:val="auto"/>
          <w:sz w:val="24"/>
          <w:szCs w:val="24"/>
          <w:highlight w:val="none"/>
          <w:lang w:eastAsia="zh-CN"/>
        </w:rPr>
      </w:pPr>
      <w:r>
        <w:rPr>
          <w:color w:val="auto"/>
          <w:spacing w:val="-5"/>
          <w:sz w:val="24"/>
          <w:szCs w:val="24"/>
          <w:highlight w:val="none"/>
          <w:lang w:eastAsia="zh-CN"/>
        </w:rPr>
        <w:t>用等实现债权的费用。</w:t>
      </w:r>
    </w:p>
    <w:p w14:paraId="0EB94804">
      <w:pPr>
        <w:pStyle w:val="19"/>
        <w:spacing w:before="182" w:line="219" w:lineRule="auto"/>
        <w:ind w:left="505"/>
        <w:rPr>
          <w:color w:val="auto"/>
          <w:sz w:val="24"/>
          <w:szCs w:val="24"/>
          <w:highlight w:val="none"/>
          <w:lang w:eastAsia="zh-CN"/>
        </w:rPr>
      </w:pPr>
      <w:r>
        <w:rPr>
          <w:color w:val="auto"/>
          <w:spacing w:val="-1"/>
          <w:sz w:val="24"/>
          <w:szCs w:val="24"/>
          <w:highlight w:val="none"/>
          <w:lang w:eastAsia="zh-CN"/>
        </w:rPr>
        <w:t>二、本保函担保金额最高不超过人民币（大写） 元(¥</w:t>
      </w:r>
      <w:r>
        <w:rPr>
          <w:color w:val="auto"/>
          <w:spacing w:val="-2"/>
          <w:sz w:val="24"/>
          <w:szCs w:val="24"/>
          <w:highlight w:val="none"/>
          <w:lang w:eastAsia="zh-CN"/>
        </w:rPr>
        <w:t>)。</w:t>
      </w:r>
    </w:p>
    <w:p w14:paraId="0E86DB0A">
      <w:pPr>
        <w:pStyle w:val="19"/>
        <w:spacing w:before="181" w:line="360" w:lineRule="auto"/>
        <w:ind w:right="1"/>
        <w:jc w:val="right"/>
        <w:rPr>
          <w:color w:val="auto"/>
          <w:sz w:val="24"/>
          <w:szCs w:val="24"/>
          <w:highlight w:val="none"/>
          <w:lang w:eastAsia="zh-CN"/>
        </w:rPr>
      </w:pPr>
      <w:r>
        <w:rPr>
          <w:color w:val="auto"/>
          <w:spacing w:val="-6"/>
          <w:sz w:val="24"/>
          <w:szCs w:val="24"/>
          <w:highlight w:val="none"/>
          <w:lang w:eastAsia="zh-CN"/>
        </w:rPr>
        <w:t>三、本保函有效期自开立之日起至发包人全额扣回预付款后日止，</w:t>
      </w:r>
      <w:r>
        <w:rPr>
          <w:color w:val="auto"/>
          <w:spacing w:val="-7"/>
          <w:sz w:val="24"/>
          <w:szCs w:val="24"/>
          <w:highlight w:val="none"/>
          <w:lang w:eastAsia="zh-CN"/>
        </w:rPr>
        <w:t>最迟不超</w:t>
      </w:r>
    </w:p>
    <w:p w14:paraId="686DA939">
      <w:pPr>
        <w:pStyle w:val="19"/>
        <w:spacing w:line="219" w:lineRule="auto"/>
        <w:ind w:left="22"/>
        <w:rPr>
          <w:color w:val="auto"/>
          <w:sz w:val="24"/>
          <w:szCs w:val="24"/>
          <w:highlight w:val="none"/>
          <w:lang w:eastAsia="zh-CN"/>
        </w:rPr>
      </w:pPr>
      <w:r>
        <w:rPr>
          <w:color w:val="auto"/>
          <w:spacing w:val="-16"/>
          <w:sz w:val="24"/>
          <w:szCs w:val="24"/>
          <w:highlight w:val="none"/>
          <w:lang w:eastAsia="zh-CN"/>
        </w:rPr>
        <w:t>过年月日。</w:t>
      </w:r>
    </w:p>
    <w:p w14:paraId="354A8A18">
      <w:pPr>
        <w:pStyle w:val="19"/>
        <w:spacing w:before="180" w:line="360" w:lineRule="auto"/>
        <w:ind w:right="46"/>
        <w:jc w:val="right"/>
        <w:rPr>
          <w:color w:val="auto"/>
          <w:sz w:val="24"/>
          <w:szCs w:val="24"/>
          <w:highlight w:val="none"/>
          <w:lang w:eastAsia="zh-CN"/>
        </w:rPr>
      </w:pPr>
      <w:r>
        <w:rPr>
          <w:color w:val="auto"/>
          <w:spacing w:val="-3"/>
          <w:sz w:val="24"/>
          <w:szCs w:val="24"/>
          <w:highlight w:val="none"/>
          <w:lang w:eastAsia="zh-CN"/>
        </w:rPr>
        <w:t>四、我方承诺，在收到受益人发来的书面付款通知后的日</w:t>
      </w:r>
      <w:r>
        <w:rPr>
          <w:color w:val="auto"/>
          <w:spacing w:val="-4"/>
          <w:sz w:val="24"/>
          <w:szCs w:val="24"/>
          <w:highlight w:val="none"/>
          <w:lang w:eastAsia="zh-CN"/>
        </w:rPr>
        <w:t>内无条件支付，</w:t>
      </w:r>
    </w:p>
    <w:p w14:paraId="3061FB3D">
      <w:pPr>
        <w:pStyle w:val="19"/>
        <w:spacing w:before="1" w:line="218" w:lineRule="auto"/>
        <w:ind w:left="25"/>
        <w:rPr>
          <w:color w:val="auto"/>
          <w:sz w:val="24"/>
          <w:szCs w:val="24"/>
          <w:highlight w:val="none"/>
          <w:lang w:eastAsia="zh-CN"/>
        </w:rPr>
      </w:pPr>
      <w:r>
        <w:rPr>
          <w:color w:val="auto"/>
          <w:spacing w:val="-3"/>
          <w:sz w:val="24"/>
          <w:szCs w:val="24"/>
          <w:highlight w:val="none"/>
          <w:lang w:eastAsia="zh-CN"/>
        </w:rPr>
        <w:t>前述书面付款通知即为付款要求之单据，且应满足以下要求：</w:t>
      </w:r>
    </w:p>
    <w:p w14:paraId="7B374B6E">
      <w:pPr>
        <w:pStyle w:val="19"/>
        <w:spacing w:before="181" w:line="219" w:lineRule="auto"/>
        <w:ind w:left="507"/>
        <w:rPr>
          <w:color w:val="auto"/>
          <w:sz w:val="24"/>
          <w:szCs w:val="24"/>
          <w:highlight w:val="none"/>
          <w:lang w:eastAsia="zh-CN"/>
        </w:rPr>
      </w:pPr>
      <w:r>
        <w:rPr>
          <w:color w:val="auto"/>
          <w:spacing w:val="-4"/>
          <w:sz w:val="24"/>
          <w:szCs w:val="24"/>
          <w:highlight w:val="none"/>
          <w:lang w:eastAsia="zh-CN"/>
        </w:rPr>
        <w:t>（1）付款通知到达的日期在本保函的有效期内；</w:t>
      </w:r>
    </w:p>
    <w:p w14:paraId="4F2ACE34">
      <w:pPr>
        <w:pStyle w:val="19"/>
        <w:spacing w:before="183" w:line="220" w:lineRule="auto"/>
        <w:ind w:left="507"/>
        <w:rPr>
          <w:color w:val="auto"/>
          <w:sz w:val="24"/>
          <w:szCs w:val="24"/>
          <w:highlight w:val="none"/>
          <w:lang w:eastAsia="zh-CN"/>
        </w:rPr>
      </w:pPr>
      <w:r>
        <w:rPr>
          <w:color w:val="auto"/>
          <w:spacing w:val="-6"/>
          <w:sz w:val="24"/>
          <w:szCs w:val="24"/>
          <w:highlight w:val="none"/>
          <w:lang w:eastAsia="zh-CN"/>
        </w:rPr>
        <w:t>（2）载明要求支付的金额；</w:t>
      </w:r>
    </w:p>
    <w:p w14:paraId="342FD3B4">
      <w:pPr>
        <w:pStyle w:val="19"/>
        <w:spacing w:before="180" w:line="220" w:lineRule="auto"/>
        <w:ind w:left="507"/>
        <w:rPr>
          <w:color w:val="auto"/>
          <w:sz w:val="24"/>
          <w:szCs w:val="24"/>
          <w:highlight w:val="none"/>
          <w:lang w:eastAsia="zh-CN"/>
        </w:rPr>
      </w:pPr>
      <w:r>
        <w:rPr>
          <w:color w:val="auto"/>
          <w:spacing w:val="-4"/>
          <w:sz w:val="24"/>
          <w:szCs w:val="24"/>
          <w:highlight w:val="none"/>
          <w:lang w:eastAsia="zh-CN"/>
        </w:rPr>
        <w:t>（3）载明申请人违反合同义务的条款和内容；</w:t>
      </w:r>
    </w:p>
    <w:p w14:paraId="39AF1D70">
      <w:pPr>
        <w:pStyle w:val="19"/>
        <w:spacing w:before="183" w:line="465" w:lineRule="exact"/>
        <w:ind w:right="22"/>
        <w:jc w:val="right"/>
        <w:rPr>
          <w:color w:val="auto"/>
          <w:sz w:val="24"/>
          <w:szCs w:val="24"/>
          <w:highlight w:val="none"/>
          <w:lang w:eastAsia="zh-CN"/>
        </w:rPr>
      </w:pPr>
      <w:r>
        <w:rPr>
          <w:color w:val="auto"/>
          <w:spacing w:val="-4"/>
          <w:position w:val="17"/>
          <w:sz w:val="24"/>
          <w:szCs w:val="24"/>
          <w:highlight w:val="none"/>
          <w:lang w:eastAsia="zh-CN"/>
        </w:rPr>
        <w:t>（4）声明不存在合同文件约定或我国法律规定免除申请人或开立人支付责任的</w:t>
      </w:r>
    </w:p>
    <w:p w14:paraId="72447DBB">
      <w:pPr>
        <w:pStyle w:val="19"/>
        <w:spacing w:before="1" w:line="220" w:lineRule="auto"/>
        <w:ind w:left="22"/>
        <w:rPr>
          <w:color w:val="auto"/>
          <w:sz w:val="24"/>
          <w:szCs w:val="24"/>
          <w:highlight w:val="none"/>
          <w:lang w:eastAsia="zh-CN"/>
        </w:rPr>
      </w:pPr>
      <w:r>
        <w:rPr>
          <w:color w:val="auto"/>
          <w:spacing w:val="-15"/>
          <w:sz w:val="24"/>
          <w:szCs w:val="24"/>
          <w:highlight w:val="none"/>
          <w:lang w:eastAsia="zh-CN"/>
        </w:rPr>
        <w:t>情形；</w:t>
      </w:r>
    </w:p>
    <w:p w14:paraId="033D662A">
      <w:pPr>
        <w:pStyle w:val="19"/>
        <w:spacing w:before="181" w:line="219" w:lineRule="auto"/>
        <w:ind w:left="507"/>
        <w:rPr>
          <w:color w:val="auto"/>
          <w:sz w:val="24"/>
          <w:szCs w:val="24"/>
          <w:highlight w:val="none"/>
          <w:lang w:eastAsia="zh-CN"/>
        </w:rPr>
      </w:pPr>
      <w:r>
        <w:rPr>
          <w:color w:val="auto"/>
          <w:spacing w:val="-5"/>
          <w:sz w:val="24"/>
          <w:szCs w:val="24"/>
          <w:highlight w:val="none"/>
          <w:lang w:eastAsia="zh-CN"/>
        </w:rPr>
        <w:t>（5）付款通知应在本保函有效期内到达的地址是：</w:t>
      </w:r>
      <w:r>
        <w:rPr>
          <w:color w:val="auto"/>
          <w:spacing w:val="-6"/>
          <w:sz w:val="24"/>
          <w:szCs w:val="24"/>
          <w:highlight w:val="none"/>
          <w:lang w:eastAsia="zh-CN"/>
        </w:rPr>
        <w:t>。</w:t>
      </w:r>
    </w:p>
    <w:p w14:paraId="64CA0716">
      <w:pPr>
        <w:pStyle w:val="19"/>
        <w:spacing w:before="181" w:line="469" w:lineRule="exact"/>
        <w:ind w:right="12"/>
        <w:jc w:val="right"/>
        <w:rPr>
          <w:color w:val="auto"/>
          <w:sz w:val="24"/>
          <w:szCs w:val="24"/>
          <w:highlight w:val="none"/>
          <w:lang w:eastAsia="zh-CN"/>
        </w:rPr>
      </w:pPr>
      <w:r>
        <w:rPr>
          <w:color w:val="auto"/>
          <w:position w:val="17"/>
          <w:sz w:val="24"/>
          <w:szCs w:val="24"/>
          <w:highlight w:val="none"/>
          <w:lang w:eastAsia="zh-CN"/>
        </w:rPr>
        <w:t>受益人发出的书面付款通知应由其为鉴明受益人法定代表人（负责人）或授权</w:t>
      </w:r>
    </w:p>
    <w:p w14:paraId="373B8AE0">
      <w:pPr>
        <w:pStyle w:val="19"/>
        <w:spacing w:before="1" w:line="218" w:lineRule="auto"/>
        <w:ind w:left="20"/>
        <w:rPr>
          <w:color w:val="auto"/>
          <w:sz w:val="24"/>
          <w:szCs w:val="24"/>
          <w:highlight w:val="none"/>
          <w:lang w:eastAsia="zh-CN"/>
        </w:rPr>
      </w:pPr>
      <w:r>
        <w:rPr>
          <w:color w:val="auto"/>
          <w:spacing w:val="-4"/>
          <w:sz w:val="24"/>
          <w:szCs w:val="24"/>
          <w:highlight w:val="none"/>
          <w:lang w:eastAsia="zh-CN"/>
        </w:rPr>
        <w:t>代理人签字并加盖公章。</w:t>
      </w:r>
    </w:p>
    <w:p w14:paraId="7D6D3046">
      <w:pPr>
        <w:pStyle w:val="19"/>
        <w:spacing w:before="183" w:line="466" w:lineRule="exact"/>
        <w:jc w:val="right"/>
        <w:rPr>
          <w:color w:val="auto"/>
          <w:sz w:val="24"/>
          <w:szCs w:val="24"/>
          <w:highlight w:val="none"/>
          <w:lang w:eastAsia="zh-CN"/>
        </w:rPr>
      </w:pPr>
      <w:r>
        <w:rPr>
          <w:color w:val="auto"/>
          <w:spacing w:val="-7"/>
          <w:position w:val="17"/>
          <w:sz w:val="24"/>
          <w:szCs w:val="24"/>
          <w:highlight w:val="none"/>
          <w:lang w:eastAsia="zh-CN"/>
        </w:rPr>
        <w:t>五、本保函项下的权利不得转让，不得设定担保。贵方未</w:t>
      </w:r>
      <w:r>
        <w:rPr>
          <w:color w:val="auto"/>
          <w:spacing w:val="-8"/>
          <w:position w:val="17"/>
          <w:sz w:val="24"/>
          <w:szCs w:val="24"/>
          <w:highlight w:val="none"/>
          <w:lang w:eastAsia="zh-CN"/>
        </w:rPr>
        <w:t>经我方书面同意转 让</w:t>
      </w:r>
    </w:p>
    <w:p w14:paraId="6ABB9227">
      <w:pPr>
        <w:pStyle w:val="19"/>
        <w:spacing w:before="1" w:line="218" w:lineRule="auto"/>
        <w:ind w:left="22"/>
        <w:rPr>
          <w:color w:val="auto"/>
          <w:sz w:val="24"/>
          <w:szCs w:val="24"/>
          <w:highlight w:val="none"/>
          <w:lang w:eastAsia="zh-CN"/>
        </w:rPr>
      </w:pPr>
      <w:r>
        <w:rPr>
          <w:color w:val="auto"/>
          <w:spacing w:val="-9"/>
          <w:sz w:val="24"/>
          <w:szCs w:val="24"/>
          <w:highlight w:val="none"/>
          <w:lang w:eastAsia="zh-CN"/>
        </w:rPr>
        <w:t>本保函或其项下任何权利，对我方不发生法律效力。</w:t>
      </w:r>
    </w:p>
    <w:p w14:paraId="536A63D9">
      <w:pPr>
        <w:pStyle w:val="19"/>
        <w:spacing w:before="183" w:line="466" w:lineRule="exact"/>
        <w:ind w:right="7"/>
        <w:jc w:val="right"/>
        <w:rPr>
          <w:color w:val="auto"/>
          <w:sz w:val="24"/>
          <w:szCs w:val="24"/>
          <w:highlight w:val="none"/>
          <w:lang w:eastAsia="zh-CN"/>
        </w:rPr>
      </w:pPr>
      <w:r>
        <w:rPr>
          <w:color w:val="auto"/>
          <w:position w:val="17"/>
          <w:sz w:val="24"/>
          <w:szCs w:val="24"/>
          <w:highlight w:val="none"/>
          <w:lang w:eastAsia="zh-CN"/>
        </w:rPr>
        <w:t>六、与本保函有关的基础合同不成立、不生效、无效、被撤销、被解除，不影</w:t>
      </w:r>
    </w:p>
    <w:p w14:paraId="2AD68427">
      <w:pPr>
        <w:pStyle w:val="19"/>
        <w:spacing w:before="1" w:line="218" w:lineRule="auto"/>
        <w:ind w:left="33"/>
        <w:rPr>
          <w:color w:val="auto"/>
          <w:sz w:val="24"/>
          <w:szCs w:val="24"/>
          <w:highlight w:val="none"/>
          <w:lang w:eastAsia="zh-CN"/>
        </w:rPr>
      </w:pPr>
      <w:r>
        <w:rPr>
          <w:color w:val="auto"/>
          <w:spacing w:val="-6"/>
          <w:sz w:val="24"/>
          <w:szCs w:val="24"/>
          <w:highlight w:val="none"/>
          <w:lang w:eastAsia="zh-CN"/>
        </w:rPr>
        <w:t>响本保函的独立有效。</w:t>
      </w:r>
    </w:p>
    <w:p w14:paraId="1138CEF2">
      <w:pPr>
        <w:pStyle w:val="19"/>
        <w:spacing w:before="184" w:line="359" w:lineRule="auto"/>
        <w:ind w:left="22" w:right="7" w:firstLine="478"/>
        <w:rPr>
          <w:color w:val="auto"/>
          <w:sz w:val="24"/>
          <w:szCs w:val="24"/>
          <w:highlight w:val="none"/>
          <w:lang w:eastAsia="zh-CN"/>
        </w:rPr>
      </w:pPr>
      <w:r>
        <w:rPr>
          <w:color w:val="auto"/>
          <w:spacing w:val="-5"/>
          <w:sz w:val="24"/>
          <w:szCs w:val="24"/>
          <w:highlight w:val="none"/>
          <w:lang w:eastAsia="zh-CN"/>
        </w:rPr>
        <w:t>七、贵方应在本保函到期后的七日内将本保函正</w:t>
      </w:r>
      <w:r>
        <w:rPr>
          <w:color w:val="auto"/>
          <w:spacing w:val="-6"/>
          <w:sz w:val="24"/>
          <w:szCs w:val="24"/>
          <w:highlight w:val="none"/>
          <w:lang w:eastAsia="zh-CN"/>
        </w:rPr>
        <w:t>本退回我方注销， 但是不论贵</w:t>
      </w:r>
      <w:r>
        <w:rPr>
          <w:color w:val="auto"/>
          <w:sz w:val="24"/>
          <w:szCs w:val="24"/>
          <w:highlight w:val="none"/>
          <w:lang w:eastAsia="zh-CN"/>
        </w:rPr>
        <w:t xml:space="preserve"> 方是否按此要求将本保函正本退回我方，我方在本保函项下的义务和责任均在保函</w:t>
      </w:r>
    </w:p>
    <w:p w14:paraId="2EE34A3F">
      <w:pPr>
        <w:pStyle w:val="19"/>
        <w:spacing w:before="1" w:line="220" w:lineRule="auto"/>
        <w:ind w:left="22"/>
        <w:rPr>
          <w:color w:val="auto"/>
          <w:sz w:val="24"/>
          <w:szCs w:val="24"/>
          <w:highlight w:val="none"/>
          <w:lang w:eastAsia="zh-CN"/>
        </w:rPr>
      </w:pPr>
      <w:r>
        <w:rPr>
          <w:color w:val="auto"/>
          <w:spacing w:val="-4"/>
          <w:sz w:val="24"/>
          <w:szCs w:val="24"/>
          <w:highlight w:val="none"/>
          <w:lang w:eastAsia="zh-CN"/>
        </w:rPr>
        <w:t>有效期到期后自动消灭。</w:t>
      </w:r>
    </w:p>
    <w:p w14:paraId="289848E5">
      <w:pPr>
        <w:pStyle w:val="19"/>
        <w:spacing w:before="179" w:line="468" w:lineRule="exact"/>
        <w:ind w:right="9"/>
        <w:jc w:val="right"/>
        <w:rPr>
          <w:color w:val="auto"/>
          <w:sz w:val="24"/>
          <w:szCs w:val="24"/>
          <w:highlight w:val="none"/>
          <w:lang w:eastAsia="zh-CN"/>
        </w:rPr>
      </w:pPr>
      <w:r>
        <w:rPr>
          <w:color w:val="auto"/>
          <w:spacing w:val="-2"/>
          <w:position w:val="17"/>
          <w:sz w:val="24"/>
          <w:szCs w:val="24"/>
          <w:highlight w:val="none"/>
          <w:lang w:eastAsia="zh-CN"/>
        </w:rPr>
        <w:t>八、本保函适用的法律为中华人民共和国法律，争议裁判管辖地为中华人</w:t>
      </w:r>
      <w:r>
        <w:rPr>
          <w:color w:val="auto"/>
          <w:spacing w:val="-3"/>
          <w:position w:val="17"/>
          <w:sz w:val="24"/>
          <w:szCs w:val="24"/>
          <w:highlight w:val="none"/>
          <w:lang w:eastAsia="zh-CN"/>
        </w:rPr>
        <w:t>民共</w:t>
      </w:r>
    </w:p>
    <w:p w14:paraId="16747EA4">
      <w:pPr>
        <w:pStyle w:val="19"/>
        <w:spacing w:line="222" w:lineRule="auto"/>
        <w:ind w:left="22"/>
        <w:rPr>
          <w:color w:val="auto"/>
          <w:sz w:val="24"/>
          <w:szCs w:val="24"/>
          <w:highlight w:val="none"/>
          <w:lang w:eastAsia="zh-CN"/>
        </w:rPr>
      </w:pPr>
      <w:r>
        <w:rPr>
          <w:color w:val="auto"/>
          <w:spacing w:val="-2"/>
          <w:sz w:val="24"/>
          <w:szCs w:val="24"/>
          <w:highlight w:val="none"/>
          <w:lang w:eastAsia="zh-CN"/>
        </w:rPr>
        <w:t>和国。</w:t>
      </w:r>
    </w:p>
    <w:p w14:paraId="68CA622D">
      <w:pPr>
        <w:pStyle w:val="19"/>
        <w:spacing w:before="177" w:line="219" w:lineRule="auto"/>
        <w:ind w:left="507"/>
        <w:rPr>
          <w:color w:val="auto"/>
          <w:sz w:val="24"/>
          <w:szCs w:val="24"/>
          <w:highlight w:val="none"/>
          <w:lang w:eastAsia="zh-CN"/>
        </w:rPr>
      </w:pPr>
      <w:r>
        <w:rPr>
          <w:color w:val="auto"/>
          <w:spacing w:val="-4"/>
          <w:sz w:val="24"/>
          <w:szCs w:val="24"/>
          <w:highlight w:val="none"/>
          <w:lang w:eastAsia="zh-CN"/>
        </w:rPr>
        <w:t>九、本保函自我方法定代表人或授权代表签字并加盖公章之日起</w:t>
      </w:r>
      <w:r>
        <w:rPr>
          <w:color w:val="auto"/>
          <w:spacing w:val="-5"/>
          <w:sz w:val="24"/>
          <w:szCs w:val="24"/>
          <w:highlight w:val="none"/>
          <w:lang w:eastAsia="zh-CN"/>
        </w:rPr>
        <w:t>生效。</w:t>
      </w:r>
    </w:p>
    <w:p w14:paraId="1B21BF9C">
      <w:pPr>
        <w:pStyle w:val="19"/>
        <w:spacing w:before="177" w:line="219" w:lineRule="auto"/>
        <w:ind w:left="507"/>
        <w:rPr>
          <w:color w:val="auto"/>
          <w:spacing w:val="-4"/>
          <w:sz w:val="24"/>
          <w:szCs w:val="24"/>
          <w:highlight w:val="none"/>
          <w:lang w:eastAsia="zh-CN"/>
        </w:rPr>
      </w:pPr>
      <w:r>
        <w:rPr>
          <w:color w:val="auto"/>
          <w:spacing w:val="-4"/>
          <w:sz w:val="24"/>
          <w:szCs w:val="24"/>
          <w:highlight w:val="none"/>
          <w:lang w:eastAsia="zh-CN"/>
        </w:rPr>
        <w:t>开 立 人：（公章）</w:t>
      </w:r>
    </w:p>
    <w:p w14:paraId="40FD7F93">
      <w:pPr>
        <w:pStyle w:val="19"/>
        <w:spacing w:before="177" w:line="219" w:lineRule="auto"/>
        <w:ind w:left="507"/>
        <w:rPr>
          <w:color w:val="auto"/>
          <w:spacing w:val="-4"/>
          <w:sz w:val="24"/>
          <w:szCs w:val="24"/>
          <w:highlight w:val="none"/>
          <w:lang w:eastAsia="zh-CN"/>
        </w:rPr>
      </w:pPr>
      <w:r>
        <w:rPr>
          <w:color w:val="auto"/>
          <w:spacing w:val="-4"/>
          <w:sz w:val="24"/>
          <w:szCs w:val="24"/>
          <w:highlight w:val="none"/>
          <w:lang w:eastAsia="zh-CN"/>
        </w:rPr>
        <w:t>法定代表人（或授权代表）：（签字）</w:t>
      </w:r>
    </w:p>
    <w:p w14:paraId="5C911EBE">
      <w:pPr>
        <w:spacing w:line="184" w:lineRule="auto"/>
        <w:rPr>
          <w:color w:val="auto"/>
          <w:sz w:val="24"/>
          <w:szCs w:val="24"/>
          <w:highlight w:val="none"/>
          <w:lang w:eastAsia="zh-CN"/>
        </w:rPr>
      </w:pPr>
    </w:p>
    <w:p w14:paraId="5EB8204B">
      <w:pPr>
        <w:pStyle w:val="19"/>
        <w:spacing w:before="78" w:line="469"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67BEE325">
      <w:pPr>
        <w:pStyle w:val="19"/>
        <w:spacing w:line="219" w:lineRule="auto"/>
        <w:ind w:left="519"/>
        <w:rPr>
          <w:color w:val="auto"/>
          <w:sz w:val="24"/>
          <w:szCs w:val="24"/>
          <w:highlight w:val="none"/>
          <w:lang w:eastAsia="zh-CN"/>
        </w:rPr>
      </w:pPr>
      <w:r>
        <w:rPr>
          <w:color w:val="auto"/>
          <w:spacing w:val="-14"/>
          <w:sz w:val="24"/>
          <w:szCs w:val="24"/>
          <w:highlight w:val="none"/>
          <w:lang w:eastAsia="zh-CN"/>
        </w:rPr>
        <w:t>邮政编码：</w:t>
      </w:r>
    </w:p>
    <w:p w14:paraId="7CEFC386">
      <w:pPr>
        <w:pStyle w:val="19"/>
        <w:spacing w:before="179" w:line="222" w:lineRule="auto"/>
        <w:ind w:left="529"/>
        <w:rPr>
          <w:color w:val="auto"/>
          <w:sz w:val="24"/>
          <w:szCs w:val="24"/>
          <w:highlight w:val="none"/>
          <w:lang w:eastAsia="zh-CN"/>
        </w:rPr>
      </w:pPr>
      <w:r>
        <w:rPr>
          <w:color w:val="auto"/>
          <w:spacing w:val="-24"/>
          <w:sz w:val="24"/>
          <w:szCs w:val="24"/>
          <w:highlight w:val="none"/>
          <w:lang w:eastAsia="zh-CN"/>
        </w:rPr>
        <w:t>电话：</w:t>
      </w:r>
    </w:p>
    <w:p w14:paraId="5A85A1BC">
      <w:pPr>
        <w:pStyle w:val="19"/>
        <w:spacing w:before="179" w:line="219" w:lineRule="auto"/>
        <w:ind w:left="499"/>
        <w:rPr>
          <w:color w:val="auto"/>
          <w:sz w:val="24"/>
          <w:szCs w:val="24"/>
          <w:highlight w:val="none"/>
          <w:lang w:eastAsia="zh-CN"/>
        </w:rPr>
      </w:pPr>
      <w:r>
        <w:rPr>
          <w:color w:val="auto"/>
          <w:spacing w:val="-14"/>
          <w:sz w:val="24"/>
          <w:szCs w:val="24"/>
          <w:highlight w:val="none"/>
          <w:lang w:eastAsia="zh-CN"/>
        </w:rPr>
        <w:t>传真：</w:t>
      </w:r>
    </w:p>
    <w:p w14:paraId="32F4A911">
      <w:pPr>
        <w:pStyle w:val="19"/>
        <w:spacing w:before="180" w:line="220" w:lineRule="auto"/>
        <w:ind w:left="502"/>
        <w:rPr>
          <w:color w:val="auto"/>
          <w:sz w:val="24"/>
          <w:szCs w:val="24"/>
          <w:highlight w:val="none"/>
          <w:lang w:eastAsia="zh-CN"/>
        </w:rPr>
      </w:pPr>
      <w:r>
        <w:rPr>
          <w:color w:val="auto"/>
          <w:spacing w:val="-22"/>
          <w:sz w:val="24"/>
          <w:szCs w:val="24"/>
          <w:highlight w:val="none"/>
          <w:lang w:eastAsia="zh-CN"/>
        </w:rPr>
        <w:t>开立时间：年月日</w:t>
      </w:r>
    </w:p>
    <w:p w14:paraId="6C83B27C">
      <w:pPr>
        <w:spacing w:line="278" w:lineRule="auto"/>
        <w:rPr>
          <w:color w:val="auto"/>
          <w:highlight w:val="none"/>
          <w:lang w:eastAsia="zh-CN"/>
        </w:rPr>
      </w:pPr>
    </w:p>
    <w:p w14:paraId="0E9EF208">
      <w:pPr>
        <w:spacing w:line="279" w:lineRule="auto"/>
        <w:rPr>
          <w:color w:val="auto"/>
          <w:highlight w:val="none"/>
          <w:lang w:eastAsia="zh-CN"/>
        </w:rPr>
      </w:pPr>
    </w:p>
    <w:p w14:paraId="09CABE73">
      <w:pPr>
        <w:spacing w:before="102" w:line="227" w:lineRule="auto"/>
        <w:ind w:left="42"/>
        <w:rPr>
          <w:rFonts w:ascii="黑体" w:hAnsi="黑体" w:eastAsia="黑体" w:cs="黑体"/>
          <w:color w:val="auto"/>
          <w:spacing w:val="-4"/>
          <w:sz w:val="31"/>
          <w:szCs w:val="31"/>
          <w:highlight w:val="none"/>
          <w:lang w:eastAsia="zh-CN"/>
        </w:rPr>
      </w:pPr>
    </w:p>
    <w:p w14:paraId="7E30BA7D">
      <w:pPr>
        <w:spacing w:before="102" w:line="227" w:lineRule="auto"/>
        <w:ind w:left="42"/>
        <w:rPr>
          <w:rFonts w:ascii="黑体" w:hAnsi="黑体" w:eastAsia="黑体" w:cs="黑体"/>
          <w:color w:val="auto"/>
          <w:spacing w:val="-4"/>
          <w:sz w:val="31"/>
          <w:szCs w:val="31"/>
          <w:highlight w:val="none"/>
          <w:lang w:eastAsia="zh-CN"/>
        </w:rPr>
      </w:pPr>
    </w:p>
    <w:p w14:paraId="39B8BBEC">
      <w:pPr>
        <w:spacing w:before="102" w:line="227" w:lineRule="auto"/>
        <w:ind w:left="42"/>
        <w:rPr>
          <w:rFonts w:ascii="黑体" w:hAnsi="黑体" w:eastAsia="黑体" w:cs="黑体"/>
          <w:color w:val="auto"/>
          <w:spacing w:val="-4"/>
          <w:sz w:val="31"/>
          <w:szCs w:val="31"/>
          <w:highlight w:val="none"/>
          <w:lang w:eastAsia="zh-CN"/>
        </w:rPr>
      </w:pPr>
    </w:p>
    <w:p w14:paraId="3CBAE680">
      <w:pPr>
        <w:rPr>
          <w:rFonts w:ascii="黑体" w:hAnsi="黑体" w:eastAsia="黑体" w:cs="黑体"/>
          <w:color w:val="auto"/>
          <w:spacing w:val="-4"/>
          <w:sz w:val="31"/>
          <w:szCs w:val="31"/>
          <w:highlight w:val="none"/>
          <w:lang w:eastAsia="zh-CN"/>
        </w:rPr>
      </w:pPr>
      <w:r>
        <w:rPr>
          <w:rFonts w:ascii="黑体" w:hAnsi="黑体" w:eastAsia="黑体" w:cs="黑体"/>
          <w:color w:val="auto"/>
          <w:spacing w:val="-4"/>
          <w:sz w:val="31"/>
          <w:szCs w:val="31"/>
          <w:highlight w:val="none"/>
          <w:lang w:eastAsia="zh-CN"/>
        </w:rPr>
        <w:br w:type="page"/>
      </w:r>
    </w:p>
    <w:p w14:paraId="2687B47D">
      <w:pPr>
        <w:spacing w:before="102" w:line="227" w:lineRule="auto"/>
        <w:ind w:left="42"/>
        <w:rPr>
          <w:rFonts w:ascii="黑体" w:hAnsi="黑体" w:eastAsia="黑体" w:cs="黑体"/>
          <w:color w:val="auto"/>
          <w:spacing w:val="-4"/>
          <w:sz w:val="31"/>
          <w:szCs w:val="31"/>
          <w:highlight w:val="none"/>
          <w:lang w:eastAsia="zh-CN"/>
        </w:rPr>
      </w:pPr>
      <w:r>
        <w:rPr>
          <w:rFonts w:ascii="黑体" w:hAnsi="黑体" w:eastAsia="黑体" w:cs="黑体"/>
          <w:color w:val="auto"/>
          <w:spacing w:val="-4"/>
          <w:sz w:val="31"/>
          <w:szCs w:val="31"/>
          <w:highlight w:val="none"/>
          <w:lang w:eastAsia="zh-CN"/>
        </w:rPr>
        <w:t>附件8</w:t>
      </w:r>
    </w:p>
    <w:p w14:paraId="1E723EC9">
      <w:pPr>
        <w:spacing w:before="102" w:line="227" w:lineRule="auto"/>
        <w:ind w:left="42"/>
        <w:rPr>
          <w:rFonts w:ascii="黑体" w:hAnsi="黑体" w:eastAsia="黑体" w:cs="黑体"/>
          <w:color w:val="auto"/>
          <w:spacing w:val="-4"/>
          <w:sz w:val="31"/>
          <w:szCs w:val="31"/>
          <w:highlight w:val="none"/>
          <w:lang w:eastAsia="zh-CN"/>
        </w:rPr>
      </w:pPr>
    </w:p>
    <w:p w14:paraId="19EB70AE">
      <w:pPr>
        <w:pStyle w:val="19"/>
        <w:spacing w:before="101" w:line="224" w:lineRule="auto"/>
        <w:ind w:left="2917"/>
        <w:rPr>
          <w:color w:val="auto"/>
          <w:sz w:val="31"/>
          <w:szCs w:val="31"/>
          <w:highlight w:val="none"/>
          <w:lang w:eastAsia="zh-CN"/>
        </w:rPr>
      </w:pPr>
      <w:r>
        <w:rPr>
          <w:color w:val="auto"/>
          <w:spacing w:val="9"/>
          <w:sz w:val="31"/>
          <w:szCs w:val="31"/>
          <w:highlight w:val="none"/>
          <w:lang w:eastAsia="zh-CN"/>
        </w:rPr>
        <w:t>预付款保函示范文本</w:t>
      </w:r>
    </w:p>
    <w:p w14:paraId="7BD7701A">
      <w:pPr>
        <w:pStyle w:val="19"/>
        <w:spacing w:before="245" w:line="226" w:lineRule="auto"/>
        <w:ind w:left="3249"/>
        <w:rPr>
          <w:color w:val="auto"/>
          <w:sz w:val="31"/>
          <w:szCs w:val="31"/>
          <w:highlight w:val="none"/>
          <w:lang w:eastAsia="zh-CN"/>
        </w:rPr>
      </w:pPr>
      <w:r>
        <w:rPr>
          <w:color w:val="auto"/>
          <w:spacing w:val="3"/>
          <w:sz w:val="31"/>
          <w:szCs w:val="31"/>
          <w:highlight w:val="none"/>
          <w:lang w:eastAsia="zh-CN"/>
        </w:rPr>
        <w:t>（非独立保函）</w:t>
      </w:r>
    </w:p>
    <w:p w14:paraId="7D24A101">
      <w:pPr>
        <w:pStyle w:val="19"/>
        <w:spacing w:before="227" w:line="221" w:lineRule="auto"/>
        <w:ind w:left="6908"/>
        <w:rPr>
          <w:color w:val="auto"/>
          <w:highlight w:val="none"/>
          <w:lang w:eastAsia="zh-CN"/>
        </w:rPr>
      </w:pPr>
      <w:r>
        <w:rPr>
          <w:color w:val="auto"/>
          <w:spacing w:val="-13"/>
          <w:highlight w:val="none"/>
          <w:lang w:eastAsia="zh-CN"/>
        </w:rPr>
        <w:t>编号：</w:t>
      </w:r>
    </w:p>
    <w:p w14:paraId="3F0DAAB9">
      <w:pPr>
        <w:pStyle w:val="19"/>
        <w:spacing w:before="78" w:line="468" w:lineRule="exact"/>
        <w:ind w:left="22"/>
        <w:rPr>
          <w:color w:val="auto"/>
          <w:sz w:val="24"/>
          <w:szCs w:val="24"/>
          <w:highlight w:val="none"/>
          <w:lang w:eastAsia="zh-CN"/>
        </w:rPr>
      </w:pPr>
      <w:r>
        <w:rPr>
          <w:color w:val="auto"/>
          <w:spacing w:val="-6"/>
          <w:position w:val="17"/>
          <w:sz w:val="24"/>
          <w:szCs w:val="24"/>
          <w:highlight w:val="none"/>
          <w:lang w:eastAsia="zh-CN"/>
        </w:rPr>
        <w:t>担保权人/发包人：</w:t>
      </w:r>
    </w:p>
    <w:p w14:paraId="1190F7E4">
      <w:pPr>
        <w:pStyle w:val="19"/>
        <w:spacing w:before="1" w:line="228" w:lineRule="auto"/>
        <w:ind w:left="21"/>
        <w:rPr>
          <w:color w:val="auto"/>
          <w:sz w:val="24"/>
          <w:szCs w:val="24"/>
          <w:highlight w:val="none"/>
          <w:lang w:eastAsia="zh-CN"/>
        </w:rPr>
      </w:pPr>
      <w:r>
        <w:rPr>
          <w:color w:val="auto"/>
          <w:spacing w:val="-4"/>
          <w:sz w:val="24"/>
          <w:szCs w:val="24"/>
          <w:highlight w:val="none"/>
          <w:lang w:eastAsia="zh-CN"/>
        </w:rPr>
        <w:t>地址：</w:t>
      </w:r>
    </w:p>
    <w:p w14:paraId="3D7BD2AF">
      <w:pPr>
        <w:pStyle w:val="19"/>
        <w:spacing w:before="169" w:line="468" w:lineRule="exact"/>
        <w:ind w:left="21"/>
        <w:rPr>
          <w:color w:val="auto"/>
          <w:sz w:val="24"/>
          <w:szCs w:val="24"/>
          <w:highlight w:val="none"/>
          <w:lang w:eastAsia="zh-CN"/>
        </w:rPr>
      </w:pPr>
      <w:r>
        <w:rPr>
          <w:color w:val="auto"/>
          <w:spacing w:val="-13"/>
          <w:position w:val="17"/>
          <w:sz w:val="24"/>
          <w:szCs w:val="24"/>
          <w:highlight w:val="none"/>
          <w:lang w:eastAsia="zh-CN"/>
        </w:rPr>
        <w:t>承包人：</w:t>
      </w:r>
    </w:p>
    <w:p w14:paraId="60D3595C">
      <w:pPr>
        <w:pStyle w:val="19"/>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71ECEB76">
      <w:pPr>
        <w:pStyle w:val="19"/>
        <w:spacing w:before="170" w:line="466" w:lineRule="exact"/>
        <w:ind w:left="22"/>
        <w:rPr>
          <w:color w:val="auto"/>
          <w:sz w:val="24"/>
          <w:szCs w:val="24"/>
          <w:highlight w:val="none"/>
          <w:lang w:eastAsia="zh-CN"/>
        </w:rPr>
      </w:pPr>
      <w:r>
        <w:rPr>
          <w:color w:val="auto"/>
          <w:spacing w:val="-13"/>
          <w:position w:val="17"/>
          <w:sz w:val="24"/>
          <w:szCs w:val="24"/>
          <w:highlight w:val="none"/>
          <w:lang w:eastAsia="zh-CN"/>
        </w:rPr>
        <w:t>保证人：</w:t>
      </w:r>
    </w:p>
    <w:p w14:paraId="0B1F5E5E">
      <w:pPr>
        <w:pStyle w:val="19"/>
        <w:spacing w:before="1" w:line="228" w:lineRule="auto"/>
        <w:ind w:left="21"/>
        <w:rPr>
          <w:color w:val="auto"/>
          <w:spacing w:val="-15"/>
          <w:sz w:val="24"/>
          <w:szCs w:val="24"/>
          <w:highlight w:val="none"/>
          <w:lang w:eastAsia="zh-CN"/>
        </w:rPr>
      </w:pPr>
      <w:r>
        <w:rPr>
          <w:color w:val="auto"/>
          <w:spacing w:val="-15"/>
          <w:sz w:val="24"/>
          <w:szCs w:val="24"/>
          <w:highlight w:val="none"/>
          <w:lang w:eastAsia="zh-CN"/>
        </w:rPr>
        <w:t>地址：</w:t>
      </w:r>
    </w:p>
    <w:p w14:paraId="699CE2BA">
      <w:pPr>
        <w:pStyle w:val="19"/>
        <w:spacing w:before="1" w:line="228" w:lineRule="auto"/>
        <w:ind w:left="21"/>
        <w:rPr>
          <w:color w:val="auto"/>
          <w:spacing w:val="-15"/>
          <w:sz w:val="24"/>
          <w:szCs w:val="24"/>
          <w:highlight w:val="none"/>
          <w:lang w:eastAsia="zh-CN"/>
        </w:rPr>
      </w:pPr>
    </w:p>
    <w:p w14:paraId="30ABE484">
      <w:pPr>
        <w:pStyle w:val="19"/>
        <w:tabs>
          <w:tab w:val="left" w:pos="1691"/>
        </w:tabs>
        <w:spacing w:before="79" w:line="220" w:lineRule="auto"/>
        <w:ind w:left="12"/>
        <w:rPr>
          <w:color w:val="auto"/>
          <w:spacing w:val="-21"/>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（发包人名称</w:t>
      </w:r>
      <w:r>
        <w:rPr>
          <w:color w:val="auto"/>
          <w:spacing w:val="-21"/>
          <w:sz w:val="24"/>
          <w:szCs w:val="24"/>
          <w:highlight w:val="none"/>
          <w:lang w:eastAsia="zh-CN"/>
        </w:rPr>
        <w:t>）：</w:t>
      </w:r>
    </w:p>
    <w:p w14:paraId="4DA15630">
      <w:pPr>
        <w:pStyle w:val="19"/>
        <w:tabs>
          <w:tab w:val="left" w:pos="1691"/>
        </w:tabs>
        <w:spacing w:before="79" w:line="220" w:lineRule="auto"/>
        <w:ind w:left="12"/>
        <w:rPr>
          <w:color w:val="auto"/>
          <w:spacing w:val="-21"/>
          <w:sz w:val="24"/>
          <w:szCs w:val="24"/>
          <w:highlight w:val="none"/>
          <w:lang w:eastAsia="zh-CN"/>
        </w:rPr>
      </w:pPr>
    </w:p>
    <w:p w14:paraId="2EB584CE">
      <w:pPr>
        <w:pStyle w:val="19"/>
        <w:spacing w:before="183" w:line="359" w:lineRule="auto"/>
        <w:ind w:left="20" w:right="62" w:firstLine="483"/>
        <w:jc w:val="both"/>
        <w:rPr>
          <w:color w:val="auto"/>
          <w:sz w:val="24"/>
          <w:szCs w:val="24"/>
          <w:highlight w:val="none"/>
          <w:lang w:eastAsia="zh-CN"/>
        </w:rPr>
      </w:pPr>
      <w:r>
        <w:rPr>
          <w:color w:val="auto"/>
          <w:spacing w:val="-11"/>
          <w:sz w:val="24"/>
          <w:szCs w:val="24"/>
          <w:highlight w:val="none"/>
          <w:lang w:eastAsia="zh-CN"/>
        </w:rPr>
        <w:t>鉴于 （以下简称“发包人”）与</w:t>
      </w:r>
      <w:r>
        <w:rPr>
          <w:color w:val="auto"/>
          <w:spacing w:val="-12"/>
          <w:sz w:val="24"/>
          <w:szCs w:val="24"/>
          <w:highlight w:val="none"/>
          <w:lang w:eastAsia="zh-CN"/>
        </w:rPr>
        <w:t xml:space="preserve"> （以下简称“承包人”）于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        》</w:t>
      </w:r>
      <w:r>
        <w:rPr>
          <w:color w:val="auto"/>
          <w:spacing w:val="-9"/>
          <w:sz w:val="24"/>
          <w:szCs w:val="24"/>
          <w:highlight w:val="none"/>
          <w:lang w:eastAsia="zh-CN"/>
        </w:rPr>
        <w:t>（以下简称“主合同”</w:t>
      </w:r>
      <w:r>
        <w:rPr>
          <w:color w:val="auto"/>
          <w:spacing w:val="-42"/>
          <w:w w:val="67"/>
          <w:sz w:val="24"/>
          <w:szCs w:val="24"/>
          <w:highlight w:val="none"/>
          <w:lang w:eastAsia="zh-CN"/>
        </w:rPr>
        <w:t>），</w:t>
      </w:r>
      <w:r>
        <w:rPr>
          <w:color w:val="auto"/>
          <w:spacing w:val="-9"/>
          <w:sz w:val="24"/>
          <w:szCs w:val="24"/>
          <w:highlight w:val="none"/>
          <w:lang w:eastAsia="zh-CN"/>
        </w:rPr>
        <w:t>我方即保证人基于承包人的请求，同</w:t>
      </w:r>
      <w:r>
        <w:rPr>
          <w:color w:val="auto"/>
          <w:spacing w:val="1"/>
          <w:sz w:val="24"/>
          <w:szCs w:val="24"/>
          <w:highlight w:val="none"/>
          <w:lang w:eastAsia="zh-CN"/>
        </w:rPr>
        <w:t>意就承包人按照合同约定正确和合理地为合同目</w:t>
      </w:r>
      <w:r>
        <w:rPr>
          <w:color w:val="auto"/>
          <w:sz w:val="24"/>
          <w:szCs w:val="24"/>
          <w:highlight w:val="none"/>
          <w:lang w:eastAsia="zh-CN"/>
        </w:rPr>
        <w:t>的使用预付款，不将预付款挪作他</w:t>
      </w:r>
      <w:r>
        <w:rPr>
          <w:color w:val="auto"/>
          <w:spacing w:val="-12"/>
          <w:sz w:val="24"/>
          <w:szCs w:val="24"/>
          <w:highlight w:val="none"/>
          <w:lang w:eastAsia="zh-CN"/>
        </w:rPr>
        <w:t>用， 向贵方提供如下保证担保（以下简称“本保证担保</w:t>
      </w:r>
      <w:r>
        <w:rPr>
          <w:color w:val="auto"/>
          <w:spacing w:val="-13"/>
          <w:sz w:val="24"/>
          <w:szCs w:val="24"/>
          <w:highlight w:val="none"/>
          <w:lang w:eastAsia="zh-CN"/>
        </w:rPr>
        <w:t>”）。</w:t>
      </w:r>
    </w:p>
    <w:p w14:paraId="6AD3A4BC">
      <w:pPr>
        <w:pStyle w:val="19"/>
        <w:spacing w:before="180" w:line="220" w:lineRule="auto"/>
        <w:ind w:left="507"/>
        <w:rPr>
          <w:color w:val="auto"/>
          <w:sz w:val="24"/>
          <w:szCs w:val="24"/>
          <w:highlight w:val="none"/>
          <w:lang w:eastAsia="zh-CN"/>
        </w:rPr>
      </w:pPr>
      <w:r>
        <w:rPr>
          <w:color w:val="auto"/>
          <w:spacing w:val="-1"/>
          <w:sz w:val="24"/>
          <w:szCs w:val="24"/>
          <w:highlight w:val="none"/>
          <w:lang w:eastAsia="zh-CN"/>
        </w:rPr>
        <w:t>一、保证担保的范围及保证担保金额</w:t>
      </w:r>
    </w:p>
    <w:p w14:paraId="2C0C249D">
      <w:pPr>
        <w:pStyle w:val="19"/>
        <w:spacing w:before="184" w:line="359" w:lineRule="auto"/>
        <w:ind w:left="21" w:firstLine="497"/>
        <w:jc w:val="both"/>
        <w:rPr>
          <w:rFonts w:ascii="Arial"/>
          <w:color w:val="auto"/>
          <w:highlight w:val="none"/>
          <w:lang w:eastAsia="zh-CN"/>
        </w:rPr>
      </w:pPr>
      <w:r>
        <w:rPr>
          <w:color w:val="auto"/>
          <w:spacing w:val="-8"/>
          <w:sz w:val="24"/>
          <w:szCs w:val="24"/>
          <w:highlight w:val="none"/>
          <w:lang w:eastAsia="zh-CN"/>
        </w:rPr>
        <w:t>1.保证担保范围： 申请人未按照合同约定正确和合理地为合同目的使用预付款，</w:t>
      </w:r>
      <w:r>
        <w:rPr>
          <w:color w:val="auto"/>
          <w:sz w:val="24"/>
          <w:szCs w:val="24"/>
          <w:highlight w:val="none"/>
          <w:lang w:eastAsia="zh-CN"/>
        </w:rPr>
        <w:t>应当向贵方承担的违约责任和赔偿因此造成的损失、利息、律师费、诉讼费用等实</w:t>
      </w:r>
      <w:r>
        <w:rPr>
          <w:color w:val="auto"/>
          <w:spacing w:val="-6"/>
          <w:sz w:val="24"/>
          <w:szCs w:val="24"/>
          <w:highlight w:val="none"/>
          <w:lang w:eastAsia="zh-CN"/>
        </w:rPr>
        <w:t>现债权的费用。</w:t>
      </w:r>
    </w:p>
    <w:p w14:paraId="1914656F">
      <w:pPr>
        <w:pStyle w:val="19"/>
        <w:spacing w:before="78" w:line="219" w:lineRule="auto"/>
        <w:ind w:left="504"/>
        <w:rPr>
          <w:color w:val="auto"/>
          <w:sz w:val="24"/>
          <w:szCs w:val="24"/>
          <w:highlight w:val="none"/>
          <w:lang w:eastAsia="zh-CN"/>
        </w:rPr>
      </w:pPr>
      <w:r>
        <w:rPr>
          <w:color w:val="auto"/>
          <w:spacing w:val="-1"/>
          <w:sz w:val="24"/>
          <w:szCs w:val="24"/>
          <w:highlight w:val="none"/>
          <w:lang w:eastAsia="zh-CN"/>
        </w:rPr>
        <w:t>2.保证担保金额最高不超过人民币（大写） 元(¥</w:t>
      </w:r>
      <w:r>
        <w:rPr>
          <w:color w:val="auto"/>
          <w:spacing w:val="-2"/>
          <w:sz w:val="24"/>
          <w:szCs w:val="24"/>
          <w:highlight w:val="none"/>
          <w:lang w:eastAsia="zh-CN"/>
        </w:rPr>
        <w:t>)。</w:t>
      </w:r>
    </w:p>
    <w:p w14:paraId="0D3EE2AD">
      <w:pPr>
        <w:pStyle w:val="19"/>
        <w:spacing w:before="184" w:line="220" w:lineRule="auto"/>
        <w:ind w:left="507"/>
        <w:rPr>
          <w:color w:val="auto"/>
          <w:sz w:val="24"/>
          <w:szCs w:val="24"/>
          <w:highlight w:val="none"/>
          <w:lang w:eastAsia="zh-CN"/>
        </w:rPr>
      </w:pPr>
      <w:r>
        <w:rPr>
          <w:color w:val="auto"/>
          <w:spacing w:val="-1"/>
          <w:sz w:val="24"/>
          <w:szCs w:val="24"/>
          <w:highlight w:val="none"/>
          <w:lang w:eastAsia="zh-CN"/>
        </w:rPr>
        <w:t>二、保证担保的方式及保证期间</w:t>
      </w:r>
    </w:p>
    <w:p w14:paraId="3F560518">
      <w:pPr>
        <w:pStyle w:val="19"/>
        <w:spacing w:before="178" w:line="220" w:lineRule="auto"/>
        <w:ind w:left="519"/>
        <w:rPr>
          <w:color w:val="auto"/>
          <w:sz w:val="24"/>
          <w:szCs w:val="24"/>
          <w:highlight w:val="none"/>
          <w:lang w:eastAsia="zh-CN"/>
        </w:rPr>
      </w:pPr>
      <w:r>
        <w:rPr>
          <w:color w:val="auto"/>
          <w:spacing w:val="-4"/>
          <w:sz w:val="24"/>
          <w:szCs w:val="24"/>
          <w:highlight w:val="none"/>
          <w:lang w:eastAsia="zh-CN"/>
        </w:rPr>
        <w:t>1.保证担保方式：连带责任保证。</w:t>
      </w:r>
    </w:p>
    <w:p w14:paraId="38456C84">
      <w:pPr>
        <w:pStyle w:val="19"/>
        <w:spacing w:before="182" w:line="358" w:lineRule="auto"/>
        <w:ind w:right="4"/>
        <w:jc w:val="center"/>
        <w:rPr>
          <w:color w:val="auto"/>
          <w:sz w:val="24"/>
          <w:szCs w:val="24"/>
          <w:highlight w:val="none"/>
          <w:lang w:eastAsia="zh-CN"/>
        </w:rPr>
      </w:pPr>
      <w:r>
        <w:rPr>
          <w:color w:val="auto"/>
          <w:spacing w:val="-5"/>
          <w:sz w:val="24"/>
          <w:szCs w:val="24"/>
          <w:highlight w:val="none"/>
          <w:lang w:eastAsia="zh-CN"/>
        </w:rPr>
        <w:t>2.保证期间：自出具之日起至发包人全额扣回预付款后日止，最迟不</w:t>
      </w:r>
      <w:r>
        <w:rPr>
          <w:color w:val="auto"/>
          <w:spacing w:val="-6"/>
          <w:sz w:val="24"/>
          <w:szCs w:val="24"/>
          <w:highlight w:val="none"/>
          <w:lang w:eastAsia="zh-CN"/>
        </w:rPr>
        <w:t>超过</w:t>
      </w:r>
    </w:p>
    <w:p w14:paraId="1071AFB3">
      <w:pPr>
        <w:pStyle w:val="19"/>
        <w:spacing w:line="219" w:lineRule="auto"/>
        <w:ind w:left="22"/>
        <w:rPr>
          <w:color w:val="auto"/>
          <w:sz w:val="24"/>
          <w:szCs w:val="24"/>
          <w:highlight w:val="none"/>
          <w:lang w:eastAsia="zh-CN"/>
        </w:rPr>
      </w:pPr>
      <w:r>
        <w:rPr>
          <w:color w:val="auto"/>
          <w:spacing w:val="-20"/>
          <w:sz w:val="24"/>
          <w:szCs w:val="24"/>
          <w:highlight w:val="none"/>
          <w:lang w:eastAsia="zh-CN"/>
        </w:rPr>
        <w:t>年月日。</w:t>
      </w:r>
    </w:p>
    <w:p w14:paraId="60CBCE4F">
      <w:pPr>
        <w:pStyle w:val="19"/>
        <w:spacing w:before="182" w:line="220" w:lineRule="auto"/>
        <w:ind w:left="503"/>
        <w:rPr>
          <w:color w:val="auto"/>
          <w:sz w:val="24"/>
          <w:szCs w:val="24"/>
          <w:highlight w:val="none"/>
          <w:lang w:eastAsia="zh-CN"/>
        </w:rPr>
      </w:pPr>
      <w:r>
        <w:rPr>
          <w:color w:val="auto"/>
          <w:sz w:val="24"/>
          <w:szCs w:val="24"/>
          <w:highlight w:val="none"/>
          <w:lang w:eastAsia="zh-CN"/>
        </w:rPr>
        <w:t>三、承担保证担保责任的形式</w:t>
      </w:r>
    </w:p>
    <w:p w14:paraId="2D0F0D50">
      <w:pPr>
        <w:pStyle w:val="19"/>
        <w:spacing w:before="181" w:line="468" w:lineRule="exact"/>
        <w:ind w:right="6"/>
        <w:jc w:val="right"/>
        <w:rPr>
          <w:color w:val="auto"/>
          <w:sz w:val="24"/>
          <w:szCs w:val="24"/>
          <w:highlight w:val="none"/>
          <w:lang w:eastAsia="zh-CN"/>
        </w:rPr>
      </w:pPr>
      <w:r>
        <w:rPr>
          <w:color w:val="auto"/>
          <w:spacing w:val="-3"/>
          <w:position w:val="17"/>
          <w:sz w:val="24"/>
          <w:szCs w:val="24"/>
          <w:highlight w:val="none"/>
          <w:lang w:eastAsia="zh-CN"/>
        </w:rPr>
        <w:t>发生应承担保证责任情形的， 我方在保证金额内向贵方支付，并赔偿</w:t>
      </w:r>
      <w:r>
        <w:rPr>
          <w:color w:val="auto"/>
          <w:spacing w:val="-4"/>
          <w:position w:val="17"/>
          <w:sz w:val="24"/>
          <w:szCs w:val="24"/>
          <w:highlight w:val="none"/>
          <w:lang w:eastAsia="zh-CN"/>
        </w:rPr>
        <w:t>因此给贵</w:t>
      </w:r>
    </w:p>
    <w:p w14:paraId="3BD436C6">
      <w:pPr>
        <w:pStyle w:val="19"/>
        <w:spacing w:line="219" w:lineRule="auto"/>
        <w:ind w:left="22"/>
        <w:rPr>
          <w:color w:val="auto"/>
          <w:sz w:val="24"/>
          <w:szCs w:val="24"/>
          <w:highlight w:val="none"/>
          <w:lang w:eastAsia="zh-CN"/>
        </w:rPr>
      </w:pPr>
      <w:r>
        <w:rPr>
          <w:color w:val="auto"/>
          <w:spacing w:val="-2"/>
          <w:sz w:val="24"/>
          <w:szCs w:val="24"/>
          <w:highlight w:val="none"/>
          <w:lang w:eastAsia="zh-CN"/>
        </w:rPr>
        <w:t>方造成的损失，以及利息和律师费、诉讼费用等实现债权的费用。</w:t>
      </w:r>
    </w:p>
    <w:p w14:paraId="3DA64655">
      <w:pPr>
        <w:pStyle w:val="19"/>
        <w:spacing w:before="181" w:line="220" w:lineRule="auto"/>
        <w:ind w:left="526"/>
        <w:rPr>
          <w:color w:val="auto"/>
          <w:sz w:val="24"/>
          <w:szCs w:val="24"/>
          <w:highlight w:val="none"/>
          <w:lang w:eastAsia="zh-CN"/>
        </w:rPr>
      </w:pPr>
      <w:r>
        <w:rPr>
          <w:color w:val="auto"/>
          <w:spacing w:val="-4"/>
          <w:sz w:val="24"/>
          <w:szCs w:val="24"/>
          <w:highlight w:val="none"/>
          <w:lang w:eastAsia="zh-CN"/>
        </w:rPr>
        <w:t>四、代偿的安排</w:t>
      </w:r>
    </w:p>
    <w:p w14:paraId="35BEADEC">
      <w:pPr>
        <w:pStyle w:val="19"/>
        <w:spacing w:before="182" w:line="359" w:lineRule="auto"/>
        <w:ind w:left="23" w:right="4" w:firstLine="495"/>
        <w:jc w:val="both"/>
        <w:rPr>
          <w:color w:val="auto"/>
          <w:sz w:val="24"/>
          <w:szCs w:val="24"/>
          <w:highlight w:val="none"/>
          <w:lang w:eastAsia="zh-CN"/>
        </w:rPr>
      </w:pPr>
      <w:r>
        <w:rPr>
          <w:color w:val="auto"/>
          <w:sz w:val="24"/>
          <w:szCs w:val="24"/>
          <w:highlight w:val="none"/>
          <w:lang w:eastAsia="zh-CN"/>
        </w:rPr>
        <w:t>1.贵方要求我方承担保证责任的，应向我方发出书面索赔通知及承包人</w:t>
      </w:r>
      <w:r>
        <w:rPr>
          <w:color w:val="auto"/>
          <w:spacing w:val="-1"/>
          <w:sz w:val="24"/>
          <w:szCs w:val="24"/>
          <w:highlight w:val="none"/>
          <w:lang w:eastAsia="zh-CN"/>
        </w:rPr>
        <w:t>未履行</w:t>
      </w:r>
      <w:r>
        <w:rPr>
          <w:color w:val="auto"/>
          <w:sz w:val="24"/>
          <w:szCs w:val="24"/>
          <w:highlight w:val="none"/>
          <w:lang w:eastAsia="zh-CN"/>
        </w:rPr>
        <w:t xml:space="preserve"> 主合同约定义务的证明材料。索赔通知应写明要求索赔的金额，支付款项应到达的</w:t>
      </w:r>
    </w:p>
    <w:p w14:paraId="588DFD06">
      <w:pPr>
        <w:pStyle w:val="19"/>
        <w:spacing w:before="1" w:line="218" w:lineRule="auto"/>
        <w:ind w:left="30"/>
        <w:rPr>
          <w:color w:val="auto"/>
          <w:sz w:val="24"/>
          <w:szCs w:val="24"/>
          <w:highlight w:val="none"/>
          <w:lang w:eastAsia="zh-CN"/>
        </w:rPr>
      </w:pPr>
      <w:r>
        <w:rPr>
          <w:color w:val="auto"/>
          <w:spacing w:val="-2"/>
          <w:sz w:val="24"/>
          <w:szCs w:val="24"/>
          <w:highlight w:val="none"/>
          <w:lang w:eastAsia="zh-CN"/>
        </w:rPr>
        <w:t>帐号，并附有说明承包人违反主合同造成贵方损失情况的证明材料。</w:t>
      </w:r>
    </w:p>
    <w:p w14:paraId="06F9D263">
      <w:pPr>
        <w:pStyle w:val="19"/>
        <w:spacing w:before="182" w:line="360" w:lineRule="auto"/>
        <w:ind w:right="3"/>
        <w:jc w:val="right"/>
        <w:rPr>
          <w:color w:val="auto"/>
          <w:sz w:val="24"/>
          <w:szCs w:val="24"/>
          <w:highlight w:val="none"/>
          <w:lang w:eastAsia="zh-CN"/>
        </w:rPr>
      </w:pPr>
      <w:r>
        <w:rPr>
          <w:color w:val="auto"/>
          <w:sz w:val="24"/>
          <w:szCs w:val="24"/>
          <w:highlight w:val="none"/>
          <w:lang w:eastAsia="zh-CN"/>
        </w:rPr>
        <w:t>2.我方收到贵方的书面索赔通知及相应证明材料后，在工作日内</w:t>
      </w:r>
      <w:r>
        <w:rPr>
          <w:color w:val="auto"/>
          <w:spacing w:val="-1"/>
          <w:sz w:val="24"/>
          <w:szCs w:val="24"/>
          <w:highlight w:val="none"/>
          <w:lang w:eastAsia="zh-CN"/>
        </w:rPr>
        <w:t>进行核定</w:t>
      </w:r>
    </w:p>
    <w:p w14:paraId="7DD308C0">
      <w:pPr>
        <w:pStyle w:val="19"/>
        <w:spacing w:before="1" w:line="218" w:lineRule="auto"/>
        <w:ind w:left="23"/>
        <w:rPr>
          <w:color w:val="auto"/>
          <w:sz w:val="24"/>
          <w:szCs w:val="24"/>
          <w:highlight w:val="none"/>
          <w:lang w:eastAsia="zh-CN"/>
        </w:rPr>
      </w:pPr>
      <w:r>
        <w:rPr>
          <w:color w:val="auto"/>
          <w:spacing w:val="-1"/>
          <w:sz w:val="24"/>
          <w:szCs w:val="24"/>
          <w:highlight w:val="none"/>
          <w:lang w:eastAsia="zh-CN"/>
        </w:rPr>
        <w:t>后按照本保函的承诺承担保证责任。</w:t>
      </w:r>
    </w:p>
    <w:p w14:paraId="466D2C3D">
      <w:pPr>
        <w:pStyle w:val="19"/>
        <w:spacing w:before="180" w:line="220" w:lineRule="auto"/>
        <w:ind w:left="507"/>
        <w:rPr>
          <w:color w:val="auto"/>
          <w:sz w:val="24"/>
          <w:szCs w:val="24"/>
          <w:highlight w:val="none"/>
          <w:lang w:eastAsia="zh-CN"/>
        </w:rPr>
      </w:pPr>
      <w:r>
        <w:rPr>
          <w:color w:val="auto"/>
          <w:spacing w:val="-1"/>
          <w:sz w:val="24"/>
          <w:szCs w:val="24"/>
          <w:highlight w:val="none"/>
          <w:lang w:eastAsia="zh-CN"/>
        </w:rPr>
        <w:t>五、保证担保责任的解除</w:t>
      </w:r>
    </w:p>
    <w:p w14:paraId="48D5D063">
      <w:pPr>
        <w:pStyle w:val="19"/>
        <w:spacing w:before="183" w:line="468" w:lineRule="exact"/>
        <w:ind w:right="47"/>
        <w:jc w:val="right"/>
        <w:rPr>
          <w:color w:val="auto"/>
          <w:sz w:val="24"/>
          <w:szCs w:val="24"/>
          <w:highlight w:val="none"/>
          <w:lang w:eastAsia="zh-CN"/>
        </w:rPr>
      </w:pPr>
      <w:r>
        <w:rPr>
          <w:color w:val="auto"/>
          <w:spacing w:val="-6"/>
          <w:position w:val="17"/>
          <w:sz w:val="24"/>
          <w:szCs w:val="24"/>
          <w:highlight w:val="none"/>
          <w:lang w:eastAsia="zh-CN"/>
        </w:rPr>
        <w:t>1.保证期间届满贵方未向我方书面主张保证责任的，自保证期间届满次日起，</w:t>
      </w:r>
    </w:p>
    <w:p w14:paraId="3B7416A6">
      <w:pPr>
        <w:pStyle w:val="19"/>
        <w:spacing w:before="1" w:line="219" w:lineRule="auto"/>
        <w:ind w:left="23"/>
        <w:rPr>
          <w:color w:val="auto"/>
          <w:sz w:val="24"/>
          <w:szCs w:val="24"/>
          <w:highlight w:val="none"/>
          <w:lang w:eastAsia="zh-CN"/>
        </w:rPr>
      </w:pPr>
      <w:r>
        <w:rPr>
          <w:color w:val="auto"/>
          <w:spacing w:val="-5"/>
          <w:sz w:val="24"/>
          <w:szCs w:val="24"/>
          <w:highlight w:val="none"/>
          <w:lang w:eastAsia="zh-CN"/>
        </w:rPr>
        <w:t>我方解除保证责任。</w:t>
      </w:r>
    </w:p>
    <w:p w14:paraId="2089C0CB">
      <w:pPr>
        <w:pStyle w:val="19"/>
        <w:spacing w:before="180" w:line="468" w:lineRule="exact"/>
        <w:ind w:right="2"/>
        <w:jc w:val="right"/>
        <w:rPr>
          <w:color w:val="auto"/>
          <w:sz w:val="24"/>
          <w:szCs w:val="24"/>
          <w:highlight w:val="none"/>
          <w:lang w:eastAsia="zh-CN"/>
        </w:rPr>
      </w:pPr>
      <w:r>
        <w:rPr>
          <w:color w:val="auto"/>
          <w:position w:val="17"/>
          <w:sz w:val="24"/>
          <w:szCs w:val="24"/>
          <w:highlight w:val="none"/>
          <w:lang w:eastAsia="zh-CN"/>
        </w:rPr>
        <w:t>2.我方按照本保证担保向贵方履行了保证担保责任后，自我方向贵方支付的金</w:t>
      </w:r>
    </w:p>
    <w:p w14:paraId="36A30327">
      <w:pPr>
        <w:pStyle w:val="19"/>
        <w:spacing w:before="1" w:line="219" w:lineRule="auto"/>
        <w:ind w:left="21"/>
        <w:rPr>
          <w:color w:val="auto"/>
          <w:sz w:val="24"/>
          <w:szCs w:val="24"/>
          <w:highlight w:val="none"/>
          <w:lang w:eastAsia="zh-CN"/>
        </w:rPr>
      </w:pPr>
      <w:r>
        <w:rPr>
          <w:color w:val="auto"/>
          <w:spacing w:val="-6"/>
          <w:sz w:val="24"/>
          <w:szCs w:val="24"/>
          <w:highlight w:val="none"/>
          <w:lang w:eastAsia="zh-CN"/>
        </w:rPr>
        <w:t>额达到最高保证担保金额之日起， 保证担保责任</w:t>
      </w:r>
      <w:r>
        <w:rPr>
          <w:color w:val="auto"/>
          <w:spacing w:val="-7"/>
          <w:sz w:val="24"/>
          <w:szCs w:val="24"/>
          <w:highlight w:val="none"/>
          <w:lang w:eastAsia="zh-CN"/>
        </w:rPr>
        <w:t>解除。</w:t>
      </w:r>
    </w:p>
    <w:p w14:paraId="1EA74E7A">
      <w:pPr>
        <w:pStyle w:val="19"/>
        <w:spacing w:before="180" w:line="468" w:lineRule="exact"/>
        <w:ind w:right="4"/>
        <w:jc w:val="right"/>
        <w:rPr>
          <w:color w:val="auto"/>
          <w:sz w:val="24"/>
          <w:szCs w:val="24"/>
          <w:highlight w:val="none"/>
          <w:lang w:eastAsia="zh-CN"/>
        </w:rPr>
      </w:pPr>
      <w:r>
        <w:rPr>
          <w:color w:val="auto"/>
          <w:position w:val="17"/>
          <w:sz w:val="24"/>
          <w:szCs w:val="24"/>
          <w:highlight w:val="none"/>
          <w:lang w:eastAsia="zh-CN"/>
        </w:rPr>
        <w:t>3.按照法律法规的规定应解除我方保证担保责任的其它情形的，我方在本保证</w:t>
      </w:r>
    </w:p>
    <w:p w14:paraId="5DBA71E1">
      <w:pPr>
        <w:pStyle w:val="19"/>
        <w:spacing w:before="1" w:line="219" w:lineRule="auto"/>
        <w:ind w:left="22"/>
        <w:rPr>
          <w:color w:val="auto"/>
          <w:sz w:val="24"/>
          <w:szCs w:val="24"/>
          <w:highlight w:val="none"/>
          <w:lang w:eastAsia="zh-CN"/>
        </w:rPr>
      </w:pPr>
      <w:r>
        <w:rPr>
          <w:color w:val="auto"/>
          <w:spacing w:val="-3"/>
          <w:sz w:val="24"/>
          <w:szCs w:val="24"/>
          <w:highlight w:val="none"/>
          <w:lang w:eastAsia="zh-CN"/>
        </w:rPr>
        <w:t>担保项下的保证担保责任亦解除。</w:t>
      </w:r>
    </w:p>
    <w:p w14:paraId="66B4B424">
      <w:pPr>
        <w:pStyle w:val="19"/>
        <w:spacing w:before="178" w:line="360" w:lineRule="auto"/>
        <w:ind w:left="20" w:firstLine="479"/>
        <w:rPr>
          <w:color w:val="auto"/>
          <w:sz w:val="24"/>
          <w:szCs w:val="24"/>
          <w:highlight w:val="none"/>
          <w:lang w:eastAsia="zh-CN"/>
        </w:rPr>
      </w:pPr>
      <w:r>
        <w:rPr>
          <w:color w:val="auto"/>
          <w:spacing w:val="-1"/>
          <w:sz w:val="24"/>
          <w:szCs w:val="24"/>
          <w:highlight w:val="none"/>
          <w:lang w:eastAsia="zh-CN"/>
        </w:rPr>
        <w:t>4.我方解除保证责任后，贵方应按上述约定，自我方保证担保责任解除之</w:t>
      </w:r>
      <w:r>
        <w:rPr>
          <w:color w:val="auto"/>
          <w:spacing w:val="-2"/>
          <w:sz w:val="24"/>
          <w:szCs w:val="24"/>
          <w:highlight w:val="none"/>
          <w:lang w:eastAsia="zh-CN"/>
        </w:rPr>
        <w:t>日起</w:t>
      </w:r>
      <w:r>
        <w:rPr>
          <w:color w:val="auto"/>
          <w:spacing w:val="-3"/>
          <w:sz w:val="24"/>
          <w:szCs w:val="24"/>
          <w:highlight w:val="none"/>
          <w:lang w:eastAsia="zh-CN"/>
        </w:rPr>
        <w:t>七日内， 将本保证担保原件返还我方。但是不论贵方是否按此要求将本保证担保原件退回我方， 我方在本保证担保项下的义务和责任均自保证担保责任解除之日自动</w:t>
      </w:r>
    </w:p>
    <w:p w14:paraId="1AC3FDD6">
      <w:pPr>
        <w:pStyle w:val="19"/>
        <w:spacing w:before="1" w:line="220" w:lineRule="auto"/>
        <w:ind w:left="26"/>
        <w:rPr>
          <w:color w:val="auto"/>
          <w:sz w:val="24"/>
          <w:szCs w:val="24"/>
          <w:highlight w:val="none"/>
          <w:lang w:eastAsia="zh-CN"/>
        </w:rPr>
      </w:pPr>
      <w:r>
        <w:rPr>
          <w:color w:val="auto"/>
          <w:spacing w:val="-11"/>
          <w:sz w:val="24"/>
          <w:szCs w:val="24"/>
          <w:highlight w:val="none"/>
          <w:lang w:eastAsia="zh-CN"/>
        </w:rPr>
        <w:t>消灭。</w:t>
      </w:r>
    </w:p>
    <w:p w14:paraId="4CBFB314">
      <w:pPr>
        <w:pStyle w:val="19"/>
        <w:spacing w:before="178" w:line="220" w:lineRule="auto"/>
        <w:ind w:left="505"/>
        <w:rPr>
          <w:color w:val="auto"/>
          <w:sz w:val="24"/>
          <w:szCs w:val="24"/>
          <w:highlight w:val="none"/>
          <w:lang w:eastAsia="zh-CN"/>
        </w:rPr>
      </w:pPr>
      <w:r>
        <w:rPr>
          <w:color w:val="auto"/>
          <w:spacing w:val="-2"/>
          <w:sz w:val="24"/>
          <w:szCs w:val="24"/>
          <w:highlight w:val="none"/>
          <w:lang w:eastAsia="zh-CN"/>
        </w:rPr>
        <w:t>六、免责条款</w:t>
      </w:r>
    </w:p>
    <w:p w14:paraId="696EFCC7">
      <w:pPr>
        <w:pStyle w:val="19"/>
        <w:spacing w:before="182" w:line="220" w:lineRule="auto"/>
        <w:ind w:left="519"/>
        <w:rPr>
          <w:color w:val="auto"/>
          <w:sz w:val="24"/>
          <w:szCs w:val="24"/>
          <w:highlight w:val="none"/>
          <w:lang w:eastAsia="zh-CN"/>
        </w:rPr>
      </w:pPr>
      <w:r>
        <w:rPr>
          <w:color w:val="auto"/>
          <w:spacing w:val="-2"/>
          <w:sz w:val="24"/>
          <w:szCs w:val="24"/>
          <w:highlight w:val="none"/>
          <w:lang w:eastAsia="zh-CN"/>
        </w:rPr>
        <w:t>1.因贵方原因致使发生应承担保证责任情形的，我方不承担保证担保责任。</w:t>
      </w:r>
    </w:p>
    <w:p w14:paraId="61CB9FB0">
      <w:pPr>
        <w:pStyle w:val="19"/>
        <w:spacing w:before="180" w:line="468" w:lineRule="exact"/>
        <w:ind w:right="44"/>
        <w:jc w:val="right"/>
        <w:rPr>
          <w:color w:val="auto"/>
          <w:sz w:val="24"/>
          <w:szCs w:val="24"/>
          <w:highlight w:val="none"/>
          <w:lang w:eastAsia="zh-CN"/>
        </w:rPr>
      </w:pPr>
      <w:r>
        <w:rPr>
          <w:color w:val="auto"/>
          <w:spacing w:val="-1"/>
          <w:position w:val="17"/>
          <w:sz w:val="24"/>
          <w:szCs w:val="24"/>
          <w:highlight w:val="none"/>
          <w:lang w:eastAsia="zh-CN"/>
        </w:rPr>
        <w:t>2.依照法律规定或贵方与承包人的另行约定，免除承包人部分或全部义务的，</w:t>
      </w:r>
    </w:p>
    <w:p w14:paraId="34B0FF10">
      <w:pPr>
        <w:pStyle w:val="19"/>
        <w:spacing w:before="1" w:line="219" w:lineRule="auto"/>
        <w:ind w:left="23"/>
        <w:rPr>
          <w:color w:val="auto"/>
          <w:sz w:val="24"/>
          <w:szCs w:val="24"/>
          <w:highlight w:val="none"/>
          <w:lang w:eastAsia="zh-CN"/>
        </w:rPr>
      </w:pPr>
      <w:r>
        <w:rPr>
          <w:color w:val="auto"/>
          <w:spacing w:val="-3"/>
          <w:sz w:val="24"/>
          <w:szCs w:val="24"/>
          <w:highlight w:val="none"/>
          <w:lang w:eastAsia="zh-CN"/>
        </w:rPr>
        <w:t>我方亦免除其相应的保证担保责任。</w:t>
      </w:r>
    </w:p>
    <w:p w14:paraId="684990BD">
      <w:pPr>
        <w:pStyle w:val="19"/>
        <w:spacing w:before="180" w:line="220" w:lineRule="auto"/>
        <w:ind w:left="506"/>
        <w:rPr>
          <w:color w:val="auto"/>
          <w:sz w:val="24"/>
          <w:szCs w:val="24"/>
          <w:highlight w:val="none"/>
          <w:lang w:eastAsia="zh-CN"/>
        </w:rPr>
      </w:pPr>
      <w:r>
        <w:rPr>
          <w:color w:val="auto"/>
          <w:spacing w:val="-1"/>
          <w:sz w:val="24"/>
          <w:szCs w:val="24"/>
          <w:highlight w:val="none"/>
          <w:lang w:eastAsia="zh-CN"/>
        </w:rPr>
        <w:t>3.因不可抗力造成发生应承担保证责任情形的，我方不承担保证担保</w:t>
      </w:r>
      <w:r>
        <w:rPr>
          <w:color w:val="auto"/>
          <w:spacing w:val="-2"/>
          <w:sz w:val="24"/>
          <w:szCs w:val="24"/>
          <w:highlight w:val="none"/>
          <w:lang w:eastAsia="zh-CN"/>
        </w:rPr>
        <w:t>责任。</w:t>
      </w:r>
    </w:p>
    <w:p w14:paraId="24A27409">
      <w:pPr>
        <w:pStyle w:val="19"/>
        <w:spacing w:before="78" w:line="220" w:lineRule="auto"/>
        <w:ind w:left="502"/>
        <w:rPr>
          <w:color w:val="auto"/>
          <w:sz w:val="24"/>
          <w:szCs w:val="24"/>
          <w:highlight w:val="none"/>
          <w:lang w:eastAsia="zh-CN"/>
        </w:rPr>
      </w:pPr>
      <w:r>
        <w:rPr>
          <w:color w:val="auto"/>
          <w:spacing w:val="-2"/>
          <w:sz w:val="24"/>
          <w:szCs w:val="24"/>
          <w:highlight w:val="none"/>
          <w:lang w:eastAsia="zh-CN"/>
        </w:rPr>
        <w:t>七、其他</w:t>
      </w:r>
    </w:p>
    <w:p w14:paraId="761416E8">
      <w:pPr>
        <w:pStyle w:val="19"/>
        <w:spacing w:before="182" w:line="465" w:lineRule="exact"/>
        <w:ind w:right="3"/>
        <w:jc w:val="right"/>
        <w:rPr>
          <w:color w:val="auto"/>
          <w:sz w:val="24"/>
          <w:szCs w:val="24"/>
          <w:highlight w:val="none"/>
          <w:lang w:eastAsia="zh-CN"/>
        </w:rPr>
      </w:pPr>
      <w:r>
        <w:rPr>
          <w:color w:val="auto"/>
          <w:spacing w:val="-3"/>
          <w:position w:val="17"/>
          <w:sz w:val="24"/>
          <w:szCs w:val="24"/>
          <w:highlight w:val="none"/>
          <w:lang w:eastAsia="zh-CN"/>
        </w:rPr>
        <w:t>1.本保证担保项下的权利不得转让， 不得设</w:t>
      </w:r>
      <w:r>
        <w:rPr>
          <w:color w:val="auto"/>
          <w:spacing w:val="-4"/>
          <w:position w:val="17"/>
          <w:sz w:val="24"/>
          <w:szCs w:val="24"/>
          <w:highlight w:val="none"/>
          <w:lang w:eastAsia="zh-CN"/>
        </w:rPr>
        <w:t>定担保。贵方未经我方书面同意转</w:t>
      </w:r>
    </w:p>
    <w:p w14:paraId="16565D9F">
      <w:pPr>
        <w:pStyle w:val="19"/>
        <w:spacing w:before="1" w:line="218" w:lineRule="auto"/>
        <w:ind w:left="23"/>
        <w:rPr>
          <w:color w:val="auto"/>
          <w:sz w:val="24"/>
          <w:szCs w:val="24"/>
          <w:highlight w:val="none"/>
          <w:lang w:eastAsia="zh-CN"/>
        </w:rPr>
      </w:pPr>
      <w:r>
        <w:rPr>
          <w:color w:val="auto"/>
          <w:spacing w:val="-8"/>
          <w:sz w:val="24"/>
          <w:szCs w:val="24"/>
          <w:highlight w:val="none"/>
          <w:lang w:eastAsia="zh-CN"/>
        </w:rPr>
        <w:t>让本保证担保或其项下任何权利，对我方不发生法律效力。</w:t>
      </w:r>
    </w:p>
    <w:p w14:paraId="706D29B0">
      <w:pPr>
        <w:pStyle w:val="19"/>
        <w:spacing w:before="183" w:line="466" w:lineRule="exact"/>
        <w:jc w:val="right"/>
        <w:rPr>
          <w:color w:val="auto"/>
          <w:sz w:val="24"/>
          <w:szCs w:val="24"/>
          <w:highlight w:val="none"/>
          <w:lang w:eastAsia="zh-CN"/>
        </w:rPr>
      </w:pPr>
      <w:r>
        <w:rPr>
          <w:color w:val="auto"/>
          <w:position w:val="17"/>
          <w:sz w:val="24"/>
          <w:szCs w:val="24"/>
          <w:highlight w:val="none"/>
          <w:lang w:eastAsia="zh-CN"/>
        </w:rPr>
        <w:t>2.本保证担保适用的法律为中华人民共和国法律，争议裁判管辖地为中华人民</w:t>
      </w:r>
    </w:p>
    <w:p w14:paraId="6C0CBA96">
      <w:pPr>
        <w:pStyle w:val="19"/>
        <w:spacing w:line="219" w:lineRule="auto"/>
        <w:ind w:left="20"/>
        <w:rPr>
          <w:color w:val="auto"/>
          <w:sz w:val="24"/>
          <w:szCs w:val="24"/>
          <w:highlight w:val="none"/>
          <w:lang w:eastAsia="zh-CN"/>
        </w:rPr>
      </w:pPr>
      <w:r>
        <w:rPr>
          <w:color w:val="auto"/>
          <w:spacing w:val="-1"/>
          <w:sz w:val="24"/>
          <w:szCs w:val="24"/>
          <w:highlight w:val="none"/>
          <w:lang w:eastAsia="zh-CN"/>
        </w:rPr>
        <w:t>共和国。</w:t>
      </w:r>
    </w:p>
    <w:p w14:paraId="6E663D82">
      <w:pPr>
        <w:pStyle w:val="19"/>
        <w:spacing w:before="182" w:line="219" w:lineRule="auto"/>
        <w:ind w:left="506"/>
        <w:rPr>
          <w:color w:val="auto"/>
          <w:spacing w:val="-2"/>
          <w:sz w:val="24"/>
          <w:szCs w:val="24"/>
          <w:highlight w:val="none"/>
          <w:lang w:eastAsia="zh-CN"/>
        </w:rPr>
      </w:pPr>
      <w:r>
        <w:rPr>
          <w:color w:val="auto"/>
          <w:spacing w:val="-1"/>
          <w:sz w:val="24"/>
          <w:szCs w:val="24"/>
          <w:highlight w:val="none"/>
          <w:lang w:eastAsia="zh-CN"/>
        </w:rPr>
        <w:t>3.本保证担保自我方法定代表人或授权代表</w:t>
      </w:r>
      <w:r>
        <w:rPr>
          <w:color w:val="auto"/>
          <w:spacing w:val="-2"/>
          <w:sz w:val="24"/>
          <w:szCs w:val="24"/>
          <w:highlight w:val="none"/>
          <w:lang w:eastAsia="zh-CN"/>
        </w:rPr>
        <w:t>签字并加盖公章之日起生效。</w:t>
      </w:r>
    </w:p>
    <w:p w14:paraId="3F00F05C">
      <w:pPr>
        <w:pStyle w:val="19"/>
        <w:spacing w:before="182" w:line="219" w:lineRule="auto"/>
        <w:ind w:left="506"/>
        <w:rPr>
          <w:color w:val="auto"/>
          <w:spacing w:val="-2"/>
          <w:sz w:val="24"/>
          <w:szCs w:val="24"/>
          <w:highlight w:val="none"/>
          <w:lang w:eastAsia="zh-CN"/>
        </w:rPr>
      </w:pPr>
    </w:p>
    <w:p w14:paraId="4C8E2E47">
      <w:pPr>
        <w:pStyle w:val="19"/>
        <w:spacing w:before="78" w:line="219" w:lineRule="auto"/>
        <w:ind w:left="502"/>
        <w:rPr>
          <w:color w:val="auto"/>
          <w:sz w:val="24"/>
          <w:szCs w:val="24"/>
          <w:highlight w:val="none"/>
          <w:lang w:eastAsia="zh-CN"/>
        </w:rPr>
      </w:pPr>
      <w:r>
        <w:rPr>
          <w:color w:val="auto"/>
          <w:spacing w:val="-18"/>
          <w:sz w:val="24"/>
          <w:szCs w:val="24"/>
          <w:highlight w:val="none"/>
          <w:lang w:eastAsia="zh-CN"/>
        </w:rPr>
        <w:t>保证人</w:t>
      </w:r>
      <w:r>
        <w:rPr>
          <w:color w:val="auto"/>
          <w:sz w:val="24"/>
          <w:szCs w:val="24"/>
          <w:highlight w:val="none"/>
          <w:lang w:eastAsia="zh-CN"/>
        </w:rPr>
        <w:t>：（</w:t>
      </w:r>
      <w:r>
        <w:rPr>
          <w:color w:val="auto"/>
          <w:spacing w:val="-18"/>
          <w:sz w:val="24"/>
          <w:szCs w:val="24"/>
          <w:highlight w:val="none"/>
          <w:lang w:eastAsia="zh-CN"/>
        </w:rPr>
        <w:t>公章）</w:t>
      </w:r>
    </w:p>
    <w:p w14:paraId="6F138901">
      <w:pPr>
        <w:pStyle w:val="19"/>
        <w:spacing w:before="181" w:line="220" w:lineRule="auto"/>
        <w:ind w:left="502"/>
        <w:rPr>
          <w:color w:val="auto"/>
          <w:sz w:val="24"/>
          <w:szCs w:val="24"/>
          <w:highlight w:val="none"/>
          <w:lang w:eastAsia="zh-CN"/>
        </w:rPr>
      </w:pPr>
      <w:r>
        <w:rPr>
          <w:color w:val="auto"/>
          <w:spacing w:val="-15"/>
          <w:sz w:val="24"/>
          <w:szCs w:val="24"/>
          <w:highlight w:val="none"/>
          <w:lang w:eastAsia="zh-CN"/>
        </w:rPr>
        <w:t>法定代表人（或授权代表</w:t>
      </w:r>
      <w:r>
        <w:rPr>
          <w:color w:val="auto"/>
          <w:spacing w:val="-5"/>
          <w:sz w:val="24"/>
          <w:szCs w:val="24"/>
          <w:highlight w:val="none"/>
          <w:lang w:eastAsia="zh-CN"/>
        </w:rPr>
        <w:t>）：（</w:t>
      </w:r>
      <w:r>
        <w:rPr>
          <w:color w:val="auto"/>
          <w:spacing w:val="-15"/>
          <w:sz w:val="24"/>
          <w:szCs w:val="24"/>
          <w:highlight w:val="none"/>
          <w:lang w:eastAsia="zh-CN"/>
        </w:rPr>
        <w:t>签字）</w:t>
      </w:r>
    </w:p>
    <w:p w14:paraId="5410B007">
      <w:pPr>
        <w:pStyle w:val="19"/>
        <w:spacing w:before="183" w:line="465"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087543F2">
      <w:pPr>
        <w:pStyle w:val="19"/>
        <w:spacing w:before="1" w:line="219" w:lineRule="auto"/>
        <w:ind w:left="519"/>
        <w:rPr>
          <w:color w:val="auto"/>
          <w:sz w:val="24"/>
          <w:szCs w:val="24"/>
          <w:highlight w:val="none"/>
          <w:lang w:eastAsia="zh-CN"/>
        </w:rPr>
      </w:pPr>
      <w:r>
        <w:rPr>
          <w:color w:val="auto"/>
          <w:spacing w:val="-14"/>
          <w:sz w:val="24"/>
          <w:szCs w:val="24"/>
          <w:highlight w:val="none"/>
          <w:lang w:eastAsia="zh-CN"/>
        </w:rPr>
        <w:t>邮政编码：</w:t>
      </w:r>
    </w:p>
    <w:p w14:paraId="29FB4F6A">
      <w:pPr>
        <w:pStyle w:val="19"/>
        <w:spacing w:before="182" w:line="222" w:lineRule="auto"/>
        <w:ind w:left="529"/>
        <w:rPr>
          <w:color w:val="auto"/>
          <w:sz w:val="24"/>
          <w:szCs w:val="24"/>
          <w:highlight w:val="none"/>
          <w:lang w:eastAsia="zh-CN"/>
        </w:rPr>
      </w:pPr>
      <w:r>
        <w:rPr>
          <w:color w:val="auto"/>
          <w:spacing w:val="-24"/>
          <w:sz w:val="24"/>
          <w:szCs w:val="24"/>
          <w:highlight w:val="none"/>
          <w:lang w:eastAsia="zh-CN"/>
        </w:rPr>
        <w:t>电话：</w:t>
      </w:r>
    </w:p>
    <w:p w14:paraId="5A4FABFD">
      <w:pPr>
        <w:pStyle w:val="19"/>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35F9F257">
      <w:pPr>
        <w:pStyle w:val="19"/>
        <w:spacing w:before="183" w:line="220" w:lineRule="auto"/>
        <w:ind w:left="512"/>
        <w:rPr>
          <w:color w:val="auto"/>
          <w:sz w:val="24"/>
          <w:szCs w:val="24"/>
          <w:highlight w:val="none"/>
          <w:lang w:eastAsia="zh-CN"/>
        </w:rPr>
      </w:pPr>
      <w:r>
        <w:rPr>
          <w:color w:val="auto"/>
          <w:spacing w:val="-25"/>
          <w:sz w:val="24"/>
          <w:szCs w:val="24"/>
          <w:highlight w:val="none"/>
          <w:lang w:eastAsia="zh-CN"/>
        </w:rPr>
        <w:t>时间：年月日</w:t>
      </w:r>
    </w:p>
    <w:p w14:paraId="629011C7">
      <w:pPr>
        <w:spacing w:line="254" w:lineRule="auto"/>
        <w:rPr>
          <w:color w:val="auto"/>
          <w:highlight w:val="none"/>
          <w:lang w:eastAsia="zh-CN"/>
        </w:rPr>
      </w:pPr>
    </w:p>
    <w:p w14:paraId="49E768F0">
      <w:pPr>
        <w:rPr>
          <w:color w:val="auto"/>
          <w:highlight w:val="none"/>
          <w:lang w:eastAsia="zh-CN"/>
        </w:rPr>
      </w:pPr>
      <w:r>
        <w:rPr>
          <w:color w:val="auto"/>
          <w:highlight w:val="none"/>
          <w:lang w:eastAsia="zh-CN"/>
        </w:rPr>
        <w:br w:type="page"/>
      </w:r>
    </w:p>
    <w:p w14:paraId="13C2206D">
      <w:pPr>
        <w:spacing w:before="98" w:line="218" w:lineRule="auto"/>
        <w:ind w:left="44"/>
        <w:rPr>
          <w:rFonts w:ascii="仿宋" w:hAnsi="仿宋" w:eastAsia="仿宋" w:cs="仿宋"/>
          <w:color w:val="auto"/>
          <w:sz w:val="30"/>
          <w:szCs w:val="30"/>
          <w:highlight w:val="none"/>
          <w:lang w:eastAsia="zh-CN"/>
        </w:rPr>
      </w:pPr>
      <w:r>
        <w:rPr>
          <w:rFonts w:ascii="仿宋" w:hAnsi="仿宋" w:eastAsia="仿宋" w:cs="仿宋"/>
          <w:color w:val="auto"/>
          <w:spacing w:val="-12"/>
          <w:sz w:val="30"/>
          <w:szCs w:val="30"/>
          <w:highlight w:val="none"/>
          <w:lang w:eastAsia="zh-CN"/>
        </w:rPr>
        <w:t>附件</w:t>
      </w:r>
      <w:r>
        <w:rPr>
          <w:rFonts w:ascii="Calibri" w:hAnsi="Calibri" w:eastAsia="Calibri" w:cs="Calibri"/>
          <w:color w:val="auto"/>
          <w:spacing w:val="-12"/>
          <w:sz w:val="30"/>
          <w:szCs w:val="30"/>
          <w:highlight w:val="none"/>
          <w:lang w:eastAsia="zh-CN"/>
        </w:rPr>
        <w:t>9</w:t>
      </w:r>
      <w:r>
        <w:rPr>
          <w:rFonts w:ascii="仿宋" w:hAnsi="仿宋" w:eastAsia="仿宋" w:cs="仿宋"/>
          <w:color w:val="auto"/>
          <w:spacing w:val="-12"/>
          <w:sz w:val="30"/>
          <w:szCs w:val="30"/>
          <w:highlight w:val="none"/>
          <w:lang w:eastAsia="zh-CN"/>
        </w:rPr>
        <w:t>：</w:t>
      </w:r>
    </w:p>
    <w:p w14:paraId="26CA449A">
      <w:pPr>
        <w:pStyle w:val="19"/>
        <w:spacing w:before="101" w:line="224" w:lineRule="auto"/>
        <w:ind w:left="3076"/>
        <w:rPr>
          <w:color w:val="auto"/>
          <w:sz w:val="31"/>
          <w:szCs w:val="31"/>
          <w:highlight w:val="none"/>
          <w:lang w:eastAsia="zh-CN"/>
        </w:rPr>
      </w:pPr>
      <w:r>
        <w:rPr>
          <w:color w:val="auto"/>
          <w:spacing w:val="9"/>
          <w:sz w:val="31"/>
          <w:szCs w:val="31"/>
          <w:highlight w:val="none"/>
          <w:lang w:eastAsia="zh-CN"/>
        </w:rPr>
        <w:t>支付保函示范文本</w:t>
      </w:r>
    </w:p>
    <w:p w14:paraId="3A4E298F">
      <w:pPr>
        <w:pStyle w:val="19"/>
        <w:spacing w:before="246" w:line="226" w:lineRule="auto"/>
        <w:ind w:left="3410"/>
        <w:rPr>
          <w:color w:val="auto"/>
          <w:sz w:val="31"/>
          <w:szCs w:val="31"/>
          <w:highlight w:val="none"/>
          <w:lang w:eastAsia="zh-CN"/>
        </w:rPr>
      </w:pPr>
      <w:r>
        <w:rPr>
          <w:color w:val="auto"/>
          <w:spacing w:val="2"/>
          <w:sz w:val="31"/>
          <w:szCs w:val="31"/>
          <w:highlight w:val="none"/>
          <w:lang w:eastAsia="zh-CN"/>
        </w:rPr>
        <w:t>（独立保函）</w:t>
      </w:r>
    </w:p>
    <w:p w14:paraId="222F330E">
      <w:pPr>
        <w:pStyle w:val="19"/>
        <w:spacing w:before="225" w:line="221" w:lineRule="auto"/>
        <w:ind w:left="6908"/>
        <w:rPr>
          <w:color w:val="auto"/>
          <w:highlight w:val="none"/>
          <w:lang w:eastAsia="zh-CN"/>
        </w:rPr>
      </w:pPr>
      <w:r>
        <w:rPr>
          <w:color w:val="auto"/>
          <w:spacing w:val="-13"/>
          <w:highlight w:val="none"/>
          <w:lang w:eastAsia="zh-CN"/>
        </w:rPr>
        <w:t>编号：</w:t>
      </w:r>
    </w:p>
    <w:p w14:paraId="2B42CC18">
      <w:pPr>
        <w:pStyle w:val="19"/>
        <w:spacing w:before="162" w:line="468" w:lineRule="exact"/>
        <w:ind w:left="52"/>
        <w:rPr>
          <w:color w:val="auto"/>
          <w:sz w:val="24"/>
          <w:szCs w:val="24"/>
          <w:highlight w:val="none"/>
          <w:lang w:eastAsia="zh-CN"/>
        </w:rPr>
      </w:pPr>
      <w:r>
        <w:rPr>
          <w:color w:val="auto"/>
          <w:spacing w:val="-18"/>
          <w:position w:val="17"/>
          <w:sz w:val="24"/>
          <w:szCs w:val="24"/>
          <w:highlight w:val="none"/>
          <w:lang w:eastAsia="zh-CN"/>
        </w:rPr>
        <w:t>申请人：</w:t>
      </w:r>
    </w:p>
    <w:p w14:paraId="109504BD">
      <w:pPr>
        <w:pStyle w:val="19"/>
        <w:spacing w:before="1" w:line="228" w:lineRule="auto"/>
        <w:ind w:left="261"/>
        <w:rPr>
          <w:color w:val="auto"/>
          <w:sz w:val="24"/>
          <w:szCs w:val="24"/>
          <w:highlight w:val="none"/>
          <w:lang w:eastAsia="zh-CN"/>
        </w:rPr>
      </w:pPr>
      <w:r>
        <w:rPr>
          <w:color w:val="auto"/>
          <w:spacing w:val="-4"/>
          <w:sz w:val="24"/>
          <w:szCs w:val="24"/>
          <w:highlight w:val="none"/>
          <w:lang w:eastAsia="zh-CN"/>
        </w:rPr>
        <w:t>地址：</w:t>
      </w:r>
    </w:p>
    <w:p w14:paraId="28825F68">
      <w:pPr>
        <w:pStyle w:val="19"/>
        <w:spacing w:before="167" w:line="222" w:lineRule="auto"/>
        <w:ind w:left="26"/>
        <w:rPr>
          <w:color w:val="auto"/>
          <w:sz w:val="24"/>
          <w:szCs w:val="24"/>
          <w:highlight w:val="none"/>
          <w:lang w:eastAsia="zh-CN"/>
        </w:rPr>
      </w:pPr>
      <w:r>
        <w:rPr>
          <w:color w:val="auto"/>
          <w:spacing w:val="-14"/>
          <w:sz w:val="24"/>
          <w:szCs w:val="24"/>
          <w:highlight w:val="none"/>
          <w:lang w:eastAsia="zh-CN"/>
        </w:rPr>
        <w:t>受益人：</w:t>
      </w:r>
    </w:p>
    <w:p w14:paraId="7615F805">
      <w:pPr>
        <w:pStyle w:val="19"/>
        <w:spacing w:before="180" w:line="229" w:lineRule="auto"/>
        <w:ind w:left="261"/>
        <w:rPr>
          <w:color w:val="auto"/>
          <w:sz w:val="24"/>
          <w:szCs w:val="24"/>
          <w:highlight w:val="none"/>
          <w:lang w:eastAsia="zh-CN"/>
        </w:rPr>
      </w:pPr>
      <w:r>
        <w:rPr>
          <w:color w:val="auto"/>
          <w:spacing w:val="-15"/>
          <w:sz w:val="24"/>
          <w:szCs w:val="24"/>
          <w:highlight w:val="none"/>
          <w:lang w:eastAsia="zh-CN"/>
        </w:rPr>
        <w:t>地址：</w:t>
      </w:r>
    </w:p>
    <w:p w14:paraId="004FBBD5">
      <w:pPr>
        <w:pStyle w:val="19"/>
        <w:spacing w:before="168" w:line="221" w:lineRule="auto"/>
        <w:ind w:left="22"/>
        <w:rPr>
          <w:color w:val="auto"/>
          <w:sz w:val="24"/>
          <w:szCs w:val="24"/>
          <w:highlight w:val="none"/>
          <w:lang w:eastAsia="zh-CN"/>
        </w:rPr>
      </w:pPr>
      <w:r>
        <w:rPr>
          <w:color w:val="auto"/>
          <w:spacing w:val="-13"/>
          <w:sz w:val="24"/>
          <w:szCs w:val="24"/>
          <w:highlight w:val="none"/>
          <w:lang w:eastAsia="zh-CN"/>
        </w:rPr>
        <w:t>开立人：</w:t>
      </w:r>
    </w:p>
    <w:p w14:paraId="3644336D">
      <w:pPr>
        <w:pStyle w:val="19"/>
        <w:spacing w:before="181" w:line="229" w:lineRule="auto"/>
        <w:ind w:left="261"/>
        <w:rPr>
          <w:color w:val="auto"/>
          <w:sz w:val="24"/>
          <w:szCs w:val="24"/>
          <w:highlight w:val="none"/>
          <w:lang w:eastAsia="zh-CN"/>
        </w:rPr>
      </w:pPr>
      <w:r>
        <w:rPr>
          <w:color w:val="auto"/>
          <w:spacing w:val="-15"/>
          <w:sz w:val="24"/>
          <w:szCs w:val="24"/>
          <w:highlight w:val="none"/>
          <w:lang w:eastAsia="zh-CN"/>
        </w:rPr>
        <w:t>地址：</w:t>
      </w:r>
    </w:p>
    <w:p w14:paraId="061F7A8A">
      <w:pPr>
        <w:pStyle w:val="19"/>
        <w:tabs>
          <w:tab w:val="left" w:pos="1691"/>
        </w:tabs>
        <w:spacing w:before="78" w:line="222" w:lineRule="auto"/>
        <w:ind w:left="12"/>
        <w:rPr>
          <w:rFonts w:ascii="Arial"/>
          <w:color w:val="auto"/>
          <w:highlight w:val="none"/>
          <w:lang w:eastAsia="zh-CN"/>
        </w:rPr>
      </w:pPr>
      <w:r>
        <w:rPr>
          <w:color w:val="auto"/>
          <w:sz w:val="24"/>
          <w:szCs w:val="24"/>
          <w:highlight w:val="none"/>
          <w:u w:val="single"/>
          <w:lang w:eastAsia="zh-CN"/>
        </w:rPr>
        <w:tab/>
      </w:r>
      <w:r>
        <w:rPr>
          <w:color w:val="auto"/>
          <w:spacing w:val="-16"/>
          <w:sz w:val="24"/>
          <w:szCs w:val="24"/>
          <w:highlight w:val="none"/>
          <w:lang w:eastAsia="zh-CN"/>
        </w:rPr>
        <w:t>（受益人名称</w:t>
      </w:r>
      <w:r>
        <w:rPr>
          <w:color w:val="auto"/>
          <w:spacing w:val="-21"/>
          <w:sz w:val="24"/>
          <w:szCs w:val="24"/>
          <w:highlight w:val="none"/>
          <w:lang w:eastAsia="zh-CN"/>
        </w:rPr>
        <w:t>）：</w:t>
      </w:r>
    </w:p>
    <w:p w14:paraId="3DDA1449">
      <w:pPr>
        <w:pStyle w:val="19"/>
        <w:spacing w:before="78" w:line="359" w:lineRule="auto"/>
        <w:ind w:left="19" w:firstLine="484"/>
        <w:rPr>
          <w:color w:val="auto"/>
          <w:spacing w:val="-17"/>
          <w:sz w:val="24"/>
          <w:szCs w:val="24"/>
          <w:highlight w:val="none"/>
          <w:lang w:eastAsia="zh-CN"/>
        </w:rPr>
      </w:pPr>
    </w:p>
    <w:p w14:paraId="4F1AA30A">
      <w:pPr>
        <w:pStyle w:val="19"/>
        <w:spacing w:before="78" w:line="359" w:lineRule="auto"/>
        <w:ind w:left="19" w:firstLine="484"/>
        <w:rPr>
          <w:color w:val="auto"/>
          <w:sz w:val="24"/>
          <w:szCs w:val="24"/>
          <w:highlight w:val="none"/>
          <w:lang w:eastAsia="zh-CN"/>
        </w:rPr>
      </w:pPr>
      <w:r>
        <w:rPr>
          <w:color w:val="auto"/>
          <w:spacing w:val="-17"/>
          <w:sz w:val="24"/>
          <w:szCs w:val="24"/>
          <w:highlight w:val="none"/>
          <w:lang w:eastAsia="zh-CN"/>
        </w:rPr>
        <w:t>鉴</w:t>
      </w:r>
      <w:r>
        <w:rPr>
          <w:color w:val="auto"/>
          <w:spacing w:val="-16"/>
          <w:sz w:val="24"/>
          <w:szCs w:val="24"/>
          <w:highlight w:val="none"/>
          <w:lang w:eastAsia="zh-CN"/>
        </w:rPr>
        <w:t>于 （以下简称“受益人”）与 （以下简称“申请人”）</w:t>
      </w:r>
      <w:r>
        <w:rPr>
          <w:color w:val="auto"/>
          <w:spacing w:val="-15"/>
          <w:sz w:val="24"/>
          <w:szCs w:val="24"/>
          <w:highlight w:val="none"/>
          <w:lang w:eastAsia="zh-CN"/>
        </w:rPr>
        <w:t>于</w:t>
      </w:r>
      <w:r>
        <w:rPr>
          <w:color w:val="auto"/>
          <w:spacing w:val="-4"/>
          <w:sz w:val="24"/>
          <w:szCs w:val="24"/>
          <w:highlight w:val="none"/>
          <w:lang w:eastAsia="zh-CN"/>
        </w:rPr>
        <w:t>年月日就工程（以下简称“</w:t>
      </w:r>
      <w:r>
        <w:rPr>
          <w:color w:val="auto"/>
          <w:spacing w:val="-5"/>
          <w:sz w:val="24"/>
          <w:szCs w:val="24"/>
          <w:highlight w:val="none"/>
          <w:lang w:eastAsia="zh-CN"/>
        </w:rPr>
        <w:t>本工程”）施工和有关事项协商一致</w:t>
      </w:r>
      <w:r>
        <w:rPr>
          <w:color w:val="auto"/>
          <w:spacing w:val="-8"/>
          <w:sz w:val="24"/>
          <w:szCs w:val="24"/>
          <w:highlight w:val="none"/>
          <w:lang w:eastAsia="zh-CN"/>
        </w:rPr>
        <w:t>共同签订</w:t>
      </w:r>
      <w:r>
        <w:rPr>
          <w:color w:val="auto"/>
          <w:spacing w:val="-8"/>
          <w:sz w:val="24"/>
          <w:szCs w:val="24"/>
          <w:highlight w:val="none"/>
          <w:u w:val="single"/>
          <w:lang w:eastAsia="zh-CN"/>
        </w:rPr>
        <w:t>《》</w:t>
      </w:r>
      <w:r>
        <w:rPr>
          <w:color w:val="auto"/>
          <w:spacing w:val="-8"/>
          <w:sz w:val="24"/>
          <w:szCs w:val="24"/>
          <w:highlight w:val="none"/>
          <w:lang w:eastAsia="zh-CN"/>
        </w:rPr>
        <w:t>（以下简称基础合同”</w:t>
      </w:r>
      <w:r>
        <w:rPr>
          <w:color w:val="auto"/>
          <w:spacing w:val="-41"/>
          <w:w w:val="65"/>
          <w:sz w:val="24"/>
          <w:szCs w:val="24"/>
          <w:highlight w:val="none"/>
          <w:lang w:eastAsia="zh-CN"/>
        </w:rPr>
        <w:t>），</w:t>
      </w:r>
      <w:r>
        <w:rPr>
          <w:color w:val="auto"/>
          <w:spacing w:val="-8"/>
          <w:sz w:val="24"/>
          <w:szCs w:val="24"/>
          <w:highlight w:val="none"/>
          <w:lang w:eastAsia="zh-CN"/>
        </w:rPr>
        <w:t>我方（即“开立人</w:t>
      </w:r>
      <w:r>
        <w:rPr>
          <w:color w:val="auto"/>
          <w:spacing w:val="-9"/>
          <w:sz w:val="24"/>
          <w:szCs w:val="24"/>
          <w:highlight w:val="none"/>
          <w:lang w:eastAsia="zh-CN"/>
        </w:rPr>
        <w:t>”）根据基础合同</w:t>
      </w:r>
      <w:r>
        <w:rPr>
          <w:color w:val="auto"/>
          <w:spacing w:val="1"/>
          <w:sz w:val="24"/>
          <w:szCs w:val="24"/>
          <w:highlight w:val="none"/>
          <w:lang w:eastAsia="zh-CN"/>
        </w:rPr>
        <w:t>了解到申请人为基础合同项下之发包人，受</w:t>
      </w:r>
      <w:r>
        <w:rPr>
          <w:color w:val="auto"/>
          <w:sz w:val="24"/>
          <w:szCs w:val="24"/>
          <w:highlight w:val="none"/>
          <w:lang w:eastAsia="zh-CN"/>
        </w:rPr>
        <w:t xml:space="preserve">益人为基础合同项下之承包人，基于申 </w:t>
      </w:r>
      <w:r>
        <w:rPr>
          <w:color w:val="auto"/>
          <w:spacing w:val="-3"/>
          <w:sz w:val="24"/>
          <w:szCs w:val="24"/>
          <w:highlight w:val="none"/>
          <w:lang w:eastAsia="zh-CN"/>
        </w:rPr>
        <w:t>请人的请求， 我方同意就申请人履行与贵方签订的基础合同项下的工程款（指基础</w:t>
      </w:r>
      <w:r>
        <w:rPr>
          <w:color w:val="auto"/>
          <w:spacing w:val="1"/>
          <w:sz w:val="24"/>
          <w:szCs w:val="24"/>
          <w:highlight w:val="none"/>
          <w:lang w:eastAsia="zh-CN"/>
        </w:rPr>
        <w:t>合同约定的除工程质量保修金以外的工程款）付款义务</w:t>
      </w:r>
      <w:r>
        <w:rPr>
          <w:color w:val="auto"/>
          <w:sz w:val="24"/>
          <w:szCs w:val="24"/>
          <w:highlight w:val="none"/>
          <w:lang w:eastAsia="zh-CN"/>
        </w:rPr>
        <w:t>，向贵方提供不可撤销、不</w:t>
      </w:r>
      <w:r>
        <w:rPr>
          <w:color w:val="auto"/>
          <w:spacing w:val="-9"/>
          <w:sz w:val="24"/>
          <w:szCs w:val="24"/>
          <w:highlight w:val="none"/>
          <w:lang w:eastAsia="zh-CN"/>
        </w:rPr>
        <w:t>可转让的见索即付独立保函（以下简称“本保函</w:t>
      </w:r>
      <w:r>
        <w:rPr>
          <w:color w:val="auto"/>
          <w:spacing w:val="-10"/>
          <w:sz w:val="24"/>
          <w:szCs w:val="24"/>
          <w:highlight w:val="none"/>
          <w:lang w:eastAsia="zh-CN"/>
        </w:rPr>
        <w:t>”）。</w:t>
      </w:r>
    </w:p>
    <w:p w14:paraId="3ACE13A3">
      <w:pPr>
        <w:pStyle w:val="19"/>
        <w:spacing w:before="184" w:line="359" w:lineRule="auto"/>
        <w:ind w:left="24" w:right="7" w:firstLine="480"/>
        <w:rPr>
          <w:color w:val="auto"/>
          <w:sz w:val="24"/>
          <w:szCs w:val="24"/>
          <w:highlight w:val="none"/>
          <w:lang w:eastAsia="zh-CN"/>
        </w:rPr>
      </w:pPr>
      <w:r>
        <w:rPr>
          <w:color w:val="auto"/>
          <w:sz w:val="24"/>
          <w:szCs w:val="24"/>
          <w:highlight w:val="none"/>
          <w:lang w:eastAsia="zh-CN"/>
        </w:rPr>
        <w:t>一、本保函担保范围：申请人未履行基础合同</w:t>
      </w:r>
      <w:r>
        <w:rPr>
          <w:color w:val="auto"/>
          <w:spacing w:val="-1"/>
          <w:sz w:val="24"/>
          <w:szCs w:val="24"/>
          <w:highlight w:val="none"/>
          <w:lang w:eastAsia="zh-CN"/>
        </w:rPr>
        <w:t>约定的工程款支付义务，应当向</w:t>
      </w:r>
      <w:r>
        <w:rPr>
          <w:color w:val="auto"/>
          <w:sz w:val="24"/>
          <w:szCs w:val="24"/>
          <w:highlight w:val="none"/>
          <w:lang w:eastAsia="zh-CN"/>
        </w:rPr>
        <w:t xml:space="preserve"> 贵方承担的违约责任和赔偿因此造成的损失、利息、律师费、诉讼费用等实现债权</w:t>
      </w:r>
    </w:p>
    <w:p w14:paraId="29A48C0A">
      <w:pPr>
        <w:pStyle w:val="19"/>
        <w:spacing w:line="220" w:lineRule="auto"/>
        <w:ind w:left="41"/>
        <w:rPr>
          <w:color w:val="auto"/>
          <w:sz w:val="24"/>
          <w:szCs w:val="24"/>
          <w:highlight w:val="none"/>
          <w:lang w:eastAsia="zh-CN"/>
        </w:rPr>
      </w:pPr>
      <w:r>
        <w:rPr>
          <w:color w:val="auto"/>
          <w:spacing w:val="-12"/>
          <w:sz w:val="24"/>
          <w:szCs w:val="24"/>
          <w:highlight w:val="none"/>
          <w:lang w:eastAsia="zh-CN"/>
        </w:rPr>
        <w:t>的费用。</w:t>
      </w:r>
    </w:p>
    <w:p w14:paraId="197AC564">
      <w:pPr>
        <w:pStyle w:val="19"/>
        <w:spacing w:before="179" w:line="219" w:lineRule="auto"/>
        <w:ind w:left="505"/>
        <w:rPr>
          <w:color w:val="auto"/>
          <w:sz w:val="24"/>
          <w:szCs w:val="24"/>
          <w:highlight w:val="none"/>
          <w:lang w:eastAsia="zh-CN"/>
        </w:rPr>
      </w:pPr>
      <w:r>
        <w:rPr>
          <w:color w:val="auto"/>
          <w:spacing w:val="-1"/>
          <w:sz w:val="24"/>
          <w:szCs w:val="24"/>
          <w:highlight w:val="none"/>
          <w:lang w:eastAsia="zh-CN"/>
        </w:rPr>
        <w:t>二、本保函担保金额最高不超过人民币（大写） 元(¥</w:t>
      </w:r>
      <w:r>
        <w:rPr>
          <w:color w:val="auto"/>
          <w:spacing w:val="-2"/>
          <w:sz w:val="24"/>
          <w:szCs w:val="24"/>
          <w:highlight w:val="none"/>
          <w:lang w:eastAsia="zh-CN"/>
        </w:rPr>
        <w:t>)。</w:t>
      </w:r>
    </w:p>
    <w:p w14:paraId="27128D86">
      <w:pPr>
        <w:pStyle w:val="19"/>
        <w:spacing w:before="183" w:line="466" w:lineRule="exact"/>
        <w:ind w:right="7"/>
        <w:jc w:val="right"/>
        <w:rPr>
          <w:color w:val="auto"/>
          <w:sz w:val="24"/>
          <w:szCs w:val="24"/>
          <w:highlight w:val="none"/>
          <w:lang w:eastAsia="zh-CN"/>
        </w:rPr>
      </w:pPr>
      <w:r>
        <w:rPr>
          <w:color w:val="auto"/>
          <w:position w:val="17"/>
          <w:sz w:val="24"/>
          <w:szCs w:val="24"/>
          <w:highlight w:val="none"/>
          <w:lang w:eastAsia="zh-CN"/>
        </w:rPr>
        <w:t>三、本保函有效期自开立之日起至基础合同约定的除工程质量保修金以外的全</w:t>
      </w:r>
    </w:p>
    <w:p w14:paraId="0C627BBE">
      <w:pPr>
        <w:pStyle w:val="19"/>
        <w:spacing w:line="219" w:lineRule="auto"/>
        <w:ind w:left="24"/>
        <w:rPr>
          <w:color w:val="auto"/>
          <w:sz w:val="24"/>
          <w:szCs w:val="24"/>
          <w:highlight w:val="none"/>
          <w:lang w:eastAsia="zh-CN"/>
        </w:rPr>
      </w:pPr>
      <w:r>
        <w:rPr>
          <w:color w:val="auto"/>
          <w:spacing w:val="-4"/>
          <w:sz w:val="24"/>
          <w:szCs w:val="24"/>
          <w:highlight w:val="none"/>
          <w:lang w:eastAsia="zh-CN"/>
        </w:rPr>
        <w:t>部工程结算款项支付之日后日止，最迟不超过</w:t>
      </w:r>
      <w:r>
        <w:rPr>
          <w:color w:val="auto"/>
          <w:spacing w:val="-5"/>
          <w:sz w:val="24"/>
          <w:szCs w:val="24"/>
          <w:highlight w:val="none"/>
          <w:lang w:eastAsia="zh-CN"/>
        </w:rPr>
        <w:t>年月日。</w:t>
      </w:r>
    </w:p>
    <w:p w14:paraId="573331B5">
      <w:pPr>
        <w:pStyle w:val="19"/>
        <w:spacing w:before="183" w:line="358" w:lineRule="auto"/>
        <w:ind w:right="46"/>
        <w:jc w:val="center"/>
        <w:rPr>
          <w:color w:val="auto"/>
          <w:sz w:val="24"/>
          <w:szCs w:val="24"/>
          <w:highlight w:val="none"/>
          <w:lang w:eastAsia="zh-CN"/>
        </w:rPr>
      </w:pPr>
      <w:r>
        <w:rPr>
          <w:color w:val="auto"/>
          <w:spacing w:val="-3"/>
          <w:sz w:val="24"/>
          <w:szCs w:val="24"/>
          <w:highlight w:val="none"/>
          <w:lang w:eastAsia="zh-CN"/>
        </w:rPr>
        <w:t>四、我方承诺，在收到受益人发来的书面付款通知后的日</w:t>
      </w:r>
      <w:r>
        <w:rPr>
          <w:color w:val="auto"/>
          <w:spacing w:val="-4"/>
          <w:sz w:val="24"/>
          <w:szCs w:val="24"/>
          <w:highlight w:val="none"/>
          <w:lang w:eastAsia="zh-CN"/>
        </w:rPr>
        <w:t>内无条件支付，</w:t>
      </w:r>
    </w:p>
    <w:p w14:paraId="45DB6F81">
      <w:pPr>
        <w:pStyle w:val="19"/>
        <w:spacing w:before="1" w:line="218" w:lineRule="auto"/>
        <w:ind w:left="25"/>
        <w:rPr>
          <w:color w:val="auto"/>
          <w:sz w:val="24"/>
          <w:szCs w:val="24"/>
          <w:highlight w:val="none"/>
          <w:lang w:eastAsia="zh-CN"/>
        </w:rPr>
      </w:pPr>
      <w:r>
        <w:rPr>
          <w:color w:val="auto"/>
          <w:spacing w:val="-3"/>
          <w:sz w:val="24"/>
          <w:szCs w:val="24"/>
          <w:highlight w:val="none"/>
          <w:lang w:eastAsia="zh-CN"/>
        </w:rPr>
        <w:t>前述书面付款通知即为付款要求之单据，且应满足以下要求：</w:t>
      </w:r>
    </w:p>
    <w:p w14:paraId="508AF8B1">
      <w:pPr>
        <w:pStyle w:val="19"/>
        <w:spacing w:before="183" w:line="219" w:lineRule="auto"/>
        <w:ind w:left="507"/>
        <w:rPr>
          <w:color w:val="auto"/>
          <w:sz w:val="24"/>
          <w:szCs w:val="24"/>
          <w:highlight w:val="none"/>
          <w:lang w:eastAsia="zh-CN"/>
        </w:rPr>
      </w:pPr>
      <w:r>
        <w:rPr>
          <w:color w:val="auto"/>
          <w:spacing w:val="-4"/>
          <w:sz w:val="24"/>
          <w:szCs w:val="24"/>
          <w:highlight w:val="none"/>
          <w:lang w:eastAsia="zh-CN"/>
        </w:rPr>
        <w:t>（1）付款通知到达的日期在本保函的有效期内；</w:t>
      </w:r>
    </w:p>
    <w:p w14:paraId="621B8D32">
      <w:pPr>
        <w:pStyle w:val="19"/>
        <w:spacing w:before="183" w:line="220" w:lineRule="auto"/>
        <w:ind w:left="507"/>
        <w:rPr>
          <w:color w:val="auto"/>
          <w:sz w:val="24"/>
          <w:szCs w:val="24"/>
          <w:highlight w:val="none"/>
          <w:lang w:eastAsia="zh-CN"/>
        </w:rPr>
      </w:pPr>
      <w:r>
        <w:rPr>
          <w:color w:val="auto"/>
          <w:spacing w:val="-6"/>
          <w:sz w:val="24"/>
          <w:szCs w:val="24"/>
          <w:highlight w:val="none"/>
          <w:lang w:eastAsia="zh-CN"/>
        </w:rPr>
        <w:t>（2）载明要求支付的金额；</w:t>
      </w:r>
    </w:p>
    <w:p w14:paraId="3AA6411C">
      <w:pPr>
        <w:pStyle w:val="19"/>
        <w:spacing w:before="180" w:line="220" w:lineRule="auto"/>
        <w:ind w:left="507"/>
        <w:rPr>
          <w:color w:val="auto"/>
          <w:sz w:val="24"/>
          <w:szCs w:val="24"/>
          <w:highlight w:val="none"/>
          <w:lang w:eastAsia="zh-CN"/>
        </w:rPr>
      </w:pPr>
      <w:r>
        <w:rPr>
          <w:color w:val="auto"/>
          <w:spacing w:val="-4"/>
          <w:sz w:val="24"/>
          <w:szCs w:val="24"/>
          <w:highlight w:val="none"/>
          <w:lang w:eastAsia="zh-CN"/>
        </w:rPr>
        <w:t>（3）载明申请人违反合同义务的条款和内容；</w:t>
      </w:r>
    </w:p>
    <w:p w14:paraId="5991669E">
      <w:pPr>
        <w:pStyle w:val="19"/>
        <w:spacing w:before="183" w:line="465" w:lineRule="exact"/>
        <w:ind w:right="22"/>
        <w:jc w:val="right"/>
        <w:rPr>
          <w:color w:val="auto"/>
          <w:sz w:val="24"/>
          <w:szCs w:val="24"/>
          <w:highlight w:val="none"/>
          <w:lang w:eastAsia="zh-CN"/>
        </w:rPr>
      </w:pPr>
      <w:r>
        <w:rPr>
          <w:color w:val="auto"/>
          <w:spacing w:val="-4"/>
          <w:position w:val="17"/>
          <w:sz w:val="24"/>
          <w:szCs w:val="24"/>
          <w:highlight w:val="none"/>
          <w:lang w:eastAsia="zh-CN"/>
        </w:rPr>
        <w:t>（4）声明不存在合同文件约定或我国法律规定免除申请人或开立人支付责任的</w:t>
      </w:r>
    </w:p>
    <w:p w14:paraId="7F7A5A44">
      <w:pPr>
        <w:pStyle w:val="19"/>
        <w:spacing w:line="220" w:lineRule="auto"/>
        <w:ind w:left="22"/>
        <w:rPr>
          <w:color w:val="auto"/>
          <w:sz w:val="24"/>
          <w:szCs w:val="24"/>
          <w:highlight w:val="none"/>
          <w:lang w:eastAsia="zh-CN"/>
        </w:rPr>
      </w:pPr>
      <w:r>
        <w:rPr>
          <w:color w:val="auto"/>
          <w:spacing w:val="-15"/>
          <w:sz w:val="24"/>
          <w:szCs w:val="24"/>
          <w:highlight w:val="none"/>
          <w:lang w:eastAsia="zh-CN"/>
        </w:rPr>
        <w:t>情形；</w:t>
      </w:r>
    </w:p>
    <w:p w14:paraId="6914F532">
      <w:pPr>
        <w:pStyle w:val="19"/>
        <w:spacing w:before="182" w:line="219" w:lineRule="auto"/>
        <w:ind w:left="507"/>
        <w:rPr>
          <w:color w:val="auto"/>
          <w:sz w:val="24"/>
          <w:szCs w:val="24"/>
          <w:highlight w:val="none"/>
          <w:lang w:eastAsia="zh-CN"/>
        </w:rPr>
      </w:pPr>
      <w:r>
        <w:rPr>
          <w:color w:val="auto"/>
          <w:spacing w:val="-4"/>
          <w:sz w:val="24"/>
          <w:szCs w:val="24"/>
          <w:highlight w:val="none"/>
          <w:lang w:eastAsia="zh-CN"/>
        </w:rPr>
        <w:t>（5）付款通知应在本保函有效期内到达的地址是： 。</w:t>
      </w:r>
    </w:p>
    <w:p w14:paraId="4BB26A83">
      <w:pPr>
        <w:pStyle w:val="19"/>
        <w:spacing w:before="181" w:line="469" w:lineRule="exact"/>
        <w:ind w:right="16"/>
        <w:jc w:val="right"/>
        <w:rPr>
          <w:color w:val="auto"/>
          <w:sz w:val="24"/>
          <w:szCs w:val="24"/>
          <w:highlight w:val="none"/>
          <w:lang w:eastAsia="zh-CN"/>
        </w:rPr>
      </w:pPr>
      <w:r>
        <w:rPr>
          <w:color w:val="auto"/>
          <w:position w:val="17"/>
          <w:sz w:val="24"/>
          <w:szCs w:val="24"/>
          <w:highlight w:val="none"/>
          <w:lang w:eastAsia="zh-CN"/>
        </w:rPr>
        <w:t>受益人发出的书面付款通知应由其为鉴明受益人法定代表人（负责人）或授权</w:t>
      </w:r>
    </w:p>
    <w:p w14:paraId="61C0AAAE">
      <w:pPr>
        <w:pStyle w:val="19"/>
        <w:spacing w:before="1" w:line="218" w:lineRule="auto"/>
        <w:ind w:left="20"/>
        <w:rPr>
          <w:color w:val="auto"/>
          <w:sz w:val="24"/>
          <w:szCs w:val="24"/>
          <w:highlight w:val="none"/>
          <w:lang w:eastAsia="zh-CN"/>
        </w:rPr>
      </w:pPr>
      <w:r>
        <w:rPr>
          <w:color w:val="auto"/>
          <w:spacing w:val="-4"/>
          <w:sz w:val="24"/>
          <w:szCs w:val="24"/>
          <w:highlight w:val="none"/>
          <w:lang w:eastAsia="zh-CN"/>
        </w:rPr>
        <w:t>代理人签字并加盖公章。</w:t>
      </w:r>
    </w:p>
    <w:p w14:paraId="6E711F46">
      <w:pPr>
        <w:pStyle w:val="19"/>
        <w:spacing w:before="181" w:line="468" w:lineRule="exact"/>
        <w:jc w:val="right"/>
        <w:rPr>
          <w:color w:val="auto"/>
          <w:sz w:val="24"/>
          <w:szCs w:val="24"/>
          <w:highlight w:val="none"/>
          <w:lang w:eastAsia="zh-CN"/>
        </w:rPr>
      </w:pPr>
      <w:r>
        <w:rPr>
          <w:color w:val="auto"/>
          <w:spacing w:val="-7"/>
          <w:position w:val="17"/>
          <w:sz w:val="24"/>
          <w:szCs w:val="24"/>
          <w:highlight w:val="none"/>
          <w:lang w:eastAsia="zh-CN"/>
        </w:rPr>
        <w:t>五、本保函项下的权利不得转让，不得设定担保。贵方未</w:t>
      </w:r>
      <w:r>
        <w:rPr>
          <w:color w:val="auto"/>
          <w:spacing w:val="-8"/>
          <w:position w:val="17"/>
          <w:sz w:val="24"/>
          <w:szCs w:val="24"/>
          <w:highlight w:val="none"/>
          <w:lang w:eastAsia="zh-CN"/>
        </w:rPr>
        <w:t>经我方书面同意转 让</w:t>
      </w:r>
    </w:p>
    <w:p w14:paraId="175C65A8">
      <w:pPr>
        <w:pStyle w:val="19"/>
        <w:spacing w:before="1" w:line="218" w:lineRule="auto"/>
        <w:ind w:left="22"/>
        <w:rPr>
          <w:color w:val="auto"/>
          <w:sz w:val="24"/>
          <w:szCs w:val="24"/>
          <w:highlight w:val="none"/>
          <w:lang w:eastAsia="zh-CN"/>
        </w:rPr>
      </w:pPr>
      <w:r>
        <w:rPr>
          <w:color w:val="auto"/>
          <w:spacing w:val="-9"/>
          <w:sz w:val="24"/>
          <w:szCs w:val="24"/>
          <w:highlight w:val="none"/>
          <w:lang w:eastAsia="zh-CN"/>
        </w:rPr>
        <w:t>本保函或其项下任何权利，对我方不发生法律效力。</w:t>
      </w:r>
    </w:p>
    <w:p w14:paraId="6095F77C">
      <w:pPr>
        <w:pStyle w:val="19"/>
        <w:spacing w:before="181" w:line="468" w:lineRule="exact"/>
        <w:ind w:right="7"/>
        <w:jc w:val="right"/>
        <w:rPr>
          <w:color w:val="auto"/>
          <w:sz w:val="24"/>
          <w:szCs w:val="24"/>
          <w:highlight w:val="none"/>
          <w:lang w:eastAsia="zh-CN"/>
        </w:rPr>
      </w:pPr>
      <w:r>
        <w:rPr>
          <w:color w:val="auto"/>
          <w:position w:val="17"/>
          <w:sz w:val="24"/>
          <w:szCs w:val="24"/>
          <w:highlight w:val="none"/>
          <w:lang w:eastAsia="zh-CN"/>
        </w:rPr>
        <w:t>六、与本保函有关的基础合同不成立、不生效、无效、被撤销、被解除，不影</w:t>
      </w:r>
    </w:p>
    <w:p w14:paraId="0A64C33B">
      <w:pPr>
        <w:pStyle w:val="19"/>
        <w:spacing w:before="1" w:line="218" w:lineRule="auto"/>
        <w:ind w:left="33"/>
        <w:rPr>
          <w:color w:val="auto"/>
          <w:sz w:val="24"/>
          <w:szCs w:val="24"/>
          <w:highlight w:val="none"/>
          <w:lang w:eastAsia="zh-CN"/>
        </w:rPr>
      </w:pPr>
      <w:r>
        <w:rPr>
          <w:color w:val="auto"/>
          <w:spacing w:val="-6"/>
          <w:sz w:val="24"/>
          <w:szCs w:val="24"/>
          <w:highlight w:val="none"/>
          <w:lang w:eastAsia="zh-CN"/>
        </w:rPr>
        <w:t>响本保函的独立有效。</w:t>
      </w:r>
    </w:p>
    <w:p w14:paraId="721823D4">
      <w:pPr>
        <w:pStyle w:val="19"/>
        <w:spacing w:before="182" w:line="359" w:lineRule="auto"/>
        <w:ind w:left="22" w:right="7" w:firstLine="478"/>
        <w:rPr>
          <w:color w:val="auto"/>
          <w:sz w:val="24"/>
          <w:szCs w:val="24"/>
          <w:highlight w:val="none"/>
          <w:lang w:eastAsia="zh-CN"/>
        </w:rPr>
      </w:pPr>
      <w:r>
        <w:rPr>
          <w:color w:val="auto"/>
          <w:spacing w:val="-5"/>
          <w:sz w:val="24"/>
          <w:szCs w:val="24"/>
          <w:highlight w:val="none"/>
          <w:lang w:eastAsia="zh-CN"/>
        </w:rPr>
        <w:t>七、贵方应在本保函到期后的七日内将本保函正</w:t>
      </w:r>
      <w:r>
        <w:rPr>
          <w:color w:val="auto"/>
          <w:spacing w:val="-6"/>
          <w:sz w:val="24"/>
          <w:szCs w:val="24"/>
          <w:highlight w:val="none"/>
          <w:lang w:eastAsia="zh-CN"/>
        </w:rPr>
        <w:t>本退回我方注销， 但是不论贵</w:t>
      </w:r>
      <w:r>
        <w:rPr>
          <w:color w:val="auto"/>
          <w:sz w:val="24"/>
          <w:szCs w:val="24"/>
          <w:highlight w:val="none"/>
          <w:lang w:eastAsia="zh-CN"/>
        </w:rPr>
        <w:t xml:space="preserve"> 方是否按此要求将本保函正本退回我方，我方在本保函项下的义务和责任均在保函</w:t>
      </w:r>
    </w:p>
    <w:p w14:paraId="68AA54AE">
      <w:pPr>
        <w:pStyle w:val="19"/>
        <w:spacing w:line="220" w:lineRule="auto"/>
        <w:ind w:left="22"/>
        <w:rPr>
          <w:rFonts w:ascii="Arial"/>
          <w:color w:val="auto"/>
          <w:highlight w:val="none"/>
          <w:lang w:eastAsia="zh-CN"/>
        </w:rPr>
      </w:pPr>
      <w:r>
        <w:rPr>
          <w:color w:val="auto"/>
          <w:spacing w:val="-4"/>
          <w:sz w:val="24"/>
          <w:szCs w:val="24"/>
          <w:highlight w:val="none"/>
          <w:lang w:eastAsia="zh-CN"/>
        </w:rPr>
        <w:t>有效期到期后自动消灭。</w:t>
      </w:r>
    </w:p>
    <w:p w14:paraId="477D8E51">
      <w:pPr>
        <w:pStyle w:val="19"/>
        <w:spacing w:before="78" w:line="469" w:lineRule="exact"/>
        <w:ind w:right="9"/>
        <w:jc w:val="right"/>
        <w:rPr>
          <w:color w:val="auto"/>
          <w:sz w:val="24"/>
          <w:szCs w:val="24"/>
          <w:highlight w:val="none"/>
          <w:lang w:eastAsia="zh-CN"/>
        </w:rPr>
      </w:pPr>
      <w:r>
        <w:rPr>
          <w:color w:val="auto"/>
          <w:spacing w:val="-2"/>
          <w:position w:val="17"/>
          <w:sz w:val="24"/>
          <w:szCs w:val="24"/>
          <w:highlight w:val="none"/>
          <w:lang w:eastAsia="zh-CN"/>
        </w:rPr>
        <w:t>八、本保函适用的法律为中华人民共和国法律，争议裁判管辖地为中华人</w:t>
      </w:r>
      <w:r>
        <w:rPr>
          <w:color w:val="auto"/>
          <w:spacing w:val="-3"/>
          <w:position w:val="17"/>
          <w:sz w:val="24"/>
          <w:szCs w:val="24"/>
          <w:highlight w:val="none"/>
          <w:lang w:eastAsia="zh-CN"/>
        </w:rPr>
        <w:t>民共</w:t>
      </w:r>
    </w:p>
    <w:p w14:paraId="391AF2D8">
      <w:pPr>
        <w:pStyle w:val="19"/>
        <w:spacing w:line="222" w:lineRule="auto"/>
        <w:ind w:left="22"/>
        <w:rPr>
          <w:color w:val="auto"/>
          <w:sz w:val="24"/>
          <w:szCs w:val="24"/>
          <w:highlight w:val="none"/>
          <w:lang w:eastAsia="zh-CN"/>
        </w:rPr>
      </w:pPr>
      <w:r>
        <w:rPr>
          <w:color w:val="auto"/>
          <w:spacing w:val="-2"/>
          <w:sz w:val="24"/>
          <w:szCs w:val="24"/>
          <w:highlight w:val="none"/>
          <w:lang w:eastAsia="zh-CN"/>
        </w:rPr>
        <w:t>和国。</w:t>
      </w:r>
    </w:p>
    <w:p w14:paraId="5C386308">
      <w:pPr>
        <w:pStyle w:val="19"/>
        <w:spacing w:before="176" w:line="219" w:lineRule="auto"/>
        <w:ind w:left="507"/>
        <w:rPr>
          <w:color w:val="auto"/>
          <w:sz w:val="24"/>
          <w:szCs w:val="24"/>
          <w:highlight w:val="none"/>
          <w:lang w:eastAsia="zh-CN"/>
        </w:rPr>
      </w:pPr>
      <w:r>
        <w:rPr>
          <w:color w:val="auto"/>
          <w:spacing w:val="-4"/>
          <w:sz w:val="24"/>
          <w:szCs w:val="24"/>
          <w:highlight w:val="none"/>
          <w:lang w:eastAsia="zh-CN"/>
        </w:rPr>
        <w:t>九、本保函自我方法定代表人或授权代表签字并加盖公章之日起</w:t>
      </w:r>
      <w:r>
        <w:rPr>
          <w:color w:val="auto"/>
          <w:spacing w:val="-5"/>
          <w:sz w:val="24"/>
          <w:szCs w:val="24"/>
          <w:highlight w:val="none"/>
          <w:lang w:eastAsia="zh-CN"/>
        </w:rPr>
        <w:t>生效。</w:t>
      </w:r>
    </w:p>
    <w:p w14:paraId="1AF0F685">
      <w:pPr>
        <w:spacing w:line="249" w:lineRule="auto"/>
        <w:rPr>
          <w:color w:val="auto"/>
          <w:highlight w:val="none"/>
          <w:lang w:eastAsia="zh-CN"/>
        </w:rPr>
      </w:pPr>
    </w:p>
    <w:p w14:paraId="74CB41B8">
      <w:pPr>
        <w:spacing w:line="249" w:lineRule="auto"/>
        <w:rPr>
          <w:color w:val="auto"/>
          <w:highlight w:val="none"/>
          <w:lang w:eastAsia="zh-CN"/>
        </w:rPr>
      </w:pPr>
    </w:p>
    <w:p w14:paraId="6BEC24F0">
      <w:pPr>
        <w:spacing w:line="249" w:lineRule="auto"/>
        <w:rPr>
          <w:color w:val="auto"/>
          <w:highlight w:val="none"/>
          <w:lang w:eastAsia="zh-CN"/>
        </w:rPr>
      </w:pPr>
    </w:p>
    <w:p w14:paraId="38675909">
      <w:pPr>
        <w:spacing w:line="249" w:lineRule="auto"/>
        <w:rPr>
          <w:color w:val="auto"/>
          <w:highlight w:val="none"/>
          <w:lang w:eastAsia="zh-CN"/>
        </w:rPr>
      </w:pPr>
    </w:p>
    <w:p w14:paraId="72A59703">
      <w:pPr>
        <w:spacing w:line="249" w:lineRule="auto"/>
        <w:rPr>
          <w:color w:val="auto"/>
          <w:highlight w:val="none"/>
          <w:lang w:eastAsia="zh-CN"/>
        </w:rPr>
      </w:pPr>
    </w:p>
    <w:p w14:paraId="6FBC56AF">
      <w:pPr>
        <w:spacing w:line="250" w:lineRule="auto"/>
        <w:rPr>
          <w:color w:val="auto"/>
          <w:highlight w:val="none"/>
          <w:lang w:eastAsia="zh-CN"/>
        </w:rPr>
      </w:pPr>
    </w:p>
    <w:p w14:paraId="42A11F50">
      <w:pPr>
        <w:pStyle w:val="19"/>
        <w:spacing w:before="78" w:line="468" w:lineRule="exact"/>
        <w:ind w:left="502"/>
        <w:rPr>
          <w:color w:val="auto"/>
          <w:sz w:val="24"/>
          <w:szCs w:val="24"/>
          <w:highlight w:val="none"/>
          <w:lang w:eastAsia="zh-CN"/>
        </w:rPr>
      </w:pPr>
      <w:r>
        <w:rPr>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306070</wp:posOffset>
                </wp:positionH>
                <wp:positionV relativeFrom="paragraph">
                  <wp:posOffset>-258445</wp:posOffset>
                </wp:positionV>
                <wp:extent cx="746125" cy="2082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746125" cy="208280"/>
                        </a:xfrm>
                        <a:prstGeom prst="rect">
                          <a:avLst/>
                        </a:prstGeom>
                        <a:noFill/>
                        <a:ln>
                          <a:noFill/>
                        </a:ln>
                        <a:effectLst/>
                      </wps:spPr>
                      <wps:txbx>
                        <w:txbxContent>
                          <w:p w14:paraId="351DC12E">
                            <w:pPr>
                              <w:pStyle w:val="19"/>
                              <w:spacing w:before="19" w:line="221" w:lineRule="auto"/>
                              <w:jc w:val="right"/>
                              <w:rPr>
                                <w:sz w:val="24"/>
                                <w:szCs w:val="24"/>
                              </w:rPr>
                            </w:pPr>
                            <w:r>
                              <w:rPr>
                                <w:spacing w:val="-22"/>
                                <w:sz w:val="24"/>
                                <w:szCs w:val="24"/>
                              </w:rPr>
                              <w:t>开立人：</w:t>
                            </w:r>
                          </w:p>
                        </w:txbxContent>
                      </wps:txbx>
                      <wps:bodyPr lIns="0" tIns="0" rIns="0" bIns="0" upright="1"/>
                    </wps:wsp>
                  </a:graphicData>
                </a:graphic>
              </wp:anchor>
            </w:drawing>
          </mc:Choice>
          <mc:Fallback>
            <w:pict>
              <v:shape id="_x0000_s1026" o:spid="_x0000_s1026" o:spt="202" type="#_x0000_t202" style="position:absolute;left:0pt;margin-left:24.1pt;margin-top:-20.35pt;height:16.4pt;width:58.75pt;z-index:251662336;mso-width-relative:page;mso-height-relative:page;" filled="f" stroked="f" coordsize="21600,21600" o:gfxdata="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SIO0NgAAAAJAQAADwAAAAAAAAABACAAAAAiAAAAZHJzL2Rvd25yZXYueG1s&#10;UEsBAhQAFAAAAAgAh07iQF4nr5C/AQAAfwMAAA4AAAAAAAAAAQAgAAAAJwEAAGRycy9lMm9Eb2Mu&#10;eG1sUEsFBgAAAAAGAAYAWQEAAFgFAAAAAA==&#10;">
                <v:fill on="f" focussize="0,0"/>
                <v:stroke on="f"/>
                <v:imagedata o:title=""/>
                <o:lock v:ext="edit" aspectratio="f"/>
                <v:textbox inset="0mm,0mm,0mm,0mm">
                  <w:txbxContent>
                    <w:p w14:paraId="351DC12E">
                      <w:pPr>
                        <w:pStyle w:val="19"/>
                        <w:spacing w:before="19" w:line="221" w:lineRule="auto"/>
                        <w:jc w:val="right"/>
                        <w:rPr>
                          <w:sz w:val="24"/>
                          <w:szCs w:val="24"/>
                        </w:rPr>
                      </w:pPr>
                      <w:r>
                        <w:rPr>
                          <w:spacing w:val="-22"/>
                          <w:sz w:val="24"/>
                          <w:szCs w:val="24"/>
                        </w:rPr>
                        <w:t>开立人：</w:t>
                      </w:r>
                    </w:p>
                  </w:txbxContent>
                </v:textbox>
              </v:shape>
            </w:pict>
          </mc:Fallback>
        </mc:AlternateContent>
      </w: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3357880</wp:posOffset>
                </wp:positionH>
                <wp:positionV relativeFrom="paragraph">
                  <wp:posOffset>-258445</wp:posOffset>
                </wp:positionV>
                <wp:extent cx="615315" cy="502285"/>
                <wp:effectExtent l="0" t="0" r="0" b="0"/>
                <wp:wrapNone/>
                <wp:docPr id="3" name="文本框 3"/>
                <wp:cNvGraphicFramePr/>
                <a:graphic xmlns:a="http://schemas.openxmlformats.org/drawingml/2006/main">
                  <a:graphicData uri="http://schemas.microsoft.com/office/word/2010/wordprocessingShape">
                    <wps:wsp>
                      <wps:cNvSpPr txBox="1"/>
                      <wps:spPr>
                        <a:xfrm>
                          <a:off x="0" y="0"/>
                          <a:ext cx="615315" cy="502285"/>
                        </a:xfrm>
                        <a:prstGeom prst="rect">
                          <a:avLst/>
                        </a:prstGeom>
                        <a:noFill/>
                        <a:ln>
                          <a:noFill/>
                        </a:ln>
                        <a:effectLst/>
                      </wps:spPr>
                      <wps:txbx>
                        <w:txbxContent>
                          <w:p w14:paraId="2C86C505">
                            <w:pPr>
                              <w:pStyle w:val="19"/>
                              <w:spacing w:before="20" w:line="465" w:lineRule="exact"/>
                              <w:ind w:left="20"/>
                              <w:rPr>
                                <w:sz w:val="24"/>
                                <w:szCs w:val="24"/>
                              </w:rPr>
                            </w:pPr>
                            <w:r>
                              <w:rPr>
                                <w:spacing w:val="-6"/>
                                <w:position w:val="17"/>
                                <w:sz w:val="24"/>
                                <w:szCs w:val="24"/>
                              </w:rPr>
                              <w:t>（公章）</w:t>
                            </w:r>
                          </w:p>
                          <w:p w14:paraId="03D82FCC">
                            <w:pPr>
                              <w:pStyle w:val="19"/>
                              <w:spacing w:line="219" w:lineRule="auto"/>
                              <w:ind w:left="20"/>
                              <w:rPr>
                                <w:sz w:val="24"/>
                                <w:szCs w:val="24"/>
                              </w:rPr>
                            </w:pPr>
                            <w:r>
                              <w:rPr>
                                <w:spacing w:val="-6"/>
                                <w:sz w:val="24"/>
                                <w:szCs w:val="24"/>
                              </w:rPr>
                              <w:t>（签字）</w:t>
                            </w:r>
                          </w:p>
                        </w:txbxContent>
                      </wps:txbx>
                      <wps:bodyPr lIns="0" tIns="0" rIns="0" bIns="0" upright="1"/>
                    </wps:wsp>
                  </a:graphicData>
                </a:graphic>
              </wp:anchor>
            </w:drawing>
          </mc:Choice>
          <mc:Fallback>
            <w:pict>
              <v:shape id="_x0000_s1026" o:spid="_x0000_s1026" o:spt="202" type="#_x0000_t202" style="position:absolute;left:0pt;margin-left:264.4pt;margin-top:-20.35pt;height:39.55pt;width:48.45pt;z-index:251661312;mso-width-relative:page;mso-height-relative:page;" filled="f" stroked="f" coordsize="21600,21600" o:gfxdata="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IbHgV7aAAAACgEAAA8AAAAAAAAAAQAgAAAAIgAAAGRycy9kb3ducmV2Lnht&#10;bFBLAQIUABQAAAAIAIdO4kBthNCevgEAAH8DAAAOAAAAAAAAAAEAIAAAACkBAABkcnMvZTJvRG9j&#10;LnhtbFBLBQYAAAAABgAGAFkBAABZBQAAAAA=&#10;">
                <v:fill on="f" focussize="0,0"/>
                <v:stroke on="f"/>
                <v:imagedata o:title=""/>
                <o:lock v:ext="edit" aspectratio="f"/>
                <v:textbox inset="0mm,0mm,0mm,0mm">
                  <w:txbxContent>
                    <w:p w14:paraId="2C86C505">
                      <w:pPr>
                        <w:pStyle w:val="19"/>
                        <w:spacing w:before="20" w:line="465" w:lineRule="exact"/>
                        <w:ind w:left="20"/>
                        <w:rPr>
                          <w:sz w:val="24"/>
                          <w:szCs w:val="24"/>
                        </w:rPr>
                      </w:pPr>
                      <w:r>
                        <w:rPr>
                          <w:spacing w:val="-6"/>
                          <w:position w:val="17"/>
                          <w:sz w:val="24"/>
                          <w:szCs w:val="24"/>
                        </w:rPr>
                        <w:t>（公章）</w:t>
                      </w:r>
                    </w:p>
                    <w:p w14:paraId="03D82FCC">
                      <w:pPr>
                        <w:pStyle w:val="19"/>
                        <w:spacing w:line="219" w:lineRule="auto"/>
                        <w:ind w:left="20"/>
                        <w:rPr>
                          <w:sz w:val="24"/>
                          <w:szCs w:val="24"/>
                        </w:rPr>
                      </w:pPr>
                      <w:r>
                        <w:rPr>
                          <w:spacing w:val="-6"/>
                          <w:sz w:val="24"/>
                          <w:szCs w:val="24"/>
                        </w:rPr>
                        <w:t>（签字）</w:t>
                      </w:r>
                    </w:p>
                  </w:txbxContent>
                </v:textbox>
              </v:shape>
            </w:pict>
          </mc:Fallback>
        </mc:AlternateContent>
      </w:r>
      <w:r>
        <w:rPr>
          <w:color w:val="auto"/>
          <w:spacing w:val="-13"/>
          <w:position w:val="17"/>
          <w:sz w:val="24"/>
          <w:szCs w:val="24"/>
          <w:highlight w:val="none"/>
          <w:lang w:eastAsia="zh-CN"/>
        </w:rPr>
        <w:t>法定代表人（或授权代表</w:t>
      </w:r>
      <w:r>
        <w:rPr>
          <w:color w:val="auto"/>
          <w:spacing w:val="-3"/>
          <w:position w:val="17"/>
          <w:sz w:val="24"/>
          <w:szCs w:val="24"/>
          <w:highlight w:val="none"/>
          <w:lang w:eastAsia="zh-CN"/>
        </w:rPr>
        <w:t>）：</w:t>
      </w:r>
    </w:p>
    <w:p w14:paraId="420568FC">
      <w:pPr>
        <w:pStyle w:val="19"/>
        <w:spacing w:before="1" w:line="228" w:lineRule="auto"/>
        <w:ind w:left="501"/>
        <w:rPr>
          <w:color w:val="auto"/>
          <w:sz w:val="24"/>
          <w:szCs w:val="24"/>
          <w:highlight w:val="none"/>
          <w:lang w:eastAsia="zh-CN"/>
        </w:rPr>
      </w:pPr>
      <w:r>
        <w:rPr>
          <w:color w:val="auto"/>
          <w:spacing w:val="-15"/>
          <w:sz w:val="24"/>
          <w:szCs w:val="24"/>
          <w:highlight w:val="none"/>
          <w:lang w:eastAsia="zh-CN"/>
        </w:rPr>
        <w:t>地址：</w:t>
      </w:r>
    </w:p>
    <w:p w14:paraId="4C295330">
      <w:pPr>
        <w:pStyle w:val="19"/>
        <w:spacing w:before="168" w:line="468" w:lineRule="exact"/>
        <w:ind w:left="519"/>
        <w:rPr>
          <w:color w:val="auto"/>
          <w:sz w:val="24"/>
          <w:szCs w:val="24"/>
          <w:highlight w:val="none"/>
          <w:lang w:eastAsia="zh-CN"/>
        </w:rPr>
      </w:pPr>
      <w:r>
        <w:rPr>
          <w:color w:val="auto"/>
          <w:spacing w:val="-14"/>
          <w:position w:val="17"/>
          <w:sz w:val="24"/>
          <w:szCs w:val="24"/>
          <w:highlight w:val="none"/>
          <w:lang w:eastAsia="zh-CN"/>
        </w:rPr>
        <w:t>邮政编码：</w:t>
      </w:r>
    </w:p>
    <w:p w14:paraId="01335FB6">
      <w:pPr>
        <w:pStyle w:val="19"/>
        <w:spacing w:before="1" w:line="221" w:lineRule="auto"/>
        <w:ind w:left="529"/>
        <w:rPr>
          <w:color w:val="auto"/>
          <w:sz w:val="24"/>
          <w:szCs w:val="24"/>
          <w:highlight w:val="none"/>
          <w:lang w:eastAsia="zh-CN"/>
        </w:rPr>
      </w:pPr>
      <w:r>
        <w:rPr>
          <w:color w:val="auto"/>
          <w:spacing w:val="-24"/>
          <w:sz w:val="24"/>
          <w:szCs w:val="24"/>
          <w:highlight w:val="none"/>
          <w:lang w:eastAsia="zh-CN"/>
        </w:rPr>
        <w:t>电话：</w:t>
      </w:r>
    </w:p>
    <w:p w14:paraId="3B673CA5">
      <w:pPr>
        <w:pStyle w:val="19"/>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65C670A0">
      <w:pPr>
        <w:pStyle w:val="19"/>
        <w:spacing w:before="183" w:line="220" w:lineRule="auto"/>
        <w:ind w:left="502"/>
        <w:rPr>
          <w:color w:val="auto"/>
          <w:sz w:val="24"/>
          <w:szCs w:val="24"/>
          <w:highlight w:val="none"/>
          <w:lang w:eastAsia="zh-CN"/>
        </w:rPr>
      </w:pPr>
      <w:r>
        <w:rPr>
          <w:color w:val="auto"/>
          <w:spacing w:val="-22"/>
          <w:sz w:val="24"/>
          <w:szCs w:val="24"/>
          <w:highlight w:val="none"/>
          <w:lang w:eastAsia="zh-CN"/>
        </w:rPr>
        <w:t>开立时间：</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年</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月</w:t>
      </w:r>
      <w:r>
        <w:rPr>
          <w:rFonts w:hint="eastAsia"/>
          <w:color w:val="auto"/>
          <w:spacing w:val="-22"/>
          <w:sz w:val="24"/>
          <w:szCs w:val="24"/>
          <w:highlight w:val="none"/>
          <w:lang w:val="en-US" w:eastAsia="zh-CN"/>
        </w:rPr>
        <w:t xml:space="preserve"> </w:t>
      </w:r>
      <w:r>
        <w:rPr>
          <w:color w:val="auto"/>
          <w:spacing w:val="-22"/>
          <w:sz w:val="24"/>
          <w:szCs w:val="24"/>
          <w:highlight w:val="none"/>
          <w:lang w:eastAsia="zh-CN"/>
        </w:rPr>
        <w:t>日</w:t>
      </w:r>
    </w:p>
    <w:p w14:paraId="05673342">
      <w:pPr>
        <w:spacing w:line="278" w:lineRule="auto"/>
        <w:rPr>
          <w:color w:val="auto"/>
          <w:highlight w:val="none"/>
          <w:lang w:eastAsia="zh-CN"/>
        </w:rPr>
      </w:pPr>
    </w:p>
    <w:p w14:paraId="07862EF4">
      <w:pPr>
        <w:spacing w:line="279" w:lineRule="auto"/>
        <w:rPr>
          <w:color w:val="auto"/>
          <w:highlight w:val="none"/>
          <w:lang w:eastAsia="zh-CN"/>
        </w:rPr>
      </w:pPr>
    </w:p>
    <w:p w14:paraId="7C7537CE">
      <w:pPr>
        <w:spacing w:line="279" w:lineRule="auto"/>
        <w:rPr>
          <w:color w:val="auto"/>
          <w:highlight w:val="none"/>
          <w:lang w:eastAsia="zh-CN"/>
        </w:rPr>
      </w:pPr>
    </w:p>
    <w:p w14:paraId="131DA64B">
      <w:pPr>
        <w:spacing w:line="279" w:lineRule="auto"/>
        <w:rPr>
          <w:color w:val="auto"/>
          <w:highlight w:val="none"/>
          <w:lang w:eastAsia="zh-CN"/>
        </w:rPr>
      </w:pPr>
    </w:p>
    <w:p w14:paraId="18B411AE">
      <w:pPr>
        <w:spacing w:line="279" w:lineRule="auto"/>
        <w:rPr>
          <w:color w:val="auto"/>
          <w:highlight w:val="none"/>
          <w:lang w:eastAsia="zh-CN"/>
        </w:rPr>
      </w:pPr>
    </w:p>
    <w:p w14:paraId="51D04DD2">
      <w:pPr>
        <w:spacing w:line="279" w:lineRule="auto"/>
        <w:rPr>
          <w:color w:val="auto"/>
          <w:highlight w:val="none"/>
          <w:lang w:eastAsia="zh-CN"/>
        </w:rPr>
      </w:pPr>
    </w:p>
    <w:p w14:paraId="7E73F074">
      <w:pPr>
        <w:spacing w:line="279" w:lineRule="auto"/>
        <w:rPr>
          <w:color w:val="auto"/>
          <w:highlight w:val="none"/>
          <w:lang w:eastAsia="zh-CN"/>
        </w:rPr>
      </w:pPr>
    </w:p>
    <w:p w14:paraId="5BAA095A">
      <w:pPr>
        <w:rPr>
          <w:color w:val="auto"/>
          <w:highlight w:val="none"/>
          <w:lang w:eastAsia="zh-CN"/>
        </w:rPr>
      </w:pPr>
      <w:r>
        <w:rPr>
          <w:color w:val="auto"/>
          <w:highlight w:val="none"/>
          <w:lang w:eastAsia="zh-CN"/>
        </w:rPr>
        <w:br w:type="page"/>
      </w:r>
    </w:p>
    <w:p w14:paraId="518F3A65">
      <w:pPr>
        <w:spacing w:before="101" w:line="227" w:lineRule="auto"/>
        <w:ind w:left="42"/>
        <w:rPr>
          <w:rFonts w:ascii="黑体" w:hAnsi="黑体" w:eastAsia="黑体" w:cs="黑体"/>
          <w:color w:val="auto"/>
          <w:sz w:val="31"/>
          <w:szCs w:val="31"/>
          <w:highlight w:val="none"/>
          <w:lang w:eastAsia="zh-CN"/>
        </w:rPr>
      </w:pPr>
      <w:r>
        <w:rPr>
          <w:rFonts w:ascii="黑体" w:hAnsi="黑体" w:eastAsia="黑体" w:cs="黑体"/>
          <w:color w:val="auto"/>
          <w:spacing w:val="-3"/>
          <w:sz w:val="31"/>
          <w:szCs w:val="31"/>
          <w:highlight w:val="none"/>
          <w:lang w:eastAsia="zh-CN"/>
        </w:rPr>
        <w:t>附件9：</w:t>
      </w:r>
    </w:p>
    <w:p w14:paraId="0EF2D3B4">
      <w:pPr>
        <w:spacing w:line="253" w:lineRule="auto"/>
        <w:rPr>
          <w:color w:val="auto"/>
          <w:highlight w:val="none"/>
          <w:lang w:eastAsia="zh-CN"/>
        </w:rPr>
      </w:pPr>
    </w:p>
    <w:p w14:paraId="3E45E673">
      <w:pPr>
        <w:spacing w:line="253" w:lineRule="auto"/>
        <w:rPr>
          <w:color w:val="auto"/>
          <w:highlight w:val="none"/>
          <w:lang w:eastAsia="zh-CN"/>
        </w:rPr>
      </w:pPr>
    </w:p>
    <w:p w14:paraId="33D26F86">
      <w:pPr>
        <w:spacing w:line="253" w:lineRule="auto"/>
        <w:rPr>
          <w:color w:val="auto"/>
          <w:highlight w:val="none"/>
          <w:lang w:eastAsia="zh-CN"/>
        </w:rPr>
      </w:pPr>
    </w:p>
    <w:p w14:paraId="0FB88822">
      <w:pPr>
        <w:pStyle w:val="19"/>
        <w:spacing w:before="101" w:line="622" w:lineRule="exact"/>
        <w:ind w:left="3076"/>
        <w:rPr>
          <w:color w:val="auto"/>
          <w:sz w:val="31"/>
          <w:szCs w:val="31"/>
          <w:highlight w:val="none"/>
          <w:lang w:eastAsia="zh-CN"/>
        </w:rPr>
      </w:pPr>
      <w:r>
        <w:rPr>
          <w:color w:val="auto"/>
          <w:spacing w:val="9"/>
          <w:position w:val="23"/>
          <w:sz w:val="31"/>
          <w:szCs w:val="31"/>
          <w:highlight w:val="none"/>
          <w:lang w:eastAsia="zh-CN"/>
        </w:rPr>
        <w:t>支付保函示范文本</w:t>
      </w:r>
    </w:p>
    <w:p w14:paraId="3F75AC23">
      <w:pPr>
        <w:pStyle w:val="19"/>
        <w:spacing w:before="1" w:line="225" w:lineRule="auto"/>
        <w:ind w:left="3249"/>
        <w:rPr>
          <w:color w:val="auto"/>
          <w:sz w:val="31"/>
          <w:szCs w:val="31"/>
          <w:highlight w:val="none"/>
          <w:lang w:eastAsia="zh-CN"/>
        </w:rPr>
      </w:pPr>
      <w:r>
        <w:rPr>
          <w:color w:val="auto"/>
          <w:spacing w:val="3"/>
          <w:sz w:val="31"/>
          <w:szCs w:val="31"/>
          <w:highlight w:val="none"/>
          <w:lang w:eastAsia="zh-CN"/>
        </w:rPr>
        <w:t>（非独立保函）</w:t>
      </w:r>
    </w:p>
    <w:p w14:paraId="4B5C0448">
      <w:pPr>
        <w:pStyle w:val="19"/>
        <w:spacing w:before="224" w:line="221" w:lineRule="auto"/>
        <w:ind w:left="7434"/>
        <w:rPr>
          <w:color w:val="auto"/>
          <w:highlight w:val="none"/>
          <w:lang w:eastAsia="zh-CN"/>
        </w:rPr>
      </w:pPr>
      <w:r>
        <w:rPr>
          <w:color w:val="auto"/>
          <w:spacing w:val="-13"/>
          <w:highlight w:val="none"/>
          <w:lang w:eastAsia="zh-CN"/>
        </w:rPr>
        <w:t>编号：</w:t>
      </w:r>
    </w:p>
    <w:p w14:paraId="7F3D12C7">
      <w:pPr>
        <w:spacing w:line="245" w:lineRule="auto"/>
        <w:rPr>
          <w:color w:val="auto"/>
          <w:highlight w:val="none"/>
          <w:lang w:eastAsia="zh-CN"/>
        </w:rPr>
      </w:pPr>
    </w:p>
    <w:p w14:paraId="736E8233">
      <w:pPr>
        <w:spacing w:line="245" w:lineRule="auto"/>
        <w:rPr>
          <w:color w:val="auto"/>
          <w:highlight w:val="none"/>
          <w:lang w:eastAsia="zh-CN"/>
        </w:rPr>
      </w:pPr>
    </w:p>
    <w:p w14:paraId="57F6753C">
      <w:pPr>
        <w:pStyle w:val="19"/>
        <w:spacing w:before="79" w:line="466" w:lineRule="exact"/>
        <w:ind w:left="25"/>
        <w:rPr>
          <w:color w:val="auto"/>
          <w:sz w:val="24"/>
          <w:szCs w:val="24"/>
          <w:highlight w:val="none"/>
          <w:lang w:eastAsia="zh-CN"/>
        </w:rPr>
      </w:pPr>
      <w:r>
        <w:rPr>
          <w:color w:val="auto"/>
          <w:spacing w:val="-13"/>
          <w:position w:val="17"/>
          <w:sz w:val="24"/>
          <w:szCs w:val="24"/>
          <w:highlight w:val="none"/>
          <w:lang w:eastAsia="zh-CN"/>
        </w:rPr>
        <w:t>发包人：</w:t>
      </w:r>
    </w:p>
    <w:p w14:paraId="64FC26E9">
      <w:pPr>
        <w:pStyle w:val="19"/>
        <w:spacing w:before="1" w:line="228" w:lineRule="auto"/>
        <w:ind w:left="21"/>
        <w:rPr>
          <w:color w:val="auto"/>
          <w:sz w:val="24"/>
          <w:szCs w:val="24"/>
          <w:highlight w:val="none"/>
          <w:lang w:eastAsia="zh-CN"/>
        </w:rPr>
      </w:pPr>
      <w:r>
        <w:rPr>
          <w:color w:val="auto"/>
          <w:spacing w:val="-4"/>
          <w:sz w:val="24"/>
          <w:szCs w:val="24"/>
          <w:highlight w:val="none"/>
          <w:lang w:eastAsia="zh-CN"/>
        </w:rPr>
        <w:t>地址：</w:t>
      </w:r>
    </w:p>
    <w:p w14:paraId="55612149">
      <w:pPr>
        <w:pStyle w:val="19"/>
        <w:spacing w:before="171" w:line="465" w:lineRule="exact"/>
        <w:ind w:left="22"/>
        <w:rPr>
          <w:color w:val="auto"/>
          <w:sz w:val="24"/>
          <w:szCs w:val="24"/>
          <w:highlight w:val="none"/>
          <w:lang w:eastAsia="zh-CN"/>
        </w:rPr>
      </w:pPr>
      <w:r>
        <w:rPr>
          <w:color w:val="auto"/>
          <w:spacing w:val="-6"/>
          <w:position w:val="17"/>
          <w:sz w:val="24"/>
          <w:szCs w:val="24"/>
          <w:highlight w:val="none"/>
          <w:lang w:eastAsia="zh-CN"/>
        </w:rPr>
        <w:t>担保权人/承包人：</w:t>
      </w:r>
    </w:p>
    <w:p w14:paraId="54BC5F5F">
      <w:pPr>
        <w:pStyle w:val="19"/>
        <w:spacing w:before="2" w:line="228" w:lineRule="auto"/>
        <w:ind w:left="21"/>
        <w:rPr>
          <w:color w:val="auto"/>
          <w:sz w:val="24"/>
          <w:szCs w:val="24"/>
          <w:highlight w:val="none"/>
          <w:lang w:eastAsia="zh-CN"/>
        </w:rPr>
      </w:pPr>
      <w:r>
        <w:rPr>
          <w:color w:val="auto"/>
          <w:spacing w:val="-15"/>
          <w:sz w:val="24"/>
          <w:szCs w:val="24"/>
          <w:highlight w:val="none"/>
          <w:lang w:eastAsia="zh-CN"/>
        </w:rPr>
        <w:t>地址：</w:t>
      </w:r>
    </w:p>
    <w:p w14:paraId="0EE11C79">
      <w:pPr>
        <w:pStyle w:val="19"/>
        <w:spacing w:before="170" w:line="466" w:lineRule="exact"/>
        <w:ind w:left="22"/>
        <w:rPr>
          <w:color w:val="auto"/>
          <w:sz w:val="24"/>
          <w:szCs w:val="24"/>
          <w:highlight w:val="none"/>
          <w:lang w:eastAsia="zh-CN"/>
        </w:rPr>
      </w:pPr>
      <w:r>
        <w:rPr>
          <w:color w:val="auto"/>
          <w:spacing w:val="-13"/>
          <w:position w:val="17"/>
          <w:sz w:val="24"/>
          <w:szCs w:val="24"/>
          <w:highlight w:val="none"/>
          <w:lang w:eastAsia="zh-CN"/>
        </w:rPr>
        <w:t>保证人：</w:t>
      </w:r>
    </w:p>
    <w:p w14:paraId="4B2D85EF">
      <w:pPr>
        <w:pStyle w:val="19"/>
        <w:spacing w:before="1" w:line="228" w:lineRule="auto"/>
        <w:ind w:left="21"/>
        <w:rPr>
          <w:color w:val="auto"/>
          <w:sz w:val="24"/>
          <w:szCs w:val="24"/>
          <w:highlight w:val="none"/>
          <w:lang w:eastAsia="zh-CN"/>
        </w:rPr>
      </w:pPr>
      <w:r>
        <w:rPr>
          <w:color w:val="auto"/>
          <w:spacing w:val="-15"/>
          <w:sz w:val="24"/>
          <w:szCs w:val="24"/>
          <w:highlight w:val="none"/>
          <w:lang w:eastAsia="zh-CN"/>
        </w:rPr>
        <w:t>地址：</w:t>
      </w:r>
    </w:p>
    <w:p w14:paraId="5D7EFB91">
      <w:pPr>
        <w:spacing w:line="278" w:lineRule="auto"/>
        <w:rPr>
          <w:color w:val="auto"/>
          <w:sz w:val="24"/>
          <w:szCs w:val="24"/>
          <w:highlight w:val="none"/>
          <w:lang w:eastAsia="zh-CN"/>
        </w:rPr>
      </w:pPr>
    </w:p>
    <w:p w14:paraId="68C4CB63">
      <w:pPr>
        <w:spacing w:line="278" w:lineRule="auto"/>
        <w:rPr>
          <w:color w:val="auto"/>
          <w:sz w:val="24"/>
          <w:szCs w:val="24"/>
          <w:highlight w:val="none"/>
          <w:lang w:eastAsia="zh-CN"/>
        </w:rPr>
      </w:pPr>
    </w:p>
    <w:p w14:paraId="115DB22A">
      <w:pPr>
        <w:pStyle w:val="19"/>
        <w:tabs>
          <w:tab w:val="left" w:pos="1691"/>
        </w:tabs>
        <w:spacing w:before="78" w:line="220" w:lineRule="auto"/>
        <w:ind w:left="12"/>
        <w:rPr>
          <w:color w:val="auto"/>
          <w:sz w:val="24"/>
          <w:szCs w:val="24"/>
          <w:highlight w:val="none"/>
          <w:lang w:eastAsia="zh-CN"/>
        </w:rPr>
      </w:pPr>
      <w:r>
        <w:rPr>
          <w:color w:val="auto"/>
          <w:sz w:val="24"/>
          <w:szCs w:val="24"/>
          <w:highlight w:val="none"/>
          <w:u w:val="single"/>
          <w:lang w:eastAsia="zh-CN"/>
        </w:rPr>
        <w:tab/>
      </w:r>
      <w:r>
        <w:rPr>
          <w:color w:val="auto"/>
          <w:spacing w:val="-16"/>
          <w:sz w:val="24"/>
          <w:szCs w:val="24"/>
          <w:highlight w:val="none"/>
          <w:lang w:eastAsia="zh-CN"/>
        </w:rPr>
        <w:t>（承包人名称</w:t>
      </w:r>
      <w:r>
        <w:rPr>
          <w:color w:val="auto"/>
          <w:spacing w:val="-21"/>
          <w:sz w:val="24"/>
          <w:szCs w:val="24"/>
          <w:highlight w:val="none"/>
          <w:lang w:eastAsia="zh-CN"/>
        </w:rPr>
        <w:t>）：</w:t>
      </w:r>
    </w:p>
    <w:p w14:paraId="55E3A708">
      <w:pPr>
        <w:pStyle w:val="19"/>
        <w:spacing w:before="181" w:line="360" w:lineRule="auto"/>
        <w:ind w:firstLine="436" w:firstLineChars="200"/>
        <w:jc w:val="both"/>
        <w:rPr>
          <w:color w:val="auto"/>
          <w:sz w:val="24"/>
          <w:szCs w:val="24"/>
          <w:highlight w:val="none"/>
          <w:lang w:eastAsia="zh-CN"/>
        </w:rPr>
      </w:pPr>
      <w:r>
        <w:rPr>
          <w:color w:val="auto"/>
          <w:spacing w:val="-11"/>
          <w:sz w:val="24"/>
          <w:szCs w:val="24"/>
          <w:highlight w:val="none"/>
          <w:lang w:eastAsia="zh-CN"/>
        </w:rPr>
        <w:t>鉴于 （以下简称“发包人”）与</w:t>
      </w:r>
      <w:r>
        <w:rPr>
          <w:color w:val="auto"/>
          <w:spacing w:val="-12"/>
          <w:sz w:val="24"/>
          <w:szCs w:val="24"/>
          <w:highlight w:val="none"/>
          <w:lang w:eastAsia="zh-CN"/>
        </w:rPr>
        <w:t xml:space="preserve"> （以下简称“承包人”）于</w:t>
      </w:r>
      <w:r>
        <w:rPr>
          <w:rFonts w:hint="eastAsia"/>
          <w:color w:val="auto"/>
          <w:spacing w:val="-12"/>
          <w:sz w:val="24"/>
          <w:szCs w:val="24"/>
          <w:highlight w:val="none"/>
          <w:lang w:val="en-US" w:eastAsia="zh-CN"/>
        </w:rPr>
        <w:t xml:space="preserve">  </w:t>
      </w:r>
      <w:r>
        <w:rPr>
          <w:color w:val="auto"/>
          <w:spacing w:val="-4"/>
          <w:sz w:val="24"/>
          <w:szCs w:val="24"/>
          <w:highlight w:val="none"/>
          <w:lang w:eastAsia="zh-CN"/>
        </w:rPr>
        <w:t>年</w:t>
      </w:r>
      <w:r>
        <w:rPr>
          <w:rFonts w:hint="eastAsia"/>
          <w:color w:val="auto"/>
          <w:spacing w:val="-4"/>
          <w:sz w:val="24"/>
          <w:szCs w:val="24"/>
          <w:highlight w:val="none"/>
          <w:lang w:val="en-US" w:eastAsia="zh-CN"/>
        </w:rPr>
        <w:t xml:space="preserve">  </w:t>
      </w:r>
      <w:r>
        <w:rPr>
          <w:color w:val="auto"/>
          <w:spacing w:val="-4"/>
          <w:sz w:val="24"/>
          <w:szCs w:val="24"/>
          <w:highlight w:val="none"/>
          <w:lang w:eastAsia="zh-CN"/>
        </w:rPr>
        <w:t>月</w:t>
      </w:r>
      <w:r>
        <w:rPr>
          <w:rFonts w:hint="eastAsia"/>
          <w:color w:val="auto"/>
          <w:spacing w:val="-4"/>
          <w:sz w:val="24"/>
          <w:szCs w:val="24"/>
          <w:highlight w:val="none"/>
          <w:lang w:val="en-US" w:eastAsia="zh-CN"/>
        </w:rPr>
        <w:t xml:space="preserve">  </w:t>
      </w:r>
      <w:r>
        <w:rPr>
          <w:color w:val="auto"/>
          <w:spacing w:val="-4"/>
          <w:sz w:val="24"/>
          <w:szCs w:val="24"/>
          <w:highlight w:val="none"/>
          <w:lang w:eastAsia="zh-CN"/>
        </w:rPr>
        <w:t>日就工程（以下</w:t>
      </w:r>
      <w:r>
        <w:rPr>
          <w:color w:val="auto"/>
          <w:spacing w:val="-5"/>
          <w:sz w:val="24"/>
          <w:szCs w:val="24"/>
          <w:highlight w:val="none"/>
          <w:lang w:eastAsia="zh-CN"/>
        </w:rPr>
        <w:t>简称“本工程”）施工和有关事项协商一致</w:t>
      </w:r>
      <w:r>
        <w:rPr>
          <w:color w:val="auto"/>
          <w:spacing w:val="-9"/>
          <w:sz w:val="24"/>
          <w:szCs w:val="24"/>
          <w:highlight w:val="none"/>
          <w:lang w:eastAsia="zh-CN"/>
        </w:rPr>
        <w:t>共同签订</w:t>
      </w:r>
      <w:r>
        <w:rPr>
          <w:color w:val="auto"/>
          <w:spacing w:val="-9"/>
          <w:sz w:val="24"/>
          <w:szCs w:val="24"/>
          <w:highlight w:val="none"/>
          <w:u w:val="single"/>
          <w:lang w:eastAsia="zh-CN"/>
        </w:rPr>
        <w:t>《        》</w:t>
      </w:r>
      <w:r>
        <w:rPr>
          <w:color w:val="auto"/>
          <w:spacing w:val="-9"/>
          <w:sz w:val="24"/>
          <w:szCs w:val="24"/>
          <w:highlight w:val="none"/>
          <w:lang w:eastAsia="zh-CN"/>
        </w:rPr>
        <w:t>（以下简称“主合同”</w:t>
      </w:r>
      <w:r>
        <w:rPr>
          <w:color w:val="auto"/>
          <w:spacing w:val="-42"/>
          <w:w w:val="67"/>
          <w:sz w:val="24"/>
          <w:szCs w:val="24"/>
          <w:highlight w:val="none"/>
          <w:lang w:eastAsia="zh-CN"/>
        </w:rPr>
        <w:t>），</w:t>
      </w:r>
      <w:r>
        <w:rPr>
          <w:color w:val="auto"/>
          <w:spacing w:val="-9"/>
          <w:sz w:val="24"/>
          <w:szCs w:val="24"/>
          <w:highlight w:val="none"/>
          <w:lang w:eastAsia="zh-CN"/>
        </w:rPr>
        <w:t>我方即保证人基于发包人的请求，同</w:t>
      </w:r>
      <w:r>
        <w:rPr>
          <w:color w:val="auto"/>
          <w:spacing w:val="1"/>
          <w:sz w:val="24"/>
          <w:szCs w:val="24"/>
          <w:highlight w:val="none"/>
          <w:lang w:eastAsia="zh-CN"/>
        </w:rPr>
        <w:t>意就发包人履行与贵方签订的主合同项下的工</w:t>
      </w:r>
      <w:r>
        <w:rPr>
          <w:color w:val="auto"/>
          <w:sz w:val="24"/>
          <w:szCs w:val="24"/>
          <w:highlight w:val="none"/>
          <w:lang w:eastAsia="zh-CN"/>
        </w:rPr>
        <w:t xml:space="preserve">程款（指主合同约定的除工程质量保 </w:t>
      </w:r>
      <w:r>
        <w:rPr>
          <w:color w:val="auto"/>
          <w:spacing w:val="-8"/>
          <w:sz w:val="24"/>
          <w:szCs w:val="24"/>
          <w:highlight w:val="none"/>
          <w:lang w:eastAsia="zh-CN"/>
        </w:rPr>
        <w:t>修金以外的全部工程结算款项）付款义务，</w:t>
      </w:r>
      <w:r>
        <w:rPr>
          <w:color w:val="auto"/>
          <w:spacing w:val="-9"/>
          <w:sz w:val="24"/>
          <w:szCs w:val="24"/>
          <w:highlight w:val="none"/>
          <w:lang w:eastAsia="zh-CN"/>
        </w:rPr>
        <w:t>向贵方提供如下保证担保（以下简称“本</w:t>
      </w:r>
      <w:r>
        <w:rPr>
          <w:color w:val="auto"/>
          <w:spacing w:val="-32"/>
          <w:sz w:val="24"/>
          <w:szCs w:val="24"/>
          <w:highlight w:val="none"/>
          <w:lang w:eastAsia="zh-CN"/>
        </w:rPr>
        <w:t>保证担保”）。</w:t>
      </w:r>
    </w:p>
    <w:p w14:paraId="6D08EE69">
      <w:pPr>
        <w:pStyle w:val="19"/>
        <w:spacing w:before="178" w:line="220" w:lineRule="auto"/>
        <w:ind w:left="507"/>
        <w:rPr>
          <w:color w:val="auto"/>
          <w:sz w:val="24"/>
          <w:szCs w:val="24"/>
          <w:highlight w:val="none"/>
          <w:lang w:eastAsia="zh-CN"/>
        </w:rPr>
      </w:pPr>
      <w:r>
        <w:rPr>
          <w:color w:val="auto"/>
          <w:spacing w:val="-1"/>
          <w:sz w:val="24"/>
          <w:szCs w:val="24"/>
          <w:highlight w:val="none"/>
          <w:lang w:eastAsia="zh-CN"/>
        </w:rPr>
        <w:t>一、保证担保的范围及保证担保金额</w:t>
      </w:r>
    </w:p>
    <w:p w14:paraId="77E64414">
      <w:pPr>
        <w:pStyle w:val="19"/>
        <w:spacing w:before="182" w:line="466" w:lineRule="exact"/>
        <w:ind w:left="519"/>
        <w:rPr>
          <w:color w:val="auto"/>
          <w:sz w:val="24"/>
          <w:szCs w:val="24"/>
          <w:highlight w:val="none"/>
          <w:lang w:eastAsia="zh-CN"/>
        </w:rPr>
      </w:pPr>
      <w:r>
        <w:rPr>
          <w:color w:val="auto"/>
          <w:position w:val="17"/>
          <w:sz w:val="24"/>
          <w:szCs w:val="24"/>
          <w:highlight w:val="none"/>
          <w:lang w:eastAsia="zh-CN"/>
        </w:rPr>
        <w:t>1.保证担保范围：申请人未履行主合同约定的工程款支付义务，应当向</w:t>
      </w:r>
      <w:r>
        <w:rPr>
          <w:color w:val="auto"/>
          <w:spacing w:val="-1"/>
          <w:position w:val="17"/>
          <w:sz w:val="24"/>
          <w:szCs w:val="24"/>
          <w:highlight w:val="none"/>
          <w:lang w:eastAsia="zh-CN"/>
        </w:rPr>
        <w:t>贵方承</w:t>
      </w:r>
    </w:p>
    <w:p w14:paraId="5857EA51">
      <w:pPr>
        <w:pStyle w:val="19"/>
        <w:spacing w:line="219" w:lineRule="auto"/>
        <w:jc w:val="right"/>
        <w:rPr>
          <w:color w:val="auto"/>
          <w:sz w:val="24"/>
          <w:szCs w:val="24"/>
          <w:highlight w:val="none"/>
          <w:lang w:eastAsia="zh-CN"/>
        </w:rPr>
      </w:pPr>
      <w:r>
        <w:rPr>
          <w:color w:val="auto"/>
          <w:spacing w:val="-4"/>
          <w:sz w:val="24"/>
          <w:szCs w:val="24"/>
          <w:highlight w:val="none"/>
          <w:lang w:eastAsia="zh-CN"/>
        </w:rPr>
        <w:t>担的违约责任和赔偿因此造成的损失、利息、律师费、诉讼费用等实现债权的费用。</w:t>
      </w:r>
    </w:p>
    <w:p w14:paraId="36E14D1A">
      <w:pPr>
        <w:pStyle w:val="19"/>
        <w:spacing w:before="182" w:line="219" w:lineRule="auto"/>
        <w:ind w:left="504"/>
        <w:rPr>
          <w:color w:val="auto"/>
          <w:sz w:val="24"/>
          <w:szCs w:val="24"/>
          <w:highlight w:val="none"/>
          <w:lang w:eastAsia="zh-CN"/>
        </w:rPr>
      </w:pPr>
      <w:r>
        <w:rPr>
          <w:color w:val="auto"/>
          <w:spacing w:val="-1"/>
          <w:sz w:val="24"/>
          <w:szCs w:val="24"/>
          <w:highlight w:val="none"/>
          <w:lang w:eastAsia="zh-CN"/>
        </w:rPr>
        <w:t>2.保证担保金额最高不超过人民币（大写） 元(¥</w:t>
      </w:r>
      <w:r>
        <w:rPr>
          <w:color w:val="auto"/>
          <w:spacing w:val="-2"/>
          <w:sz w:val="24"/>
          <w:szCs w:val="24"/>
          <w:highlight w:val="none"/>
          <w:lang w:eastAsia="zh-CN"/>
        </w:rPr>
        <w:t>)。</w:t>
      </w:r>
    </w:p>
    <w:p w14:paraId="582BDF62">
      <w:pPr>
        <w:pStyle w:val="19"/>
        <w:spacing w:before="182" w:line="220" w:lineRule="auto"/>
        <w:ind w:left="507"/>
        <w:rPr>
          <w:color w:val="auto"/>
          <w:sz w:val="24"/>
          <w:szCs w:val="24"/>
          <w:highlight w:val="none"/>
          <w:lang w:eastAsia="zh-CN"/>
        </w:rPr>
      </w:pPr>
      <w:r>
        <w:rPr>
          <w:color w:val="auto"/>
          <w:spacing w:val="-1"/>
          <w:sz w:val="24"/>
          <w:szCs w:val="24"/>
          <w:highlight w:val="none"/>
          <w:lang w:eastAsia="zh-CN"/>
        </w:rPr>
        <w:t>二、保证担保的方式及保证期间</w:t>
      </w:r>
    </w:p>
    <w:p w14:paraId="4C1BE355">
      <w:pPr>
        <w:pStyle w:val="19"/>
        <w:spacing w:before="182" w:line="220" w:lineRule="auto"/>
        <w:ind w:left="519"/>
        <w:rPr>
          <w:color w:val="auto"/>
          <w:sz w:val="24"/>
          <w:szCs w:val="24"/>
          <w:highlight w:val="none"/>
          <w:lang w:eastAsia="zh-CN"/>
        </w:rPr>
      </w:pPr>
      <w:r>
        <w:rPr>
          <w:color w:val="auto"/>
          <w:spacing w:val="-4"/>
          <w:sz w:val="24"/>
          <w:szCs w:val="24"/>
          <w:highlight w:val="none"/>
          <w:lang w:eastAsia="zh-CN"/>
        </w:rPr>
        <w:t>1.保证担保方式：连带责任保证。</w:t>
      </w:r>
    </w:p>
    <w:p w14:paraId="2C56EFF8">
      <w:pPr>
        <w:pStyle w:val="19"/>
        <w:spacing w:before="180" w:line="468" w:lineRule="exact"/>
        <w:ind w:left="504"/>
        <w:rPr>
          <w:color w:val="auto"/>
          <w:sz w:val="24"/>
          <w:szCs w:val="24"/>
          <w:highlight w:val="none"/>
          <w:lang w:eastAsia="zh-CN"/>
        </w:rPr>
      </w:pPr>
      <w:r>
        <w:rPr>
          <w:color w:val="auto"/>
          <w:spacing w:val="-4"/>
          <w:position w:val="17"/>
          <w:sz w:val="24"/>
          <w:szCs w:val="24"/>
          <w:highlight w:val="none"/>
          <w:lang w:eastAsia="zh-CN"/>
        </w:rPr>
        <w:t>2.保证期间：自出具之日起至主合同约定的</w:t>
      </w:r>
      <w:r>
        <w:rPr>
          <w:color w:val="auto"/>
          <w:spacing w:val="-5"/>
          <w:position w:val="17"/>
          <w:sz w:val="24"/>
          <w:szCs w:val="24"/>
          <w:highlight w:val="none"/>
          <w:lang w:eastAsia="zh-CN"/>
        </w:rPr>
        <w:t>除工程质量保修金以外的工程款支</w:t>
      </w:r>
    </w:p>
    <w:p w14:paraId="196192CE">
      <w:pPr>
        <w:pStyle w:val="19"/>
        <w:spacing w:line="219" w:lineRule="auto"/>
        <w:ind w:left="21"/>
        <w:rPr>
          <w:color w:val="auto"/>
          <w:sz w:val="24"/>
          <w:szCs w:val="24"/>
          <w:highlight w:val="none"/>
          <w:lang w:eastAsia="zh-CN"/>
        </w:rPr>
      </w:pPr>
      <w:r>
        <w:rPr>
          <w:color w:val="auto"/>
          <w:spacing w:val="-6"/>
          <w:sz w:val="24"/>
          <w:szCs w:val="24"/>
          <w:highlight w:val="none"/>
          <w:lang w:eastAsia="zh-CN"/>
        </w:rPr>
        <w:t>付之日后日止，最迟不超过年月日。</w:t>
      </w:r>
    </w:p>
    <w:p w14:paraId="4C0F329E">
      <w:pPr>
        <w:pStyle w:val="19"/>
        <w:spacing w:before="180" w:line="220" w:lineRule="auto"/>
        <w:ind w:left="503"/>
        <w:rPr>
          <w:color w:val="auto"/>
          <w:sz w:val="24"/>
          <w:szCs w:val="24"/>
          <w:highlight w:val="none"/>
          <w:lang w:eastAsia="zh-CN"/>
        </w:rPr>
      </w:pPr>
      <w:r>
        <w:rPr>
          <w:color w:val="auto"/>
          <w:sz w:val="24"/>
          <w:szCs w:val="24"/>
          <w:highlight w:val="none"/>
          <w:lang w:eastAsia="zh-CN"/>
        </w:rPr>
        <w:t>三、承担保证担保责任的形式</w:t>
      </w:r>
    </w:p>
    <w:p w14:paraId="6054810E">
      <w:pPr>
        <w:pStyle w:val="19"/>
        <w:spacing w:before="183" w:line="359" w:lineRule="auto"/>
        <w:ind w:left="24" w:right="88" w:firstLine="480"/>
        <w:jc w:val="both"/>
        <w:rPr>
          <w:color w:val="auto"/>
          <w:sz w:val="24"/>
          <w:szCs w:val="24"/>
          <w:highlight w:val="none"/>
          <w:lang w:eastAsia="zh-CN"/>
        </w:rPr>
      </w:pPr>
      <w:r>
        <w:rPr>
          <w:color w:val="auto"/>
          <w:sz w:val="24"/>
          <w:szCs w:val="24"/>
          <w:highlight w:val="none"/>
          <w:lang w:eastAsia="zh-CN"/>
        </w:rPr>
        <w:t>发包人未按合同约定向贵方支付主合同项下工程款的，由我方在保证金额内代</w:t>
      </w:r>
      <w:r>
        <w:rPr>
          <w:color w:val="auto"/>
          <w:spacing w:val="-3"/>
          <w:sz w:val="24"/>
          <w:szCs w:val="24"/>
          <w:highlight w:val="none"/>
          <w:lang w:eastAsia="zh-CN"/>
        </w:rPr>
        <w:t>为支付， 并赔偿因此给贵方造成的损失，以及利息和律师费、诉讼费用等实现债权</w:t>
      </w:r>
      <w:r>
        <w:rPr>
          <w:color w:val="auto"/>
          <w:spacing w:val="-12"/>
          <w:sz w:val="24"/>
          <w:szCs w:val="24"/>
          <w:highlight w:val="none"/>
          <w:lang w:eastAsia="zh-CN"/>
        </w:rPr>
        <w:t>的费用。</w:t>
      </w:r>
    </w:p>
    <w:p w14:paraId="57645842">
      <w:pPr>
        <w:pStyle w:val="19"/>
        <w:spacing w:before="181" w:line="220" w:lineRule="auto"/>
        <w:ind w:left="526"/>
        <w:rPr>
          <w:color w:val="auto"/>
          <w:sz w:val="24"/>
          <w:szCs w:val="24"/>
          <w:highlight w:val="none"/>
          <w:lang w:eastAsia="zh-CN"/>
        </w:rPr>
      </w:pPr>
      <w:r>
        <w:rPr>
          <w:color w:val="auto"/>
          <w:spacing w:val="-4"/>
          <w:sz w:val="24"/>
          <w:szCs w:val="24"/>
          <w:highlight w:val="none"/>
          <w:lang w:eastAsia="zh-CN"/>
        </w:rPr>
        <w:t>四、代偿的安排</w:t>
      </w:r>
    </w:p>
    <w:p w14:paraId="11B8246C">
      <w:pPr>
        <w:pStyle w:val="19"/>
        <w:spacing w:before="180" w:line="359" w:lineRule="auto"/>
        <w:ind w:left="23" w:right="88" w:firstLine="495"/>
        <w:jc w:val="both"/>
        <w:rPr>
          <w:color w:val="auto"/>
          <w:sz w:val="24"/>
          <w:szCs w:val="24"/>
          <w:highlight w:val="none"/>
          <w:lang w:eastAsia="zh-CN"/>
        </w:rPr>
      </w:pPr>
      <w:r>
        <w:rPr>
          <w:color w:val="auto"/>
          <w:sz w:val="24"/>
          <w:szCs w:val="24"/>
          <w:highlight w:val="none"/>
          <w:lang w:eastAsia="zh-CN"/>
        </w:rPr>
        <w:t>1.贵方要求我方承担保证责任的，应向我方发出书面索赔通知及发包人</w:t>
      </w:r>
      <w:r>
        <w:rPr>
          <w:color w:val="auto"/>
          <w:spacing w:val="-1"/>
          <w:sz w:val="24"/>
          <w:szCs w:val="24"/>
          <w:highlight w:val="none"/>
          <w:lang w:eastAsia="zh-CN"/>
        </w:rPr>
        <w:t>未支付</w:t>
      </w:r>
      <w:r>
        <w:rPr>
          <w:color w:val="auto"/>
          <w:spacing w:val="-3"/>
          <w:sz w:val="24"/>
          <w:szCs w:val="24"/>
          <w:highlight w:val="none"/>
          <w:lang w:eastAsia="zh-CN"/>
        </w:rPr>
        <w:t>主合同约定工程款的证明材料。索赔通知应写明要求索赔的金额， 支付款项应到达</w:t>
      </w:r>
      <w:r>
        <w:rPr>
          <w:color w:val="auto"/>
          <w:spacing w:val="-12"/>
          <w:sz w:val="24"/>
          <w:szCs w:val="24"/>
          <w:highlight w:val="none"/>
          <w:lang w:eastAsia="zh-CN"/>
        </w:rPr>
        <w:t>的帐号。</w:t>
      </w:r>
    </w:p>
    <w:p w14:paraId="7E7FAA55">
      <w:pPr>
        <w:pStyle w:val="19"/>
        <w:spacing w:before="183" w:line="359" w:lineRule="auto"/>
        <w:ind w:left="22" w:right="90" w:firstLine="481"/>
        <w:jc w:val="both"/>
        <w:rPr>
          <w:color w:val="auto"/>
          <w:sz w:val="24"/>
          <w:szCs w:val="24"/>
          <w:highlight w:val="none"/>
          <w:lang w:eastAsia="zh-CN"/>
        </w:rPr>
      </w:pPr>
      <w:r>
        <w:rPr>
          <w:color w:val="auto"/>
          <w:sz w:val="24"/>
          <w:szCs w:val="24"/>
          <w:highlight w:val="none"/>
          <w:lang w:eastAsia="zh-CN"/>
        </w:rPr>
        <w:t>2.在出现贵方与发包人因工程质量发生争议，发包人拒绝向贵方支付工程款的</w:t>
      </w:r>
      <w:r>
        <w:rPr>
          <w:color w:val="auto"/>
          <w:spacing w:val="-3"/>
          <w:sz w:val="24"/>
          <w:szCs w:val="24"/>
          <w:highlight w:val="none"/>
          <w:lang w:eastAsia="zh-CN"/>
        </w:rPr>
        <w:t>情形时， 贵方要求我方履行保证责任代为支付的，还需提供项目总监理工程师、监</w:t>
      </w:r>
      <w:r>
        <w:rPr>
          <w:color w:val="auto"/>
          <w:spacing w:val="-2"/>
          <w:sz w:val="24"/>
          <w:szCs w:val="24"/>
          <w:highlight w:val="none"/>
          <w:lang w:eastAsia="zh-CN"/>
        </w:rPr>
        <w:t>理单位或符合相应条件要求的工程质量检测机构出具的质量说明材料。</w:t>
      </w:r>
    </w:p>
    <w:p w14:paraId="2481471E">
      <w:pPr>
        <w:pStyle w:val="19"/>
        <w:spacing w:before="181" w:line="360" w:lineRule="auto"/>
        <w:ind w:left="506"/>
        <w:rPr>
          <w:color w:val="auto"/>
          <w:sz w:val="24"/>
          <w:szCs w:val="24"/>
          <w:highlight w:val="none"/>
          <w:lang w:eastAsia="zh-CN"/>
        </w:rPr>
      </w:pPr>
      <w:r>
        <w:rPr>
          <w:color w:val="auto"/>
          <w:spacing w:val="-6"/>
          <w:sz w:val="24"/>
          <w:szCs w:val="24"/>
          <w:highlight w:val="none"/>
          <w:lang w:eastAsia="zh-CN"/>
        </w:rPr>
        <w:t>3.我方收到贵方的书面索赔通知及相应证明材料后</w:t>
      </w:r>
      <w:r>
        <w:rPr>
          <w:color w:val="auto"/>
          <w:spacing w:val="-7"/>
          <w:sz w:val="24"/>
          <w:szCs w:val="24"/>
          <w:highlight w:val="none"/>
          <w:lang w:eastAsia="zh-CN"/>
        </w:rPr>
        <w:t>，在工作日内进行核定</w:t>
      </w:r>
    </w:p>
    <w:p w14:paraId="4E7168D0">
      <w:pPr>
        <w:pStyle w:val="19"/>
        <w:spacing w:before="1" w:line="218" w:lineRule="auto"/>
        <w:ind w:left="23"/>
        <w:rPr>
          <w:color w:val="auto"/>
          <w:sz w:val="24"/>
          <w:szCs w:val="24"/>
          <w:highlight w:val="none"/>
          <w:lang w:eastAsia="zh-CN"/>
        </w:rPr>
      </w:pPr>
      <w:r>
        <w:rPr>
          <w:color w:val="auto"/>
          <w:spacing w:val="-3"/>
          <w:sz w:val="24"/>
          <w:szCs w:val="24"/>
          <w:highlight w:val="none"/>
          <w:lang w:eastAsia="zh-CN"/>
        </w:rPr>
        <w:t>后按照本保函的承诺承担保证责任。</w:t>
      </w:r>
    </w:p>
    <w:p w14:paraId="5D995D63">
      <w:pPr>
        <w:pStyle w:val="19"/>
        <w:spacing w:before="181" w:line="220" w:lineRule="auto"/>
        <w:ind w:left="507"/>
        <w:rPr>
          <w:color w:val="auto"/>
          <w:sz w:val="24"/>
          <w:szCs w:val="24"/>
          <w:highlight w:val="none"/>
          <w:lang w:eastAsia="zh-CN"/>
        </w:rPr>
      </w:pPr>
      <w:r>
        <w:rPr>
          <w:color w:val="auto"/>
          <w:spacing w:val="-1"/>
          <w:sz w:val="24"/>
          <w:szCs w:val="24"/>
          <w:highlight w:val="none"/>
          <w:lang w:eastAsia="zh-CN"/>
        </w:rPr>
        <w:t>五、保证担保责任的解除</w:t>
      </w:r>
    </w:p>
    <w:p w14:paraId="72632F92">
      <w:pPr>
        <w:pStyle w:val="19"/>
        <w:spacing w:before="182" w:line="466" w:lineRule="exact"/>
        <w:ind w:left="519"/>
        <w:rPr>
          <w:color w:val="auto"/>
          <w:sz w:val="24"/>
          <w:szCs w:val="24"/>
          <w:highlight w:val="none"/>
          <w:lang w:eastAsia="zh-CN"/>
        </w:rPr>
      </w:pPr>
      <w:r>
        <w:rPr>
          <w:color w:val="auto"/>
          <w:spacing w:val="-6"/>
          <w:position w:val="17"/>
          <w:sz w:val="24"/>
          <w:szCs w:val="24"/>
          <w:highlight w:val="none"/>
          <w:lang w:eastAsia="zh-CN"/>
        </w:rPr>
        <w:t>1.保证期间届满贵方未向我方书面主张保证责任的，自保证期间届满次日起，</w:t>
      </w:r>
    </w:p>
    <w:p w14:paraId="2958E605">
      <w:pPr>
        <w:pStyle w:val="19"/>
        <w:spacing w:before="1" w:line="219" w:lineRule="auto"/>
        <w:ind w:left="23"/>
        <w:rPr>
          <w:color w:val="auto"/>
          <w:sz w:val="24"/>
          <w:szCs w:val="24"/>
          <w:highlight w:val="none"/>
          <w:lang w:eastAsia="zh-CN"/>
        </w:rPr>
      </w:pPr>
      <w:r>
        <w:rPr>
          <w:color w:val="auto"/>
          <w:spacing w:val="-5"/>
          <w:sz w:val="24"/>
          <w:szCs w:val="24"/>
          <w:highlight w:val="none"/>
          <w:lang w:eastAsia="zh-CN"/>
        </w:rPr>
        <w:t>我方解除保证责任。</w:t>
      </w:r>
    </w:p>
    <w:p w14:paraId="137BC2CF">
      <w:pPr>
        <w:pStyle w:val="19"/>
        <w:spacing w:before="182" w:line="466" w:lineRule="exact"/>
        <w:ind w:left="504"/>
        <w:rPr>
          <w:color w:val="auto"/>
          <w:sz w:val="24"/>
          <w:szCs w:val="24"/>
          <w:highlight w:val="none"/>
          <w:lang w:eastAsia="zh-CN"/>
        </w:rPr>
      </w:pPr>
      <w:r>
        <w:rPr>
          <w:color w:val="auto"/>
          <w:position w:val="17"/>
          <w:sz w:val="24"/>
          <w:szCs w:val="24"/>
          <w:highlight w:val="none"/>
          <w:lang w:eastAsia="zh-CN"/>
        </w:rPr>
        <w:t>2.我方按照本保证担保向贵方履行了保证担保责任后，自我方向贵方支付的金</w:t>
      </w:r>
    </w:p>
    <w:p w14:paraId="08E6C89E">
      <w:pPr>
        <w:pStyle w:val="19"/>
        <w:spacing w:before="1" w:line="219" w:lineRule="auto"/>
        <w:ind w:left="21"/>
        <w:rPr>
          <w:rFonts w:ascii="Arial"/>
          <w:color w:val="auto"/>
          <w:sz w:val="24"/>
          <w:szCs w:val="24"/>
          <w:highlight w:val="none"/>
          <w:lang w:eastAsia="zh-CN"/>
        </w:rPr>
      </w:pPr>
      <w:r>
        <w:rPr>
          <w:color w:val="auto"/>
          <w:spacing w:val="-6"/>
          <w:sz w:val="24"/>
          <w:szCs w:val="24"/>
          <w:highlight w:val="none"/>
          <w:lang w:eastAsia="zh-CN"/>
        </w:rPr>
        <w:t>额达到最高保证担保金额之日起， 保证担保责任</w:t>
      </w:r>
      <w:r>
        <w:rPr>
          <w:color w:val="auto"/>
          <w:spacing w:val="-7"/>
          <w:sz w:val="24"/>
          <w:szCs w:val="24"/>
          <w:highlight w:val="none"/>
          <w:lang w:eastAsia="zh-CN"/>
        </w:rPr>
        <w:t>解除。</w:t>
      </w:r>
    </w:p>
    <w:p w14:paraId="7098D888">
      <w:pPr>
        <w:pStyle w:val="19"/>
        <w:spacing w:before="78" w:line="469" w:lineRule="exact"/>
        <w:ind w:right="4"/>
        <w:jc w:val="right"/>
        <w:rPr>
          <w:color w:val="auto"/>
          <w:sz w:val="24"/>
          <w:szCs w:val="24"/>
          <w:highlight w:val="none"/>
          <w:lang w:eastAsia="zh-CN"/>
        </w:rPr>
      </w:pPr>
      <w:r>
        <w:rPr>
          <w:color w:val="auto"/>
          <w:position w:val="17"/>
          <w:sz w:val="24"/>
          <w:szCs w:val="24"/>
          <w:highlight w:val="none"/>
          <w:lang w:eastAsia="zh-CN"/>
        </w:rPr>
        <w:t>3.按照法律法规的规定应解除我方保证担保责任的其它情形的，我方在本保证</w:t>
      </w:r>
    </w:p>
    <w:p w14:paraId="059EF603">
      <w:pPr>
        <w:pStyle w:val="19"/>
        <w:spacing w:line="219" w:lineRule="auto"/>
        <w:ind w:left="22"/>
        <w:rPr>
          <w:color w:val="auto"/>
          <w:sz w:val="24"/>
          <w:szCs w:val="24"/>
          <w:highlight w:val="none"/>
          <w:lang w:eastAsia="zh-CN"/>
        </w:rPr>
      </w:pPr>
      <w:r>
        <w:rPr>
          <w:color w:val="auto"/>
          <w:spacing w:val="-3"/>
          <w:sz w:val="24"/>
          <w:szCs w:val="24"/>
          <w:highlight w:val="none"/>
          <w:lang w:eastAsia="zh-CN"/>
        </w:rPr>
        <w:t>担保项下的保证担保责任亦解除。</w:t>
      </w:r>
    </w:p>
    <w:p w14:paraId="0F682C27">
      <w:pPr>
        <w:pStyle w:val="19"/>
        <w:spacing w:before="181" w:line="359" w:lineRule="auto"/>
        <w:ind w:left="20" w:firstLine="479"/>
        <w:rPr>
          <w:color w:val="auto"/>
          <w:sz w:val="24"/>
          <w:szCs w:val="24"/>
          <w:highlight w:val="none"/>
          <w:lang w:eastAsia="zh-CN"/>
        </w:rPr>
      </w:pPr>
      <w:r>
        <w:rPr>
          <w:color w:val="auto"/>
          <w:spacing w:val="-1"/>
          <w:sz w:val="24"/>
          <w:szCs w:val="24"/>
          <w:highlight w:val="none"/>
          <w:lang w:eastAsia="zh-CN"/>
        </w:rPr>
        <w:t>4.我方解除保证责任后，贵方应按上述约定，自我方保证担保责任解除之</w:t>
      </w:r>
      <w:r>
        <w:rPr>
          <w:color w:val="auto"/>
          <w:spacing w:val="-2"/>
          <w:sz w:val="24"/>
          <w:szCs w:val="24"/>
          <w:highlight w:val="none"/>
          <w:lang w:eastAsia="zh-CN"/>
        </w:rPr>
        <w:t>日起</w:t>
      </w:r>
      <w:r>
        <w:rPr>
          <w:color w:val="auto"/>
          <w:spacing w:val="-3"/>
          <w:sz w:val="24"/>
          <w:szCs w:val="24"/>
          <w:highlight w:val="none"/>
          <w:lang w:eastAsia="zh-CN"/>
        </w:rPr>
        <w:t>七日内， 将本保证担保原件返还我方。但是不论贵方是否按此要求将本保证担保原件退回我方， 我方在本保证担保项下的义务和责任均自保证担保责任解除之日自动</w:t>
      </w:r>
    </w:p>
    <w:p w14:paraId="4E449BA4">
      <w:pPr>
        <w:pStyle w:val="19"/>
        <w:spacing w:before="1" w:line="220" w:lineRule="auto"/>
        <w:ind w:left="26"/>
        <w:rPr>
          <w:color w:val="auto"/>
          <w:sz w:val="24"/>
          <w:szCs w:val="24"/>
          <w:highlight w:val="none"/>
          <w:lang w:eastAsia="zh-CN"/>
        </w:rPr>
      </w:pPr>
      <w:r>
        <w:rPr>
          <w:color w:val="auto"/>
          <w:spacing w:val="-11"/>
          <w:sz w:val="24"/>
          <w:szCs w:val="24"/>
          <w:highlight w:val="none"/>
          <w:lang w:eastAsia="zh-CN"/>
        </w:rPr>
        <w:t>消灭。</w:t>
      </w:r>
    </w:p>
    <w:p w14:paraId="5F6778F9">
      <w:pPr>
        <w:pStyle w:val="19"/>
        <w:spacing w:before="177" w:line="220" w:lineRule="auto"/>
        <w:ind w:left="505"/>
        <w:rPr>
          <w:color w:val="auto"/>
          <w:sz w:val="24"/>
          <w:szCs w:val="24"/>
          <w:highlight w:val="none"/>
          <w:lang w:eastAsia="zh-CN"/>
        </w:rPr>
      </w:pPr>
      <w:r>
        <w:rPr>
          <w:color w:val="auto"/>
          <w:spacing w:val="-2"/>
          <w:sz w:val="24"/>
          <w:szCs w:val="24"/>
          <w:highlight w:val="none"/>
          <w:lang w:eastAsia="zh-CN"/>
        </w:rPr>
        <w:t>六、免责条款</w:t>
      </w:r>
    </w:p>
    <w:p w14:paraId="787D98C5">
      <w:pPr>
        <w:pStyle w:val="19"/>
        <w:spacing w:before="183" w:line="466" w:lineRule="exact"/>
        <w:ind w:right="10"/>
        <w:jc w:val="right"/>
        <w:rPr>
          <w:color w:val="auto"/>
          <w:sz w:val="24"/>
          <w:szCs w:val="24"/>
          <w:highlight w:val="none"/>
          <w:lang w:eastAsia="zh-CN"/>
        </w:rPr>
      </w:pPr>
      <w:r>
        <w:rPr>
          <w:color w:val="auto"/>
          <w:position w:val="17"/>
          <w:sz w:val="24"/>
          <w:szCs w:val="24"/>
          <w:highlight w:val="none"/>
          <w:lang w:eastAsia="zh-CN"/>
        </w:rPr>
        <w:t>1.因贵方原因致使发包人未履行主合同项下工程款付款义务的，</w:t>
      </w:r>
      <w:r>
        <w:rPr>
          <w:color w:val="auto"/>
          <w:spacing w:val="-1"/>
          <w:position w:val="17"/>
          <w:sz w:val="24"/>
          <w:szCs w:val="24"/>
          <w:highlight w:val="none"/>
          <w:lang w:eastAsia="zh-CN"/>
        </w:rPr>
        <w:t>我方不承担保</w:t>
      </w:r>
    </w:p>
    <w:p w14:paraId="7422B8A2">
      <w:pPr>
        <w:pStyle w:val="19"/>
        <w:spacing w:before="1" w:line="219" w:lineRule="auto"/>
        <w:ind w:left="21"/>
        <w:rPr>
          <w:color w:val="auto"/>
          <w:sz w:val="24"/>
          <w:szCs w:val="24"/>
          <w:highlight w:val="none"/>
          <w:lang w:eastAsia="zh-CN"/>
        </w:rPr>
      </w:pPr>
      <w:r>
        <w:rPr>
          <w:color w:val="auto"/>
          <w:spacing w:val="-6"/>
          <w:sz w:val="24"/>
          <w:szCs w:val="24"/>
          <w:highlight w:val="none"/>
          <w:lang w:eastAsia="zh-CN"/>
        </w:rPr>
        <w:t>证担保责任。</w:t>
      </w:r>
    </w:p>
    <w:p w14:paraId="3A0F5C61">
      <w:pPr>
        <w:pStyle w:val="19"/>
        <w:spacing w:before="182" w:line="466" w:lineRule="exact"/>
        <w:ind w:right="44"/>
        <w:jc w:val="right"/>
        <w:rPr>
          <w:color w:val="auto"/>
          <w:sz w:val="24"/>
          <w:szCs w:val="24"/>
          <w:highlight w:val="none"/>
          <w:lang w:eastAsia="zh-CN"/>
        </w:rPr>
      </w:pPr>
      <w:r>
        <w:rPr>
          <w:color w:val="auto"/>
          <w:spacing w:val="-1"/>
          <w:position w:val="17"/>
          <w:sz w:val="24"/>
          <w:szCs w:val="24"/>
          <w:highlight w:val="none"/>
          <w:lang w:eastAsia="zh-CN"/>
        </w:rPr>
        <w:t>2.依照法律规定或贵方与发包人的另行约定，免除发包人部分或全部义务的，</w:t>
      </w:r>
    </w:p>
    <w:p w14:paraId="378AFA32">
      <w:pPr>
        <w:pStyle w:val="19"/>
        <w:spacing w:line="219" w:lineRule="auto"/>
        <w:ind w:left="23"/>
        <w:rPr>
          <w:color w:val="auto"/>
          <w:sz w:val="24"/>
          <w:szCs w:val="24"/>
          <w:highlight w:val="none"/>
          <w:lang w:eastAsia="zh-CN"/>
        </w:rPr>
      </w:pPr>
      <w:r>
        <w:rPr>
          <w:color w:val="auto"/>
          <w:spacing w:val="-3"/>
          <w:sz w:val="24"/>
          <w:szCs w:val="24"/>
          <w:highlight w:val="none"/>
          <w:lang w:eastAsia="zh-CN"/>
        </w:rPr>
        <w:t>我方亦免除其相应的保证担保责任。</w:t>
      </w:r>
    </w:p>
    <w:p w14:paraId="7EBF6DA1">
      <w:pPr>
        <w:pStyle w:val="19"/>
        <w:spacing w:before="183" w:line="466" w:lineRule="exact"/>
        <w:ind w:right="10"/>
        <w:jc w:val="right"/>
        <w:rPr>
          <w:color w:val="auto"/>
          <w:sz w:val="24"/>
          <w:szCs w:val="24"/>
          <w:highlight w:val="none"/>
          <w:lang w:eastAsia="zh-CN"/>
        </w:rPr>
      </w:pPr>
      <w:r>
        <w:rPr>
          <w:color w:val="auto"/>
          <w:position w:val="17"/>
          <w:sz w:val="24"/>
          <w:szCs w:val="24"/>
          <w:highlight w:val="none"/>
          <w:lang w:eastAsia="zh-CN"/>
        </w:rPr>
        <w:t>3.因不可抗力造成发包人未履行主合同项下工程款付款义务的，我方不承担保</w:t>
      </w:r>
    </w:p>
    <w:p w14:paraId="26B2F0E7">
      <w:pPr>
        <w:pStyle w:val="19"/>
        <w:spacing w:line="219" w:lineRule="auto"/>
        <w:ind w:left="21"/>
        <w:rPr>
          <w:color w:val="auto"/>
          <w:sz w:val="24"/>
          <w:szCs w:val="24"/>
          <w:highlight w:val="none"/>
          <w:lang w:eastAsia="zh-CN"/>
        </w:rPr>
      </w:pPr>
      <w:r>
        <w:rPr>
          <w:color w:val="auto"/>
          <w:spacing w:val="-6"/>
          <w:sz w:val="24"/>
          <w:szCs w:val="24"/>
          <w:highlight w:val="none"/>
          <w:lang w:eastAsia="zh-CN"/>
        </w:rPr>
        <w:t>证担保责任。</w:t>
      </w:r>
    </w:p>
    <w:p w14:paraId="60F9DBB9">
      <w:pPr>
        <w:pStyle w:val="19"/>
        <w:spacing w:before="183" w:line="220" w:lineRule="auto"/>
        <w:ind w:left="502"/>
        <w:rPr>
          <w:color w:val="auto"/>
          <w:sz w:val="24"/>
          <w:szCs w:val="24"/>
          <w:highlight w:val="none"/>
          <w:lang w:eastAsia="zh-CN"/>
        </w:rPr>
      </w:pPr>
      <w:r>
        <w:rPr>
          <w:color w:val="auto"/>
          <w:spacing w:val="-2"/>
          <w:sz w:val="24"/>
          <w:szCs w:val="24"/>
          <w:highlight w:val="none"/>
          <w:lang w:eastAsia="zh-CN"/>
        </w:rPr>
        <w:t>七、其他</w:t>
      </w:r>
    </w:p>
    <w:p w14:paraId="2B957080">
      <w:pPr>
        <w:pStyle w:val="19"/>
        <w:spacing w:before="180" w:line="468" w:lineRule="exact"/>
        <w:ind w:right="6"/>
        <w:jc w:val="right"/>
        <w:rPr>
          <w:color w:val="auto"/>
          <w:sz w:val="24"/>
          <w:szCs w:val="24"/>
          <w:highlight w:val="none"/>
          <w:lang w:eastAsia="zh-CN"/>
        </w:rPr>
      </w:pPr>
      <w:r>
        <w:rPr>
          <w:color w:val="auto"/>
          <w:spacing w:val="-3"/>
          <w:position w:val="17"/>
          <w:sz w:val="24"/>
          <w:szCs w:val="24"/>
          <w:highlight w:val="none"/>
          <w:lang w:eastAsia="zh-CN"/>
        </w:rPr>
        <w:t>1.本保证担保项下的权利不得转让， 不得设</w:t>
      </w:r>
      <w:r>
        <w:rPr>
          <w:color w:val="auto"/>
          <w:spacing w:val="-4"/>
          <w:position w:val="17"/>
          <w:sz w:val="24"/>
          <w:szCs w:val="24"/>
          <w:highlight w:val="none"/>
          <w:lang w:eastAsia="zh-CN"/>
        </w:rPr>
        <w:t>定担保。贵方未经我方书面同意转</w:t>
      </w:r>
    </w:p>
    <w:p w14:paraId="195AD0BB">
      <w:pPr>
        <w:pStyle w:val="19"/>
        <w:spacing w:before="1" w:line="218" w:lineRule="auto"/>
        <w:ind w:left="23"/>
        <w:rPr>
          <w:color w:val="auto"/>
          <w:sz w:val="24"/>
          <w:szCs w:val="24"/>
          <w:highlight w:val="none"/>
          <w:lang w:eastAsia="zh-CN"/>
        </w:rPr>
      </w:pPr>
      <w:r>
        <w:rPr>
          <w:color w:val="auto"/>
          <w:spacing w:val="-8"/>
          <w:sz w:val="24"/>
          <w:szCs w:val="24"/>
          <w:highlight w:val="none"/>
          <w:lang w:eastAsia="zh-CN"/>
        </w:rPr>
        <w:t>让本保证担保或其项下任何权利，对我方不发生法律效力。</w:t>
      </w:r>
    </w:p>
    <w:p w14:paraId="5275CBC6">
      <w:pPr>
        <w:pStyle w:val="19"/>
        <w:spacing w:before="184" w:line="465" w:lineRule="exact"/>
        <w:ind w:right="6"/>
        <w:jc w:val="right"/>
        <w:rPr>
          <w:color w:val="auto"/>
          <w:sz w:val="24"/>
          <w:szCs w:val="24"/>
          <w:highlight w:val="none"/>
          <w:lang w:eastAsia="zh-CN"/>
        </w:rPr>
      </w:pPr>
      <w:r>
        <w:rPr>
          <w:color w:val="auto"/>
          <w:position w:val="17"/>
          <w:sz w:val="24"/>
          <w:szCs w:val="24"/>
          <w:highlight w:val="none"/>
          <w:lang w:eastAsia="zh-CN"/>
        </w:rPr>
        <w:t>2.本保证担保适用的法律为中华人民共和国法律，争议裁判管辖地为中华人民</w:t>
      </w:r>
    </w:p>
    <w:p w14:paraId="599B874C">
      <w:pPr>
        <w:pStyle w:val="19"/>
        <w:spacing w:before="1" w:line="219" w:lineRule="auto"/>
        <w:ind w:left="20"/>
        <w:rPr>
          <w:color w:val="auto"/>
          <w:sz w:val="24"/>
          <w:szCs w:val="24"/>
          <w:highlight w:val="none"/>
          <w:lang w:eastAsia="zh-CN"/>
        </w:rPr>
      </w:pPr>
      <w:r>
        <w:rPr>
          <w:color w:val="auto"/>
          <w:spacing w:val="-1"/>
          <w:sz w:val="24"/>
          <w:szCs w:val="24"/>
          <w:highlight w:val="none"/>
          <w:lang w:eastAsia="zh-CN"/>
        </w:rPr>
        <w:t>共和国。</w:t>
      </w:r>
    </w:p>
    <w:p w14:paraId="1F2AF75B">
      <w:pPr>
        <w:pStyle w:val="19"/>
        <w:spacing w:before="182" w:line="219" w:lineRule="auto"/>
        <w:ind w:left="506"/>
        <w:rPr>
          <w:color w:val="auto"/>
          <w:sz w:val="24"/>
          <w:szCs w:val="24"/>
          <w:highlight w:val="none"/>
          <w:lang w:eastAsia="zh-CN"/>
        </w:rPr>
      </w:pPr>
      <w:r>
        <w:rPr>
          <w:color w:val="auto"/>
          <w:spacing w:val="-1"/>
          <w:sz w:val="24"/>
          <w:szCs w:val="24"/>
          <w:highlight w:val="none"/>
          <w:lang w:eastAsia="zh-CN"/>
        </w:rPr>
        <w:t>3.本保证担保自我方法定代表人或授权代表</w:t>
      </w:r>
      <w:r>
        <w:rPr>
          <w:color w:val="auto"/>
          <w:spacing w:val="-2"/>
          <w:sz w:val="24"/>
          <w:szCs w:val="24"/>
          <w:highlight w:val="none"/>
          <w:lang w:eastAsia="zh-CN"/>
        </w:rPr>
        <w:t>签字并加盖公章之日起生效。</w:t>
      </w:r>
    </w:p>
    <w:p w14:paraId="373A328C">
      <w:pPr>
        <w:spacing w:line="283" w:lineRule="auto"/>
        <w:rPr>
          <w:color w:val="auto"/>
          <w:sz w:val="24"/>
          <w:szCs w:val="24"/>
          <w:highlight w:val="none"/>
          <w:lang w:eastAsia="zh-CN"/>
        </w:rPr>
      </w:pPr>
    </w:p>
    <w:p w14:paraId="138C62F4">
      <w:pPr>
        <w:spacing w:line="284" w:lineRule="auto"/>
        <w:rPr>
          <w:color w:val="auto"/>
          <w:sz w:val="24"/>
          <w:szCs w:val="24"/>
          <w:highlight w:val="none"/>
          <w:lang w:eastAsia="zh-CN"/>
        </w:rPr>
      </w:pPr>
    </w:p>
    <w:p w14:paraId="7A358DF9">
      <w:pPr>
        <w:pStyle w:val="19"/>
        <w:spacing w:before="79" w:line="219" w:lineRule="auto"/>
        <w:ind w:left="502"/>
        <w:rPr>
          <w:color w:val="auto"/>
          <w:sz w:val="24"/>
          <w:szCs w:val="24"/>
          <w:highlight w:val="none"/>
          <w:lang w:eastAsia="zh-CN"/>
        </w:rPr>
      </w:pPr>
      <w:r>
        <w:rPr>
          <w:color w:val="auto"/>
          <w:spacing w:val="-18"/>
          <w:sz w:val="24"/>
          <w:szCs w:val="24"/>
          <w:highlight w:val="none"/>
          <w:lang w:eastAsia="zh-CN"/>
        </w:rPr>
        <w:t>保证人</w:t>
      </w:r>
      <w:r>
        <w:rPr>
          <w:color w:val="auto"/>
          <w:sz w:val="24"/>
          <w:szCs w:val="24"/>
          <w:highlight w:val="none"/>
          <w:lang w:eastAsia="zh-CN"/>
        </w:rPr>
        <w:t>：（</w:t>
      </w:r>
      <w:r>
        <w:rPr>
          <w:color w:val="auto"/>
          <w:spacing w:val="-18"/>
          <w:sz w:val="24"/>
          <w:szCs w:val="24"/>
          <w:highlight w:val="none"/>
          <w:lang w:eastAsia="zh-CN"/>
        </w:rPr>
        <w:t>公章）</w:t>
      </w:r>
    </w:p>
    <w:p w14:paraId="6EC20C33">
      <w:pPr>
        <w:pStyle w:val="19"/>
        <w:spacing w:before="180" w:line="220" w:lineRule="auto"/>
        <w:ind w:left="502"/>
        <w:rPr>
          <w:color w:val="auto"/>
          <w:sz w:val="24"/>
          <w:szCs w:val="24"/>
          <w:highlight w:val="none"/>
          <w:lang w:eastAsia="zh-CN"/>
        </w:rPr>
      </w:pPr>
      <w:r>
        <w:rPr>
          <w:color w:val="auto"/>
          <w:spacing w:val="-15"/>
          <w:sz w:val="24"/>
          <w:szCs w:val="24"/>
          <w:highlight w:val="none"/>
          <w:lang w:eastAsia="zh-CN"/>
        </w:rPr>
        <w:t>法定代表人（或授权代表</w:t>
      </w:r>
      <w:r>
        <w:rPr>
          <w:color w:val="auto"/>
          <w:spacing w:val="-5"/>
          <w:sz w:val="24"/>
          <w:szCs w:val="24"/>
          <w:highlight w:val="none"/>
          <w:lang w:eastAsia="zh-CN"/>
        </w:rPr>
        <w:t>）：（</w:t>
      </w:r>
      <w:r>
        <w:rPr>
          <w:color w:val="auto"/>
          <w:spacing w:val="-15"/>
          <w:sz w:val="24"/>
          <w:szCs w:val="24"/>
          <w:highlight w:val="none"/>
          <w:lang w:eastAsia="zh-CN"/>
        </w:rPr>
        <w:t>签字）</w:t>
      </w:r>
    </w:p>
    <w:p w14:paraId="5C7A64E4">
      <w:pPr>
        <w:pStyle w:val="19"/>
        <w:spacing w:before="183" w:line="466" w:lineRule="exact"/>
        <w:ind w:left="501"/>
        <w:rPr>
          <w:color w:val="auto"/>
          <w:sz w:val="24"/>
          <w:szCs w:val="24"/>
          <w:highlight w:val="none"/>
          <w:lang w:eastAsia="zh-CN"/>
        </w:rPr>
      </w:pPr>
      <w:r>
        <w:rPr>
          <w:color w:val="auto"/>
          <w:spacing w:val="-15"/>
          <w:position w:val="16"/>
          <w:sz w:val="24"/>
          <w:szCs w:val="24"/>
          <w:highlight w:val="none"/>
          <w:lang w:eastAsia="zh-CN"/>
        </w:rPr>
        <w:t>地址：</w:t>
      </w:r>
    </w:p>
    <w:p w14:paraId="731C7699">
      <w:pPr>
        <w:pStyle w:val="19"/>
        <w:spacing w:before="1" w:line="219" w:lineRule="auto"/>
        <w:ind w:left="519"/>
        <w:rPr>
          <w:color w:val="auto"/>
          <w:sz w:val="24"/>
          <w:szCs w:val="24"/>
          <w:highlight w:val="none"/>
          <w:lang w:eastAsia="zh-CN"/>
        </w:rPr>
      </w:pPr>
      <w:r>
        <w:rPr>
          <w:color w:val="auto"/>
          <w:spacing w:val="-14"/>
          <w:sz w:val="24"/>
          <w:szCs w:val="24"/>
          <w:highlight w:val="none"/>
          <w:lang w:eastAsia="zh-CN"/>
        </w:rPr>
        <w:t>邮政编码：</w:t>
      </w:r>
    </w:p>
    <w:p w14:paraId="6026CBED">
      <w:pPr>
        <w:pStyle w:val="19"/>
        <w:spacing w:before="182" w:line="222" w:lineRule="auto"/>
        <w:ind w:left="529"/>
        <w:rPr>
          <w:color w:val="auto"/>
          <w:sz w:val="24"/>
          <w:szCs w:val="24"/>
          <w:highlight w:val="none"/>
          <w:lang w:eastAsia="zh-CN"/>
        </w:rPr>
      </w:pPr>
      <w:r>
        <w:rPr>
          <w:color w:val="auto"/>
          <w:spacing w:val="-24"/>
          <w:sz w:val="24"/>
          <w:szCs w:val="24"/>
          <w:highlight w:val="none"/>
          <w:lang w:eastAsia="zh-CN"/>
        </w:rPr>
        <w:t>电话：</w:t>
      </w:r>
    </w:p>
    <w:p w14:paraId="32A6EE24">
      <w:pPr>
        <w:pStyle w:val="19"/>
        <w:spacing w:before="177" w:line="219" w:lineRule="auto"/>
        <w:ind w:left="499"/>
        <w:rPr>
          <w:color w:val="auto"/>
          <w:sz w:val="24"/>
          <w:szCs w:val="24"/>
          <w:highlight w:val="none"/>
          <w:lang w:eastAsia="zh-CN"/>
        </w:rPr>
      </w:pPr>
      <w:r>
        <w:rPr>
          <w:color w:val="auto"/>
          <w:spacing w:val="-14"/>
          <w:sz w:val="24"/>
          <w:szCs w:val="24"/>
          <w:highlight w:val="none"/>
          <w:lang w:eastAsia="zh-CN"/>
        </w:rPr>
        <w:t>传真：</w:t>
      </w:r>
    </w:p>
    <w:p w14:paraId="23ABA375">
      <w:pPr>
        <w:pStyle w:val="19"/>
        <w:spacing w:before="183" w:line="220" w:lineRule="auto"/>
        <w:ind w:left="512"/>
        <w:rPr>
          <w:color w:val="auto"/>
          <w:sz w:val="24"/>
          <w:szCs w:val="24"/>
          <w:highlight w:val="none"/>
          <w:lang w:eastAsia="zh-CN"/>
        </w:rPr>
      </w:pPr>
      <w:r>
        <w:rPr>
          <w:color w:val="auto"/>
          <w:spacing w:val="-25"/>
          <w:sz w:val="24"/>
          <w:szCs w:val="24"/>
          <w:highlight w:val="none"/>
          <w:lang w:eastAsia="zh-CN"/>
        </w:rPr>
        <w:t>时间：年月日</w:t>
      </w:r>
    </w:p>
    <w:p w14:paraId="1940FBAB">
      <w:pPr>
        <w:rPr>
          <w:color w:val="auto"/>
          <w:spacing w:val="-13"/>
          <w:position w:val="42"/>
          <w:sz w:val="24"/>
          <w:szCs w:val="24"/>
          <w:highlight w:val="none"/>
          <w:lang w:eastAsia="zh-CN"/>
        </w:rPr>
      </w:pPr>
      <w:r>
        <w:rPr>
          <w:color w:val="auto"/>
          <w:spacing w:val="-13"/>
          <w:position w:val="42"/>
          <w:sz w:val="24"/>
          <w:szCs w:val="24"/>
          <w:highlight w:val="none"/>
          <w:lang w:eastAsia="zh-CN"/>
        </w:rPr>
        <w:br w:type="page"/>
      </w:r>
    </w:p>
    <w:p w14:paraId="36B92E76">
      <w:pPr>
        <w:pStyle w:val="19"/>
        <w:spacing w:before="71" w:line="849" w:lineRule="exact"/>
        <w:jc w:val="both"/>
        <w:rPr>
          <w:color w:val="auto"/>
          <w:sz w:val="36"/>
          <w:szCs w:val="36"/>
          <w:highlight w:val="none"/>
          <w:lang w:eastAsia="zh-CN"/>
        </w:rPr>
      </w:pPr>
      <w:r>
        <w:rPr>
          <w:color w:val="auto"/>
          <w:spacing w:val="-13"/>
          <w:position w:val="42"/>
          <w:sz w:val="30"/>
          <w:szCs w:val="30"/>
          <w:highlight w:val="none"/>
          <w:lang w:eastAsia="zh-CN"/>
        </w:rPr>
        <w:t>附件</w:t>
      </w:r>
      <w:r>
        <w:rPr>
          <w:rFonts w:ascii="Calibri" w:hAnsi="Calibri" w:eastAsia="Calibri" w:cs="Calibri"/>
          <w:color w:val="auto"/>
          <w:spacing w:val="-13"/>
          <w:position w:val="42"/>
          <w:sz w:val="30"/>
          <w:szCs w:val="30"/>
          <w:highlight w:val="none"/>
          <w:lang w:eastAsia="zh-CN"/>
        </w:rPr>
        <w:t>10</w:t>
      </w:r>
      <w:r>
        <w:rPr>
          <w:color w:val="auto"/>
          <w:spacing w:val="-13"/>
          <w:position w:val="42"/>
          <w:sz w:val="30"/>
          <w:szCs w:val="30"/>
          <w:highlight w:val="none"/>
          <w:lang w:eastAsia="zh-CN"/>
        </w:rPr>
        <w:t>：</w:t>
      </w:r>
      <w:r>
        <w:rPr>
          <w:color w:val="auto"/>
          <w:spacing w:val="1"/>
          <w:sz w:val="36"/>
          <w:szCs w:val="36"/>
          <w:highlight w:val="none"/>
          <w:lang w:eastAsia="zh-CN"/>
        </w:rPr>
        <w:t>预付款支付申请（核准）表</w:t>
      </w:r>
    </w:p>
    <w:p w14:paraId="40CD8C97">
      <w:pPr>
        <w:pStyle w:val="19"/>
        <w:spacing w:before="22" w:line="185" w:lineRule="auto"/>
        <w:rPr>
          <w:color w:val="auto"/>
          <w:sz w:val="24"/>
          <w:szCs w:val="24"/>
          <w:highlight w:val="none"/>
        </w:rPr>
      </w:pPr>
      <w:r>
        <w:rPr>
          <w:rFonts w:hint="eastAsia"/>
          <w:color w:val="auto"/>
          <w:spacing w:val="-15"/>
          <w:sz w:val="24"/>
          <w:szCs w:val="24"/>
          <w:highlight w:val="none"/>
          <w:lang w:eastAsia="zh-CN"/>
        </w:rPr>
        <w:t xml:space="preserve">工程名称：                                       </w:t>
      </w:r>
      <w:r>
        <w:rPr>
          <w:color w:val="auto"/>
          <w:spacing w:val="-15"/>
          <w:sz w:val="24"/>
          <w:szCs w:val="24"/>
          <w:highlight w:val="none"/>
        </w:rPr>
        <w:t>编号</w:t>
      </w:r>
      <w:r>
        <w:rPr>
          <w:rFonts w:hint="eastAsia"/>
          <w:color w:val="auto"/>
          <w:spacing w:val="-15"/>
          <w:sz w:val="24"/>
          <w:szCs w:val="24"/>
          <w:highlight w:val="none"/>
          <w:lang w:eastAsia="zh-CN"/>
        </w:rPr>
        <w:t>：</w:t>
      </w:r>
    </w:p>
    <w:tbl>
      <w:tblPr>
        <w:tblStyle w:val="88"/>
        <w:tblW w:w="93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7"/>
        <w:gridCol w:w="4666"/>
      </w:tblGrid>
      <w:tr w14:paraId="1654F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7" w:hRule="atLeast"/>
        </w:trPr>
        <w:tc>
          <w:tcPr>
            <w:tcW w:w="9303" w:type="dxa"/>
            <w:gridSpan w:val="2"/>
          </w:tcPr>
          <w:p w14:paraId="328D988E">
            <w:pPr>
              <w:spacing w:before="207" w:line="221" w:lineRule="auto"/>
              <w:ind w:left="428"/>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3A100BB3">
            <w:pPr>
              <w:spacing w:before="163" w:line="352" w:lineRule="auto"/>
              <w:ind w:left="429"/>
              <w:rPr>
                <w:rFonts w:ascii="Calibri" w:hAnsi="Calibri" w:eastAsia="Calibri" w:cs="Calibri"/>
                <w:color w:val="auto"/>
                <w:sz w:val="24"/>
                <w:szCs w:val="24"/>
                <w:highlight w:val="none"/>
                <w:lang w:eastAsia="zh-CN"/>
              </w:rPr>
            </w:pPr>
            <w:r>
              <w:rPr>
                <w:rFonts w:ascii="宋体" w:hAnsi="宋体" w:eastAsia="宋体" w:cs="宋体"/>
                <w:color w:val="auto"/>
                <w:spacing w:val="-3"/>
                <w:sz w:val="24"/>
                <w:szCs w:val="24"/>
                <w:highlight w:val="none"/>
                <w:lang w:eastAsia="zh-CN"/>
              </w:rPr>
              <w:t>我方根据施工合同的约定，现申请支付工程预付款额为</w:t>
            </w:r>
            <w:r>
              <w:rPr>
                <w:rFonts w:ascii="Calibri" w:hAnsi="Calibri" w:eastAsia="Calibri" w:cs="Calibri"/>
                <w:color w:val="auto"/>
                <w:spacing w:val="-3"/>
                <w:sz w:val="24"/>
                <w:szCs w:val="24"/>
                <w:highlight w:val="none"/>
                <w:lang w:eastAsia="zh-CN"/>
              </w:rPr>
              <w:t>(</w:t>
            </w:r>
            <w:r>
              <w:rPr>
                <w:rFonts w:ascii="宋体" w:hAnsi="宋体" w:eastAsia="宋体" w:cs="宋体"/>
                <w:color w:val="auto"/>
                <w:spacing w:val="-3"/>
                <w:sz w:val="24"/>
                <w:szCs w:val="24"/>
                <w:highlight w:val="none"/>
                <w:lang w:eastAsia="zh-CN"/>
              </w:rPr>
              <w:t>大写</w:t>
            </w:r>
            <w:r>
              <w:rPr>
                <w:rFonts w:ascii="Calibri" w:hAnsi="Calibri" w:eastAsia="Calibri" w:cs="Calibri"/>
                <w:color w:val="auto"/>
                <w:spacing w:val="-3"/>
                <w:sz w:val="24"/>
                <w:szCs w:val="24"/>
                <w:highlight w:val="none"/>
                <w:lang w:eastAsia="zh-CN"/>
              </w:rPr>
              <w:t>)</w:t>
            </w:r>
            <w:r>
              <w:rPr>
                <w:rFonts w:ascii="宋体" w:hAnsi="宋体" w:eastAsia="宋体" w:cs="宋体"/>
                <w:color w:val="auto"/>
                <w:spacing w:val="-3"/>
                <w:sz w:val="24"/>
                <w:szCs w:val="24"/>
                <w:highlight w:val="none"/>
                <w:lang w:eastAsia="zh-CN"/>
              </w:rPr>
              <w:t>元，</w:t>
            </w:r>
            <w:r>
              <w:rPr>
                <w:rFonts w:ascii="Calibri" w:hAnsi="Calibri" w:eastAsia="Calibri" w:cs="Calibri"/>
                <w:color w:val="auto"/>
                <w:spacing w:val="-3"/>
                <w:sz w:val="24"/>
                <w:szCs w:val="24"/>
                <w:highlight w:val="none"/>
                <w:lang w:eastAsia="zh-CN"/>
              </w:rPr>
              <w:t>(</w:t>
            </w:r>
            <w:r>
              <w:rPr>
                <w:rFonts w:ascii="宋体" w:hAnsi="宋体" w:eastAsia="宋体" w:cs="宋体"/>
                <w:color w:val="auto"/>
                <w:spacing w:val="-3"/>
                <w:sz w:val="24"/>
                <w:szCs w:val="24"/>
                <w:highlight w:val="none"/>
                <w:lang w:eastAsia="zh-CN"/>
              </w:rPr>
              <w:t>小写</w:t>
            </w:r>
            <w:r>
              <w:rPr>
                <w:rFonts w:ascii="Calibri" w:hAnsi="Calibri" w:eastAsia="Calibri" w:cs="Calibri"/>
                <w:color w:val="auto"/>
                <w:spacing w:val="-3"/>
                <w:sz w:val="24"/>
                <w:szCs w:val="24"/>
                <w:highlight w:val="none"/>
                <w:lang w:eastAsia="zh-CN"/>
              </w:rPr>
              <w:t>)</w:t>
            </w:r>
          </w:p>
          <w:p w14:paraId="020A862F">
            <w:pPr>
              <w:tabs>
                <w:tab w:val="left" w:pos="1053"/>
              </w:tabs>
              <w:spacing w:line="221" w:lineRule="auto"/>
              <w:ind w:left="107"/>
              <w:rPr>
                <w:rFonts w:ascii="宋体" w:hAnsi="宋体" w:eastAsia="宋体" w:cs="宋体"/>
                <w:color w:val="auto"/>
                <w:sz w:val="24"/>
                <w:szCs w:val="24"/>
                <w:highlight w:val="none"/>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13"/>
                <w:sz w:val="24"/>
                <w:szCs w:val="24"/>
                <w:highlight w:val="none"/>
              </w:rPr>
              <w:t>元，请予核准。</w:t>
            </w:r>
          </w:p>
          <w:p w14:paraId="5483AE68">
            <w:pPr>
              <w:spacing w:line="37" w:lineRule="exact"/>
              <w:rPr>
                <w:color w:val="auto"/>
                <w:sz w:val="24"/>
                <w:szCs w:val="24"/>
                <w:highlight w:val="none"/>
              </w:rPr>
            </w:pPr>
          </w:p>
          <w:tbl>
            <w:tblPr>
              <w:tblStyle w:val="88"/>
              <w:tblW w:w="8965"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0"/>
              <w:gridCol w:w="3339"/>
              <w:gridCol w:w="1763"/>
              <w:gridCol w:w="2239"/>
              <w:gridCol w:w="1084"/>
            </w:tblGrid>
            <w:tr w14:paraId="4239C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540" w:type="dxa"/>
                  <w:textDirection w:val="tbRlV"/>
                </w:tcPr>
                <w:p w14:paraId="2704AE1B">
                  <w:pPr>
                    <w:spacing w:before="163"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339" w:type="dxa"/>
                </w:tcPr>
                <w:p w14:paraId="1D8227AB">
                  <w:pPr>
                    <w:spacing w:before="187" w:line="223" w:lineRule="auto"/>
                    <w:ind w:left="1150"/>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763" w:type="dxa"/>
                </w:tcPr>
                <w:p w14:paraId="76B9498A">
                  <w:pPr>
                    <w:spacing w:before="187" w:line="221" w:lineRule="auto"/>
                    <w:ind w:left="17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申请金额（元）</w:t>
                  </w:r>
                </w:p>
              </w:tc>
              <w:tc>
                <w:tcPr>
                  <w:tcW w:w="2239" w:type="dxa"/>
                </w:tcPr>
                <w:p w14:paraId="3CA8178D">
                  <w:pPr>
                    <w:spacing w:before="187" w:line="221" w:lineRule="auto"/>
                    <w:ind w:left="396"/>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复核金额（元）</w:t>
                  </w:r>
                </w:p>
              </w:tc>
              <w:tc>
                <w:tcPr>
                  <w:tcW w:w="1084" w:type="dxa"/>
                </w:tcPr>
                <w:p w14:paraId="037FC2D7">
                  <w:pPr>
                    <w:spacing w:before="187" w:line="222" w:lineRule="auto"/>
                    <w:ind w:left="339"/>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073DF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40" w:type="dxa"/>
                </w:tcPr>
                <w:p w14:paraId="2D854BA5">
                  <w:pPr>
                    <w:spacing w:before="90" w:line="172"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339" w:type="dxa"/>
                </w:tcPr>
                <w:p w14:paraId="16E6573C">
                  <w:pPr>
                    <w:spacing w:before="43" w:line="203" w:lineRule="auto"/>
                    <w:ind w:left="134"/>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已签约合同价款金额</w:t>
                  </w:r>
                </w:p>
              </w:tc>
              <w:tc>
                <w:tcPr>
                  <w:tcW w:w="1763" w:type="dxa"/>
                </w:tcPr>
                <w:p w14:paraId="0370118F">
                  <w:pPr>
                    <w:pStyle w:val="98"/>
                    <w:rPr>
                      <w:color w:val="auto"/>
                      <w:sz w:val="24"/>
                      <w:szCs w:val="24"/>
                      <w:highlight w:val="none"/>
                    </w:rPr>
                  </w:pPr>
                </w:p>
              </w:tc>
              <w:tc>
                <w:tcPr>
                  <w:tcW w:w="2239" w:type="dxa"/>
                </w:tcPr>
                <w:p w14:paraId="46377FAC">
                  <w:pPr>
                    <w:pStyle w:val="98"/>
                    <w:rPr>
                      <w:color w:val="auto"/>
                      <w:sz w:val="24"/>
                      <w:szCs w:val="24"/>
                      <w:highlight w:val="none"/>
                    </w:rPr>
                  </w:pPr>
                </w:p>
              </w:tc>
              <w:tc>
                <w:tcPr>
                  <w:tcW w:w="1084" w:type="dxa"/>
                </w:tcPr>
                <w:p w14:paraId="40E8580C">
                  <w:pPr>
                    <w:pStyle w:val="98"/>
                    <w:rPr>
                      <w:color w:val="auto"/>
                      <w:sz w:val="24"/>
                      <w:szCs w:val="24"/>
                      <w:highlight w:val="none"/>
                    </w:rPr>
                  </w:pPr>
                </w:p>
              </w:tc>
            </w:tr>
            <w:tr w14:paraId="5D537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40" w:type="dxa"/>
                </w:tcPr>
                <w:p w14:paraId="17D53F5E">
                  <w:pPr>
                    <w:spacing w:before="91" w:line="172"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339" w:type="dxa"/>
                </w:tcPr>
                <w:p w14:paraId="27AD4A3F">
                  <w:pPr>
                    <w:spacing w:before="45" w:line="202" w:lineRule="auto"/>
                    <w:ind w:left="112"/>
                    <w:rPr>
                      <w:rFonts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lang w:eastAsia="zh-CN"/>
                    </w:rPr>
                    <w:t>其中： 安全文明施工费</w:t>
                  </w:r>
                </w:p>
              </w:tc>
              <w:tc>
                <w:tcPr>
                  <w:tcW w:w="1763" w:type="dxa"/>
                </w:tcPr>
                <w:p w14:paraId="43F38FAE">
                  <w:pPr>
                    <w:pStyle w:val="98"/>
                    <w:rPr>
                      <w:color w:val="auto"/>
                      <w:sz w:val="24"/>
                      <w:szCs w:val="24"/>
                      <w:highlight w:val="none"/>
                      <w:lang w:eastAsia="zh-CN"/>
                    </w:rPr>
                  </w:pPr>
                </w:p>
              </w:tc>
              <w:tc>
                <w:tcPr>
                  <w:tcW w:w="2239" w:type="dxa"/>
                </w:tcPr>
                <w:p w14:paraId="0112900D">
                  <w:pPr>
                    <w:pStyle w:val="98"/>
                    <w:rPr>
                      <w:color w:val="auto"/>
                      <w:sz w:val="24"/>
                      <w:szCs w:val="24"/>
                      <w:highlight w:val="none"/>
                      <w:lang w:eastAsia="zh-CN"/>
                    </w:rPr>
                  </w:pPr>
                </w:p>
              </w:tc>
              <w:tc>
                <w:tcPr>
                  <w:tcW w:w="1084" w:type="dxa"/>
                </w:tcPr>
                <w:p w14:paraId="19B0F7F6">
                  <w:pPr>
                    <w:pStyle w:val="98"/>
                    <w:rPr>
                      <w:color w:val="auto"/>
                      <w:sz w:val="24"/>
                      <w:szCs w:val="24"/>
                      <w:highlight w:val="none"/>
                      <w:lang w:eastAsia="zh-CN"/>
                    </w:rPr>
                  </w:pPr>
                </w:p>
              </w:tc>
            </w:tr>
            <w:tr w14:paraId="27690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40" w:type="dxa"/>
                </w:tcPr>
                <w:p w14:paraId="7141C4F8">
                  <w:pPr>
                    <w:spacing w:before="91" w:line="169"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339" w:type="dxa"/>
                </w:tcPr>
                <w:p w14:paraId="7998C57C">
                  <w:pPr>
                    <w:spacing w:before="45" w:line="199" w:lineRule="auto"/>
                    <w:ind w:left="111"/>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应支付的预付款</w:t>
                  </w:r>
                </w:p>
              </w:tc>
              <w:tc>
                <w:tcPr>
                  <w:tcW w:w="1763" w:type="dxa"/>
                </w:tcPr>
                <w:p w14:paraId="28235B56">
                  <w:pPr>
                    <w:pStyle w:val="98"/>
                    <w:rPr>
                      <w:color w:val="auto"/>
                      <w:sz w:val="24"/>
                      <w:szCs w:val="24"/>
                      <w:highlight w:val="none"/>
                    </w:rPr>
                  </w:pPr>
                </w:p>
              </w:tc>
              <w:tc>
                <w:tcPr>
                  <w:tcW w:w="2239" w:type="dxa"/>
                </w:tcPr>
                <w:p w14:paraId="7EE91E2A">
                  <w:pPr>
                    <w:pStyle w:val="98"/>
                    <w:rPr>
                      <w:color w:val="auto"/>
                      <w:sz w:val="24"/>
                      <w:szCs w:val="24"/>
                      <w:highlight w:val="none"/>
                    </w:rPr>
                  </w:pPr>
                </w:p>
              </w:tc>
              <w:tc>
                <w:tcPr>
                  <w:tcW w:w="1084" w:type="dxa"/>
                </w:tcPr>
                <w:p w14:paraId="2476CE59">
                  <w:pPr>
                    <w:pStyle w:val="98"/>
                    <w:rPr>
                      <w:color w:val="auto"/>
                      <w:sz w:val="24"/>
                      <w:szCs w:val="24"/>
                      <w:highlight w:val="none"/>
                    </w:rPr>
                  </w:pPr>
                </w:p>
              </w:tc>
            </w:tr>
            <w:tr w14:paraId="32D6D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40" w:type="dxa"/>
                </w:tcPr>
                <w:p w14:paraId="6222BD33">
                  <w:pPr>
                    <w:spacing w:before="96" w:line="166"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339" w:type="dxa"/>
                </w:tcPr>
                <w:p w14:paraId="6301F73A">
                  <w:pPr>
                    <w:spacing w:before="48" w:line="198" w:lineRule="auto"/>
                    <w:ind w:left="111"/>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应支付的安全文明施工费预付款</w:t>
                  </w:r>
                </w:p>
              </w:tc>
              <w:tc>
                <w:tcPr>
                  <w:tcW w:w="1763" w:type="dxa"/>
                </w:tcPr>
                <w:p w14:paraId="7419C410">
                  <w:pPr>
                    <w:pStyle w:val="98"/>
                    <w:rPr>
                      <w:color w:val="auto"/>
                      <w:sz w:val="24"/>
                      <w:szCs w:val="24"/>
                      <w:highlight w:val="none"/>
                      <w:lang w:eastAsia="zh-CN"/>
                    </w:rPr>
                  </w:pPr>
                </w:p>
              </w:tc>
              <w:tc>
                <w:tcPr>
                  <w:tcW w:w="2239" w:type="dxa"/>
                </w:tcPr>
                <w:p w14:paraId="2A3844F5">
                  <w:pPr>
                    <w:pStyle w:val="98"/>
                    <w:rPr>
                      <w:color w:val="auto"/>
                      <w:sz w:val="24"/>
                      <w:szCs w:val="24"/>
                      <w:highlight w:val="none"/>
                      <w:lang w:eastAsia="zh-CN"/>
                    </w:rPr>
                  </w:pPr>
                </w:p>
              </w:tc>
              <w:tc>
                <w:tcPr>
                  <w:tcW w:w="1084" w:type="dxa"/>
                </w:tcPr>
                <w:p w14:paraId="70E11665">
                  <w:pPr>
                    <w:pStyle w:val="98"/>
                    <w:rPr>
                      <w:color w:val="auto"/>
                      <w:sz w:val="24"/>
                      <w:szCs w:val="24"/>
                      <w:highlight w:val="none"/>
                      <w:lang w:eastAsia="zh-CN"/>
                    </w:rPr>
                  </w:pPr>
                </w:p>
              </w:tc>
            </w:tr>
            <w:tr w14:paraId="72240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540" w:type="dxa"/>
                </w:tcPr>
                <w:p w14:paraId="491A0DC7">
                  <w:pPr>
                    <w:spacing w:before="95" w:line="167"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5</w:t>
                  </w:r>
                </w:p>
              </w:tc>
              <w:tc>
                <w:tcPr>
                  <w:tcW w:w="3339" w:type="dxa"/>
                </w:tcPr>
                <w:p w14:paraId="23C36C7A">
                  <w:pPr>
                    <w:spacing w:before="47" w:line="199" w:lineRule="auto"/>
                    <w:ind w:left="11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合计应支付的预付款</w:t>
                  </w:r>
                </w:p>
              </w:tc>
              <w:tc>
                <w:tcPr>
                  <w:tcW w:w="1763" w:type="dxa"/>
                </w:tcPr>
                <w:p w14:paraId="2F38E663">
                  <w:pPr>
                    <w:pStyle w:val="98"/>
                    <w:rPr>
                      <w:color w:val="auto"/>
                      <w:sz w:val="24"/>
                      <w:szCs w:val="24"/>
                      <w:highlight w:val="none"/>
                    </w:rPr>
                  </w:pPr>
                </w:p>
              </w:tc>
              <w:tc>
                <w:tcPr>
                  <w:tcW w:w="2239" w:type="dxa"/>
                </w:tcPr>
                <w:p w14:paraId="1B168BB6">
                  <w:pPr>
                    <w:pStyle w:val="98"/>
                    <w:rPr>
                      <w:color w:val="auto"/>
                      <w:sz w:val="24"/>
                      <w:szCs w:val="24"/>
                      <w:highlight w:val="none"/>
                    </w:rPr>
                  </w:pPr>
                </w:p>
              </w:tc>
              <w:tc>
                <w:tcPr>
                  <w:tcW w:w="1084" w:type="dxa"/>
                </w:tcPr>
                <w:p w14:paraId="44459564">
                  <w:pPr>
                    <w:pStyle w:val="98"/>
                    <w:rPr>
                      <w:color w:val="auto"/>
                      <w:sz w:val="24"/>
                      <w:szCs w:val="24"/>
                      <w:highlight w:val="none"/>
                    </w:rPr>
                  </w:pPr>
                </w:p>
              </w:tc>
            </w:tr>
            <w:tr w14:paraId="1C7D8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540" w:type="dxa"/>
                  <w:tcBorders>
                    <w:bottom w:val="nil"/>
                  </w:tcBorders>
                </w:tcPr>
                <w:p w14:paraId="42136C9C">
                  <w:pPr>
                    <w:pStyle w:val="98"/>
                    <w:rPr>
                      <w:color w:val="auto"/>
                      <w:sz w:val="24"/>
                      <w:szCs w:val="24"/>
                      <w:highlight w:val="none"/>
                    </w:rPr>
                  </w:pPr>
                </w:p>
              </w:tc>
              <w:tc>
                <w:tcPr>
                  <w:tcW w:w="3339" w:type="dxa"/>
                  <w:tcBorders>
                    <w:bottom w:val="nil"/>
                  </w:tcBorders>
                </w:tcPr>
                <w:p w14:paraId="453F1ECD">
                  <w:pPr>
                    <w:pStyle w:val="98"/>
                    <w:rPr>
                      <w:color w:val="auto"/>
                      <w:sz w:val="24"/>
                      <w:szCs w:val="24"/>
                      <w:highlight w:val="none"/>
                    </w:rPr>
                  </w:pPr>
                </w:p>
              </w:tc>
              <w:tc>
                <w:tcPr>
                  <w:tcW w:w="1763" w:type="dxa"/>
                  <w:tcBorders>
                    <w:bottom w:val="nil"/>
                  </w:tcBorders>
                </w:tcPr>
                <w:p w14:paraId="6BD1B2C6">
                  <w:pPr>
                    <w:pStyle w:val="98"/>
                    <w:rPr>
                      <w:color w:val="auto"/>
                      <w:sz w:val="24"/>
                      <w:szCs w:val="24"/>
                      <w:highlight w:val="none"/>
                    </w:rPr>
                  </w:pPr>
                </w:p>
              </w:tc>
              <w:tc>
                <w:tcPr>
                  <w:tcW w:w="2239" w:type="dxa"/>
                  <w:tcBorders>
                    <w:bottom w:val="nil"/>
                  </w:tcBorders>
                </w:tcPr>
                <w:p w14:paraId="6A65936D">
                  <w:pPr>
                    <w:pStyle w:val="98"/>
                    <w:rPr>
                      <w:color w:val="auto"/>
                      <w:sz w:val="24"/>
                      <w:szCs w:val="24"/>
                      <w:highlight w:val="none"/>
                    </w:rPr>
                  </w:pPr>
                </w:p>
              </w:tc>
              <w:tc>
                <w:tcPr>
                  <w:tcW w:w="1084" w:type="dxa"/>
                  <w:tcBorders>
                    <w:bottom w:val="nil"/>
                  </w:tcBorders>
                </w:tcPr>
                <w:p w14:paraId="56C6BF54">
                  <w:pPr>
                    <w:pStyle w:val="98"/>
                    <w:rPr>
                      <w:color w:val="auto"/>
                      <w:sz w:val="24"/>
                      <w:szCs w:val="24"/>
                      <w:highlight w:val="none"/>
                    </w:rPr>
                  </w:pPr>
                </w:p>
              </w:tc>
            </w:tr>
          </w:tbl>
          <w:p w14:paraId="680440BD">
            <w:pPr>
              <w:pStyle w:val="98"/>
              <w:spacing w:line="14" w:lineRule="auto"/>
              <w:rPr>
                <w:color w:val="auto"/>
                <w:sz w:val="24"/>
                <w:szCs w:val="24"/>
                <w:highlight w:val="none"/>
              </w:rPr>
            </w:pPr>
          </w:p>
        </w:tc>
      </w:tr>
      <w:tr w14:paraId="428C7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5" w:hRule="atLeast"/>
        </w:trPr>
        <w:tc>
          <w:tcPr>
            <w:tcW w:w="9303" w:type="dxa"/>
            <w:gridSpan w:val="2"/>
          </w:tcPr>
          <w:p w14:paraId="1DED0823">
            <w:pPr>
              <w:pStyle w:val="98"/>
              <w:spacing w:line="469" w:lineRule="auto"/>
              <w:rPr>
                <w:color w:val="auto"/>
                <w:sz w:val="24"/>
                <w:szCs w:val="24"/>
                <w:highlight w:val="none"/>
                <w:lang w:eastAsia="zh-CN"/>
              </w:rPr>
            </w:pPr>
          </w:p>
          <w:p w14:paraId="2734C6FE">
            <w:pPr>
              <w:spacing w:before="68" w:line="220" w:lineRule="auto"/>
              <w:ind w:left="4736"/>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7A9E8D02">
            <w:pPr>
              <w:spacing w:before="148" w:line="219"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3D113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4" w:hRule="atLeast"/>
        </w:trPr>
        <w:tc>
          <w:tcPr>
            <w:tcW w:w="4637" w:type="dxa"/>
          </w:tcPr>
          <w:p w14:paraId="6FAD5EF9">
            <w:pPr>
              <w:spacing w:before="108"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034E9A1">
            <w:pPr>
              <w:spacing w:before="108" w:line="220" w:lineRule="auto"/>
              <w:ind w:left="449"/>
              <w:rPr>
                <w:rFonts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lang w:eastAsia="zh-CN"/>
              </w:rPr>
              <w:t>□与合同约定不相符，修改意见见附件。</w:t>
            </w:r>
          </w:p>
          <w:p w14:paraId="1CD98AA0">
            <w:pPr>
              <w:spacing w:before="109" w:line="269" w:lineRule="auto"/>
              <w:ind w:left="118" w:right="102" w:firstLine="33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□与合同约定相符，具体金额由造价工程师复</w:t>
            </w:r>
            <w:r>
              <w:rPr>
                <w:rFonts w:ascii="宋体" w:hAnsi="宋体" w:eastAsia="宋体" w:cs="宋体"/>
                <w:color w:val="auto"/>
                <w:spacing w:val="-10"/>
                <w:sz w:val="24"/>
                <w:szCs w:val="24"/>
                <w:highlight w:val="none"/>
                <w:lang w:eastAsia="zh-CN"/>
              </w:rPr>
              <w:t>核。</w:t>
            </w:r>
          </w:p>
          <w:p w14:paraId="14A87CB6">
            <w:pPr>
              <w:pStyle w:val="98"/>
              <w:spacing w:line="397" w:lineRule="auto"/>
              <w:rPr>
                <w:color w:val="auto"/>
                <w:sz w:val="24"/>
                <w:szCs w:val="24"/>
                <w:highlight w:val="none"/>
                <w:lang w:eastAsia="zh-CN"/>
              </w:rPr>
            </w:pPr>
          </w:p>
          <w:p w14:paraId="65276619">
            <w:pPr>
              <w:spacing w:before="69" w:line="269" w:lineRule="auto"/>
              <w:ind w:left="2476" w:right="105" w:firstLine="14"/>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75CA9C2B">
            <w:pPr>
              <w:spacing w:before="69" w:line="269" w:lineRule="auto"/>
              <w:ind w:left="2476" w:right="105" w:firstLine="14"/>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日期</w:t>
            </w:r>
          </w:p>
        </w:tc>
        <w:tc>
          <w:tcPr>
            <w:tcW w:w="4666" w:type="dxa"/>
          </w:tcPr>
          <w:p w14:paraId="25BC6C70">
            <w:pPr>
              <w:spacing w:before="108" w:line="221" w:lineRule="auto"/>
              <w:ind w:left="11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7873FDF7">
            <w:pPr>
              <w:spacing w:before="110" w:line="272" w:lineRule="auto"/>
              <w:ind w:left="115" w:right="105" w:firstLine="433"/>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你方提出的支付申请经复核，应支付预付款</w:t>
            </w:r>
            <w:r>
              <w:rPr>
                <w:rFonts w:ascii="宋体" w:hAnsi="宋体" w:eastAsia="宋体" w:cs="宋体"/>
                <w:color w:val="auto"/>
                <w:spacing w:val="1"/>
                <w:sz w:val="24"/>
                <w:szCs w:val="24"/>
                <w:highlight w:val="none"/>
                <w:lang w:eastAsia="zh-CN"/>
              </w:rPr>
              <w:t>金额为</w:t>
            </w:r>
            <w:r>
              <w:rPr>
                <w:rFonts w:ascii="Calibri" w:hAnsi="Calibri" w:eastAsia="Calibri" w:cs="Calibri"/>
                <w:color w:val="auto"/>
                <w:spacing w:val="1"/>
                <w:sz w:val="24"/>
                <w:szCs w:val="24"/>
                <w:highlight w:val="none"/>
                <w:lang w:eastAsia="zh-CN"/>
              </w:rPr>
              <w:t>(</w:t>
            </w:r>
            <w:r>
              <w:rPr>
                <w:rFonts w:ascii="宋体" w:hAnsi="宋体" w:eastAsia="宋体" w:cs="宋体"/>
                <w:color w:val="auto"/>
                <w:spacing w:val="1"/>
                <w:sz w:val="24"/>
                <w:szCs w:val="24"/>
                <w:highlight w:val="none"/>
                <w:lang w:eastAsia="zh-CN"/>
              </w:rPr>
              <w:t>大写</w:t>
            </w:r>
            <w:r>
              <w:rPr>
                <w:rFonts w:ascii="Calibri" w:hAnsi="Calibri" w:eastAsia="Calibri" w:cs="Calibri"/>
                <w:color w:val="auto"/>
                <w:spacing w:val="1"/>
                <w:sz w:val="24"/>
                <w:szCs w:val="24"/>
                <w:highlight w:val="none"/>
                <w:lang w:eastAsia="zh-CN"/>
              </w:rPr>
              <w:t>)</w:t>
            </w:r>
            <w:r>
              <w:rPr>
                <w:rFonts w:ascii="宋体" w:hAnsi="宋体" w:eastAsia="宋体" w:cs="宋体"/>
                <w:color w:val="auto"/>
                <w:sz w:val="24"/>
                <w:szCs w:val="24"/>
                <w:highlight w:val="none"/>
                <w:lang w:eastAsia="zh-CN"/>
              </w:rPr>
              <w:t>元</w:t>
            </w:r>
            <w:r>
              <w:rPr>
                <w:rFonts w:ascii="宋体" w:hAnsi="宋体" w:eastAsia="宋体" w:cs="宋体"/>
                <w:color w:val="auto"/>
                <w:spacing w:val="-50"/>
                <w:w w:val="91"/>
                <w:sz w:val="24"/>
                <w:szCs w:val="24"/>
                <w:highlight w:val="none"/>
                <w:lang w:eastAsia="zh-CN"/>
              </w:rPr>
              <w:t>，（</w:t>
            </w:r>
            <w:r>
              <w:rPr>
                <w:rFonts w:ascii="宋体" w:hAnsi="宋体" w:eastAsia="宋体" w:cs="宋体"/>
                <w:color w:val="auto"/>
                <w:sz w:val="24"/>
                <w:szCs w:val="24"/>
                <w:highlight w:val="none"/>
                <w:lang w:eastAsia="zh-CN"/>
              </w:rPr>
              <w:t>小写）</w:t>
            </w:r>
          </w:p>
          <w:p w14:paraId="18EB47F0">
            <w:pPr>
              <w:tabs>
                <w:tab w:val="left" w:pos="1156"/>
              </w:tabs>
              <w:spacing w:before="100" w:line="221" w:lineRule="auto"/>
              <w:ind w:left="105"/>
              <w:rPr>
                <w:rFonts w:ascii="宋体" w:hAnsi="宋体" w:eastAsia="宋体" w:cs="宋体"/>
                <w:color w:val="auto"/>
                <w:sz w:val="24"/>
                <w:szCs w:val="24"/>
                <w:highlight w:val="none"/>
              </w:rPr>
            </w:pPr>
            <w:r>
              <w:rPr>
                <w:rFonts w:ascii="宋体" w:hAnsi="宋体" w:eastAsia="宋体" w:cs="宋体"/>
                <w:color w:val="auto"/>
                <w:sz w:val="24"/>
                <w:szCs w:val="24"/>
                <w:highlight w:val="none"/>
                <w:u w:val="single"/>
                <w:lang w:eastAsia="zh-CN"/>
              </w:rPr>
              <w:tab/>
            </w:r>
            <w:r>
              <w:rPr>
                <w:rFonts w:ascii="宋体" w:hAnsi="宋体" w:eastAsia="宋体" w:cs="宋体"/>
                <w:color w:val="auto"/>
                <w:spacing w:val="-11"/>
                <w:sz w:val="24"/>
                <w:szCs w:val="24"/>
                <w:highlight w:val="none"/>
              </w:rPr>
              <w:t>元。</w:t>
            </w:r>
          </w:p>
          <w:p w14:paraId="24FE1576">
            <w:pPr>
              <w:pStyle w:val="98"/>
              <w:spacing w:line="397" w:lineRule="auto"/>
              <w:rPr>
                <w:color w:val="auto"/>
                <w:sz w:val="24"/>
                <w:szCs w:val="24"/>
                <w:highlight w:val="none"/>
              </w:rPr>
            </w:pPr>
          </w:p>
          <w:p w14:paraId="1B3B0733">
            <w:pPr>
              <w:spacing w:before="68" w:line="269" w:lineRule="auto"/>
              <w:ind w:left="2488" w:right="107" w:hanging="37"/>
              <w:rPr>
                <w:rFonts w:ascii="宋体" w:hAnsi="宋体" w:eastAsia="宋体" w:cs="宋体"/>
                <w:color w:val="auto"/>
                <w:sz w:val="24"/>
                <w:szCs w:val="24"/>
                <w:highlight w:val="none"/>
              </w:rPr>
            </w:pPr>
            <w:r>
              <w:rPr>
                <w:rFonts w:ascii="宋体" w:hAnsi="宋体" w:eastAsia="宋体" w:cs="宋体"/>
                <w:color w:val="auto"/>
                <w:sz w:val="24"/>
                <w:szCs w:val="24"/>
                <w:highlight w:val="none"/>
              </w:rPr>
              <w:t>造价工程师</w:t>
            </w:r>
          </w:p>
          <w:p w14:paraId="168C3E58">
            <w:pPr>
              <w:spacing w:before="68" w:line="269" w:lineRule="auto"/>
              <w:ind w:left="2488" w:right="107" w:hanging="37"/>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日期</w:t>
            </w:r>
          </w:p>
        </w:tc>
      </w:tr>
      <w:tr w14:paraId="04C31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1" w:hRule="atLeast"/>
        </w:trPr>
        <w:tc>
          <w:tcPr>
            <w:tcW w:w="9303" w:type="dxa"/>
            <w:gridSpan w:val="2"/>
          </w:tcPr>
          <w:p w14:paraId="3F0B9520">
            <w:pPr>
              <w:spacing w:before="144"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1504C9C3">
            <w:pPr>
              <w:spacing w:before="147"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5B2C7E82">
            <w:pPr>
              <w:spacing w:before="147"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5A536971">
            <w:pPr>
              <w:spacing w:before="150" w:line="220" w:lineRule="auto"/>
              <w:ind w:left="678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5C498E4F">
            <w:pPr>
              <w:spacing w:before="148" w:line="352" w:lineRule="auto"/>
              <w:ind w:left="6787"/>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49ABCC51">
            <w:pPr>
              <w:spacing w:line="221" w:lineRule="auto"/>
              <w:ind w:left="6820"/>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       期</w:t>
            </w:r>
          </w:p>
        </w:tc>
      </w:tr>
    </w:tbl>
    <w:p w14:paraId="09B5CB2B">
      <w:pPr>
        <w:pStyle w:val="19"/>
        <w:spacing w:before="145" w:line="220" w:lineRule="auto"/>
        <w:ind w:left="686"/>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w:t>
      </w:r>
    </w:p>
    <w:p w14:paraId="029508B9">
      <w:pPr>
        <w:pStyle w:val="19"/>
        <w:spacing w:before="138" w:line="185" w:lineRule="auto"/>
        <w:ind w:left="1051"/>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0A49C162">
      <w:pPr>
        <w:rPr>
          <w:color w:val="auto"/>
          <w:highlight w:val="none"/>
          <w:lang w:eastAsia="zh-CN"/>
        </w:rPr>
        <w:sectPr>
          <w:headerReference r:id="rId10" w:type="default"/>
          <w:footerReference r:id="rId11" w:type="default"/>
          <w:pgSz w:w="11907" w:h="16841"/>
          <w:pgMar w:top="1429" w:right="1440" w:bottom="1270" w:left="1786" w:header="0" w:footer="1106" w:gutter="0"/>
          <w:pgBorders>
            <w:top w:val="none" w:sz="0" w:space="0"/>
            <w:left w:val="none" w:sz="0" w:space="0"/>
            <w:bottom w:val="none" w:sz="0" w:space="0"/>
            <w:right w:val="none" w:sz="0" w:space="0"/>
          </w:pgBorders>
          <w:pgNumType w:fmt="decimal"/>
          <w:cols w:space="425" w:num="1"/>
        </w:sectPr>
      </w:pPr>
    </w:p>
    <w:p w14:paraId="7B586C73">
      <w:pPr>
        <w:spacing w:before="71" w:line="849" w:lineRule="exact"/>
        <w:rPr>
          <w:color w:val="auto"/>
          <w:sz w:val="36"/>
          <w:szCs w:val="36"/>
          <w:highlight w:val="none"/>
          <w:lang w:eastAsia="zh-CN"/>
        </w:rPr>
      </w:pPr>
      <w:r>
        <w:rPr>
          <w:rFonts w:ascii="仿宋" w:hAnsi="仿宋" w:eastAsia="仿宋" w:cs="仿宋"/>
          <w:color w:val="auto"/>
          <w:spacing w:val="-12"/>
          <w:position w:val="42"/>
          <w:sz w:val="30"/>
          <w:szCs w:val="30"/>
          <w:highlight w:val="none"/>
          <w:lang w:eastAsia="zh-CN"/>
        </w:rPr>
        <w:t>附件</w:t>
      </w:r>
      <w:r>
        <w:rPr>
          <w:rFonts w:ascii="Calibri" w:hAnsi="Calibri" w:eastAsia="Calibri" w:cs="Calibri"/>
          <w:color w:val="auto"/>
          <w:spacing w:val="-12"/>
          <w:position w:val="42"/>
          <w:sz w:val="30"/>
          <w:szCs w:val="30"/>
          <w:highlight w:val="none"/>
          <w:lang w:eastAsia="zh-CN"/>
        </w:rPr>
        <w:t>11</w:t>
      </w:r>
      <w:r>
        <w:rPr>
          <w:rFonts w:ascii="仿宋" w:hAnsi="仿宋" w:eastAsia="仿宋" w:cs="仿宋"/>
          <w:color w:val="auto"/>
          <w:spacing w:val="-12"/>
          <w:position w:val="42"/>
          <w:sz w:val="30"/>
          <w:szCs w:val="30"/>
          <w:highlight w:val="none"/>
          <w:lang w:eastAsia="zh-CN"/>
        </w:rPr>
        <w:t>：</w:t>
      </w:r>
      <w:r>
        <w:rPr>
          <w:color w:val="auto"/>
          <w:spacing w:val="1"/>
          <w:sz w:val="36"/>
          <w:szCs w:val="36"/>
          <w:highlight w:val="none"/>
          <w:lang w:eastAsia="zh-CN"/>
        </w:rPr>
        <w:t>进度款支付申请（核准）表</w:t>
      </w:r>
    </w:p>
    <w:p w14:paraId="15B89E83">
      <w:pPr>
        <w:pStyle w:val="19"/>
        <w:spacing w:before="22" w:line="185" w:lineRule="auto"/>
        <w:rPr>
          <w:color w:val="auto"/>
          <w:sz w:val="24"/>
          <w:szCs w:val="24"/>
          <w:highlight w:val="none"/>
        </w:rPr>
      </w:pPr>
      <w:r>
        <w:rPr>
          <w:rFonts w:hint="eastAsia"/>
          <w:color w:val="auto"/>
          <w:spacing w:val="-15"/>
          <w:sz w:val="24"/>
          <w:szCs w:val="24"/>
          <w:highlight w:val="none"/>
          <w:lang w:eastAsia="zh-CN"/>
        </w:rPr>
        <w:t xml:space="preserve">工程名称：                                        </w:t>
      </w:r>
      <w:r>
        <w:rPr>
          <w:color w:val="auto"/>
          <w:spacing w:val="-15"/>
          <w:sz w:val="24"/>
          <w:szCs w:val="24"/>
          <w:highlight w:val="none"/>
        </w:rPr>
        <w:t>编号：</w:t>
      </w:r>
    </w:p>
    <w:tbl>
      <w:tblPr>
        <w:tblStyle w:val="88"/>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24"/>
        <w:gridCol w:w="4554"/>
      </w:tblGrid>
      <w:tr w14:paraId="7A4F4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2" w:hRule="atLeast"/>
        </w:trPr>
        <w:tc>
          <w:tcPr>
            <w:tcW w:w="9078" w:type="dxa"/>
            <w:gridSpan w:val="2"/>
          </w:tcPr>
          <w:p w14:paraId="3482EB12">
            <w:pPr>
              <w:spacing w:before="207" w:line="221"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34CAF040">
            <w:pPr>
              <w:spacing w:before="163" w:line="352" w:lineRule="auto"/>
              <w:ind w:left="429"/>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我方于至期间已完成了</w:t>
            </w:r>
            <w:r>
              <w:rPr>
                <w:rFonts w:ascii="宋体" w:hAnsi="宋体" w:eastAsia="宋体" w:cs="宋体"/>
                <w:color w:val="auto"/>
                <w:spacing w:val="-5"/>
                <w:sz w:val="24"/>
                <w:szCs w:val="24"/>
                <w:highlight w:val="none"/>
                <w:lang w:eastAsia="zh-CN"/>
              </w:rPr>
              <w:t>工作，根据施工合同的约定，现</w:t>
            </w:r>
          </w:p>
          <w:p w14:paraId="282408DC">
            <w:pPr>
              <w:spacing w:line="228" w:lineRule="auto"/>
              <w:ind w:left="138"/>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lang w:eastAsia="zh-CN"/>
              </w:rPr>
              <w:t>申请支付本期的合同款额为</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大写</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 xml:space="preserve">元， </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小写</w:t>
            </w:r>
            <w:r>
              <w:rPr>
                <w:rFonts w:ascii="Calibri" w:hAnsi="Calibri" w:eastAsia="Calibri" w:cs="Calibri"/>
                <w:color w:val="auto"/>
                <w:spacing w:val="-5"/>
                <w:sz w:val="24"/>
                <w:szCs w:val="24"/>
                <w:highlight w:val="none"/>
                <w:lang w:eastAsia="zh-CN"/>
              </w:rPr>
              <w:t>)</w:t>
            </w:r>
            <w:r>
              <w:rPr>
                <w:rFonts w:ascii="宋体" w:hAnsi="宋体" w:eastAsia="宋体" w:cs="宋体"/>
                <w:color w:val="auto"/>
                <w:spacing w:val="-5"/>
                <w:sz w:val="24"/>
                <w:szCs w:val="24"/>
                <w:highlight w:val="none"/>
                <w:lang w:eastAsia="zh-CN"/>
              </w:rPr>
              <w:t>元，请予核准。</w:t>
            </w:r>
          </w:p>
          <w:p w14:paraId="5457D938">
            <w:pPr>
              <w:spacing w:line="29" w:lineRule="exact"/>
              <w:rPr>
                <w:color w:val="auto"/>
                <w:sz w:val="24"/>
                <w:szCs w:val="24"/>
                <w:highlight w:val="none"/>
                <w:lang w:eastAsia="zh-CN"/>
              </w:rPr>
            </w:pPr>
          </w:p>
          <w:tbl>
            <w:tblPr>
              <w:tblStyle w:val="88"/>
              <w:tblW w:w="8739"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3275"/>
              <w:gridCol w:w="1327"/>
              <w:gridCol w:w="1425"/>
              <w:gridCol w:w="1250"/>
              <w:gridCol w:w="923"/>
            </w:tblGrid>
            <w:tr w14:paraId="2B0F9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textDirection w:val="tbRlV"/>
                </w:tcPr>
                <w:p w14:paraId="1348553D">
                  <w:pPr>
                    <w:spacing w:before="162"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275" w:type="dxa"/>
                </w:tcPr>
                <w:p w14:paraId="27975A5E">
                  <w:pPr>
                    <w:spacing w:before="187" w:line="223" w:lineRule="auto"/>
                    <w:ind w:left="1117"/>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327" w:type="dxa"/>
                </w:tcPr>
                <w:p w14:paraId="4ADB59F5">
                  <w:pPr>
                    <w:spacing w:before="48" w:line="225" w:lineRule="auto"/>
                    <w:ind w:left="359" w:right="239" w:hanging="10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实际金额</w:t>
                  </w:r>
                  <w:r>
                    <w:rPr>
                      <w:rFonts w:ascii="宋体" w:hAnsi="宋体" w:eastAsia="宋体" w:cs="宋体"/>
                      <w:color w:val="auto"/>
                      <w:spacing w:val="-6"/>
                      <w:sz w:val="24"/>
                      <w:szCs w:val="24"/>
                      <w:highlight w:val="none"/>
                    </w:rPr>
                    <w:t>（元）</w:t>
                  </w:r>
                </w:p>
              </w:tc>
              <w:tc>
                <w:tcPr>
                  <w:tcW w:w="1425" w:type="dxa"/>
                </w:tcPr>
                <w:p w14:paraId="2F897747">
                  <w:pPr>
                    <w:spacing w:before="48" w:line="278" w:lineRule="exact"/>
                    <w:ind w:left="326"/>
                    <w:rPr>
                      <w:rFonts w:ascii="宋体" w:hAnsi="宋体" w:eastAsia="宋体" w:cs="宋体"/>
                      <w:color w:val="auto"/>
                      <w:sz w:val="24"/>
                      <w:szCs w:val="24"/>
                      <w:highlight w:val="none"/>
                    </w:rPr>
                  </w:pPr>
                  <w:r>
                    <w:rPr>
                      <w:rFonts w:ascii="宋体" w:hAnsi="宋体" w:eastAsia="宋体" w:cs="宋体"/>
                      <w:color w:val="auto"/>
                      <w:spacing w:val="-8"/>
                      <w:position w:val="4"/>
                      <w:sz w:val="24"/>
                      <w:szCs w:val="24"/>
                      <w:highlight w:val="none"/>
                    </w:rPr>
                    <w:t>申请金额</w:t>
                  </w:r>
                </w:p>
                <w:p w14:paraId="45DAB87C">
                  <w:pPr>
                    <w:spacing w:line="204" w:lineRule="auto"/>
                    <w:ind w:left="408"/>
                    <w:rPr>
                      <w:rFonts w:ascii="宋体" w:hAnsi="宋体" w:eastAsia="宋体" w:cs="宋体"/>
                      <w:color w:val="auto"/>
                      <w:sz w:val="24"/>
                      <w:szCs w:val="24"/>
                      <w:highlight w:val="none"/>
                    </w:rPr>
                  </w:pPr>
                  <w:r>
                    <w:rPr>
                      <w:rFonts w:ascii="宋体" w:hAnsi="宋体" w:eastAsia="宋体" w:cs="宋体"/>
                      <w:color w:val="auto"/>
                      <w:spacing w:val="-6"/>
                      <w:sz w:val="24"/>
                      <w:szCs w:val="24"/>
                      <w:highlight w:val="none"/>
                    </w:rPr>
                    <w:t>（元）</w:t>
                  </w:r>
                </w:p>
              </w:tc>
              <w:tc>
                <w:tcPr>
                  <w:tcW w:w="1250" w:type="dxa"/>
                </w:tcPr>
                <w:p w14:paraId="62AF8AF8">
                  <w:pPr>
                    <w:spacing w:before="48" w:line="225" w:lineRule="auto"/>
                    <w:ind w:left="322" w:right="199" w:hanging="106"/>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复核金额</w:t>
                  </w:r>
                  <w:r>
                    <w:rPr>
                      <w:rFonts w:ascii="宋体" w:hAnsi="宋体" w:eastAsia="宋体" w:cs="宋体"/>
                      <w:color w:val="auto"/>
                      <w:spacing w:val="-6"/>
                      <w:sz w:val="24"/>
                      <w:szCs w:val="24"/>
                      <w:highlight w:val="none"/>
                    </w:rPr>
                    <w:t>（元）</w:t>
                  </w:r>
                </w:p>
              </w:tc>
              <w:tc>
                <w:tcPr>
                  <w:tcW w:w="923" w:type="dxa"/>
                </w:tcPr>
                <w:p w14:paraId="1F961777">
                  <w:pPr>
                    <w:spacing w:before="187" w:line="222" w:lineRule="auto"/>
                    <w:ind w:left="260"/>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30B70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26E51E4">
                  <w:pPr>
                    <w:spacing w:before="89" w:line="174"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275" w:type="dxa"/>
                </w:tcPr>
                <w:p w14:paraId="3DA32949">
                  <w:pPr>
                    <w:spacing w:before="41" w:line="205" w:lineRule="auto"/>
                    <w:ind w:left="120"/>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累计已完成的工程价款</w:t>
                  </w:r>
                </w:p>
              </w:tc>
              <w:tc>
                <w:tcPr>
                  <w:tcW w:w="1327" w:type="dxa"/>
                </w:tcPr>
                <w:p w14:paraId="302C42BF">
                  <w:pPr>
                    <w:pStyle w:val="98"/>
                    <w:rPr>
                      <w:color w:val="auto"/>
                      <w:sz w:val="24"/>
                      <w:szCs w:val="24"/>
                      <w:highlight w:val="none"/>
                      <w:lang w:eastAsia="zh-CN"/>
                    </w:rPr>
                  </w:pPr>
                </w:p>
              </w:tc>
              <w:tc>
                <w:tcPr>
                  <w:tcW w:w="1425" w:type="dxa"/>
                </w:tcPr>
                <w:p w14:paraId="1552F8BF">
                  <w:pPr>
                    <w:pStyle w:val="98"/>
                    <w:rPr>
                      <w:color w:val="auto"/>
                      <w:sz w:val="24"/>
                      <w:szCs w:val="24"/>
                      <w:highlight w:val="none"/>
                      <w:lang w:eastAsia="zh-CN"/>
                    </w:rPr>
                  </w:pPr>
                </w:p>
              </w:tc>
              <w:tc>
                <w:tcPr>
                  <w:tcW w:w="1250" w:type="dxa"/>
                </w:tcPr>
                <w:p w14:paraId="3E6EDB3D">
                  <w:pPr>
                    <w:pStyle w:val="98"/>
                    <w:rPr>
                      <w:color w:val="auto"/>
                      <w:sz w:val="24"/>
                      <w:szCs w:val="24"/>
                      <w:highlight w:val="none"/>
                      <w:lang w:eastAsia="zh-CN"/>
                    </w:rPr>
                  </w:pPr>
                </w:p>
              </w:tc>
              <w:tc>
                <w:tcPr>
                  <w:tcW w:w="923" w:type="dxa"/>
                </w:tcPr>
                <w:p w14:paraId="0D5BBEDA">
                  <w:pPr>
                    <w:pStyle w:val="98"/>
                    <w:rPr>
                      <w:color w:val="auto"/>
                      <w:sz w:val="24"/>
                      <w:szCs w:val="24"/>
                      <w:highlight w:val="none"/>
                      <w:lang w:eastAsia="zh-CN"/>
                    </w:rPr>
                  </w:pPr>
                </w:p>
              </w:tc>
            </w:tr>
            <w:tr w14:paraId="10EF8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76AF251">
                  <w:pPr>
                    <w:pStyle w:val="98"/>
                    <w:rPr>
                      <w:color w:val="auto"/>
                      <w:sz w:val="24"/>
                      <w:szCs w:val="24"/>
                      <w:highlight w:val="none"/>
                      <w:lang w:eastAsia="zh-CN"/>
                    </w:rPr>
                  </w:pPr>
                </w:p>
              </w:tc>
              <w:tc>
                <w:tcPr>
                  <w:tcW w:w="3275" w:type="dxa"/>
                </w:tcPr>
                <w:p w14:paraId="25893A5B">
                  <w:pPr>
                    <w:spacing w:before="42" w:line="204" w:lineRule="auto"/>
                    <w:ind w:left="113"/>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其中：人工费</w:t>
                  </w:r>
                </w:p>
              </w:tc>
              <w:tc>
                <w:tcPr>
                  <w:tcW w:w="1327" w:type="dxa"/>
                </w:tcPr>
                <w:p w14:paraId="5A5419F0">
                  <w:pPr>
                    <w:pStyle w:val="98"/>
                    <w:rPr>
                      <w:color w:val="auto"/>
                      <w:sz w:val="24"/>
                      <w:szCs w:val="24"/>
                      <w:highlight w:val="none"/>
                    </w:rPr>
                  </w:pPr>
                </w:p>
              </w:tc>
              <w:tc>
                <w:tcPr>
                  <w:tcW w:w="1425" w:type="dxa"/>
                </w:tcPr>
                <w:p w14:paraId="1F5441EA">
                  <w:pPr>
                    <w:pStyle w:val="98"/>
                    <w:rPr>
                      <w:color w:val="auto"/>
                      <w:sz w:val="24"/>
                      <w:szCs w:val="24"/>
                      <w:highlight w:val="none"/>
                    </w:rPr>
                  </w:pPr>
                </w:p>
              </w:tc>
              <w:tc>
                <w:tcPr>
                  <w:tcW w:w="1250" w:type="dxa"/>
                </w:tcPr>
                <w:p w14:paraId="0C0DC95C">
                  <w:pPr>
                    <w:pStyle w:val="98"/>
                    <w:rPr>
                      <w:color w:val="auto"/>
                      <w:sz w:val="24"/>
                      <w:szCs w:val="24"/>
                      <w:highlight w:val="none"/>
                    </w:rPr>
                  </w:pPr>
                </w:p>
              </w:tc>
              <w:tc>
                <w:tcPr>
                  <w:tcW w:w="923" w:type="dxa"/>
                </w:tcPr>
                <w:p w14:paraId="457E3B2B">
                  <w:pPr>
                    <w:pStyle w:val="98"/>
                    <w:rPr>
                      <w:color w:val="auto"/>
                      <w:sz w:val="24"/>
                      <w:szCs w:val="24"/>
                      <w:highlight w:val="none"/>
                    </w:rPr>
                  </w:pPr>
                </w:p>
              </w:tc>
            </w:tr>
            <w:tr w14:paraId="51D2D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9" w:type="dxa"/>
                </w:tcPr>
                <w:p w14:paraId="41D467DB">
                  <w:pPr>
                    <w:spacing w:before="89" w:line="171"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275" w:type="dxa"/>
                </w:tcPr>
                <w:p w14:paraId="5F3E5288">
                  <w:pPr>
                    <w:spacing w:before="43" w:line="201" w:lineRule="auto"/>
                    <w:ind w:left="120"/>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累计已实际支付的工程价款</w:t>
                  </w:r>
                </w:p>
              </w:tc>
              <w:tc>
                <w:tcPr>
                  <w:tcW w:w="1327" w:type="dxa"/>
                </w:tcPr>
                <w:p w14:paraId="58819787">
                  <w:pPr>
                    <w:pStyle w:val="98"/>
                    <w:rPr>
                      <w:color w:val="auto"/>
                      <w:sz w:val="24"/>
                      <w:szCs w:val="24"/>
                      <w:highlight w:val="none"/>
                      <w:lang w:eastAsia="zh-CN"/>
                    </w:rPr>
                  </w:pPr>
                </w:p>
              </w:tc>
              <w:tc>
                <w:tcPr>
                  <w:tcW w:w="1425" w:type="dxa"/>
                </w:tcPr>
                <w:p w14:paraId="3E1DC73E">
                  <w:pPr>
                    <w:pStyle w:val="98"/>
                    <w:rPr>
                      <w:color w:val="auto"/>
                      <w:sz w:val="24"/>
                      <w:szCs w:val="24"/>
                      <w:highlight w:val="none"/>
                      <w:lang w:eastAsia="zh-CN"/>
                    </w:rPr>
                  </w:pPr>
                </w:p>
              </w:tc>
              <w:tc>
                <w:tcPr>
                  <w:tcW w:w="1250" w:type="dxa"/>
                </w:tcPr>
                <w:p w14:paraId="4DC7A12C">
                  <w:pPr>
                    <w:pStyle w:val="98"/>
                    <w:rPr>
                      <w:color w:val="auto"/>
                      <w:sz w:val="24"/>
                      <w:szCs w:val="24"/>
                      <w:highlight w:val="none"/>
                      <w:lang w:eastAsia="zh-CN"/>
                    </w:rPr>
                  </w:pPr>
                </w:p>
              </w:tc>
              <w:tc>
                <w:tcPr>
                  <w:tcW w:w="923" w:type="dxa"/>
                </w:tcPr>
                <w:p w14:paraId="20569B9F">
                  <w:pPr>
                    <w:pStyle w:val="98"/>
                    <w:rPr>
                      <w:color w:val="auto"/>
                      <w:sz w:val="24"/>
                      <w:szCs w:val="24"/>
                      <w:highlight w:val="none"/>
                      <w:lang w:eastAsia="zh-CN"/>
                    </w:rPr>
                  </w:pPr>
                </w:p>
              </w:tc>
            </w:tr>
            <w:tr w14:paraId="41E42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0BD56E71">
                  <w:pPr>
                    <w:pStyle w:val="98"/>
                    <w:rPr>
                      <w:color w:val="auto"/>
                      <w:sz w:val="24"/>
                      <w:szCs w:val="24"/>
                      <w:highlight w:val="none"/>
                      <w:lang w:eastAsia="zh-CN"/>
                    </w:rPr>
                  </w:pPr>
                </w:p>
              </w:tc>
              <w:tc>
                <w:tcPr>
                  <w:tcW w:w="3275" w:type="dxa"/>
                </w:tcPr>
                <w:p w14:paraId="548B5DD5">
                  <w:pPr>
                    <w:spacing w:before="47" w:line="200" w:lineRule="auto"/>
                    <w:ind w:left="113"/>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其中：人工费</w:t>
                  </w:r>
                </w:p>
              </w:tc>
              <w:tc>
                <w:tcPr>
                  <w:tcW w:w="1327" w:type="dxa"/>
                </w:tcPr>
                <w:p w14:paraId="512BA456">
                  <w:pPr>
                    <w:pStyle w:val="98"/>
                    <w:rPr>
                      <w:color w:val="auto"/>
                      <w:sz w:val="24"/>
                      <w:szCs w:val="24"/>
                      <w:highlight w:val="none"/>
                    </w:rPr>
                  </w:pPr>
                </w:p>
              </w:tc>
              <w:tc>
                <w:tcPr>
                  <w:tcW w:w="1425" w:type="dxa"/>
                </w:tcPr>
                <w:p w14:paraId="77165228">
                  <w:pPr>
                    <w:pStyle w:val="98"/>
                    <w:rPr>
                      <w:color w:val="auto"/>
                      <w:sz w:val="24"/>
                      <w:szCs w:val="24"/>
                      <w:highlight w:val="none"/>
                    </w:rPr>
                  </w:pPr>
                </w:p>
              </w:tc>
              <w:tc>
                <w:tcPr>
                  <w:tcW w:w="1250" w:type="dxa"/>
                </w:tcPr>
                <w:p w14:paraId="409927A7">
                  <w:pPr>
                    <w:pStyle w:val="98"/>
                    <w:rPr>
                      <w:color w:val="auto"/>
                      <w:sz w:val="24"/>
                      <w:szCs w:val="24"/>
                      <w:highlight w:val="none"/>
                    </w:rPr>
                  </w:pPr>
                </w:p>
              </w:tc>
              <w:tc>
                <w:tcPr>
                  <w:tcW w:w="923" w:type="dxa"/>
                </w:tcPr>
                <w:p w14:paraId="73436020">
                  <w:pPr>
                    <w:pStyle w:val="98"/>
                    <w:rPr>
                      <w:color w:val="auto"/>
                      <w:sz w:val="24"/>
                      <w:szCs w:val="24"/>
                      <w:highlight w:val="none"/>
                    </w:rPr>
                  </w:pPr>
                </w:p>
              </w:tc>
            </w:tr>
            <w:tr w14:paraId="0C1E6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2AF6804E">
                  <w:pPr>
                    <w:spacing w:before="91" w:line="172"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275" w:type="dxa"/>
                </w:tcPr>
                <w:p w14:paraId="5AB880B1">
                  <w:pPr>
                    <w:spacing w:before="45" w:line="202" w:lineRule="auto"/>
                    <w:ind w:left="11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本周期已完成的工程价款</w:t>
                  </w:r>
                </w:p>
              </w:tc>
              <w:tc>
                <w:tcPr>
                  <w:tcW w:w="1327" w:type="dxa"/>
                </w:tcPr>
                <w:p w14:paraId="283EB70A">
                  <w:pPr>
                    <w:pStyle w:val="98"/>
                    <w:rPr>
                      <w:color w:val="auto"/>
                      <w:sz w:val="24"/>
                      <w:szCs w:val="24"/>
                      <w:highlight w:val="none"/>
                    </w:rPr>
                  </w:pPr>
                </w:p>
              </w:tc>
              <w:tc>
                <w:tcPr>
                  <w:tcW w:w="1425" w:type="dxa"/>
                </w:tcPr>
                <w:p w14:paraId="22615107">
                  <w:pPr>
                    <w:pStyle w:val="98"/>
                    <w:rPr>
                      <w:color w:val="auto"/>
                      <w:sz w:val="24"/>
                      <w:szCs w:val="24"/>
                      <w:highlight w:val="none"/>
                    </w:rPr>
                  </w:pPr>
                </w:p>
              </w:tc>
              <w:tc>
                <w:tcPr>
                  <w:tcW w:w="1250" w:type="dxa"/>
                </w:tcPr>
                <w:p w14:paraId="5DA6586D">
                  <w:pPr>
                    <w:pStyle w:val="98"/>
                    <w:rPr>
                      <w:color w:val="auto"/>
                      <w:sz w:val="24"/>
                      <w:szCs w:val="24"/>
                      <w:highlight w:val="none"/>
                    </w:rPr>
                  </w:pPr>
                </w:p>
              </w:tc>
              <w:tc>
                <w:tcPr>
                  <w:tcW w:w="923" w:type="dxa"/>
                </w:tcPr>
                <w:p w14:paraId="4BDD4A55">
                  <w:pPr>
                    <w:pStyle w:val="98"/>
                    <w:rPr>
                      <w:color w:val="auto"/>
                      <w:sz w:val="24"/>
                      <w:szCs w:val="24"/>
                      <w:highlight w:val="none"/>
                    </w:rPr>
                  </w:pPr>
                </w:p>
              </w:tc>
            </w:tr>
            <w:tr w14:paraId="53FE2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9DAB62A">
                  <w:pPr>
                    <w:pStyle w:val="98"/>
                    <w:rPr>
                      <w:color w:val="auto"/>
                      <w:sz w:val="24"/>
                      <w:szCs w:val="24"/>
                      <w:highlight w:val="none"/>
                    </w:rPr>
                  </w:pPr>
                </w:p>
              </w:tc>
              <w:tc>
                <w:tcPr>
                  <w:tcW w:w="3275" w:type="dxa"/>
                </w:tcPr>
                <w:p w14:paraId="10B311C0">
                  <w:pPr>
                    <w:spacing w:before="45" w:line="202" w:lineRule="auto"/>
                    <w:ind w:left="113"/>
                    <w:rPr>
                      <w:rFonts w:ascii="宋体" w:hAnsi="宋体" w:eastAsia="宋体" w:cs="宋体"/>
                      <w:color w:val="auto"/>
                      <w:sz w:val="24"/>
                      <w:szCs w:val="24"/>
                      <w:highlight w:val="none"/>
                    </w:rPr>
                  </w:pPr>
                  <w:r>
                    <w:rPr>
                      <w:rFonts w:ascii="宋体" w:hAnsi="宋体" w:eastAsia="宋体" w:cs="宋体"/>
                      <w:color w:val="auto"/>
                      <w:spacing w:val="-19"/>
                      <w:sz w:val="24"/>
                      <w:szCs w:val="24"/>
                      <w:highlight w:val="none"/>
                    </w:rPr>
                    <w:t>其中：人工费</w:t>
                  </w:r>
                </w:p>
              </w:tc>
              <w:tc>
                <w:tcPr>
                  <w:tcW w:w="1327" w:type="dxa"/>
                </w:tcPr>
                <w:p w14:paraId="75D9DF79">
                  <w:pPr>
                    <w:pStyle w:val="98"/>
                    <w:rPr>
                      <w:color w:val="auto"/>
                      <w:sz w:val="24"/>
                      <w:szCs w:val="24"/>
                      <w:highlight w:val="none"/>
                    </w:rPr>
                  </w:pPr>
                </w:p>
              </w:tc>
              <w:tc>
                <w:tcPr>
                  <w:tcW w:w="1425" w:type="dxa"/>
                </w:tcPr>
                <w:p w14:paraId="3C3B0ADE">
                  <w:pPr>
                    <w:pStyle w:val="98"/>
                    <w:rPr>
                      <w:color w:val="auto"/>
                      <w:sz w:val="24"/>
                      <w:szCs w:val="24"/>
                      <w:highlight w:val="none"/>
                    </w:rPr>
                  </w:pPr>
                </w:p>
              </w:tc>
              <w:tc>
                <w:tcPr>
                  <w:tcW w:w="1250" w:type="dxa"/>
                </w:tcPr>
                <w:p w14:paraId="05FAEEE3">
                  <w:pPr>
                    <w:pStyle w:val="98"/>
                    <w:rPr>
                      <w:color w:val="auto"/>
                      <w:sz w:val="24"/>
                      <w:szCs w:val="24"/>
                      <w:highlight w:val="none"/>
                    </w:rPr>
                  </w:pPr>
                </w:p>
              </w:tc>
              <w:tc>
                <w:tcPr>
                  <w:tcW w:w="923" w:type="dxa"/>
                </w:tcPr>
                <w:p w14:paraId="5DDDBA5C">
                  <w:pPr>
                    <w:pStyle w:val="98"/>
                    <w:rPr>
                      <w:color w:val="auto"/>
                      <w:sz w:val="24"/>
                      <w:szCs w:val="24"/>
                      <w:highlight w:val="none"/>
                    </w:rPr>
                  </w:pPr>
                </w:p>
              </w:tc>
            </w:tr>
            <w:tr w14:paraId="759FA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85" w:hRule="atLeast"/>
              </w:trPr>
              <w:tc>
                <w:tcPr>
                  <w:tcW w:w="539" w:type="dxa"/>
                </w:tcPr>
                <w:p w14:paraId="1D2518AA">
                  <w:pPr>
                    <w:spacing w:before="93" w:line="170"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275" w:type="dxa"/>
                </w:tcPr>
                <w:p w14:paraId="3E32F1D9">
                  <w:pPr>
                    <w:spacing w:before="46" w:line="201" w:lineRule="auto"/>
                    <w:ind w:left="11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本周期应扣减的金额</w:t>
                  </w:r>
                </w:p>
              </w:tc>
              <w:tc>
                <w:tcPr>
                  <w:tcW w:w="1327" w:type="dxa"/>
                </w:tcPr>
                <w:p w14:paraId="1FDA8232">
                  <w:pPr>
                    <w:pStyle w:val="98"/>
                    <w:rPr>
                      <w:color w:val="auto"/>
                      <w:sz w:val="24"/>
                      <w:szCs w:val="24"/>
                      <w:highlight w:val="none"/>
                    </w:rPr>
                  </w:pPr>
                </w:p>
              </w:tc>
              <w:tc>
                <w:tcPr>
                  <w:tcW w:w="1425" w:type="dxa"/>
                </w:tcPr>
                <w:p w14:paraId="7FEF0EA9">
                  <w:pPr>
                    <w:pStyle w:val="98"/>
                    <w:rPr>
                      <w:color w:val="auto"/>
                      <w:sz w:val="24"/>
                      <w:szCs w:val="24"/>
                      <w:highlight w:val="none"/>
                    </w:rPr>
                  </w:pPr>
                </w:p>
              </w:tc>
              <w:tc>
                <w:tcPr>
                  <w:tcW w:w="1250" w:type="dxa"/>
                </w:tcPr>
                <w:p w14:paraId="19C656B0">
                  <w:pPr>
                    <w:pStyle w:val="98"/>
                    <w:rPr>
                      <w:color w:val="auto"/>
                      <w:sz w:val="24"/>
                      <w:szCs w:val="24"/>
                      <w:highlight w:val="none"/>
                    </w:rPr>
                  </w:pPr>
                </w:p>
              </w:tc>
              <w:tc>
                <w:tcPr>
                  <w:tcW w:w="923" w:type="dxa"/>
                </w:tcPr>
                <w:p w14:paraId="24412B23">
                  <w:pPr>
                    <w:pStyle w:val="98"/>
                    <w:rPr>
                      <w:color w:val="auto"/>
                      <w:sz w:val="24"/>
                      <w:szCs w:val="24"/>
                      <w:highlight w:val="none"/>
                    </w:rPr>
                  </w:pPr>
                </w:p>
              </w:tc>
            </w:tr>
            <w:tr w14:paraId="09C39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48715FD">
                  <w:pPr>
                    <w:spacing w:before="93" w:line="170" w:lineRule="auto"/>
                    <w:ind w:left="136"/>
                    <w:rPr>
                      <w:rFonts w:ascii="Calibri" w:hAnsi="Calibri" w:eastAsia="Calibri" w:cs="Calibri"/>
                      <w:color w:val="auto"/>
                      <w:sz w:val="24"/>
                      <w:szCs w:val="24"/>
                      <w:highlight w:val="none"/>
                    </w:rPr>
                  </w:pPr>
                  <w:r>
                    <w:rPr>
                      <w:rFonts w:ascii="Calibri" w:hAnsi="Calibri" w:eastAsia="Calibri" w:cs="Calibri"/>
                      <w:color w:val="auto"/>
                      <w:spacing w:val="-1"/>
                      <w:sz w:val="24"/>
                      <w:szCs w:val="24"/>
                      <w:highlight w:val="none"/>
                    </w:rPr>
                    <w:t>4.1</w:t>
                  </w:r>
                </w:p>
              </w:tc>
              <w:tc>
                <w:tcPr>
                  <w:tcW w:w="3275" w:type="dxa"/>
                </w:tcPr>
                <w:p w14:paraId="79FA7615">
                  <w:pPr>
                    <w:spacing w:before="46" w:line="201" w:lineRule="auto"/>
                    <w:ind w:left="113"/>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本周期实际应抵扣的预付款</w:t>
                  </w:r>
                </w:p>
              </w:tc>
              <w:tc>
                <w:tcPr>
                  <w:tcW w:w="1327" w:type="dxa"/>
                </w:tcPr>
                <w:p w14:paraId="5CA191DB">
                  <w:pPr>
                    <w:pStyle w:val="98"/>
                    <w:rPr>
                      <w:color w:val="auto"/>
                      <w:sz w:val="24"/>
                      <w:szCs w:val="24"/>
                      <w:highlight w:val="none"/>
                      <w:lang w:eastAsia="zh-CN"/>
                    </w:rPr>
                  </w:pPr>
                </w:p>
              </w:tc>
              <w:tc>
                <w:tcPr>
                  <w:tcW w:w="1425" w:type="dxa"/>
                </w:tcPr>
                <w:p w14:paraId="21F0A2FA">
                  <w:pPr>
                    <w:pStyle w:val="98"/>
                    <w:rPr>
                      <w:color w:val="auto"/>
                      <w:sz w:val="24"/>
                      <w:szCs w:val="24"/>
                      <w:highlight w:val="none"/>
                      <w:lang w:eastAsia="zh-CN"/>
                    </w:rPr>
                  </w:pPr>
                </w:p>
              </w:tc>
              <w:tc>
                <w:tcPr>
                  <w:tcW w:w="1250" w:type="dxa"/>
                </w:tcPr>
                <w:p w14:paraId="6043264A">
                  <w:pPr>
                    <w:pStyle w:val="98"/>
                    <w:rPr>
                      <w:color w:val="auto"/>
                      <w:sz w:val="24"/>
                      <w:szCs w:val="24"/>
                      <w:highlight w:val="none"/>
                      <w:lang w:eastAsia="zh-CN"/>
                    </w:rPr>
                  </w:pPr>
                </w:p>
              </w:tc>
              <w:tc>
                <w:tcPr>
                  <w:tcW w:w="923" w:type="dxa"/>
                </w:tcPr>
                <w:p w14:paraId="37BEE5B1">
                  <w:pPr>
                    <w:pStyle w:val="98"/>
                    <w:rPr>
                      <w:color w:val="auto"/>
                      <w:sz w:val="24"/>
                      <w:szCs w:val="24"/>
                      <w:highlight w:val="none"/>
                      <w:lang w:eastAsia="zh-CN"/>
                    </w:rPr>
                  </w:pPr>
                </w:p>
              </w:tc>
            </w:tr>
            <w:tr w14:paraId="7BAA4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39" w:type="dxa"/>
                </w:tcPr>
                <w:p w14:paraId="66BD7629">
                  <w:pPr>
                    <w:spacing w:before="92" w:line="169" w:lineRule="auto"/>
                    <w:ind w:left="136"/>
                    <w:rPr>
                      <w:rFonts w:ascii="Calibri" w:hAnsi="Calibri" w:eastAsia="Calibri" w:cs="Calibri"/>
                      <w:color w:val="auto"/>
                      <w:sz w:val="24"/>
                      <w:szCs w:val="24"/>
                      <w:highlight w:val="none"/>
                    </w:rPr>
                  </w:pPr>
                  <w:r>
                    <w:rPr>
                      <w:rFonts w:ascii="Calibri" w:hAnsi="Calibri" w:eastAsia="Calibri" w:cs="Calibri"/>
                      <w:color w:val="auto"/>
                      <w:spacing w:val="-1"/>
                      <w:sz w:val="24"/>
                      <w:szCs w:val="24"/>
                      <w:highlight w:val="none"/>
                    </w:rPr>
                    <w:t>4.2</w:t>
                  </w:r>
                </w:p>
              </w:tc>
              <w:tc>
                <w:tcPr>
                  <w:tcW w:w="3275" w:type="dxa"/>
                </w:tcPr>
                <w:p w14:paraId="0E009E72">
                  <w:pPr>
                    <w:spacing w:before="46" w:line="199" w:lineRule="auto"/>
                    <w:ind w:left="113"/>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本周期应扣减的金额</w:t>
                  </w:r>
                </w:p>
              </w:tc>
              <w:tc>
                <w:tcPr>
                  <w:tcW w:w="1327" w:type="dxa"/>
                </w:tcPr>
                <w:p w14:paraId="2DAA6BF4">
                  <w:pPr>
                    <w:pStyle w:val="98"/>
                    <w:rPr>
                      <w:color w:val="auto"/>
                      <w:sz w:val="24"/>
                      <w:szCs w:val="24"/>
                      <w:highlight w:val="none"/>
                    </w:rPr>
                  </w:pPr>
                </w:p>
              </w:tc>
              <w:tc>
                <w:tcPr>
                  <w:tcW w:w="1425" w:type="dxa"/>
                </w:tcPr>
                <w:p w14:paraId="1395D734">
                  <w:pPr>
                    <w:pStyle w:val="98"/>
                    <w:rPr>
                      <w:color w:val="auto"/>
                      <w:sz w:val="24"/>
                      <w:szCs w:val="24"/>
                      <w:highlight w:val="none"/>
                    </w:rPr>
                  </w:pPr>
                </w:p>
              </w:tc>
              <w:tc>
                <w:tcPr>
                  <w:tcW w:w="1250" w:type="dxa"/>
                </w:tcPr>
                <w:p w14:paraId="77DDB320">
                  <w:pPr>
                    <w:pStyle w:val="98"/>
                    <w:rPr>
                      <w:color w:val="auto"/>
                      <w:sz w:val="24"/>
                      <w:szCs w:val="24"/>
                      <w:highlight w:val="none"/>
                    </w:rPr>
                  </w:pPr>
                </w:p>
              </w:tc>
              <w:tc>
                <w:tcPr>
                  <w:tcW w:w="923" w:type="dxa"/>
                </w:tcPr>
                <w:p w14:paraId="794FF4B3">
                  <w:pPr>
                    <w:pStyle w:val="98"/>
                    <w:rPr>
                      <w:color w:val="auto"/>
                      <w:sz w:val="24"/>
                      <w:szCs w:val="24"/>
                      <w:highlight w:val="none"/>
                    </w:rPr>
                  </w:pPr>
                </w:p>
              </w:tc>
            </w:tr>
            <w:tr w14:paraId="53515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0632D54B">
                  <w:pPr>
                    <w:spacing w:before="96" w:line="167"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5</w:t>
                  </w:r>
                </w:p>
              </w:tc>
              <w:tc>
                <w:tcPr>
                  <w:tcW w:w="3275" w:type="dxa"/>
                </w:tcPr>
                <w:p w14:paraId="765AB83F">
                  <w:pPr>
                    <w:spacing w:before="48" w:line="199" w:lineRule="auto"/>
                    <w:ind w:left="113"/>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本周期应支付的合同价款</w:t>
                  </w:r>
                </w:p>
              </w:tc>
              <w:tc>
                <w:tcPr>
                  <w:tcW w:w="1327" w:type="dxa"/>
                </w:tcPr>
                <w:p w14:paraId="222F7387">
                  <w:pPr>
                    <w:pStyle w:val="98"/>
                    <w:rPr>
                      <w:color w:val="auto"/>
                      <w:sz w:val="24"/>
                      <w:szCs w:val="24"/>
                      <w:highlight w:val="none"/>
                      <w:lang w:eastAsia="zh-CN"/>
                    </w:rPr>
                  </w:pPr>
                </w:p>
              </w:tc>
              <w:tc>
                <w:tcPr>
                  <w:tcW w:w="1425" w:type="dxa"/>
                </w:tcPr>
                <w:p w14:paraId="56EAF2BD">
                  <w:pPr>
                    <w:pStyle w:val="98"/>
                    <w:rPr>
                      <w:color w:val="auto"/>
                      <w:sz w:val="24"/>
                      <w:szCs w:val="24"/>
                      <w:highlight w:val="none"/>
                      <w:lang w:eastAsia="zh-CN"/>
                    </w:rPr>
                  </w:pPr>
                </w:p>
              </w:tc>
              <w:tc>
                <w:tcPr>
                  <w:tcW w:w="1250" w:type="dxa"/>
                </w:tcPr>
                <w:p w14:paraId="6A86A2EC">
                  <w:pPr>
                    <w:pStyle w:val="98"/>
                    <w:rPr>
                      <w:color w:val="auto"/>
                      <w:sz w:val="24"/>
                      <w:szCs w:val="24"/>
                      <w:highlight w:val="none"/>
                      <w:lang w:eastAsia="zh-CN"/>
                    </w:rPr>
                  </w:pPr>
                </w:p>
              </w:tc>
              <w:tc>
                <w:tcPr>
                  <w:tcW w:w="923" w:type="dxa"/>
                </w:tcPr>
                <w:p w14:paraId="4A577A1C">
                  <w:pPr>
                    <w:pStyle w:val="98"/>
                    <w:rPr>
                      <w:color w:val="auto"/>
                      <w:sz w:val="24"/>
                      <w:szCs w:val="24"/>
                      <w:highlight w:val="none"/>
                      <w:lang w:eastAsia="zh-CN"/>
                    </w:rPr>
                  </w:pPr>
                </w:p>
              </w:tc>
            </w:tr>
            <w:tr w14:paraId="1FD08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9" w:type="dxa"/>
                </w:tcPr>
                <w:p w14:paraId="2265A58C">
                  <w:pPr>
                    <w:pStyle w:val="98"/>
                    <w:rPr>
                      <w:color w:val="auto"/>
                      <w:sz w:val="24"/>
                      <w:szCs w:val="24"/>
                      <w:highlight w:val="none"/>
                      <w:lang w:eastAsia="zh-CN"/>
                    </w:rPr>
                  </w:pPr>
                </w:p>
              </w:tc>
              <w:tc>
                <w:tcPr>
                  <w:tcW w:w="3275" w:type="dxa"/>
                </w:tcPr>
                <w:p w14:paraId="3F4708B1">
                  <w:pPr>
                    <w:spacing w:before="46" w:line="205" w:lineRule="auto"/>
                    <w:ind w:left="113"/>
                    <w:rPr>
                      <w:rFonts w:ascii="宋体" w:hAnsi="宋体" w:eastAsia="宋体" w:cs="宋体"/>
                      <w:color w:val="auto"/>
                      <w:sz w:val="24"/>
                      <w:szCs w:val="24"/>
                      <w:highlight w:val="none"/>
                      <w:lang w:eastAsia="zh-CN"/>
                    </w:rPr>
                  </w:pPr>
                  <w:r>
                    <w:rPr>
                      <w:rFonts w:ascii="宋体" w:hAnsi="宋体" w:eastAsia="宋体" w:cs="宋体"/>
                      <w:color w:val="auto"/>
                      <w:spacing w:val="-19"/>
                      <w:sz w:val="24"/>
                      <w:szCs w:val="24"/>
                      <w:highlight w:val="none"/>
                      <w:lang w:eastAsia="zh-CN"/>
                    </w:rPr>
                    <w:t>其中：人工费</w:t>
                  </w:r>
                </w:p>
              </w:tc>
              <w:tc>
                <w:tcPr>
                  <w:tcW w:w="1327" w:type="dxa"/>
                </w:tcPr>
                <w:p w14:paraId="652A7663">
                  <w:pPr>
                    <w:pStyle w:val="98"/>
                    <w:rPr>
                      <w:color w:val="auto"/>
                      <w:sz w:val="24"/>
                      <w:szCs w:val="24"/>
                      <w:highlight w:val="none"/>
                      <w:lang w:eastAsia="zh-CN"/>
                    </w:rPr>
                  </w:pPr>
                </w:p>
              </w:tc>
              <w:tc>
                <w:tcPr>
                  <w:tcW w:w="1425" w:type="dxa"/>
                </w:tcPr>
                <w:p w14:paraId="7F4BF645">
                  <w:pPr>
                    <w:pStyle w:val="98"/>
                    <w:rPr>
                      <w:color w:val="auto"/>
                      <w:sz w:val="24"/>
                      <w:szCs w:val="24"/>
                      <w:highlight w:val="none"/>
                      <w:lang w:eastAsia="zh-CN"/>
                    </w:rPr>
                  </w:pPr>
                </w:p>
              </w:tc>
              <w:tc>
                <w:tcPr>
                  <w:tcW w:w="1250" w:type="dxa"/>
                </w:tcPr>
                <w:p w14:paraId="36B6F993">
                  <w:pPr>
                    <w:pStyle w:val="98"/>
                    <w:rPr>
                      <w:color w:val="auto"/>
                      <w:sz w:val="24"/>
                      <w:szCs w:val="24"/>
                      <w:highlight w:val="none"/>
                      <w:lang w:eastAsia="zh-CN"/>
                    </w:rPr>
                  </w:pPr>
                </w:p>
              </w:tc>
              <w:tc>
                <w:tcPr>
                  <w:tcW w:w="923" w:type="dxa"/>
                </w:tcPr>
                <w:p w14:paraId="59FBD8A4">
                  <w:pPr>
                    <w:pStyle w:val="98"/>
                    <w:rPr>
                      <w:color w:val="auto"/>
                      <w:sz w:val="24"/>
                      <w:szCs w:val="24"/>
                      <w:highlight w:val="none"/>
                      <w:lang w:eastAsia="zh-CN"/>
                    </w:rPr>
                  </w:pPr>
                </w:p>
              </w:tc>
            </w:tr>
          </w:tbl>
          <w:p w14:paraId="683EDBC9">
            <w:pPr>
              <w:spacing w:before="138" w:line="220" w:lineRule="auto"/>
              <w:ind w:left="132"/>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附：上述</w:t>
            </w:r>
            <w:r>
              <w:rPr>
                <w:rFonts w:ascii="Calibri" w:hAnsi="Calibri" w:eastAsia="Calibri" w:cs="Calibri"/>
                <w:color w:val="auto"/>
                <w:spacing w:val="-6"/>
                <w:sz w:val="24"/>
                <w:szCs w:val="24"/>
                <w:highlight w:val="none"/>
                <w:lang w:eastAsia="zh-CN"/>
              </w:rPr>
              <w:t>3</w:t>
            </w:r>
            <w:r>
              <w:rPr>
                <w:rFonts w:ascii="宋体" w:hAnsi="宋体" w:eastAsia="宋体" w:cs="宋体"/>
                <w:color w:val="auto"/>
                <w:spacing w:val="-6"/>
                <w:sz w:val="24"/>
                <w:szCs w:val="24"/>
                <w:highlight w:val="none"/>
                <w:lang w:eastAsia="zh-CN"/>
              </w:rPr>
              <w:t>、</w:t>
            </w:r>
            <w:r>
              <w:rPr>
                <w:rFonts w:ascii="Calibri" w:hAnsi="Calibri" w:eastAsia="Calibri" w:cs="Calibri"/>
                <w:color w:val="auto"/>
                <w:spacing w:val="-6"/>
                <w:sz w:val="24"/>
                <w:szCs w:val="24"/>
                <w:highlight w:val="none"/>
                <w:lang w:eastAsia="zh-CN"/>
              </w:rPr>
              <w:t>4</w:t>
            </w:r>
            <w:r>
              <w:rPr>
                <w:rFonts w:ascii="宋体" w:hAnsi="宋体" w:eastAsia="宋体" w:cs="宋体"/>
                <w:color w:val="auto"/>
                <w:spacing w:val="-6"/>
                <w:sz w:val="24"/>
                <w:szCs w:val="24"/>
                <w:highlight w:val="none"/>
                <w:lang w:eastAsia="zh-CN"/>
              </w:rPr>
              <w:t>详见附件清单。</w:t>
            </w:r>
          </w:p>
          <w:p w14:paraId="5CD95627">
            <w:pPr>
              <w:spacing w:before="151" w:line="220" w:lineRule="auto"/>
              <w:ind w:left="4736"/>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1DDF9070">
            <w:pPr>
              <w:spacing w:before="150" w:line="201"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69FAC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9" w:hRule="atLeast"/>
        </w:trPr>
        <w:tc>
          <w:tcPr>
            <w:tcW w:w="4524" w:type="dxa"/>
          </w:tcPr>
          <w:p w14:paraId="0EA82122">
            <w:pPr>
              <w:spacing w:before="132"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FE56079">
            <w:pPr>
              <w:spacing w:before="108" w:line="220"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□与实际施工情况不相符，修改意见见附件。</w:t>
            </w:r>
          </w:p>
          <w:p w14:paraId="125AC5D8">
            <w:pPr>
              <w:spacing w:before="108" w:line="269" w:lineRule="auto"/>
              <w:ind w:left="115" w:right="105" w:firstLine="334"/>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□与实际施工情况相符，具体金额由造价工</w:t>
            </w:r>
            <w:r>
              <w:rPr>
                <w:rFonts w:ascii="宋体" w:hAnsi="宋体" w:eastAsia="宋体" w:cs="宋体"/>
                <w:color w:val="auto"/>
                <w:spacing w:val="-4"/>
                <w:sz w:val="24"/>
                <w:szCs w:val="24"/>
                <w:highlight w:val="none"/>
                <w:lang w:eastAsia="zh-CN"/>
              </w:rPr>
              <w:t>程师复核。</w:t>
            </w:r>
          </w:p>
          <w:p w14:paraId="79709028">
            <w:pPr>
              <w:pStyle w:val="98"/>
              <w:spacing w:line="398" w:lineRule="auto"/>
              <w:rPr>
                <w:color w:val="auto"/>
                <w:sz w:val="24"/>
                <w:szCs w:val="24"/>
                <w:highlight w:val="none"/>
                <w:lang w:eastAsia="zh-CN"/>
              </w:rPr>
            </w:pPr>
          </w:p>
          <w:p w14:paraId="3D9470EE">
            <w:pPr>
              <w:spacing w:before="68" w:line="269" w:lineRule="auto"/>
              <w:ind w:left="2418" w:right="107" w:firstLine="14"/>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564FD791">
            <w:pPr>
              <w:spacing w:before="68" w:line="269" w:lineRule="auto"/>
              <w:ind w:left="2418" w:right="107" w:firstLine="14"/>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日期</w:t>
            </w:r>
          </w:p>
        </w:tc>
        <w:tc>
          <w:tcPr>
            <w:tcW w:w="4554" w:type="dxa"/>
          </w:tcPr>
          <w:p w14:paraId="75CFCE4F">
            <w:pPr>
              <w:spacing w:before="132" w:line="221" w:lineRule="auto"/>
              <w:ind w:left="11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E3F1F0F">
            <w:pPr>
              <w:tabs>
                <w:tab w:val="left" w:pos="1155"/>
                <w:tab w:val="left" w:pos="1888"/>
              </w:tabs>
              <w:spacing w:before="107" w:line="293" w:lineRule="auto"/>
              <w:ind w:left="103" w:right="23" w:firstLine="443"/>
              <w:rPr>
                <w:rFonts w:ascii="宋体" w:hAnsi="宋体" w:eastAsia="宋体" w:cs="宋体"/>
                <w:color w:val="auto"/>
                <w:sz w:val="24"/>
                <w:szCs w:val="24"/>
                <w:highlight w:val="none"/>
                <w:lang w:eastAsia="zh-CN"/>
              </w:rPr>
            </w:pPr>
            <w:r>
              <w:rPr>
                <w:rFonts w:ascii="宋体" w:hAnsi="宋体" w:eastAsia="宋体" w:cs="宋体"/>
                <w:color w:val="auto"/>
                <w:spacing w:val="-5"/>
                <w:sz w:val="24"/>
                <w:szCs w:val="24"/>
                <w:highlight w:val="none"/>
                <w:lang w:eastAsia="zh-CN"/>
              </w:rPr>
              <w:t xml:space="preserve">你方提出的支付申请经复核，本周期已完成 </w:t>
            </w:r>
            <w:r>
              <w:rPr>
                <w:rFonts w:ascii="宋体" w:hAnsi="宋体" w:eastAsia="宋体" w:cs="宋体"/>
                <w:color w:val="auto"/>
                <w:spacing w:val="1"/>
                <w:sz w:val="24"/>
                <w:szCs w:val="24"/>
                <w:highlight w:val="none"/>
                <w:lang w:eastAsia="zh-CN"/>
              </w:rPr>
              <w:t>工程价款为</w:t>
            </w:r>
            <w:r>
              <w:rPr>
                <w:rFonts w:ascii="Calibri" w:hAnsi="Calibri" w:eastAsia="Calibri" w:cs="Calibri"/>
                <w:color w:val="auto"/>
                <w:spacing w:val="1"/>
                <w:sz w:val="24"/>
                <w:szCs w:val="24"/>
                <w:highlight w:val="none"/>
                <w:lang w:eastAsia="zh-CN"/>
              </w:rPr>
              <w:t>(</w:t>
            </w:r>
            <w:r>
              <w:rPr>
                <w:rFonts w:ascii="宋体" w:hAnsi="宋体" w:eastAsia="宋体" w:cs="宋体"/>
                <w:color w:val="auto"/>
                <w:spacing w:val="1"/>
                <w:sz w:val="24"/>
                <w:szCs w:val="24"/>
                <w:highlight w:val="none"/>
                <w:lang w:eastAsia="zh-CN"/>
              </w:rPr>
              <w:t>大写</w:t>
            </w:r>
            <w:r>
              <w:rPr>
                <w:rFonts w:ascii="Calibri" w:hAnsi="Calibri" w:eastAsia="Calibri" w:cs="Calibri"/>
                <w:color w:val="auto"/>
                <w:spacing w:val="1"/>
                <w:sz w:val="24"/>
                <w:szCs w:val="24"/>
                <w:highlight w:val="none"/>
                <w:lang w:eastAsia="zh-CN"/>
              </w:rPr>
              <w:t>)</w:t>
            </w:r>
            <w:r>
              <w:rPr>
                <w:rFonts w:ascii="宋体" w:hAnsi="宋体" w:eastAsia="宋体" w:cs="宋体"/>
                <w:color w:val="auto"/>
                <w:sz w:val="24"/>
                <w:szCs w:val="24"/>
                <w:highlight w:val="none"/>
                <w:lang w:eastAsia="zh-CN"/>
              </w:rPr>
              <w:t>元</w:t>
            </w:r>
            <w:r>
              <w:rPr>
                <w:rFonts w:ascii="宋体" w:hAnsi="宋体" w:eastAsia="宋体" w:cs="宋体"/>
                <w:color w:val="auto"/>
                <w:spacing w:val="-50"/>
                <w:w w:val="91"/>
                <w:sz w:val="24"/>
                <w:szCs w:val="24"/>
                <w:highlight w:val="none"/>
                <w:lang w:eastAsia="zh-CN"/>
              </w:rPr>
              <w:t>，（</w:t>
            </w:r>
            <w:r>
              <w:rPr>
                <w:rFonts w:ascii="宋体" w:hAnsi="宋体" w:eastAsia="宋体" w:cs="宋体"/>
                <w:color w:val="auto"/>
                <w:sz w:val="24"/>
                <w:szCs w:val="24"/>
                <w:highlight w:val="none"/>
                <w:lang w:eastAsia="zh-CN"/>
              </w:rPr>
              <w:t xml:space="preserve">小写） </w:t>
            </w:r>
            <w:r>
              <w:rPr>
                <w:rFonts w:ascii="宋体" w:hAnsi="宋体" w:eastAsia="宋体" w:cs="宋体"/>
                <w:color w:val="auto"/>
                <w:sz w:val="24"/>
                <w:szCs w:val="24"/>
                <w:highlight w:val="none"/>
                <w:u w:val="single"/>
                <w:lang w:eastAsia="zh-CN"/>
              </w:rPr>
              <w:tab/>
            </w:r>
            <w:r>
              <w:rPr>
                <w:rFonts w:ascii="宋体" w:hAnsi="宋体" w:eastAsia="宋体" w:cs="宋体"/>
                <w:color w:val="auto"/>
                <w:spacing w:val="-2"/>
                <w:sz w:val="24"/>
                <w:szCs w:val="24"/>
                <w:highlight w:val="none"/>
                <w:lang w:eastAsia="zh-CN"/>
              </w:rPr>
              <w:t>元，本期间应支付金额为（大写）</w:t>
            </w:r>
            <w:r>
              <w:rPr>
                <w:rFonts w:ascii="宋体" w:hAnsi="宋体" w:eastAsia="宋体" w:cs="宋体"/>
                <w:color w:val="auto"/>
                <w:sz w:val="24"/>
                <w:szCs w:val="24"/>
                <w:highlight w:val="none"/>
                <w:u w:val="single"/>
                <w:lang w:eastAsia="zh-CN"/>
              </w:rPr>
              <w:tab/>
            </w:r>
            <w:r>
              <w:rPr>
                <w:rFonts w:ascii="宋体" w:hAnsi="宋体" w:eastAsia="宋体" w:cs="宋体"/>
                <w:color w:val="auto"/>
                <w:sz w:val="24"/>
                <w:szCs w:val="24"/>
                <w:highlight w:val="none"/>
                <w:u w:val="single"/>
                <w:lang w:eastAsia="zh-CN"/>
              </w:rPr>
              <w:tab/>
            </w:r>
            <w:r>
              <w:rPr>
                <w:rFonts w:ascii="宋体" w:hAnsi="宋体" w:eastAsia="宋体" w:cs="宋体"/>
                <w:color w:val="auto"/>
                <w:spacing w:val="-32"/>
                <w:sz w:val="24"/>
                <w:szCs w:val="24"/>
                <w:highlight w:val="none"/>
                <w:lang w:eastAsia="zh-CN"/>
              </w:rPr>
              <w:t>元</w:t>
            </w:r>
            <w:r>
              <w:rPr>
                <w:rFonts w:ascii="宋体" w:hAnsi="宋体" w:eastAsia="宋体" w:cs="宋体"/>
                <w:color w:val="auto"/>
                <w:spacing w:val="-30"/>
                <w:sz w:val="24"/>
                <w:szCs w:val="24"/>
                <w:highlight w:val="none"/>
                <w:lang w:eastAsia="zh-CN"/>
              </w:rPr>
              <w:t>，（</w:t>
            </w:r>
            <w:r>
              <w:rPr>
                <w:rFonts w:ascii="宋体" w:hAnsi="宋体" w:eastAsia="宋体" w:cs="宋体"/>
                <w:color w:val="auto"/>
                <w:spacing w:val="-32"/>
                <w:sz w:val="24"/>
                <w:szCs w:val="24"/>
                <w:highlight w:val="none"/>
                <w:lang w:eastAsia="zh-CN"/>
              </w:rPr>
              <w:t>小写）元。</w:t>
            </w:r>
          </w:p>
          <w:p w14:paraId="3D909FA4">
            <w:pPr>
              <w:spacing w:before="108" w:line="269" w:lineRule="auto"/>
              <w:ind w:left="2219" w:right="107" w:firstLine="174"/>
              <w:rPr>
                <w:rFonts w:ascii="宋体" w:hAnsi="宋体" w:eastAsia="宋体" w:cs="宋体"/>
                <w:color w:val="auto"/>
                <w:spacing w:val="-2"/>
                <w:sz w:val="24"/>
                <w:szCs w:val="24"/>
                <w:highlight w:val="none"/>
                <w:lang w:eastAsia="zh-CN"/>
              </w:rPr>
            </w:pPr>
          </w:p>
          <w:p w14:paraId="7E5C01F7">
            <w:pPr>
              <w:spacing w:before="108" w:line="269" w:lineRule="auto"/>
              <w:ind w:left="2219" w:right="107" w:firstLine="174"/>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造价工程师</w:t>
            </w:r>
          </w:p>
          <w:p w14:paraId="4B1CF022">
            <w:pPr>
              <w:spacing w:before="108" w:line="269" w:lineRule="auto"/>
              <w:ind w:left="2219" w:right="107" w:firstLine="174"/>
              <w:rPr>
                <w:rFonts w:ascii="宋体" w:hAnsi="宋体" w:eastAsia="宋体" w:cs="宋体"/>
                <w:color w:val="auto"/>
                <w:sz w:val="24"/>
                <w:szCs w:val="24"/>
                <w:highlight w:val="none"/>
              </w:rPr>
            </w:pPr>
            <w:r>
              <w:rPr>
                <w:rFonts w:ascii="宋体" w:hAnsi="宋体" w:eastAsia="宋体" w:cs="宋体"/>
                <w:color w:val="auto"/>
                <w:spacing w:val="-27"/>
                <w:sz w:val="24"/>
                <w:szCs w:val="24"/>
                <w:highlight w:val="none"/>
              </w:rPr>
              <w:t>日期</w:t>
            </w:r>
          </w:p>
        </w:tc>
      </w:tr>
      <w:tr w14:paraId="37E8B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0" w:hRule="atLeast"/>
        </w:trPr>
        <w:tc>
          <w:tcPr>
            <w:tcW w:w="9078" w:type="dxa"/>
            <w:gridSpan w:val="2"/>
          </w:tcPr>
          <w:p w14:paraId="3B3F65A9">
            <w:pPr>
              <w:spacing w:before="153"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691288A2">
            <w:pPr>
              <w:spacing w:before="149"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2CE935F1">
            <w:pPr>
              <w:spacing w:before="144"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09DE25AD">
            <w:pPr>
              <w:spacing w:before="150" w:line="22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00A0C2D5">
            <w:pPr>
              <w:spacing w:before="151" w:line="35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5021BD2D">
            <w:pPr>
              <w:spacing w:line="221" w:lineRule="auto"/>
              <w:ind w:left="6594"/>
              <w:rPr>
                <w:rFonts w:ascii="宋体" w:hAnsi="宋体" w:eastAsia="宋体" w:cs="宋体"/>
                <w:color w:val="auto"/>
                <w:sz w:val="24"/>
                <w:szCs w:val="24"/>
                <w:highlight w:val="none"/>
              </w:rPr>
            </w:pPr>
            <w:r>
              <w:rPr>
                <w:rFonts w:ascii="宋体" w:hAnsi="宋体" w:eastAsia="宋体" w:cs="宋体"/>
                <w:color w:val="auto"/>
                <w:spacing w:val="-17"/>
                <w:sz w:val="24"/>
                <w:szCs w:val="24"/>
                <w:highlight w:val="none"/>
              </w:rPr>
              <w:t>日       期</w:t>
            </w:r>
          </w:p>
        </w:tc>
      </w:tr>
    </w:tbl>
    <w:p w14:paraId="603984C4">
      <w:pPr>
        <w:pStyle w:val="19"/>
        <w:spacing w:before="145" w:line="220" w:lineRule="auto"/>
        <w:ind w:left="573"/>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w:t>
      </w:r>
    </w:p>
    <w:p w14:paraId="6C69B77F">
      <w:pPr>
        <w:pStyle w:val="19"/>
        <w:spacing w:before="141" w:line="185" w:lineRule="auto"/>
        <w:ind w:left="938"/>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2ACFBBF5">
      <w:pPr>
        <w:rPr>
          <w:color w:val="auto"/>
          <w:highlight w:val="none"/>
          <w:lang w:eastAsia="zh-CN"/>
        </w:rPr>
      </w:pPr>
      <w:r>
        <w:rPr>
          <w:color w:val="auto"/>
          <w:highlight w:val="none"/>
          <w:lang w:eastAsia="zh-CN"/>
        </w:rPr>
        <w:br w:type="page"/>
      </w:r>
    </w:p>
    <w:p w14:paraId="5CED0CC3">
      <w:pPr>
        <w:rPr>
          <w:color w:val="auto"/>
          <w:highlight w:val="none"/>
          <w:lang w:eastAsia="zh-CN"/>
        </w:rPr>
        <w:sectPr>
          <w:footerReference r:id="rId12" w:type="default"/>
          <w:pgSz w:w="11907" w:h="16841"/>
          <w:pgMar w:top="1429" w:right="1440" w:bottom="1270" w:left="1786" w:header="0" w:footer="1106" w:gutter="0"/>
          <w:pgBorders>
            <w:top w:val="none" w:sz="0" w:space="0"/>
            <w:left w:val="none" w:sz="0" w:space="0"/>
            <w:bottom w:val="none" w:sz="0" w:space="0"/>
            <w:right w:val="none" w:sz="0" w:space="0"/>
          </w:pgBorders>
          <w:pgNumType w:fmt="decimal"/>
          <w:cols w:space="425" w:num="1"/>
        </w:sectPr>
      </w:pPr>
    </w:p>
    <w:p w14:paraId="02996B30">
      <w:pPr>
        <w:pStyle w:val="19"/>
        <w:spacing w:before="71" w:line="849" w:lineRule="exact"/>
        <w:rPr>
          <w:color w:val="auto"/>
          <w:sz w:val="36"/>
          <w:szCs w:val="36"/>
          <w:highlight w:val="none"/>
          <w:lang w:eastAsia="zh-CN"/>
        </w:rPr>
      </w:pPr>
      <w:r>
        <w:rPr>
          <w:color w:val="auto"/>
          <w:spacing w:val="-13"/>
          <w:position w:val="42"/>
          <w:sz w:val="30"/>
          <w:szCs w:val="30"/>
          <w:highlight w:val="none"/>
          <w:lang w:eastAsia="zh-CN"/>
        </w:rPr>
        <w:t>附件</w:t>
      </w:r>
      <w:r>
        <w:rPr>
          <w:rFonts w:ascii="Calibri" w:hAnsi="Calibri" w:eastAsia="Calibri" w:cs="Calibri"/>
          <w:color w:val="auto"/>
          <w:spacing w:val="-13"/>
          <w:position w:val="42"/>
          <w:sz w:val="30"/>
          <w:szCs w:val="30"/>
          <w:highlight w:val="none"/>
          <w:lang w:eastAsia="zh-CN"/>
        </w:rPr>
        <w:t>12</w:t>
      </w:r>
      <w:r>
        <w:rPr>
          <w:color w:val="auto"/>
          <w:spacing w:val="-8"/>
          <w:sz w:val="36"/>
          <w:szCs w:val="36"/>
          <w:highlight w:val="none"/>
          <w:lang w:eastAsia="zh-CN"/>
        </w:rPr>
        <w:t>竣工结算款支付申请（核准）表</w:t>
      </w:r>
    </w:p>
    <w:p w14:paraId="7F9710AF">
      <w:pPr>
        <w:pStyle w:val="19"/>
        <w:spacing w:before="22" w:line="185" w:lineRule="auto"/>
        <w:rPr>
          <w:color w:val="auto"/>
          <w:sz w:val="24"/>
          <w:szCs w:val="24"/>
          <w:highlight w:val="none"/>
        </w:rPr>
      </w:pPr>
      <w:r>
        <w:rPr>
          <w:color w:val="auto"/>
          <w:spacing w:val="-11"/>
          <w:sz w:val="24"/>
          <w:szCs w:val="24"/>
          <w:highlight w:val="none"/>
        </w:rPr>
        <w:t>工程名称：</w:t>
      </w:r>
      <w:r>
        <w:rPr>
          <w:rFonts w:hint="eastAsia"/>
          <w:color w:val="auto"/>
          <w:spacing w:val="-11"/>
          <w:sz w:val="24"/>
          <w:szCs w:val="24"/>
          <w:highlight w:val="none"/>
          <w:lang w:val="en-US" w:eastAsia="zh-CN"/>
        </w:rPr>
        <w:t xml:space="preserve">                         </w:t>
      </w:r>
      <w:r>
        <w:rPr>
          <w:color w:val="auto"/>
          <w:spacing w:val="-15"/>
          <w:sz w:val="24"/>
          <w:szCs w:val="24"/>
          <w:highlight w:val="none"/>
        </w:rPr>
        <w:t>编号：</w:t>
      </w:r>
    </w:p>
    <w:tbl>
      <w:tblPr>
        <w:tblStyle w:val="88"/>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9"/>
        <w:gridCol w:w="4539"/>
      </w:tblGrid>
      <w:tr w14:paraId="1C9B1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2" w:hRule="atLeast"/>
        </w:trPr>
        <w:tc>
          <w:tcPr>
            <w:tcW w:w="9078" w:type="dxa"/>
            <w:gridSpan w:val="2"/>
          </w:tcPr>
          <w:p w14:paraId="118C6EA9">
            <w:pPr>
              <w:spacing w:before="207" w:line="221"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2E594BF1">
            <w:pPr>
              <w:spacing w:before="163" w:line="352" w:lineRule="auto"/>
              <w:ind w:left="429"/>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我方于至期间已完成了合同约定的工作，根据施工合同的约定，现申请</w:t>
            </w:r>
          </w:p>
          <w:p w14:paraId="06D31498">
            <w:pPr>
              <w:spacing w:line="228" w:lineRule="auto"/>
              <w:ind w:left="112"/>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支付竣工结算的工程款额为</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大写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小写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元，请予核</w:t>
            </w:r>
            <w:r>
              <w:rPr>
                <w:rFonts w:ascii="宋体" w:hAnsi="宋体" w:eastAsia="宋体" w:cs="宋体"/>
                <w:color w:val="auto"/>
                <w:spacing w:val="-5"/>
                <w:sz w:val="24"/>
                <w:szCs w:val="24"/>
                <w:highlight w:val="none"/>
                <w:lang w:eastAsia="zh-CN"/>
              </w:rPr>
              <w:t>准。</w:t>
            </w:r>
          </w:p>
          <w:p w14:paraId="62E54933">
            <w:pPr>
              <w:spacing w:line="29" w:lineRule="exact"/>
              <w:rPr>
                <w:color w:val="auto"/>
                <w:sz w:val="24"/>
                <w:szCs w:val="24"/>
                <w:highlight w:val="none"/>
                <w:lang w:eastAsia="zh-CN"/>
              </w:rPr>
            </w:pPr>
          </w:p>
          <w:tbl>
            <w:tblPr>
              <w:tblStyle w:val="88"/>
              <w:tblW w:w="8739"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3361"/>
              <w:gridCol w:w="1603"/>
              <w:gridCol w:w="1605"/>
              <w:gridCol w:w="1631"/>
            </w:tblGrid>
            <w:tr w14:paraId="7F8B0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textDirection w:val="tbRlV"/>
                </w:tcPr>
                <w:p w14:paraId="3D4C0288">
                  <w:pPr>
                    <w:spacing w:before="162"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361" w:type="dxa"/>
                </w:tcPr>
                <w:p w14:paraId="6DFF4DAB">
                  <w:pPr>
                    <w:spacing w:before="187" w:line="223" w:lineRule="auto"/>
                    <w:ind w:left="1161"/>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603" w:type="dxa"/>
                </w:tcPr>
                <w:p w14:paraId="39EA0B80">
                  <w:pPr>
                    <w:spacing w:before="187" w:line="221" w:lineRule="auto"/>
                    <w:ind w:left="13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申请金额（元）</w:t>
                  </w:r>
                </w:p>
              </w:tc>
              <w:tc>
                <w:tcPr>
                  <w:tcW w:w="1605" w:type="dxa"/>
                </w:tcPr>
                <w:p w14:paraId="40DFAABA">
                  <w:pPr>
                    <w:spacing w:before="187" w:line="221" w:lineRule="auto"/>
                    <w:ind w:left="12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复核金额（元）</w:t>
                  </w:r>
                </w:p>
              </w:tc>
              <w:tc>
                <w:tcPr>
                  <w:tcW w:w="1631" w:type="dxa"/>
                </w:tcPr>
                <w:p w14:paraId="080AFED4">
                  <w:pPr>
                    <w:spacing w:before="187" w:line="222" w:lineRule="auto"/>
                    <w:ind w:left="61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339722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093EA54F">
                  <w:pPr>
                    <w:spacing w:before="89" w:line="174"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361" w:type="dxa"/>
                </w:tcPr>
                <w:p w14:paraId="1188CF17">
                  <w:pPr>
                    <w:spacing w:before="41" w:line="205" w:lineRule="auto"/>
                    <w:ind w:left="113"/>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竣工结算合同价款总额</w:t>
                  </w:r>
                </w:p>
              </w:tc>
              <w:tc>
                <w:tcPr>
                  <w:tcW w:w="1603" w:type="dxa"/>
                </w:tcPr>
                <w:p w14:paraId="6165340D">
                  <w:pPr>
                    <w:pStyle w:val="98"/>
                    <w:rPr>
                      <w:color w:val="auto"/>
                      <w:sz w:val="24"/>
                      <w:szCs w:val="24"/>
                      <w:highlight w:val="none"/>
                      <w:lang w:eastAsia="zh-CN"/>
                    </w:rPr>
                  </w:pPr>
                </w:p>
              </w:tc>
              <w:tc>
                <w:tcPr>
                  <w:tcW w:w="1605" w:type="dxa"/>
                </w:tcPr>
                <w:p w14:paraId="1482F01C">
                  <w:pPr>
                    <w:pStyle w:val="98"/>
                    <w:rPr>
                      <w:color w:val="auto"/>
                      <w:sz w:val="24"/>
                      <w:szCs w:val="24"/>
                      <w:highlight w:val="none"/>
                      <w:lang w:eastAsia="zh-CN"/>
                    </w:rPr>
                  </w:pPr>
                </w:p>
              </w:tc>
              <w:tc>
                <w:tcPr>
                  <w:tcW w:w="1631" w:type="dxa"/>
                </w:tcPr>
                <w:p w14:paraId="4D9193D3">
                  <w:pPr>
                    <w:pStyle w:val="98"/>
                    <w:rPr>
                      <w:color w:val="auto"/>
                      <w:sz w:val="24"/>
                      <w:szCs w:val="24"/>
                      <w:highlight w:val="none"/>
                      <w:lang w:eastAsia="zh-CN"/>
                    </w:rPr>
                  </w:pPr>
                </w:p>
              </w:tc>
            </w:tr>
            <w:tr w14:paraId="51066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0789BD7">
                  <w:pPr>
                    <w:spacing w:before="89" w:line="174"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361" w:type="dxa"/>
                </w:tcPr>
                <w:p w14:paraId="3D1615BC">
                  <w:pPr>
                    <w:spacing w:before="42" w:line="204" w:lineRule="auto"/>
                    <w:ind w:left="120"/>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累计已实际支付的合同价款</w:t>
                  </w:r>
                </w:p>
              </w:tc>
              <w:tc>
                <w:tcPr>
                  <w:tcW w:w="1603" w:type="dxa"/>
                </w:tcPr>
                <w:p w14:paraId="4467F4CA">
                  <w:pPr>
                    <w:pStyle w:val="98"/>
                    <w:rPr>
                      <w:color w:val="auto"/>
                      <w:sz w:val="24"/>
                      <w:szCs w:val="24"/>
                      <w:highlight w:val="none"/>
                      <w:lang w:eastAsia="zh-CN"/>
                    </w:rPr>
                  </w:pPr>
                </w:p>
              </w:tc>
              <w:tc>
                <w:tcPr>
                  <w:tcW w:w="1605" w:type="dxa"/>
                </w:tcPr>
                <w:p w14:paraId="3656F6B1">
                  <w:pPr>
                    <w:pStyle w:val="98"/>
                    <w:rPr>
                      <w:color w:val="auto"/>
                      <w:sz w:val="24"/>
                      <w:szCs w:val="24"/>
                      <w:highlight w:val="none"/>
                      <w:lang w:eastAsia="zh-CN"/>
                    </w:rPr>
                  </w:pPr>
                </w:p>
              </w:tc>
              <w:tc>
                <w:tcPr>
                  <w:tcW w:w="1631" w:type="dxa"/>
                </w:tcPr>
                <w:p w14:paraId="299BBD0A">
                  <w:pPr>
                    <w:pStyle w:val="98"/>
                    <w:rPr>
                      <w:color w:val="auto"/>
                      <w:sz w:val="24"/>
                      <w:szCs w:val="24"/>
                      <w:highlight w:val="none"/>
                      <w:lang w:eastAsia="zh-CN"/>
                    </w:rPr>
                  </w:pPr>
                </w:p>
              </w:tc>
            </w:tr>
            <w:tr w14:paraId="53D3D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39" w:type="dxa"/>
                </w:tcPr>
                <w:p w14:paraId="7D3803F0">
                  <w:pPr>
                    <w:spacing w:before="89" w:line="171"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361" w:type="dxa"/>
                </w:tcPr>
                <w:p w14:paraId="7A7C5473">
                  <w:pPr>
                    <w:spacing w:before="43" w:line="201" w:lineRule="auto"/>
                    <w:ind w:left="11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应预留的质量保证金</w:t>
                  </w:r>
                </w:p>
              </w:tc>
              <w:tc>
                <w:tcPr>
                  <w:tcW w:w="1603" w:type="dxa"/>
                </w:tcPr>
                <w:p w14:paraId="1F15412C">
                  <w:pPr>
                    <w:pStyle w:val="98"/>
                    <w:rPr>
                      <w:color w:val="auto"/>
                      <w:sz w:val="24"/>
                      <w:szCs w:val="24"/>
                      <w:highlight w:val="none"/>
                    </w:rPr>
                  </w:pPr>
                </w:p>
              </w:tc>
              <w:tc>
                <w:tcPr>
                  <w:tcW w:w="1605" w:type="dxa"/>
                </w:tcPr>
                <w:p w14:paraId="40A034F7">
                  <w:pPr>
                    <w:pStyle w:val="98"/>
                    <w:rPr>
                      <w:color w:val="auto"/>
                      <w:sz w:val="24"/>
                      <w:szCs w:val="24"/>
                      <w:highlight w:val="none"/>
                    </w:rPr>
                  </w:pPr>
                </w:p>
              </w:tc>
              <w:tc>
                <w:tcPr>
                  <w:tcW w:w="1631" w:type="dxa"/>
                </w:tcPr>
                <w:p w14:paraId="7A44B8D6">
                  <w:pPr>
                    <w:pStyle w:val="98"/>
                    <w:rPr>
                      <w:color w:val="auto"/>
                      <w:sz w:val="24"/>
                      <w:szCs w:val="24"/>
                      <w:highlight w:val="none"/>
                    </w:rPr>
                  </w:pPr>
                </w:p>
              </w:tc>
            </w:tr>
            <w:tr w14:paraId="352D1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335C308">
                  <w:pPr>
                    <w:spacing w:before="94" w:line="169"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361" w:type="dxa"/>
                </w:tcPr>
                <w:p w14:paraId="2ABADAF0">
                  <w:pPr>
                    <w:spacing w:before="47" w:line="200" w:lineRule="auto"/>
                    <w:ind w:left="112"/>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应支付的竣工结算款金额</w:t>
                  </w:r>
                </w:p>
              </w:tc>
              <w:tc>
                <w:tcPr>
                  <w:tcW w:w="1603" w:type="dxa"/>
                </w:tcPr>
                <w:p w14:paraId="33F34087">
                  <w:pPr>
                    <w:pStyle w:val="98"/>
                    <w:rPr>
                      <w:color w:val="auto"/>
                      <w:sz w:val="24"/>
                      <w:szCs w:val="24"/>
                      <w:highlight w:val="none"/>
                      <w:lang w:eastAsia="zh-CN"/>
                    </w:rPr>
                  </w:pPr>
                </w:p>
              </w:tc>
              <w:tc>
                <w:tcPr>
                  <w:tcW w:w="1605" w:type="dxa"/>
                </w:tcPr>
                <w:p w14:paraId="6F500AA4">
                  <w:pPr>
                    <w:pStyle w:val="98"/>
                    <w:rPr>
                      <w:color w:val="auto"/>
                      <w:sz w:val="24"/>
                      <w:szCs w:val="24"/>
                      <w:highlight w:val="none"/>
                      <w:lang w:eastAsia="zh-CN"/>
                    </w:rPr>
                  </w:pPr>
                </w:p>
              </w:tc>
              <w:tc>
                <w:tcPr>
                  <w:tcW w:w="1631" w:type="dxa"/>
                </w:tcPr>
                <w:p w14:paraId="5653EE7E">
                  <w:pPr>
                    <w:pStyle w:val="98"/>
                    <w:rPr>
                      <w:color w:val="auto"/>
                      <w:sz w:val="24"/>
                      <w:szCs w:val="24"/>
                      <w:highlight w:val="none"/>
                      <w:lang w:eastAsia="zh-CN"/>
                    </w:rPr>
                  </w:pPr>
                </w:p>
              </w:tc>
            </w:tr>
            <w:tr w14:paraId="169FB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4F6A2ED5">
                  <w:pPr>
                    <w:pStyle w:val="98"/>
                    <w:rPr>
                      <w:color w:val="auto"/>
                      <w:sz w:val="24"/>
                      <w:szCs w:val="24"/>
                      <w:highlight w:val="none"/>
                      <w:lang w:eastAsia="zh-CN"/>
                    </w:rPr>
                  </w:pPr>
                </w:p>
              </w:tc>
              <w:tc>
                <w:tcPr>
                  <w:tcW w:w="3361" w:type="dxa"/>
                </w:tcPr>
                <w:p w14:paraId="1E799537">
                  <w:pPr>
                    <w:pStyle w:val="98"/>
                    <w:rPr>
                      <w:color w:val="auto"/>
                      <w:sz w:val="24"/>
                      <w:szCs w:val="24"/>
                      <w:highlight w:val="none"/>
                      <w:lang w:eastAsia="zh-CN"/>
                    </w:rPr>
                  </w:pPr>
                </w:p>
              </w:tc>
              <w:tc>
                <w:tcPr>
                  <w:tcW w:w="1603" w:type="dxa"/>
                </w:tcPr>
                <w:p w14:paraId="63EF127C">
                  <w:pPr>
                    <w:pStyle w:val="98"/>
                    <w:rPr>
                      <w:color w:val="auto"/>
                      <w:sz w:val="24"/>
                      <w:szCs w:val="24"/>
                      <w:highlight w:val="none"/>
                      <w:lang w:eastAsia="zh-CN"/>
                    </w:rPr>
                  </w:pPr>
                </w:p>
              </w:tc>
              <w:tc>
                <w:tcPr>
                  <w:tcW w:w="1605" w:type="dxa"/>
                </w:tcPr>
                <w:p w14:paraId="2DACD21A">
                  <w:pPr>
                    <w:pStyle w:val="98"/>
                    <w:rPr>
                      <w:color w:val="auto"/>
                      <w:sz w:val="24"/>
                      <w:szCs w:val="24"/>
                      <w:highlight w:val="none"/>
                      <w:lang w:eastAsia="zh-CN"/>
                    </w:rPr>
                  </w:pPr>
                </w:p>
              </w:tc>
              <w:tc>
                <w:tcPr>
                  <w:tcW w:w="1631" w:type="dxa"/>
                </w:tcPr>
                <w:p w14:paraId="6E9E9497">
                  <w:pPr>
                    <w:pStyle w:val="98"/>
                    <w:rPr>
                      <w:color w:val="auto"/>
                      <w:sz w:val="24"/>
                      <w:szCs w:val="24"/>
                      <w:highlight w:val="none"/>
                      <w:lang w:eastAsia="zh-CN"/>
                    </w:rPr>
                  </w:pPr>
                </w:p>
              </w:tc>
            </w:tr>
            <w:tr w14:paraId="1D5F6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500824DF">
                  <w:pPr>
                    <w:pStyle w:val="98"/>
                    <w:rPr>
                      <w:color w:val="auto"/>
                      <w:sz w:val="24"/>
                      <w:szCs w:val="24"/>
                      <w:highlight w:val="none"/>
                      <w:lang w:eastAsia="zh-CN"/>
                    </w:rPr>
                  </w:pPr>
                </w:p>
              </w:tc>
              <w:tc>
                <w:tcPr>
                  <w:tcW w:w="3361" w:type="dxa"/>
                </w:tcPr>
                <w:p w14:paraId="1714AD77">
                  <w:pPr>
                    <w:pStyle w:val="98"/>
                    <w:rPr>
                      <w:color w:val="auto"/>
                      <w:sz w:val="24"/>
                      <w:szCs w:val="24"/>
                      <w:highlight w:val="none"/>
                      <w:lang w:eastAsia="zh-CN"/>
                    </w:rPr>
                  </w:pPr>
                </w:p>
              </w:tc>
              <w:tc>
                <w:tcPr>
                  <w:tcW w:w="1603" w:type="dxa"/>
                </w:tcPr>
                <w:p w14:paraId="1F4F46F9">
                  <w:pPr>
                    <w:pStyle w:val="98"/>
                    <w:rPr>
                      <w:color w:val="auto"/>
                      <w:sz w:val="24"/>
                      <w:szCs w:val="24"/>
                      <w:highlight w:val="none"/>
                      <w:lang w:eastAsia="zh-CN"/>
                    </w:rPr>
                  </w:pPr>
                </w:p>
              </w:tc>
              <w:tc>
                <w:tcPr>
                  <w:tcW w:w="1605" w:type="dxa"/>
                </w:tcPr>
                <w:p w14:paraId="410651FF">
                  <w:pPr>
                    <w:pStyle w:val="98"/>
                    <w:rPr>
                      <w:color w:val="auto"/>
                      <w:sz w:val="24"/>
                      <w:szCs w:val="24"/>
                      <w:highlight w:val="none"/>
                      <w:lang w:eastAsia="zh-CN"/>
                    </w:rPr>
                  </w:pPr>
                </w:p>
              </w:tc>
              <w:tc>
                <w:tcPr>
                  <w:tcW w:w="1631" w:type="dxa"/>
                </w:tcPr>
                <w:p w14:paraId="5D304E5E">
                  <w:pPr>
                    <w:pStyle w:val="98"/>
                    <w:rPr>
                      <w:color w:val="auto"/>
                      <w:sz w:val="24"/>
                      <w:szCs w:val="24"/>
                      <w:highlight w:val="none"/>
                      <w:lang w:eastAsia="zh-CN"/>
                    </w:rPr>
                  </w:pPr>
                </w:p>
              </w:tc>
            </w:tr>
            <w:tr w14:paraId="27EDA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63957F59">
                  <w:pPr>
                    <w:pStyle w:val="98"/>
                    <w:rPr>
                      <w:color w:val="auto"/>
                      <w:sz w:val="24"/>
                      <w:szCs w:val="24"/>
                      <w:highlight w:val="none"/>
                      <w:lang w:eastAsia="zh-CN"/>
                    </w:rPr>
                  </w:pPr>
                </w:p>
              </w:tc>
              <w:tc>
                <w:tcPr>
                  <w:tcW w:w="3361" w:type="dxa"/>
                </w:tcPr>
                <w:p w14:paraId="6329B1D3">
                  <w:pPr>
                    <w:pStyle w:val="98"/>
                    <w:rPr>
                      <w:color w:val="auto"/>
                      <w:sz w:val="24"/>
                      <w:szCs w:val="24"/>
                      <w:highlight w:val="none"/>
                      <w:lang w:eastAsia="zh-CN"/>
                    </w:rPr>
                  </w:pPr>
                </w:p>
              </w:tc>
              <w:tc>
                <w:tcPr>
                  <w:tcW w:w="1603" w:type="dxa"/>
                </w:tcPr>
                <w:p w14:paraId="5CFA4596">
                  <w:pPr>
                    <w:pStyle w:val="98"/>
                    <w:rPr>
                      <w:color w:val="auto"/>
                      <w:sz w:val="24"/>
                      <w:szCs w:val="24"/>
                      <w:highlight w:val="none"/>
                      <w:lang w:eastAsia="zh-CN"/>
                    </w:rPr>
                  </w:pPr>
                </w:p>
              </w:tc>
              <w:tc>
                <w:tcPr>
                  <w:tcW w:w="1605" w:type="dxa"/>
                </w:tcPr>
                <w:p w14:paraId="118ACAC0">
                  <w:pPr>
                    <w:pStyle w:val="98"/>
                    <w:rPr>
                      <w:color w:val="auto"/>
                      <w:sz w:val="24"/>
                      <w:szCs w:val="24"/>
                      <w:highlight w:val="none"/>
                      <w:lang w:eastAsia="zh-CN"/>
                    </w:rPr>
                  </w:pPr>
                </w:p>
              </w:tc>
              <w:tc>
                <w:tcPr>
                  <w:tcW w:w="1631" w:type="dxa"/>
                </w:tcPr>
                <w:p w14:paraId="2AE7C910">
                  <w:pPr>
                    <w:pStyle w:val="98"/>
                    <w:rPr>
                      <w:color w:val="auto"/>
                      <w:sz w:val="24"/>
                      <w:szCs w:val="24"/>
                      <w:highlight w:val="none"/>
                      <w:lang w:eastAsia="zh-CN"/>
                    </w:rPr>
                  </w:pPr>
                </w:p>
              </w:tc>
            </w:tr>
            <w:tr w14:paraId="2D1DCA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9" w:type="dxa"/>
                </w:tcPr>
                <w:p w14:paraId="79713665">
                  <w:pPr>
                    <w:pStyle w:val="98"/>
                    <w:rPr>
                      <w:color w:val="auto"/>
                      <w:sz w:val="24"/>
                      <w:szCs w:val="24"/>
                      <w:highlight w:val="none"/>
                      <w:lang w:eastAsia="zh-CN"/>
                    </w:rPr>
                  </w:pPr>
                </w:p>
              </w:tc>
              <w:tc>
                <w:tcPr>
                  <w:tcW w:w="3361" w:type="dxa"/>
                </w:tcPr>
                <w:p w14:paraId="214C6561">
                  <w:pPr>
                    <w:pStyle w:val="98"/>
                    <w:rPr>
                      <w:color w:val="auto"/>
                      <w:sz w:val="24"/>
                      <w:szCs w:val="24"/>
                      <w:highlight w:val="none"/>
                      <w:lang w:eastAsia="zh-CN"/>
                    </w:rPr>
                  </w:pPr>
                </w:p>
              </w:tc>
              <w:tc>
                <w:tcPr>
                  <w:tcW w:w="1603" w:type="dxa"/>
                </w:tcPr>
                <w:p w14:paraId="5EE15FDB">
                  <w:pPr>
                    <w:pStyle w:val="98"/>
                    <w:rPr>
                      <w:color w:val="auto"/>
                      <w:sz w:val="24"/>
                      <w:szCs w:val="24"/>
                      <w:highlight w:val="none"/>
                      <w:lang w:eastAsia="zh-CN"/>
                    </w:rPr>
                  </w:pPr>
                </w:p>
              </w:tc>
              <w:tc>
                <w:tcPr>
                  <w:tcW w:w="1605" w:type="dxa"/>
                </w:tcPr>
                <w:p w14:paraId="4C1ECB9D">
                  <w:pPr>
                    <w:pStyle w:val="98"/>
                    <w:rPr>
                      <w:color w:val="auto"/>
                      <w:sz w:val="24"/>
                      <w:szCs w:val="24"/>
                      <w:highlight w:val="none"/>
                      <w:lang w:eastAsia="zh-CN"/>
                    </w:rPr>
                  </w:pPr>
                </w:p>
              </w:tc>
              <w:tc>
                <w:tcPr>
                  <w:tcW w:w="1631" w:type="dxa"/>
                </w:tcPr>
                <w:p w14:paraId="128EC504">
                  <w:pPr>
                    <w:pStyle w:val="98"/>
                    <w:rPr>
                      <w:color w:val="auto"/>
                      <w:sz w:val="24"/>
                      <w:szCs w:val="24"/>
                      <w:highlight w:val="none"/>
                      <w:lang w:eastAsia="zh-CN"/>
                    </w:rPr>
                  </w:pPr>
                </w:p>
              </w:tc>
            </w:tr>
            <w:tr w14:paraId="6A9BD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9" w:type="dxa"/>
                </w:tcPr>
                <w:p w14:paraId="45A6BA50">
                  <w:pPr>
                    <w:pStyle w:val="98"/>
                    <w:rPr>
                      <w:color w:val="auto"/>
                      <w:sz w:val="24"/>
                      <w:szCs w:val="24"/>
                      <w:highlight w:val="none"/>
                      <w:lang w:eastAsia="zh-CN"/>
                    </w:rPr>
                  </w:pPr>
                </w:p>
              </w:tc>
              <w:tc>
                <w:tcPr>
                  <w:tcW w:w="3361" w:type="dxa"/>
                </w:tcPr>
                <w:p w14:paraId="0D281AF3">
                  <w:pPr>
                    <w:pStyle w:val="98"/>
                    <w:rPr>
                      <w:color w:val="auto"/>
                      <w:sz w:val="24"/>
                      <w:szCs w:val="24"/>
                      <w:highlight w:val="none"/>
                      <w:lang w:eastAsia="zh-CN"/>
                    </w:rPr>
                  </w:pPr>
                </w:p>
              </w:tc>
              <w:tc>
                <w:tcPr>
                  <w:tcW w:w="1603" w:type="dxa"/>
                </w:tcPr>
                <w:p w14:paraId="2929930B">
                  <w:pPr>
                    <w:pStyle w:val="98"/>
                    <w:rPr>
                      <w:color w:val="auto"/>
                      <w:sz w:val="24"/>
                      <w:szCs w:val="24"/>
                      <w:highlight w:val="none"/>
                      <w:lang w:eastAsia="zh-CN"/>
                    </w:rPr>
                  </w:pPr>
                </w:p>
              </w:tc>
              <w:tc>
                <w:tcPr>
                  <w:tcW w:w="1605" w:type="dxa"/>
                </w:tcPr>
                <w:p w14:paraId="445F0426">
                  <w:pPr>
                    <w:pStyle w:val="98"/>
                    <w:rPr>
                      <w:color w:val="auto"/>
                      <w:sz w:val="24"/>
                      <w:szCs w:val="24"/>
                      <w:highlight w:val="none"/>
                      <w:lang w:eastAsia="zh-CN"/>
                    </w:rPr>
                  </w:pPr>
                </w:p>
              </w:tc>
              <w:tc>
                <w:tcPr>
                  <w:tcW w:w="1631" w:type="dxa"/>
                </w:tcPr>
                <w:p w14:paraId="29CAE74F">
                  <w:pPr>
                    <w:pStyle w:val="98"/>
                    <w:rPr>
                      <w:color w:val="auto"/>
                      <w:sz w:val="24"/>
                      <w:szCs w:val="24"/>
                      <w:highlight w:val="none"/>
                      <w:lang w:eastAsia="zh-CN"/>
                    </w:rPr>
                  </w:pPr>
                </w:p>
              </w:tc>
            </w:tr>
          </w:tbl>
          <w:p w14:paraId="4B98F848">
            <w:pPr>
              <w:pStyle w:val="98"/>
              <w:spacing w:line="464" w:lineRule="auto"/>
              <w:rPr>
                <w:color w:val="auto"/>
                <w:sz w:val="24"/>
                <w:szCs w:val="24"/>
                <w:highlight w:val="none"/>
                <w:lang w:eastAsia="zh-CN"/>
              </w:rPr>
            </w:pPr>
          </w:p>
          <w:p w14:paraId="474368C0">
            <w:pPr>
              <w:spacing w:before="69" w:line="220" w:lineRule="auto"/>
              <w:ind w:left="6232"/>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47C2776F">
            <w:pPr>
              <w:spacing w:before="151" w:line="219"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42944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1" w:hRule="atLeast"/>
        </w:trPr>
        <w:tc>
          <w:tcPr>
            <w:tcW w:w="4539" w:type="dxa"/>
          </w:tcPr>
          <w:p w14:paraId="3FFD8E40">
            <w:pPr>
              <w:spacing w:before="85"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5003F5BF">
            <w:pPr>
              <w:spacing w:before="108" w:line="220"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□与实际施工情况不相符，修改意见见附件。</w:t>
            </w:r>
          </w:p>
          <w:p w14:paraId="19A2E8C7">
            <w:pPr>
              <w:spacing w:before="108" w:line="269" w:lineRule="auto"/>
              <w:ind w:left="115" w:right="103" w:firstLine="334"/>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□与实际施工情况相符，具体金额由造价工</w:t>
            </w:r>
            <w:r>
              <w:rPr>
                <w:rFonts w:ascii="宋体" w:hAnsi="宋体" w:eastAsia="宋体" w:cs="宋体"/>
                <w:color w:val="auto"/>
                <w:spacing w:val="-4"/>
                <w:sz w:val="24"/>
                <w:szCs w:val="24"/>
                <w:highlight w:val="none"/>
                <w:lang w:eastAsia="zh-CN"/>
              </w:rPr>
              <w:t>程师复核。</w:t>
            </w:r>
          </w:p>
          <w:p w14:paraId="014C1BD2">
            <w:pPr>
              <w:pStyle w:val="98"/>
              <w:spacing w:line="278" w:lineRule="auto"/>
              <w:rPr>
                <w:color w:val="auto"/>
                <w:sz w:val="24"/>
                <w:szCs w:val="24"/>
                <w:highlight w:val="none"/>
                <w:lang w:eastAsia="zh-CN"/>
              </w:rPr>
            </w:pPr>
          </w:p>
          <w:p w14:paraId="33FFAE47">
            <w:pPr>
              <w:pStyle w:val="98"/>
              <w:spacing w:line="278" w:lineRule="auto"/>
              <w:rPr>
                <w:color w:val="auto"/>
                <w:sz w:val="24"/>
                <w:szCs w:val="24"/>
                <w:highlight w:val="none"/>
                <w:lang w:eastAsia="zh-CN"/>
              </w:rPr>
            </w:pPr>
          </w:p>
          <w:p w14:paraId="6E90EDF4">
            <w:pPr>
              <w:pStyle w:val="98"/>
              <w:spacing w:line="279" w:lineRule="auto"/>
              <w:rPr>
                <w:color w:val="auto"/>
                <w:sz w:val="24"/>
                <w:szCs w:val="24"/>
                <w:highlight w:val="none"/>
                <w:lang w:eastAsia="zh-CN"/>
              </w:rPr>
            </w:pPr>
          </w:p>
          <w:p w14:paraId="15C18FC5">
            <w:pPr>
              <w:pStyle w:val="98"/>
              <w:spacing w:line="279" w:lineRule="auto"/>
              <w:rPr>
                <w:color w:val="auto"/>
                <w:sz w:val="24"/>
                <w:szCs w:val="24"/>
                <w:highlight w:val="none"/>
                <w:lang w:eastAsia="zh-CN"/>
              </w:rPr>
            </w:pPr>
          </w:p>
          <w:p w14:paraId="693DFDBB">
            <w:pPr>
              <w:spacing w:before="69" w:line="261" w:lineRule="auto"/>
              <w:ind w:left="2319" w:right="105" w:hanging="35"/>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77EA949C">
            <w:pPr>
              <w:spacing w:before="69" w:line="261" w:lineRule="auto"/>
              <w:ind w:left="2319" w:right="105" w:hanging="35"/>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c>
          <w:tcPr>
            <w:tcW w:w="4539" w:type="dxa"/>
          </w:tcPr>
          <w:p w14:paraId="54910E48">
            <w:pPr>
              <w:spacing w:before="85" w:line="221" w:lineRule="auto"/>
              <w:ind w:left="11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2F87580C">
            <w:pPr>
              <w:spacing w:before="111" w:line="297" w:lineRule="auto"/>
              <w:ind w:left="113" w:right="47" w:firstLine="435"/>
              <w:jc w:val="both"/>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你方提出的竣工结算支付申请经复核，竣工</w:t>
            </w:r>
            <w:r>
              <w:rPr>
                <w:rFonts w:ascii="宋体" w:hAnsi="宋体" w:eastAsia="宋体" w:cs="宋体"/>
                <w:color w:val="auto"/>
                <w:spacing w:val="4"/>
                <w:sz w:val="24"/>
                <w:szCs w:val="24"/>
                <w:highlight w:val="none"/>
                <w:lang w:eastAsia="zh-CN"/>
              </w:rPr>
              <w:t>结算款总额为</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大写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宋体" w:hAnsi="宋体" w:eastAsia="宋体" w:cs="宋体"/>
                <w:color w:val="auto"/>
                <w:spacing w:val="-52"/>
                <w:w w:val="94"/>
                <w:sz w:val="24"/>
                <w:szCs w:val="24"/>
                <w:highlight w:val="none"/>
                <w:lang w:eastAsia="zh-CN"/>
              </w:rPr>
              <w:t>，（</w:t>
            </w:r>
            <w:r>
              <w:rPr>
                <w:rFonts w:ascii="宋体" w:hAnsi="宋体" w:eastAsia="宋体" w:cs="宋体"/>
                <w:color w:val="auto"/>
                <w:spacing w:val="4"/>
                <w:sz w:val="24"/>
                <w:szCs w:val="24"/>
                <w:highlight w:val="none"/>
                <w:lang w:eastAsia="zh-CN"/>
              </w:rPr>
              <w:t>小</w:t>
            </w:r>
            <w:r>
              <w:rPr>
                <w:rFonts w:ascii="宋体" w:hAnsi="宋体" w:eastAsia="宋体" w:cs="宋体"/>
                <w:color w:val="auto"/>
                <w:spacing w:val="-4"/>
                <w:sz w:val="24"/>
                <w:szCs w:val="24"/>
                <w:highlight w:val="none"/>
                <w:lang w:eastAsia="zh-CN"/>
              </w:rPr>
              <w:t>写） 元，扣除前期支付以及质量保</w:t>
            </w:r>
            <w:r>
              <w:rPr>
                <w:rFonts w:ascii="宋体" w:hAnsi="宋体" w:eastAsia="宋体" w:cs="宋体"/>
                <w:color w:val="auto"/>
                <w:spacing w:val="-12"/>
                <w:sz w:val="24"/>
                <w:szCs w:val="24"/>
                <w:highlight w:val="none"/>
                <w:lang w:eastAsia="zh-CN"/>
              </w:rPr>
              <w:t>证金后应支付金额为（大写）</w:t>
            </w:r>
            <w:r>
              <w:rPr>
                <w:rFonts w:ascii="宋体" w:hAnsi="宋体" w:eastAsia="宋体" w:cs="宋体"/>
                <w:color w:val="auto"/>
                <w:spacing w:val="-13"/>
                <w:sz w:val="24"/>
                <w:szCs w:val="24"/>
                <w:highlight w:val="none"/>
                <w:lang w:eastAsia="zh-CN"/>
              </w:rPr>
              <w:t>元，</w:t>
            </w:r>
            <w:r>
              <w:rPr>
                <w:rFonts w:ascii="宋体" w:hAnsi="宋体" w:eastAsia="宋体" w:cs="宋体"/>
                <w:color w:val="auto"/>
                <w:spacing w:val="-2"/>
                <w:sz w:val="24"/>
                <w:szCs w:val="24"/>
                <w:highlight w:val="none"/>
                <w:lang w:eastAsia="zh-CN"/>
              </w:rPr>
              <w:t>（小写）元。</w:t>
            </w:r>
          </w:p>
          <w:p w14:paraId="04F259CD">
            <w:pPr>
              <w:pStyle w:val="98"/>
              <w:spacing w:line="398" w:lineRule="auto"/>
              <w:rPr>
                <w:color w:val="auto"/>
                <w:sz w:val="24"/>
                <w:szCs w:val="24"/>
                <w:highlight w:val="none"/>
                <w:lang w:eastAsia="zh-CN"/>
              </w:rPr>
            </w:pPr>
          </w:p>
          <w:p w14:paraId="43A10AC3">
            <w:pPr>
              <w:spacing w:before="68" w:line="261" w:lineRule="auto"/>
              <w:ind w:left="2214" w:right="160" w:hanging="37"/>
              <w:rPr>
                <w:rFonts w:ascii="宋体" w:hAnsi="宋体" w:eastAsia="宋体" w:cs="宋体"/>
                <w:color w:val="auto"/>
                <w:spacing w:val="-1"/>
                <w:sz w:val="24"/>
                <w:szCs w:val="24"/>
                <w:highlight w:val="none"/>
                <w:lang w:eastAsia="zh-CN"/>
              </w:rPr>
            </w:pPr>
          </w:p>
          <w:p w14:paraId="722B4200">
            <w:pPr>
              <w:spacing w:before="68" w:line="261" w:lineRule="auto"/>
              <w:ind w:left="2214" w:right="160" w:hanging="37"/>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造价工程师</w:t>
            </w:r>
          </w:p>
          <w:p w14:paraId="41EFBB15">
            <w:pPr>
              <w:spacing w:before="68" w:line="261" w:lineRule="auto"/>
              <w:ind w:left="2214" w:right="160" w:hanging="37"/>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r>
      <w:tr w14:paraId="19E0F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8" w:hRule="atLeast"/>
        </w:trPr>
        <w:tc>
          <w:tcPr>
            <w:tcW w:w="9078" w:type="dxa"/>
            <w:gridSpan w:val="2"/>
          </w:tcPr>
          <w:p w14:paraId="6D54E28E">
            <w:pPr>
              <w:spacing w:before="151"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76F84118">
            <w:pPr>
              <w:spacing w:before="149"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33DC110F">
            <w:pPr>
              <w:spacing w:before="144"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306A4324">
            <w:pPr>
              <w:spacing w:before="150" w:line="22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4F252DAF">
            <w:pPr>
              <w:spacing w:before="151" w:line="35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71D87050">
            <w:pPr>
              <w:spacing w:line="221" w:lineRule="auto"/>
              <w:ind w:left="6594"/>
              <w:rPr>
                <w:rFonts w:ascii="宋体" w:hAnsi="宋体" w:eastAsia="宋体" w:cs="宋体"/>
                <w:color w:val="auto"/>
                <w:highlight w:val="none"/>
              </w:rPr>
            </w:pPr>
            <w:r>
              <w:rPr>
                <w:rFonts w:ascii="宋体" w:hAnsi="宋体" w:eastAsia="宋体" w:cs="宋体"/>
                <w:color w:val="auto"/>
                <w:spacing w:val="-17"/>
                <w:sz w:val="24"/>
                <w:szCs w:val="24"/>
                <w:highlight w:val="none"/>
              </w:rPr>
              <w:t>日       期</w:t>
            </w:r>
          </w:p>
        </w:tc>
      </w:tr>
    </w:tbl>
    <w:p w14:paraId="6AFBF4F4">
      <w:pPr>
        <w:pStyle w:val="19"/>
        <w:spacing w:before="145" w:line="220" w:lineRule="auto"/>
        <w:ind w:left="573"/>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w:t>
      </w:r>
    </w:p>
    <w:p w14:paraId="53AA06C4">
      <w:pPr>
        <w:pStyle w:val="19"/>
        <w:spacing w:before="141" w:line="185" w:lineRule="auto"/>
        <w:ind w:left="938"/>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7EFEF2E8">
      <w:pPr>
        <w:rPr>
          <w:color w:val="auto"/>
          <w:spacing w:val="-13"/>
          <w:sz w:val="30"/>
          <w:szCs w:val="30"/>
          <w:highlight w:val="none"/>
          <w:lang w:eastAsia="zh-CN"/>
        </w:rPr>
      </w:pPr>
      <w:r>
        <w:rPr>
          <w:color w:val="auto"/>
          <w:spacing w:val="-13"/>
          <w:sz w:val="30"/>
          <w:szCs w:val="30"/>
          <w:highlight w:val="none"/>
          <w:lang w:eastAsia="zh-CN"/>
        </w:rPr>
        <w:br w:type="page"/>
      </w:r>
    </w:p>
    <w:p w14:paraId="7508D274">
      <w:pPr>
        <w:pStyle w:val="19"/>
        <w:spacing w:before="98" w:line="219" w:lineRule="auto"/>
        <w:rPr>
          <w:color w:val="auto"/>
          <w:sz w:val="30"/>
          <w:szCs w:val="30"/>
          <w:highlight w:val="none"/>
          <w:lang w:eastAsia="zh-CN"/>
        </w:rPr>
      </w:pPr>
      <w:r>
        <w:rPr>
          <w:color w:val="auto"/>
          <w:spacing w:val="-13"/>
          <w:sz w:val="30"/>
          <w:szCs w:val="30"/>
          <w:highlight w:val="none"/>
          <w:lang w:eastAsia="zh-CN"/>
        </w:rPr>
        <w:t>附件</w:t>
      </w:r>
      <w:r>
        <w:rPr>
          <w:rFonts w:ascii="Calibri" w:hAnsi="Calibri" w:eastAsia="Calibri" w:cs="Calibri"/>
          <w:color w:val="auto"/>
          <w:spacing w:val="-13"/>
          <w:sz w:val="30"/>
          <w:szCs w:val="30"/>
          <w:highlight w:val="none"/>
          <w:lang w:eastAsia="zh-CN"/>
        </w:rPr>
        <w:t>13</w:t>
      </w:r>
      <w:r>
        <w:rPr>
          <w:color w:val="auto"/>
          <w:spacing w:val="-13"/>
          <w:sz w:val="30"/>
          <w:szCs w:val="30"/>
          <w:highlight w:val="none"/>
          <w:lang w:eastAsia="zh-CN"/>
        </w:rPr>
        <w:t>：</w:t>
      </w:r>
    </w:p>
    <w:p w14:paraId="2E62496B">
      <w:pPr>
        <w:pStyle w:val="19"/>
        <w:spacing w:before="40" w:line="220" w:lineRule="auto"/>
        <w:ind w:left="2029"/>
        <w:rPr>
          <w:color w:val="auto"/>
          <w:sz w:val="36"/>
          <w:szCs w:val="36"/>
          <w:highlight w:val="none"/>
          <w:lang w:eastAsia="zh-CN"/>
        </w:rPr>
      </w:pPr>
      <w:r>
        <w:rPr>
          <w:color w:val="auto"/>
          <w:spacing w:val="-8"/>
          <w:sz w:val="36"/>
          <w:szCs w:val="36"/>
          <w:highlight w:val="none"/>
          <w:lang w:eastAsia="zh-CN"/>
        </w:rPr>
        <w:t>最终结算款支付申请（核准）表</w:t>
      </w:r>
    </w:p>
    <w:p w14:paraId="17601A70">
      <w:pPr>
        <w:pStyle w:val="19"/>
        <w:spacing w:before="23" w:line="212" w:lineRule="auto"/>
        <w:ind w:left="218"/>
        <w:rPr>
          <w:color w:val="auto"/>
          <w:sz w:val="24"/>
          <w:szCs w:val="24"/>
          <w:highlight w:val="none"/>
        </w:rPr>
      </w:pPr>
      <w:r>
        <w:rPr>
          <w:color w:val="auto"/>
          <w:spacing w:val="-25"/>
          <w:sz w:val="24"/>
          <w:szCs w:val="24"/>
          <w:highlight w:val="none"/>
        </w:rPr>
        <w:t>工程名称：</w:t>
      </w:r>
      <w:r>
        <w:rPr>
          <w:rFonts w:hint="eastAsia"/>
          <w:color w:val="auto"/>
          <w:spacing w:val="-25"/>
          <w:sz w:val="24"/>
          <w:szCs w:val="24"/>
          <w:highlight w:val="none"/>
          <w:lang w:val="en-US" w:eastAsia="zh-CN"/>
        </w:rPr>
        <w:t xml:space="preserve">                                        </w:t>
      </w:r>
      <w:r>
        <w:rPr>
          <w:color w:val="auto"/>
          <w:spacing w:val="-25"/>
          <w:sz w:val="24"/>
          <w:szCs w:val="24"/>
          <w:highlight w:val="none"/>
        </w:rPr>
        <w:t>编号：</w:t>
      </w:r>
    </w:p>
    <w:tbl>
      <w:tblPr>
        <w:tblStyle w:val="88"/>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9"/>
        <w:gridCol w:w="4539"/>
      </w:tblGrid>
      <w:tr w14:paraId="39A74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7" w:hRule="atLeast"/>
        </w:trPr>
        <w:tc>
          <w:tcPr>
            <w:tcW w:w="9078" w:type="dxa"/>
            <w:gridSpan w:val="2"/>
            <w:tcBorders>
              <w:bottom w:val="single" w:color="000000" w:sz="4" w:space="0"/>
            </w:tcBorders>
          </w:tcPr>
          <w:p w14:paraId="5521D725">
            <w:pPr>
              <w:spacing w:before="207" w:line="221" w:lineRule="auto"/>
              <w:ind w:left="427"/>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致</w:t>
            </w:r>
            <w:r>
              <w:rPr>
                <w:rFonts w:ascii="宋体" w:hAnsi="宋体" w:eastAsia="宋体" w:cs="宋体"/>
                <w:color w:val="auto"/>
                <w:spacing w:val="-16"/>
                <w:sz w:val="24"/>
                <w:szCs w:val="24"/>
                <w:highlight w:val="none"/>
                <w:lang w:eastAsia="zh-CN"/>
              </w:rPr>
              <w:t>：</w:t>
            </w:r>
            <w:r>
              <w:rPr>
                <w:rFonts w:ascii="宋体" w:hAnsi="宋体" w:eastAsia="宋体" w:cs="宋体"/>
                <w:color w:val="auto"/>
                <w:spacing w:val="-16"/>
                <w:sz w:val="24"/>
                <w:szCs w:val="24"/>
                <w:highlight w:val="none"/>
                <w:u w:val="single"/>
                <w:lang w:eastAsia="zh-CN"/>
              </w:rPr>
              <w:t>（</w:t>
            </w:r>
            <w:r>
              <w:rPr>
                <w:rFonts w:ascii="宋体" w:hAnsi="宋体" w:eastAsia="宋体" w:cs="宋体"/>
                <w:color w:val="auto"/>
                <w:spacing w:val="-7"/>
                <w:sz w:val="24"/>
                <w:szCs w:val="24"/>
                <w:highlight w:val="none"/>
                <w:u w:val="single"/>
                <w:lang w:eastAsia="zh-CN"/>
              </w:rPr>
              <w:t>发包人全称）</w:t>
            </w:r>
          </w:p>
          <w:p w14:paraId="1BCF2A44">
            <w:pPr>
              <w:spacing w:before="163" w:line="352" w:lineRule="auto"/>
              <w:ind w:left="429"/>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我方于至期间已完成了缺陷修复工作，根据施工合同的约定，现申请支</w:t>
            </w:r>
          </w:p>
          <w:p w14:paraId="60827DEF">
            <w:pPr>
              <w:spacing w:line="228" w:lineRule="auto"/>
              <w:ind w:left="11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付最终结清合同款额为</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大写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小写</w:t>
            </w:r>
            <w:r>
              <w:rPr>
                <w:rFonts w:ascii="Calibri" w:hAnsi="Calibri" w:eastAsia="Calibri" w:cs="Calibri"/>
                <w:color w:val="auto"/>
                <w:spacing w:val="-4"/>
                <w:sz w:val="24"/>
                <w:szCs w:val="24"/>
                <w:highlight w:val="none"/>
                <w:lang w:eastAsia="zh-CN"/>
              </w:rPr>
              <w:t>)</w:t>
            </w:r>
            <w:r>
              <w:rPr>
                <w:rFonts w:ascii="宋体" w:hAnsi="宋体" w:eastAsia="宋体" w:cs="宋体"/>
                <w:color w:val="auto"/>
                <w:spacing w:val="-4"/>
                <w:sz w:val="24"/>
                <w:szCs w:val="24"/>
                <w:highlight w:val="none"/>
                <w:lang w:eastAsia="zh-CN"/>
              </w:rPr>
              <w:t>元，</w:t>
            </w:r>
            <w:r>
              <w:rPr>
                <w:rFonts w:ascii="宋体" w:hAnsi="宋体" w:eastAsia="宋体" w:cs="宋体"/>
                <w:color w:val="auto"/>
                <w:spacing w:val="-5"/>
                <w:sz w:val="24"/>
                <w:szCs w:val="24"/>
                <w:highlight w:val="none"/>
                <w:lang w:eastAsia="zh-CN"/>
              </w:rPr>
              <w:t>请予核准。</w:t>
            </w:r>
          </w:p>
          <w:p w14:paraId="55F45697">
            <w:pPr>
              <w:spacing w:line="29" w:lineRule="exact"/>
              <w:rPr>
                <w:color w:val="auto"/>
                <w:sz w:val="24"/>
                <w:szCs w:val="24"/>
                <w:highlight w:val="none"/>
                <w:lang w:eastAsia="zh-CN"/>
              </w:rPr>
            </w:pPr>
          </w:p>
          <w:tbl>
            <w:tblPr>
              <w:tblStyle w:val="88"/>
              <w:tblW w:w="8739"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7"/>
              <w:gridCol w:w="3363"/>
              <w:gridCol w:w="1603"/>
              <w:gridCol w:w="1605"/>
              <w:gridCol w:w="1631"/>
            </w:tblGrid>
            <w:tr w14:paraId="753F1E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7" w:type="dxa"/>
                  <w:textDirection w:val="tbRlV"/>
                </w:tcPr>
                <w:p w14:paraId="3FA2B812">
                  <w:pPr>
                    <w:spacing w:before="160" w:line="211" w:lineRule="auto"/>
                    <w:ind w:left="48"/>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序号</w:t>
                  </w:r>
                </w:p>
              </w:tc>
              <w:tc>
                <w:tcPr>
                  <w:tcW w:w="3363" w:type="dxa"/>
                </w:tcPr>
                <w:p w14:paraId="50CD2A1D">
                  <w:pPr>
                    <w:spacing w:before="187" w:line="223" w:lineRule="auto"/>
                    <w:ind w:left="1163"/>
                    <w:rPr>
                      <w:rFonts w:ascii="宋体" w:hAnsi="宋体" w:eastAsia="宋体" w:cs="宋体"/>
                      <w:color w:val="auto"/>
                      <w:sz w:val="24"/>
                      <w:szCs w:val="24"/>
                      <w:highlight w:val="none"/>
                    </w:rPr>
                  </w:pPr>
                  <w:r>
                    <w:rPr>
                      <w:rFonts w:ascii="宋体" w:hAnsi="宋体" w:eastAsia="宋体" w:cs="宋体"/>
                      <w:color w:val="auto"/>
                      <w:spacing w:val="-5"/>
                      <w:sz w:val="24"/>
                      <w:szCs w:val="24"/>
                      <w:highlight w:val="none"/>
                    </w:rPr>
                    <w:t>名称</w:t>
                  </w:r>
                </w:p>
              </w:tc>
              <w:tc>
                <w:tcPr>
                  <w:tcW w:w="1603" w:type="dxa"/>
                </w:tcPr>
                <w:p w14:paraId="04CBBA5F">
                  <w:pPr>
                    <w:spacing w:before="187" w:line="221" w:lineRule="auto"/>
                    <w:ind w:left="139"/>
                    <w:rPr>
                      <w:rFonts w:ascii="宋体" w:hAnsi="宋体" w:eastAsia="宋体" w:cs="宋体"/>
                      <w:color w:val="auto"/>
                      <w:sz w:val="24"/>
                      <w:szCs w:val="24"/>
                      <w:highlight w:val="none"/>
                    </w:rPr>
                  </w:pPr>
                  <w:r>
                    <w:rPr>
                      <w:rFonts w:ascii="宋体" w:hAnsi="宋体" w:eastAsia="宋体" w:cs="宋体"/>
                      <w:color w:val="auto"/>
                      <w:spacing w:val="-7"/>
                      <w:sz w:val="24"/>
                      <w:szCs w:val="24"/>
                      <w:highlight w:val="none"/>
                    </w:rPr>
                    <w:t>申请金额（元）</w:t>
                  </w:r>
                </w:p>
              </w:tc>
              <w:tc>
                <w:tcPr>
                  <w:tcW w:w="1605" w:type="dxa"/>
                </w:tcPr>
                <w:p w14:paraId="7BFC5586">
                  <w:pPr>
                    <w:spacing w:before="187" w:line="221" w:lineRule="auto"/>
                    <w:ind w:left="120"/>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复核金额（元）</w:t>
                  </w:r>
                </w:p>
              </w:tc>
              <w:tc>
                <w:tcPr>
                  <w:tcW w:w="1631" w:type="dxa"/>
                </w:tcPr>
                <w:p w14:paraId="22881F22">
                  <w:pPr>
                    <w:spacing w:before="187" w:line="222" w:lineRule="auto"/>
                    <w:ind w:left="612"/>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备注</w:t>
                  </w:r>
                </w:p>
              </w:tc>
            </w:tr>
            <w:tr w14:paraId="6469D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7" w:type="dxa"/>
                </w:tcPr>
                <w:p w14:paraId="11A2D8EF">
                  <w:pPr>
                    <w:spacing w:before="89" w:line="174" w:lineRule="auto"/>
                    <w:ind w:left="231"/>
                    <w:rPr>
                      <w:rFonts w:ascii="Calibri" w:hAnsi="Calibri" w:eastAsia="Calibri" w:cs="Calibri"/>
                      <w:color w:val="auto"/>
                      <w:sz w:val="24"/>
                      <w:szCs w:val="24"/>
                      <w:highlight w:val="none"/>
                    </w:rPr>
                  </w:pPr>
                  <w:r>
                    <w:rPr>
                      <w:rFonts w:ascii="Calibri" w:hAnsi="Calibri" w:eastAsia="Calibri" w:cs="Calibri"/>
                      <w:color w:val="auto"/>
                      <w:sz w:val="24"/>
                      <w:szCs w:val="24"/>
                      <w:highlight w:val="none"/>
                    </w:rPr>
                    <w:t>1</w:t>
                  </w:r>
                </w:p>
              </w:tc>
              <w:tc>
                <w:tcPr>
                  <w:tcW w:w="3363" w:type="dxa"/>
                </w:tcPr>
                <w:p w14:paraId="4240D13E">
                  <w:pPr>
                    <w:spacing w:before="41" w:line="205" w:lineRule="auto"/>
                    <w:ind w:left="134"/>
                    <w:rPr>
                      <w:rFonts w:ascii="宋体" w:hAnsi="宋体" w:eastAsia="宋体" w:cs="宋体"/>
                      <w:color w:val="auto"/>
                      <w:sz w:val="24"/>
                      <w:szCs w:val="24"/>
                      <w:highlight w:val="none"/>
                    </w:rPr>
                  </w:pPr>
                  <w:r>
                    <w:rPr>
                      <w:rFonts w:ascii="宋体" w:hAnsi="宋体" w:eastAsia="宋体" w:cs="宋体"/>
                      <w:color w:val="auto"/>
                      <w:spacing w:val="-4"/>
                      <w:sz w:val="24"/>
                      <w:szCs w:val="24"/>
                      <w:highlight w:val="none"/>
                    </w:rPr>
                    <w:t>已预留的质量保证金</w:t>
                  </w:r>
                </w:p>
              </w:tc>
              <w:tc>
                <w:tcPr>
                  <w:tcW w:w="1603" w:type="dxa"/>
                </w:tcPr>
                <w:p w14:paraId="21CB3855">
                  <w:pPr>
                    <w:pStyle w:val="98"/>
                    <w:rPr>
                      <w:color w:val="auto"/>
                      <w:sz w:val="24"/>
                      <w:szCs w:val="24"/>
                      <w:highlight w:val="none"/>
                    </w:rPr>
                  </w:pPr>
                </w:p>
              </w:tc>
              <w:tc>
                <w:tcPr>
                  <w:tcW w:w="1605" w:type="dxa"/>
                </w:tcPr>
                <w:p w14:paraId="3A6905E2">
                  <w:pPr>
                    <w:pStyle w:val="98"/>
                    <w:rPr>
                      <w:color w:val="auto"/>
                      <w:sz w:val="24"/>
                      <w:szCs w:val="24"/>
                      <w:highlight w:val="none"/>
                    </w:rPr>
                  </w:pPr>
                </w:p>
              </w:tc>
              <w:tc>
                <w:tcPr>
                  <w:tcW w:w="1631" w:type="dxa"/>
                </w:tcPr>
                <w:p w14:paraId="0908594A">
                  <w:pPr>
                    <w:pStyle w:val="98"/>
                    <w:rPr>
                      <w:color w:val="auto"/>
                      <w:sz w:val="24"/>
                      <w:szCs w:val="24"/>
                      <w:highlight w:val="none"/>
                    </w:rPr>
                  </w:pPr>
                </w:p>
              </w:tc>
            </w:tr>
            <w:tr w14:paraId="06EAB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537" w:type="dxa"/>
                </w:tcPr>
                <w:p w14:paraId="3219FACC">
                  <w:pPr>
                    <w:spacing w:before="88" w:line="180" w:lineRule="auto"/>
                    <w:ind w:left="225"/>
                    <w:rPr>
                      <w:rFonts w:ascii="Calibri" w:hAnsi="Calibri" w:eastAsia="Calibri" w:cs="Calibri"/>
                      <w:color w:val="auto"/>
                      <w:sz w:val="24"/>
                      <w:szCs w:val="24"/>
                      <w:highlight w:val="none"/>
                    </w:rPr>
                  </w:pPr>
                  <w:r>
                    <w:rPr>
                      <w:rFonts w:ascii="Calibri" w:hAnsi="Calibri" w:eastAsia="Calibri" w:cs="Calibri"/>
                      <w:color w:val="auto"/>
                      <w:sz w:val="24"/>
                      <w:szCs w:val="24"/>
                      <w:highlight w:val="none"/>
                    </w:rPr>
                    <w:t>2</w:t>
                  </w:r>
                </w:p>
              </w:tc>
              <w:tc>
                <w:tcPr>
                  <w:tcW w:w="3363" w:type="dxa"/>
                </w:tcPr>
                <w:p w14:paraId="4F6E49CA">
                  <w:pPr>
                    <w:spacing w:before="43" w:line="224" w:lineRule="auto"/>
                    <w:ind w:left="111" w:right="106"/>
                    <w:rPr>
                      <w:rFonts w:ascii="宋体" w:hAnsi="宋体" w:eastAsia="宋体" w:cs="宋体"/>
                      <w:color w:val="auto"/>
                      <w:sz w:val="24"/>
                      <w:szCs w:val="24"/>
                      <w:highlight w:val="none"/>
                      <w:lang w:eastAsia="zh-CN"/>
                    </w:rPr>
                  </w:pPr>
                  <w:r>
                    <w:rPr>
                      <w:rFonts w:ascii="宋体" w:hAnsi="宋体" w:eastAsia="宋体" w:cs="宋体"/>
                      <w:color w:val="auto"/>
                      <w:spacing w:val="14"/>
                      <w:sz w:val="24"/>
                      <w:szCs w:val="24"/>
                      <w:highlight w:val="none"/>
                      <w:lang w:eastAsia="zh-CN"/>
                    </w:rPr>
                    <w:t>应增加因发包人原因造成缺陷的</w:t>
                  </w:r>
                  <w:r>
                    <w:rPr>
                      <w:rFonts w:ascii="宋体" w:hAnsi="宋体" w:eastAsia="宋体" w:cs="宋体"/>
                      <w:color w:val="auto"/>
                      <w:spacing w:val="-2"/>
                      <w:sz w:val="24"/>
                      <w:szCs w:val="24"/>
                      <w:highlight w:val="none"/>
                      <w:lang w:eastAsia="zh-CN"/>
                    </w:rPr>
                    <w:t>修复金额</w:t>
                  </w:r>
                </w:p>
              </w:tc>
              <w:tc>
                <w:tcPr>
                  <w:tcW w:w="1603" w:type="dxa"/>
                </w:tcPr>
                <w:p w14:paraId="7714BF41">
                  <w:pPr>
                    <w:pStyle w:val="98"/>
                    <w:rPr>
                      <w:color w:val="auto"/>
                      <w:sz w:val="24"/>
                      <w:szCs w:val="24"/>
                      <w:highlight w:val="none"/>
                      <w:lang w:eastAsia="zh-CN"/>
                    </w:rPr>
                  </w:pPr>
                </w:p>
              </w:tc>
              <w:tc>
                <w:tcPr>
                  <w:tcW w:w="1605" w:type="dxa"/>
                </w:tcPr>
                <w:p w14:paraId="40E15654">
                  <w:pPr>
                    <w:pStyle w:val="98"/>
                    <w:rPr>
                      <w:color w:val="auto"/>
                      <w:sz w:val="24"/>
                      <w:szCs w:val="24"/>
                      <w:highlight w:val="none"/>
                      <w:lang w:eastAsia="zh-CN"/>
                    </w:rPr>
                  </w:pPr>
                </w:p>
              </w:tc>
              <w:tc>
                <w:tcPr>
                  <w:tcW w:w="1631" w:type="dxa"/>
                </w:tcPr>
                <w:p w14:paraId="70942014">
                  <w:pPr>
                    <w:pStyle w:val="98"/>
                    <w:rPr>
                      <w:color w:val="auto"/>
                      <w:sz w:val="24"/>
                      <w:szCs w:val="24"/>
                      <w:highlight w:val="none"/>
                      <w:lang w:eastAsia="zh-CN"/>
                    </w:rPr>
                  </w:pPr>
                </w:p>
              </w:tc>
            </w:tr>
            <w:tr w14:paraId="4764F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537" w:type="dxa"/>
                </w:tcPr>
                <w:p w14:paraId="43133169">
                  <w:pPr>
                    <w:spacing w:before="90" w:line="179" w:lineRule="auto"/>
                    <w:ind w:left="223"/>
                    <w:rPr>
                      <w:rFonts w:ascii="Calibri" w:hAnsi="Calibri" w:eastAsia="Calibri" w:cs="Calibri"/>
                      <w:color w:val="auto"/>
                      <w:sz w:val="24"/>
                      <w:szCs w:val="24"/>
                      <w:highlight w:val="none"/>
                    </w:rPr>
                  </w:pPr>
                  <w:r>
                    <w:rPr>
                      <w:rFonts w:ascii="Calibri" w:hAnsi="Calibri" w:eastAsia="Calibri" w:cs="Calibri"/>
                      <w:color w:val="auto"/>
                      <w:sz w:val="24"/>
                      <w:szCs w:val="24"/>
                      <w:highlight w:val="none"/>
                    </w:rPr>
                    <w:t>3</w:t>
                  </w:r>
                </w:p>
              </w:tc>
              <w:tc>
                <w:tcPr>
                  <w:tcW w:w="3363" w:type="dxa"/>
                </w:tcPr>
                <w:p w14:paraId="5710ECB8">
                  <w:pPr>
                    <w:spacing w:before="43" w:line="225" w:lineRule="auto"/>
                    <w:ind w:left="113" w:right="102" w:hanging="2"/>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应扣减承包人不修复缺陷、发包人</w:t>
                  </w:r>
                  <w:r>
                    <w:rPr>
                      <w:rFonts w:ascii="宋体" w:hAnsi="宋体" w:eastAsia="宋体" w:cs="宋体"/>
                      <w:color w:val="auto"/>
                      <w:spacing w:val="-2"/>
                      <w:sz w:val="24"/>
                      <w:szCs w:val="24"/>
                      <w:highlight w:val="none"/>
                      <w:lang w:eastAsia="zh-CN"/>
                    </w:rPr>
                    <w:t>组织修复的金额</w:t>
                  </w:r>
                </w:p>
              </w:tc>
              <w:tc>
                <w:tcPr>
                  <w:tcW w:w="1603" w:type="dxa"/>
                </w:tcPr>
                <w:p w14:paraId="44249852">
                  <w:pPr>
                    <w:pStyle w:val="98"/>
                    <w:rPr>
                      <w:color w:val="auto"/>
                      <w:sz w:val="24"/>
                      <w:szCs w:val="24"/>
                      <w:highlight w:val="none"/>
                      <w:lang w:eastAsia="zh-CN"/>
                    </w:rPr>
                  </w:pPr>
                </w:p>
              </w:tc>
              <w:tc>
                <w:tcPr>
                  <w:tcW w:w="1605" w:type="dxa"/>
                </w:tcPr>
                <w:p w14:paraId="49797826">
                  <w:pPr>
                    <w:pStyle w:val="98"/>
                    <w:rPr>
                      <w:color w:val="auto"/>
                      <w:sz w:val="24"/>
                      <w:szCs w:val="24"/>
                      <w:highlight w:val="none"/>
                      <w:lang w:eastAsia="zh-CN"/>
                    </w:rPr>
                  </w:pPr>
                </w:p>
              </w:tc>
              <w:tc>
                <w:tcPr>
                  <w:tcW w:w="1631" w:type="dxa"/>
                </w:tcPr>
                <w:p w14:paraId="3769C0A4">
                  <w:pPr>
                    <w:pStyle w:val="98"/>
                    <w:rPr>
                      <w:color w:val="auto"/>
                      <w:sz w:val="24"/>
                      <w:szCs w:val="24"/>
                      <w:highlight w:val="none"/>
                      <w:lang w:eastAsia="zh-CN"/>
                    </w:rPr>
                  </w:pPr>
                </w:p>
              </w:tc>
            </w:tr>
            <w:tr w14:paraId="46BFE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7" w:type="dxa"/>
                </w:tcPr>
                <w:p w14:paraId="15BE9A30">
                  <w:pPr>
                    <w:spacing w:before="92" w:line="171" w:lineRule="auto"/>
                    <w:ind w:left="218"/>
                    <w:rPr>
                      <w:rFonts w:ascii="Calibri" w:hAnsi="Calibri" w:eastAsia="Calibri" w:cs="Calibri"/>
                      <w:color w:val="auto"/>
                      <w:sz w:val="24"/>
                      <w:szCs w:val="24"/>
                      <w:highlight w:val="none"/>
                    </w:rPr>
                  </w:pPr>
                  <w:r>
                    <w:rPr>
                      <w:rFonts w:ascii="Calibri" w:hAnsi="Calibri" w:eastAsia="Calibri" w:cs="Calibri"/>
                      <w:color w:val="auto"/>
                      <w:sz w:val="24"/>
                      <w:szCs w:val="24"/>
                      <w:highlight w:val="none"/>
                    </w:rPr>
                    <w:t>4</w:t>
                  </w:r>
                </w:p>
              </w:tc>
              <w:tc>
                <w:tcPr>
                  <w:tcW w:w="3363" w:type="dxa"/>
                </w:tcPr>
                <w:p w14:paraId="48685396">
                  <w:pPr>
                    <w:spacing w:before="45" w:line="202" w:lineRule="auto"/>
                    <w:ind w:left="114"/>
                    <w:rPr>
                      <w:rFonts w:ascii="宋体" w:hAnsi="宋体" w:eastAsia="宋体" w:cs="宋体"/>
                      <w:color w:val="auto"/>
                      <w:sz w:val="24"/>
                      <w:szCs w:val="24"/>
                      <w:highlight w:val="none"/>
                      <w:lang w:eastAsia="zh-CN"/>
                    </w:rPr>
                  </w:pPr>
                  <w:r>
                    <w:rPr>
                      <w:rFonts w:ascii="宋体" w:hAnsi="宋体" w:eastAsia="宋体" w:cs="宋体"/>
                      <w:color w:val="auto"/>
                      <w:spacing w:val="-1"/>
                      <w:sz w:val="24"/>
                      <w:szCs w:val="24"/>
                      <w:highlight w:val="none"/>
                      <w:lang w:eastAsia="zh-CN"/>
                    </w:rPr>
                    <w:t>最终应支付的合同价款</w:t>
                  </w:r>
                </w:p>
              </w:tc>
              <w:tc>
                <w:tcPr>
                  <w:tcW w:w="1603" w:type="dxa"/>
                </w:tcPr>
                <w:p w14:paraId="5E5D7A84">
                  <w:pPr>
                    <w:pStyle w:val="98"/>
                    <w:rPr>
                      <w:color w:val="auto"/>
                      <w:sz w:val="24"/>
                      <w:szCs w:val="24"/>
                      <w:highlight w:val="none"/>
                      <w:lang w:eastAsia="zh-CN"/>
                    </w:rPr>
                  </w:pPr>
                </w:p>
              </w:tc>
              <w:tc>
                <w:tcPr>
                  <w:tcW w:w="1605" w:type="dxa"/>
                </w:tcPr>
                <w:p w14:paraId="0083D0B0">
                  <w:pPr>
                    <w:pStyle w:val="98"/>
                    <w:rPr>
                      <w:color w:val="auto"/>
                      <w:sz w:val="24"/>
                      <w:szCs w:val="24"/>
                      <w:highlight w:val="none"/>
                      <w:lang w:eastAsia="zh-CN"/>
                    </w:rPr>
                  </w:pPr>
                </w:p>
              </w:tc>
              <w:tc>
                <w:tcPr>
                  <w:tcW w:w="1631" w:type="dxa"/>
                </w:tcPr>
                <w:p w14:paraId="66716A4E">
                  <w:pPr>
                    <w:pStyle w:val="98"/>
                    <w:rPr>
                      <w:color w:val="auto"/>
                      <w:sz w:val="24"/>
                      <w:szCs w:val="24"/>
                      <w:highlight w:val="none"/>
                      <w:lang w:eastAsia="zh-CN"/>
                    </w:rPr>
                  </w:pPr>
                </w:p>
              </w:tc>
            </w:tr>
            <w:tr w14:paraId="39934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37" w:type="dxa"/>
                </w:tcPr>
                <w:p w14:paraId="68177627">
                  <w:pPr>
                    <w:pStyle w:val="98"/>
                    <w:rPr>
                      <w:color w:val="auto"/>
                      <w:sz w:val="24"/>
                      <w:szCs w:val="24"/>
                      <w:highlight w:val="none"/>
                      <w:lang w:eastAsia="zh-CN"/>
                    </w:rPr>
                  </w:pPr>
                </w:p>
              </w:tc>
              <w:tc>
                <w:tcPr>
                  <w:tcW w:w="3363" w:type="dxa"/>
                </w:tcPr>
                <w:p w14:paraId="1FB46DFF">
                  <w:pPr>
                    <w:pStyle w:val="98"/>
                    <w:rPr>
                      <w:color w:val="auto"/>
                      <w:sz w:val="24"/>
                      <w:szCs w:val="24"/>
                      <w:highlight w:val="none"/>
                      <w:lang w:eastAsia="zh-CN"/>
                    </w:rPr>
                  </w:pPr>
                </w:p>
              </w:tc>
              <w:tc>
                <w:tcPr>
                  <w:tcW w:w="1603" w:type="dxa"/>
                </w:tcPr>
                <w:p w14:paraId="740D2245">
                  <w:pPr>
                    <w:pStyle w:val="98"/>
                    <w:rPr>
                      <w:color w:val="auto"/>
                      <w:sz w:val="24"/>
                      <w:szCs w:val="24"/>
                      <w:highlight w:val="none"/>
                      <w:lang w:eastAsia="zh-CN"/>
                    </w:rPr>
                  </w:pPr>
                </w:p>
              </w:tc>
              <w:tc>
                <w:tcPr>
                  <w:tcW w:w="1605" w:type="dxa"/>
                </w:tcPr>
                <w:p w14:paraId="3A5E1DD8">
                  <w:pPr>
                    <w:pStyle w:val="98"/>
                    <w:rPr>
                      <w:color w:val="auto"/>
                      <w:sz w:val="24"/>
                      <w:szCs w:val="24"/>
                      <w:highlight w:val="none"/>
                      <w:lang w:eastAsia="zh-CN"/>
                    </w:rPr>
                  </w:pPr>
                </w:p>
              </w:tc>
              <w:tc>
                <w:tcPr>
                  <w:tcW w:w="1631" w:type="dxa"/>
                </w:tcPr>
                <w:p w14:paraId="05D67184">
                  <w:pPr>
                    <w:pStyle w:val="98"/>
                    <w:rPr>
                      <w:color w:val="auto"/>
                      <w:sz w:val="24"/>
                      <w:szCs w:val="24"/>
                      <w:highlight w:val="none"/>
                      <w:lang w:eastAsia="zh-CN"/>
                    </w:rPr>
                  </w:pPr>
                </w:p>
              </w:tc>
            </w:tr>
            <w:tr w14:paraId="48242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7" w:type="dxa"/>
                </w:tcPr>
                <w:p w14:paraId="31B1FCC1">
                  <w:pPr>
                    <w:pStyle w:val="98"/>
                    <w:rPr>
                      <w:color w:val="auto"/>
                      <w:sz w:val="24"/>
                      <w:szCs w:val="24"/>
                      <w:highlight w:val="none"/>
                      <w:lang w:eastAsia="zh-CN"/>
                    </w:rPr>
                  </w:pPr>
                </w:p>
              </w:tc>
              <w:tc>
                <w:tcPr>
                  <w:tcW w:w="3363" w:type="dxa"/>
                </w:tcPr>
                <w:p w14:paraId="2DF6B723">
                  <w:pPr>
                    <w:pStyle w:val="98"/>
                    <w:rPr>
                      <w:color w:val="auto"/>
                      <w:sz w:val="24"/>
                      <w:szCs w:val="24"/>
                      <w:highlight w:val="none"/>
                      <w:lang w:eastAsia="zh-CN"/>
                    </w:rPr>
                  </w:pPr>
                </w:p>
              </w:tc>
              <w:tc>
                <w:tcPr>
                  <w:tcW w:w="1603" w:type="dxa"/>
                </w:tcPr>
                <w:p w14:paraId="2CC8F302">
                  <w:pPr>
                    <w:pStyle w:val="98"/>
                    <w:rPr>
                      <w:color w:val="auto"/>
                      <w:sz w:val="24"/>
                      <w:szCs w:val="24"/>
                      <w:highlight w:val="none"/>
                      <w:lang w:eastAsia="zh-CN"/>
                    </w:rPr>
                  </w:pPr>
                </w:p>
              </w:tc>
              <w:tc>
                <w:tcPr>
                  <w:tcW w:w="1605" w:type="dxa"/>
                </w:tcPr>
                <w:p w14:paraId="7DC64C9F">
                  <w:pPr>
                    <w:pStyle w:val="98"/>
                    <w:rPr>
                      <w:color w:val="auto"/>
                      <w:sz w:val="24"/>
                      <w:szCs w:val="24"/>
                      <w:highlight w:val="none"/>
                      <w:lang w:eastAsia="zh-CN"/>
                    </w:rPr>
                  </w:pPr>
                </w:p>
              </w:tc>
              <w:tc>
                <w:tcPr>
                  <w:tcW w:w="1631" w:type="dxa"/>
                </w:tcPr>
                <w:p w14:paraId="77842239">
                  <w:pPr>
                    <w:pStyle w:val="98"/>
                    <w:rPr>
                      <w:color w:val="auto"/>
                      <w:sz w:val="24"/>
                      <w:szCs w:val="24"/>
                      <w:highlight w:val="none"/>
                      <w:lang w:eastAsia="zh-CN"/>
                    </w:rPr>
                  </w:pPr>
                </w:p>
              </w:tc>
            </w:tr>
            <w:tr w14:paraId="402855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trPr>
              <w:tc>
                <w:tcPr>
                  <w:tcW w:w="537" w:type="dxa"/>
                </w:tcPr>
                <w:p w14:paraId="58F1DF17">
                  <w:pPr>
                    <w:pStyle w:val="98"/>
                    <w:rPr>
                      <w:color w:val="auto"/>
                      <w:sz w:val="24"/>
                      <w:szCs w:val="24"/>
                      <w:highlight w:val="none"/>
                      <w:lang w:eastAsia="zh-CN"/>
                    </w:rPr>
                  </w:pPr>
                </w:p>
              </w:tc>
              <w:tc>
                <w:tcPr>
                  <w:tcW w:w="3363" w:type="dxa"/>
                </w:tcPr>
                <w:p w14:paraId="5AC62BFF">
                  <w:pPr>
                    <w:pStyle w:val="98"/>
                    <w:rPr>
                      <w:color w:val="auto"/>
                      <w:sz w:val="24"/>
                      <w:szCs w:val="24"/>
                      <w:highlight w:val="none"/>
                      <w:lang w:eastAsia="zh-CN"/>
                    </w:rPr>
                  </w:pPr>
                </w:p>
              </w:tc>
              <w:tc>
                <w:tcPr>
                  <w:tcW w:w="1603" w:type="dxa"/>
                </w:tcPr>
                <w:p w14:paraId="76A032F7">
                  <w:pPr>
                    <w:pStyle w:val="98"/>
                    <w:rPr>
                      <w:color w:val="auto"/>
                      <w:sz w:val="24"/>
                      <w:szCs w:val="24"/>
                      <w:highlight w:val="none"/>
                      <w:lang w:eastAsia="zh-CN"/>
                    </w:rPr>
                  </w:pPr>
                </w:p>
              </w:tc>
              <w:tc>
                <w:tcPr>
                  <w:tcW w:w="1605" w:type="dxa"/>
                </w:tcPr>
                <w:p w14:paraId="1A16499E">
                  <w:pPr>
                    <w:pStyle w:val="98"/>
                    <w:rPr>
                      <w:color w:val="auto"/>
                      <w:sz w:val="24"/>
                      <w:szCs w:val="24"/>
                      <w:highlight w:val="none"/>
                      <w:lang w:eastAsia="zh-CN"/>
                    </w:rPr>
                  </w:pPr>
                </w:p>
              </w:tc>
              <w:tc>
                <w:tcPr>
                  <w:tcW w:w="1631" w:type="dxa"/>
                </w:tcPr>
                <w:p w14:paraId="46093AFE">
                  <w:pPr>
                    <w:pStyle w:val="98"/>
                    <w:rPr>
                      <w:color w:val="auto"/>
                      <w:sz w:val="24"/>
                      <w:szCs w:val="24"/>
                      <w:highlight w:val="none"/>
                      <w:lang w:eastAsia="zh-CN"/>
                    </w:rPr>
                  </w:pPr>
                </w:p>
              </w:tc>
            </w:tr>
            <w:tr w14:paraId="4539E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537" w:type="dxa"/>
                </w:tcPr>
                <w:p w14:paraId="4C5C1BFD">
                  <w:pPr>
                    <w:pStyle w:val="98"/>
                    <w:rPr>
                      <w:color w:val="auto"/>
                      <w:sz w:val="24"/>
                      <w:szCs w:val="24"/>
                      <w:highlight w:val="none"/>
                      <w:lang w:eastAsia="zh-CN"/>
                    </w:rPr>
                  </w:pPr>
                </w:p>
              </w:tc>
              <w:tc>
                <w:tcPr>
                  <w:tcW w:w="3363" w:type="dxa"/>
                </w:tcPr>
                <w:p w14:paraId="6E1A1DA5">
                  <w:pPr>
                    <w:pStyle w:val="98"/>
                    <w:rPr>
                      <w:color w:val="auto"/>
                      <w:sz w:val="24"/>
                      <w:szCs w:val="24"/>
                      <w:highlight w:val="none"/>
                      <w:lang w:eastAsia="zh-CN"/>
                    </w:rPr>
                  </w:pPr>
                </w:p>
              </w:tc>
              <w:tc>
                <w:tcPr>
                  <w:tcW w:w="1603" w:type="dxa"/>
                </w:tcPr>
                <w:p w14:paraId="5F256F07">
                  <w:pPr>
                    <w:pStyle w:val="98"/>
                    <w:rPr>
                      <w:color w:val="auto"/>
                      <w:sz w:val="24"/>
                      <w:szCs w:val="24"/>
                      <w:highlight w:val="none"/>
                      <w:lang w:eastAsia="zh-CN"/>
                    </w:rPr>
                  </w:pPr>
                </w:p>
              </w:tc>
              <w:tc>
                <w:tcPr>
                  <w:tcW w:w="1605" w:type="dxa"/>
                </w:tcPr>
                <w:p w14:paraId="13DC2E24">
                  <w:pPr>
                    <w:pStyle w:val="98"/>
                    <w:rPr>
                      <w:color w:val="auto"/>
                      <w:sz w:val="24"/>
                      <w:szCs w:val="24"/>
                      <w:highlight w:val="none"/>
                      <w:lang w:eastAsia="zh-CN"/>
                    </w:rPr>
                  </w:pPr>
                </w:p>
              </w:tc>
              <w:tc>
                <w:tcPr>
                  <w:tcW w:w="1631" w:type="dxa"/>
                </w:tcPr>
                <w:p w14:paraId="646792C6">
                  <w:pPr>
                    <w:pStyle w:val="98"/>
                    <w:rPr>
                      <w:color w:val="auto"/>
                      <w:sz w:val="24"/>
                      <w:szCs w:val="24"/>
                      <w:highlight w:val="none"/>
                      <w:lang w:eastAsia="zh-CN"/>
                    </w:rPr>
                  </w:pPr>
                </w:p>
              </w:tc>
            </w:tr>
          </w:tbl>
          <w:p w14:paraId="6A3D93E9">
            <w:pPr>
              <w:spacing w:before="138" w:line="220" w:lineRule="auto"/>
              <w:ind w:left="6232"/>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承包人（章）</w:t>
            </w:r>
          </w:p>
          <w:p w14:paraId="432A77B4">
            <w:pPr>
              <w:spacing w:before="151" w:line="219" w:lineRule="auto"/>
              <w:ind w:left="549"/>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造价人员承包人代表日期</w:t>
            </w:r>
          </w:p>
        </w:tc>
      </w:tr>
      <w:tr w14:paraId="425D7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6" w:hRule="atLeast"/>
        </w:trPr>
        <w:tc>
          <w:tcPr>
            <w:tcW w:w="4539" w:type="dxa"/>
            <w:tcBorders>
              <w:top w:val="single" w:color="000000" w:sz="4" w:space="0"/>
            </w:tcBorders>
          </w:tcPr>
          <w:p w14:paraId="5299C7D1">
            <w:pPr>
              <w:spacing w:before="80" w:line="221" w:lineRule="auto"/>
              <w:ind w:left="121"/>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57F2A22F">
            <w:pPr>
              <w:spacing w:before="108" w:line="220" w:lineRule="auto"/>
              <w:jc w:val="right"/>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□与实际施工情况不相符，修改意见见附件。</w:t>
            </w:r>
          </w:p>
          <w:p w14:paraId="3EEB0111">
            <w:pPr>
              <w:spacing w:before="108" w:line="269" w:lineRule="auto"/>
              <w:ind w:left="115" w:right="103" w:firstLine="334"/>
              <w:rPr>
                <w:rFonts w:ascii="宋体" w:hAnsi="宋体" w:eastAsia="宋体" w:cs="宋体"/>
                <w:color w:val="auto"/>
                <w:sz w:val="24"/>
                <w:szCs w:val="24"/>
                <w:highlight w:val="none"/>
                <w:lang w:eastAsia="zh-CN"/>
              </w:rPr>
            </w:pPr>
            <w:r>
              <w:rPr>
                <w:rFonts w:ascii="宋体" w:hAnsi="宋体" w:eastAsia="宋体" w:cs="宋体"/>
                <w:color w:val="auto"/>
                <w:spacing w:val="-10"/>
                <w:sz w:val="24"/>
                <w:szCs w:val="24"/>
                <w:highlight w:val="none"/>
                <w:lang w:eastAsia="zh-CN"/>
              </w:rPr>
              <w:t>□与实际施工情况相符，具体金额由造价工</w:t>
            </w:r>
            <w:r>
              <w:rPr>
                <w:rFonts w:ascii="宋体" w:hAnsi="宋体" w:eastAsia="宋体" w:cs="宋体"/>
                <w:color w:val="auto"/>
                <w:spacing w:val="-4"/>
                <w:sz w:val="24"/>
                <w:szCs w:val="24"/>
                <w:highlight w:val="none"/>
                <w:lang w:eastAsia="zh-CN"/>
              </w:rPr>
              <w:t>程师复核。</w:t>
            </w:r>
          </w:p>
          <w:p w14:paraId="1D4D8AAD">
            <w:pPr>
              <w:pStyle w:val="98"/>
              <w:spacing w:line="278" w:lineRule="auto"/>
              <w:rPr>
                <w:color w:val="auto"/>
                <w:sz w:val="24"/>
                <w:szCs w:val="24"/>
                <w:highlight w:val="none"/>
                <w:lang w:eastAsia="zh-CN"/>
              </w:rPr>
            </w:pPr>
          </w:p>
          <w:p w14:paraId="31ADBDB6">
            <w:pPr>
              <w:pStyle w:val="98"/>
              <w:spacing w:line="278" w:lineRule="auto"/>
              <w:rPr>
                <w:color w:val="auto"/>
                <w:sz w:val="24"/>
                <w:szCs w:val="24"/>
                <w:highlight w:val="none"/>
                <w:lang w:eastAsia="zh-CN"/>
              </w:rPr>
            </w:pPr>
          </w:p>
          <w:p w14:paraId="224045CB">
            <w:pPr>
              <w:pStyle w:val="98"/>
              <w:spacing w:line="278" w:lineRule="auto"/>
              <w:rPr>
                <w:color w:val="auto"/>
                <w:sz w:val="24"/>
                <w:szCs w:val="24"/>
                <w:highlight w:val="none"/>
                <w:lang w:eastAsia="zh-CN"/>
              </w:rPr>
            </w:pPr>
          </w:p>
          <w:p w14:paraId="6F524BB6">
            <w:pPr>
              <w:pStyle w:val="98"/>
              <w:spacing w:line="279" w:lineRule="auto"/>
              <w:rPr>
                <w:color w:val="auto"/>
                <w:sz w:val="24"/>
                <w:szCs w:val="24"/>
                <w:highlight w:val="none"/>
                <w:lang w:eastAsia="zh-CN"/>
              </w:rPr>
            </w:pPr>
          </w:p>
          <w:p w14:paraId="44DC080B">
            <w:pPr>
              <w:spacing w:before="68" w:line="262" w:lineRule="auto"/>
              <w:ind w:left="2425" w:right="105" w:hanging="35"/>
              <w:rPr>
                <w:rFonts w:ascii="宋体" w:hAnsi="宋体" w:eastAsia="宋体" w:cs="宋体"/>
                <w:color w:val="auto"/>
                <w:spacing w:val="-2"/>
                <w:sz w:val="24"/>
                <w:szCs w:val="24"/>
                <w:highlight w:val="none"/>
              </w:rPr>
            </w:pPr>
            <w:r>
              <w:rPr>
                <w:rFonts w:ascii="宋体" w:hAnsi="宋体" w:eastAsia="宋体" w:cs="宋体"/>
                <w:color w:val="auto"/>
                <w:spacing w:val="-2"/>
                <w:sz w:val="24"/>
                <w:szCs w:val="24"/>
                <w:highlight w:val="none"/>
              </w:rPr>
              <w:t>监理工程师</w:t>
            </w:r>
          </w:p>
          <w:p w14:paraId="0F052EE3">
            <w:pPr>
              <w:spacing w:before="68" w:line="262" w:lineRule="auto"/>
              <w:ind w:left="2425" w:right="105" w:hanging="35"/>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c>
          <w:tcPr>
            <w:tcW w:w="4539" w:type="dxa"/>
            <w:tcBorders>
              <w:top w:val="single" w:color="000000" w:sz="4" w:space="0"/>
            </w:tcBorders>
          </w:tcPr>
          <w:p w14:paraId="3E000A4C">
            <w:pPr>
              <w:spacing w:before="80" w:line="221" w:lineRule="auto"/>
              <w:ind w:left="119"/>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复核意见：</w:t>
            </w:r>
          </w:p>
          <w:p w14:paraId="06F21898">
            <w:pPr>
              <w:spacing w:before="108" w:line="269" w:lineRule="auto"/>
              <w:ind w:left="113" w:right="30" w:firstLine="435"/>
              <w:rPr>
                <w:rFonts w:ascii="宋体" w:hAnsi="宋体" w:eastAsia="宋体" w:cs="宋体"/>
                <w:color w:val="auto"/>
                <w:sz w:val="24"/>
                <w:szCs w:val="24"/>
                <w:highlight w:val="none"/>
                <w:lang w:eastAsia="zh-CN"/>
              </w:rPr>
            </w:pPr>
            <w:r>
              <w:rPr>
                <w:rFonts w:ascii="宋体" w:hAnsi="宋体" w:eastAsia="宋体" w:cs="宋体"/>
                <w:color w:val="auto"/>
                <w:spacing w:val="-7"/>
                <w:sz w:val="24"/>
                <w:szCs w:val="24"/>
                <w:highlight w:val="none"/>
                <w:lang w:eastAsia="zh-CN"/>
              </w:rPr>
              <w:t xml:space="preserve">你方提出的支付申请经复核，最终应支付金 </w:t>
            </w:r>
            <w:r>
              <w:rPr>
                <w:rFonts w:ascii="宋体" w:hAnsi="宋体" w:eastAsia="宋体" w:cs="宋体"/>
                <w:color w:val="auto"/>
                <w:spacing w:val="-29"/>
                <w:sz w:val="24"/>
                <w:szCs w:val="24"/>
                <w:highlight w:val="none"/>
                <w:lang w:eastAsia="zh-CN"/>
              </w:rPr>
              <w:t>额为（大写）元</w:t>
            </w:r>
            <w:r>
              <w:rPr>
                <w:rFonts w:ascii="宋体" w:hAnsi="宋体" w:eastAsia="宋体" w:cs="宋体"/>
                <w:color w:val="auto"/>
                <w:spacing w:val="-41"/>
                <w:w w:val="75"/>
                <w:sz w:val="24"/>
                <w:szCs w:val="24"/>
                <w:highlight w:val="none"/>
                <w:lang w:eastAsia="zh-CN"/>
              </w:rPr>
              <w:t>，（</w:t>
            </w:r>
            <w:r>
              <w:rPr>
                <w:rFonts w:ascii="宋体" w:hAnsi="宋体" w:eastAsia="宋体" w:cs="宋体"/>
                <w:color w:val="auto"/>
                <w:spacing w:val="-29"/>
                <w:sz w:val="24"/>
                <w:szCs w:val="24"/>
                <w:highlight w:val="none"/>
                <w:lang w:eastAsia="zh-CN"/>
              </w:rPr>
              <w:t>小写）元。</w:t>
            </w:r>
          </w:p>
          <w:p w14:paraId="4822CEF7">
            <w:pPr>
              <w:pStyle w:val="98"/>
              <w:spacing w:line="245" w:lineRule="auto"/>
              <w:rPr>
                <w:color w:val="auto"/>
                <w:sz w:val="24"/>
                <w:szCs w:val="24"/>
                <w:highlight w:val="none"/>
                <w:lang w:eastAsia="zh-CN"/>
              </w:rPr>
            </w:pPr>
          </w:p>
          <w:p w14:paraId="0DE57D88">
            <w:pPr>
              <w:pStyle w:val="98"/>
              <w:spacing w:line="245" w:lineRule="auto"/>
              <w:rPr>
                <w:color w:val="auto"/>
                <w:sz w:val="24"/>
                <w:szCs w:val="24"/>
                <w:highlight w:val="none"/>
                <w:lang w:eastAsia="zh-CN"/>
              </w:rPr>
            </w:pPr>
          </w:p>
          <w:p w14:paraId="7D080D7F">
            <w:pPr>
              <w:pStyle w:val="98"/>
              <w:spacing w:line="245" w:lineRule="auto"/>
              <w:rPr>
                <w:color w:val="auto"/>
                <w:sz w:val="24"/>
                <w:szCs w:val="24"/>
                <w:highlight w:val="none"/>
                <w:lang w:eastAsia="zh-CN"/>
              </w:rPr>
            </w:pPr>
          </w:p>
          <w:p w14:paraId="145620A2">
            <w:pPr>
              <w:pStyle w:val="98"/>
              <w:spacing w:line="245" w:lineRule="auto"/>
              <w:rPr>
                <w:color w:val="auto"/>
                <w:sz w:val="24"/>
                <w:szCs w:val="24"/>
                <w:highlight w:val="none"/>
                <w:lang w:eastAsia="zh-CN"/>
              </w:rPr>
            </w:pPr>
          </w:p>
          <w:p w14:paraId="75234D6A">
            <w:pPr>
              <w:pStyle w:val="98"/>
              <w:spacing w:line="245" w:lineRule="auto"/>
              <w:rPr>
                <w:color w:val="auto"/>
                <w:sz w:val="24"/>
                <w:szCs w:val="24"/>
                <w:highlight w:val="none"/>
                <w:lang w:eastAsia="zh-CN"/>
              </w:rPr>
            </w:pPr>
          </w:p>
          <w:p w14:paraId="5A7BF5B0">
            <w:pPr>
              <w:pStyle w:val="98"/>
              <w:spacing w:line="245" w:lineRule="auto"/>
              <w:rPr>
                <w:color w:val="auto"/>
                <w:sz w:val="24"/>
                <w:szCs w:val="24"/>
                <w:highlight w:val="none"/>
                <w:lang w:eastAsia="zh-CN"/>
              </w:rPr>
            </w:pPr>
          </w:p>
          <w:p w14:paraId="4053664C">
            <w:pPr>
              <w:spacing w:before="69" w:line="262" w:lineRule="auto"/>
              <w:ind w:left="2214" w:right="160" w:hanging="37"/>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造价工程师</w:t>
            </w:r>
          </w:p>
          <w:p w14:paraId="14BD39EB">
            <w:pPr>
              <w:spacing w:before="69" w:line="262" w:lineRule="auto"/>
              <w:ind w:left="2214" w:right="160" w:hanging="37"/>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r>
      <w:tr w14:paraId="18A4D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8" w:hRule="atLeast"/>
        </w:trPr>
        <w:tc>
          <w:tcPr>
            <w:tcW w:w="9078" w:type="dxa"/>
            <w:gridSpan w:val="2"/>
          </w:tcPr>
          <w:p w14:paraId="27E608F3">
            <w:pPr>
              <w:spacing w:before="150" w:line="221" w:lineRule="auto"/>
              <w:ind w:left="126"/>
              <w:rPr>
                <w:rFonts w:ascii="宋体" w:hAnsi="宋体" w:eastAsia="宋体" w:cs="宋体"/>
                <w:color w:val="auto"/>
                <w:sz w:val="24"/>
                <w:szCs w:val="24"/>
                <w:highlight w:val="none"/>
                <w:lang w:eastAsia="zh-CN"/>
              </w:rPr>
            </w:pPr>
            <w:r>
              <w:rPr>
                <w:rFonts w:ascii="宋体" w:hAnsi="宋体" w:eastAsia="宋体" w:cs="宋体"/>
                <w:color w:val="auto"/>
                <w:spacing w:val="-8"/>
                <w:sz w:val="24"/>
                <w:szCs w:val="24"/>
                <w:highlight w:val="none"/>
                <w:lang w:eastAsia="zh-CN"/>
              </w:rPr>
              <w:t>审核意见：</w:t>
            </w:r>
          </w:p>
          <w:p w14:paraId="7AA853F6">
            <w:pPr>
              <w:spacing w:before="149" w:line="223" w:lineRule="auto"/>
              <w:ind w:left="571"/>
              <w:rPr>
                <w:rFonts w:ascii="宋体" w:hAnsi="宋体" w:eastAsia="宋体" w:cs="宋体"/>
                <w:color w:val="auto"/>
                <w:sz w:val="24"/>
                <w:szCs w:val="24"/>
                <w:highlight w:val="none"/>
                <w:lang w:eastAsia="zh-CN"/>
              </w:rPr>
            </w:pPr>
            <w:r>
              <w:rPr>
                <w:rFonts w:ascii="宋体" w:hAnsi="宋体" w:eastAsia="宋体" w:cs="宋体"/>
                <w:color w:val="auto"/>
                <w:spacing w:val="-9"/>
                <w:sz w:val="24"/>
                <w:szCs w:val="24"/>
                <w:highlight w:val="none"/>
                <w:lang w:eastAsia="zh-CN"/>
              </w:rPr>
              <w:t>□不同意。</w:t>
            </w:r>
          </w:p>
          <w:p w14:paraId="4956090C">
            <w:pPr>
              <w:spacing w:before="144" w:line="220" w:lineRule="auto"/>
              <w:ind w:left="557"/>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□同意，支付时间为本表签发后的</w:t>
            </w:r>
            <w:r>
              <w:rPr>
                <w:rFonts w:ascii="Calibri" w:hAnsi="Calibri" w:eastAsia="Calibri" w:cs="Calibri"/>
                <w:color w:val="auto"/>
                <w:spacing w:val="-4"/>
                <w:sz w:val="24"/>
                <w:szCs w:val="24"/>
                <w:highlight w:val="none"/>
                <w:lang w:eastAsia="zh-CN"/>
              </w:rPr>
              <w:t>15</w:t>
            </w:r>
            <w:r>
              <w:rPr>
                <w:rFonts w:ascii="宋体" w:hAnsi="宋体" w:eastAsia="宋体" w:cs="宋体"/>
                <w:color w:val="auto"/>
                <w:spacing w:val="-4"/>
                <w:sz w:val="24"/>
                <w:szCs w:val="24"/>
                <w:highlight w:val="none"/>
                <w:lang w:eastAsia="zh-CN"/>
              </w:rPr>
              <w:t>天内。</w:t>
            </w:r>
          </w:p>
          <w:p w14:paraId="4AA7A9F2">
            <w:pPr>
              <w:spacing w:before="150" w:line="22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发包人（章）</w:t>
            </w:r>
          </w:p>
          <w:p w14:paraId="571D9061">
            <w:pPr>
              <w:spacing w:before="151" w:line="350" w:lineRule="auto"/>
              <w:ind w:left="6561"/>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发包人代表</w:t>
            </w:r>
          </w:p>
          <w:p w14:paraId="01E59D79">
            <w:pPr>
              <w:spacing w:before="1" w:line="221" w:lineRule="auto"/>
              <w:ind w:left="6594"/>
              <w:rPr>
                <w:rFonts w:ascii="宋体" w:hAnsi="宋体" w:eastAsia="宋体" w:cs="宋体"/>
                <w:color w:val="auto"/>
                <w:sz w:val="24"/>
                <w:szCs w:val="24"/>
                <w:highlight w:val="none"/>
              </w:rPr>
            </w:pPr>
            <w:r>
              <w:rPr>
                <w:rFonts w:ascii="宋体" w:hAnsi="宋体" w:eastAsia="宋体" w:cs="宋体"/>
                <w:color w:val="auto"/>
                <w:spacing w:val="-22"/>
                <w:sz w:val="24"/>
                <w:szCs w:val="24"/>
                <w:highlight w:val="none"/>
              </w:rPr>
              <w:t>日期</w:t>
            </w:r>
          </w:p>
        </w:tc>
      </w:tr>
    </w:tbl>
    <w:p w14:paraId="2060274A">
      <w:pPr>
        <w:pStyle w:val="19"/>
        <w:spacing w:before="144" w:line="220" w:lineRule="auto"/>
        <w:ind w:left="573"/>
        <w:rPr>
          <w:color w:val="auto"/>
          <w:sz w:val="18"/>
          <w:szCs w:val="18"/>
          <w:highlight w:val="none"/>
          <w:lang w:eastAsia="zh-CN"/>
        </w:rPr>
      </w:pPr>
      <w:r>
        <w:rPr>
          <w:color w:val="auto"/>
          <w:spacing w:val="-6"/>
          <w:sz w:val="18"/>
          <w:szCs w:val="18"/>
          <w:highlight w:val="none"/>
          <w:lang w:eastAsia="zh-CN"/>
        </w:rPr>
        <w:t xml:space="preserve">注： </w:t>
      </w:r>
      <w:r>
        <w:rPr>
          <w:rFonts w:ascii="Calibri" w:hAnsi="Calibri" w:eastAsia="Calibri" w:cs="Calibri"/>
          <w:color w:val="auto"/>
          <w:spacing w:val="-6"/>
          <w:sz w:val="18"/>
          <w:szCs w:val="18"/>
          <w:highlight w:val="none"/>
          <w:lang w:eastAsia="zh-CN"/>
        </w:rPr>
        <w:t>1.</w:t>
      </w:r>
      <w:r>
        <w:rPr>
          <w:color w:val="auto"/>
          <w:spacing w:val="-6"/>
          <w:sz w:val="18"/>
          <w:szCs w:val="18"/>
          <w:highlight w:val="none"/>
          <w:lang w:eastAsia="zh-CN"/>
        </w:rPr>
        <w:t>在选择栏中的“□”内作标识“√”。 如监理人已退场，监理工程师栏可空缺。</w:t>
      </w:r>
    </w:p>
    <w:p w14:paraId="65F8D0A6">
      <w:pPr>
        <w:pStyle w:val="19"/>
        <w:spacing w:before="139" w:line="218" w:lineRule="auto"/>
        <w:ind w:left="938"/>
        <w:rPr>
          <w:color w:val="auto"/>
          <w:sz w:val="18"/>
          <w:szCs w:val="18"/>
          <w:highlight w:val="none"/>
          <w:lang w:eastAsia="zh-CN"/>
        </w:rPr>
      </w:pPr>
      <w:r>
        <w:rPr>
          <w:rFonts w:ascii="Calibri" w:hAnsi="Calibri" w:eastAsia="Calibri" w:cs="Calibri"/>
          <w:color w:val="auto"/>
          <w:spacing w:val="-1"/>
          <w:sz w:val="18"/>
          <w:szCs w:val="18"/>
          <w:highlight w:val="none"/>
          <w:lang w:eastAsia="zh-CN"/>
        </w:rPr>
        <w:t>2.</w:t>
      </w:r>
      <w:r>
        <w:rPr>
          <w:color w:val="auto"/>
          <w:spacing w:val="-1"/>
          <w:sz w:val="18"/>
          <w:szCs w:val="18"/>
          <w:highlight w:val="none"/>
          <w:lang w:eastAsia="zh-CN"/>
        </w:rPr>
        <w:t>本表一式四份，由承包人填报，发包人、监理人、造价咨询人、承包人各存一份。</w:t>
      </w:r>
    </w:p>
    <w:p w14:paraId="2B8D30A3">
      <w:pPr>
        <w:rPr>
          <w:color w:val="auto"/>
          <w:highlight w:val="none"/>
          <w:lang w:eastAsia="zh-CN"/>
        </w:rPr>
      </w:pPr>
      <w:r>
        <w:rPr>
          <w:color w:val="auto"/>
          <w:highlight w:val="none"/>
          <w:lang w:eastAsia="zh-CN"/>
        </w:rPr>
        <w:br w:type="page"/>
      </w:r>
    </w:p>
    <w:p w14:paraId="32773148">
      <w:pPr>
        <w:pStyle w:val="19"/>
        <w:spacing w:before="97" w:line="219" w:lineRule="auto"/>
        <w:rPr>
          <w:color w:val="auto"/>
          <w:sz w:val="30"/>
          <w:szCs w:val="30"/>
          <w:highlight w:val="none"/>
          <w:lang w:eastAsia="zh-CN"/>
        </w:rPr>
      </w:pPr>
      <w:r>
        <w:rPr>
          <w:color w:val="auto"/>
          <w:spacing w:val="-13"/>
          <w:sz w:val="30"/>
          <w:szCs w:val="30"/>
          <w:highlight w:val="none"/>
          <w:lang w:eastAsia="zh-CN"/>
        </w:rPr>
        <w:t>附件</w:t>
      </w:r>
      <w:r>
        <w:rPr>
          <w:rFonts w:ascii="Calibri" w:hAnsi="Calibri" w:eastAsia="Calibri" w:cs="Calibri"/>
          <w:color w:val="auto"/>
          <w:spacing w:val="-13"/>
          <w:sz w:val="30"/>
          <w:szCs w:val="30"/>
          <w:highlight w:val="none"/>
          <w:lang w:eastAsia="zh-CN"/>
        </w:rPr>
        <w:t>14</w:t>
      </w:r>
      <w:r>
        <w:rPr>
          <w:color w:val="auto"/>
          <w:spacing w:val="-13"/>
          <w:sz w:val="30"/>
          <w:szCs w:val="30"/>
          <w:highlight w:val="none"/>
          <w:lang w:eastAsia="zh-CN"/>
        </w:rPr>
        <w:t>：</w:t>
      </w:r>
    </w:p>
    <w:p w14:paraId="5F8FA41D">
      <w:pPr>
        <w:pStyle w:val="19"/>
        <w:spacing w:before="236" w:line="218" w:lineRule="auto"/>
        <w:ind w:left="2784"/>
        <w:rPr>
          <w:color w:val="auto"/>
          <w:sz w:val="36"/>
          <w:szCs w:val="36"/>
          <w:highlight w:val="none"/>
          <w:lang w:eastAsia="zh-CN"/>
        </w:rPr>
      </w:pPr>
      <w:r>
        <w:rPr>
          <w:color w:val="auto"/>
          <w:spacing w:val="-2"/>
          <w:sz w:val="36"/>
          <w:szCs w:val="36"/>
          <w:highlight w:val="none"/>
          <w:lang w:eastAsia="zh-CN"/>
        </w:rPr>
        <w:t>总价合同进度款支付分解表</w:t>
      </w:r>
    </w:p>
    <w:p w14:paraId="7CCD5A6D">
      <w:pPr>
        <w:pStyle w:val="19"/>
        <w:spacing w:before="254" w:line="221" w:lineRule="auto"/>
        <w:ind w:left="236"/>
        <w:rPr>
          <w:color w:val="auto"/>
          <w:highlight w:val="none"/>
        </w:rPr>
      </w:pPr>
      <w:r>
        <w:rPr>
          <w:color w:val="auto"/>
          <w:spacing w:val="-7"/>
          <w:highlight w:val="none"/>
        </w:rPr>
        <w:t>工程名称：</w:t>
      </w:r>
    </w:p>
    <w:p w14:paraId="62B3DC02">
      <w:pPr>
        <w:spacing w:line="126" w:lineRule="exact"/>
        <w:rPr>
          <w:color w:val="auto"/>
          <w:highlight w:val="none"/>
        </w:rPr>
      </w:pPr>
    </w:p>
    <w:tbl>
      <w:tblPr>
        <w:tblStyle w:val="88"/>
        <w:tblW w:w="8431" w:type="dxa"/>
        <w:tblInd w:w="1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
        <w:gridCol w:w="1414"/>
        <w:gridCol w:w="2685"/>
        <w:gridCol w:w="1107"/>
        <w:gridCol w:w="2266"/>
        <w:gridCol w:w="934"/>
      </w:tblGrid>
      <w:tr w14:paraId="5CA24B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5" w:type="dxa"/>
            <w:tcBorders>
              <w:top w:val="nil"/>
              <w:left w:val="nil"/>
              <w:bottom w:val="nil"/>
            </w:tcBorders>
          </w:tcPr>
          <w:p w14:paraId="0B894618">
            <w:pPr>
              <w:pStyle w:val="98"/>
              <w:rPr>
                <w:color w:val="auto"/>
                <w:highlight w:val="none"/>
              </w:rPr>
            </w:pPr>
          </w:p>
        </w:tc>
        <w:tc>
          <w:tcPr>
            <w:tcW w:w="1414" w:type="dxa"/>
          </w:tcPr>
          <w:p w14:paraId="6C2D20D7">
            <w:pPr>
              <w:spacing w:before="33" w:line="221" w:lineRule="auto"/>
              <w:ind w:left="183"/>
              <w:rPr>
                <w:rFonts w:ascii="宋体" w:hAnsi="宋体" w:eastAsia="宋体" w:cs="宋体"/>
                <w:color w:val="auto"/>
                <w:highlight w:val="none"/>
              </w:rPr>
            </w:pPr>
            <w:r>
              <w:rPr>
                <w:rFonts w:ascii="宋体" w:hAnsi="宋体" w:eastAsia="宋体" w:cs="宋体"/>
                <w:color w:val="auto"/>
                <w:spacing w:val="-1"/>
                <w:highlight w:val="none"/>
              </w:rPr>
              <w:t>进度款期次</w:t>
            </w:r>
          </w:p>
        </w:tc>
        <w:tc>
          <w:tcPr>
            <w:tcW w:w="3792" w:type="dxa"/>
            <w:gridSpan w:val="2"/>
          </w:tcPr>
          <w:p w14:paraId="347ECD31">
            <w:pPr>
              <w:spacing w:before="33" w:line="221" w:lineRule="auto"/>
              <w:ind w:left="1482"/>
              <w:rPr>
                <w:rFonts w:ascii="宋体" w:hAnsi="宋体" w:eastAsia="宋体" w:cs="宋体"/>
                <w:color w:val="auto"/>
                <w:highlight w:val="none"/>
              </w:rPr>
            </w:pPr>
            <w:r>
              <w:rPr>
                <w:rFonts w:ascii="宋体" w:hAnsi="宋体" w:eastAsia="宋体" w:cs="宋体"/>
                <w:color w:val="auto"/>
                <w:spacing w:val="-2"/>
                <w:highlight w:val="none"/>
              </w:rPr>
              <w:t>形象进度</w:t>
            </w:r>
          </w:p>
        </w:tc>
        <w:tc>
          <w:tcPr>
            <w:tcW w:w="2266" w:type="dxa"/>
          </w:tcPr>
          <w:p w14:paraId="561C749C">
            <w:pPr>
              <w:spacing w:before="33" w:line="221" w:lineRule="auto"/>
              <w:ind w:left="112"/>
              <w:rPr>
                <w:rFonts w:ascii="宋体" w:hAnsi="宋体" w:eastAsia="宋体" w:cs="宋体"/>
                <w:color w:val="auto"/>
                <w:highlight w:val="none"/>
                <w:lang w:eastAsia="zh-CN"/>
              </w:rPr>
            </w:pPr>
            <w:r>
              <w:rPr>
                <w:rFonts w:ascii="宋体" w:hAnsi="宋体" w:eastAsia="宋体" w:cs="宋体"/>
                <w:color w:val="auto"/>
                <w:spacing w:val="-2"/>
                <w:highlight w:val="none"/>
                <w:lang w:eastAsia="zh-CN"/>
              </w:rPr>
              <w:t>进度款付款金额（元）</w:t>
            </w:r>
          </w:p>
        </w:tc>
        <w:tc>
          <w:tcPr>
            <w:tcW w:w="934" w:type="dxa"/>
          </w:tcPr>
          <w:p w14:paraId="27CA8276">
            <w:pPr>
              <w:spacing w:before="34" w:line="222" w:lineRule="auto"/>
              <w:ind w:left="437"/>
              <w:rPr>
                <w:rFonts w:ascii="宋体" w:hAnsi="宋体" w:eastAsia="宋体" w:cs="宋体"/>
                <w:color w:val="auto"/>
                <w:highlight w:val="none"/>
              </w:rPr>
            </w:pPr>
            <w:r>
              <w:rPr>
                <w:rFonts w:ascii="宋体" w:hAnsi="宋体" w:eastAsia="宋体" w:cs="宋体"/>
                <w:color w:val="auto"/>
                <w:spacing w:val="-3"/>
                <w:highlight w:val="none"/>
              </w:rPr>
              <w:t>备注</w:t>
            </w:r>
          </w:p>
        </w:tc>
      </w:tr>
      <w:tr w14:paraId="274F7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5" w:type="dxa"/>
            <w:tcBorders>
              <w:top w:val="nil"/>
              <w:left w:val="nil"/>
              <w:bottom w:val="nil"/>
            </w:tcBorders>
          </w:tcPr>
          <w:p w14:paraId="56139C12">
            <w:pPr>
              <w:pStyle w:val="98"/>
              <w:rPr>
                <w:color w:val="auto"/>
                <w:highlight w:val="none"/>
              </w:rPr>
            </w:pPr>
          </w:p>
        </w:tc>
        <w:tc>
          <w:tcPr>
            <w:tcW w:w="1414" w:type="dxa"/>
          </w:tcPr>
          <w:p w14:paraId="2339E5FE">
            <w:pPr>
              <w:spacing w:before="29" w:line="221" w:lineRule="auto"/>
              <w:ind w:left="393"/>
              <w:rPr>
                <w:rFonts w:ascii="宋体" w:hAnsi="宋体" w:eastAsia="宋体" w:cs="宋体"/>
                <w:color w:val="auto"/>
                <w:highlight w:val="none"/>
              </w:rPr>
            </w:pPr>
            <w:r>
              <w:rPr>
                <w:rFonts w:ascii="宋体" w:hAnsi="宋体" w:eastAsia="宋体" w:cs="宋体"/>
                <w:color w:val="auto"/>
                <w:spacing w:val="-2"/>
                <w:highlight w:val="none"/>
              </w:rPr>
              <w:t>第一期</w:t>
            </w:r>
          </w:p>
        </w:tc>
        <w:tc>
          <w:tcPr>
            <w:tcW w:w="3792" w:type="dxa"/>
            <w:gridSpan w:val="2"/>
          </w:tcPr>
          <w:p w14:paraId="289E8139">
            <w:pPr>
              <w:pStyle w:val="98"/>
              <w:rPr>
                <w:color w:val="auto"/>
                <w:highlight w:val="none"/>
              </w:rPr>
            </w:pPr>
          </w:p>
        </w:tc>
        <w:tc>
          <w:tcPr>
            <w:tcW w:w="2266" w:type="dxa"/>
          </w:tcPr>
          <w:p w14:paraId="377F3CEA">
            <w:pPr>
              <w:pStyle w:val="98"/>
              <w:rPr>
                <w:color w:val="auto"/>
                <w:highlight w:val="none"/>
              </w:rPr>
            </w:pPr>
          </w:p>
        </w:tc>
        <w:tc>
          <w:tcPr>
            <w:tcW w:w="934" w:type="dxa"/>
          </w:tcPr>
          <w:p w14:paraId="76B826EC">
            <w:pPr>
              <w:pStyle w:val="98"/>
              <w:rPr>
                <w:color w:val="auto"/>
                <w:highlight w:val="none"/>
              </w:rPr>
            </w:pPr>
          </w:p>
        </w:tc>
      </w:tr>
      <w:tr w14:paraId="0FAB2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5" w:type="dxa"/>
            <w:tcBorders>
              <w:top w:val="nil"/>
              <w:left w:val="nil"/>
              <w:bottom w:val="nil"/>
            </w:tcBorders>
          </w:tcPr>
          <w:p w14:paraId="10330AAB">
            <w:pPr>
              <w:pStyle w:val="98"/>
              <w:rPr>
                <w:color w:val="auto"/>
                <w:highlight w:val="none"/>
              </w:rPr>
            </w:pPr>
          </w:p>
        </w:tc>
        <w:tc>
          <w:tcPr>
            <w:tcW w:w="1414" w:type="dxa"/>
          </w:tcPr>
          <w:p w14:paraId="52B060A8">
            <w:pPr>
              <w:spacing w:before="30" w:line="221" w:lineRule="auto"/>
              <w:ind w:left="393"/>
              <w:rPr>
                <w:rFonts w:ascii="宋体" w:hAnsi="宋体" w:eastAsia="宋体" w:cs="宋体"/>
                <w:color w:val="auto"/>
                <w:highlight w:val="none"/>
              </w:rPr>
            </w:pPr>
            <w:r>
              <w:rPr>
                <w:rFonts w:ascii="宋体" w:hAnsi="宋体" w:eastAsia="宋体" w:cs="宋体"/>
                <w:color w:val="auto"/>
                <w:spacing w:val="-2"/>
                <w:highlight w:val="none"/>
              </w:rPr>
              <w:t>第二期</w:t>
            </w:r>
          </w:p>
        </w:tc>
        <w:tc>
          <w:tcPr>
            <w:tcW w:w="3792" w:type="dxa"/>
            <w:gridSpan w:val="2"/>
          </w:tcPr>
          <w:p w14:paraId="6F875357">
            <w:pPr>
              <w:pStyle w:val="98"/>
              <w:rPr>
                <w:color w:val="auto"/>
                <w:highlight w:val="none"/>
              </w:rPr>
            </w:pPr>
          </w:p>
        </w:tc>
        <w:tc>
          <w:tcPr>
            <w:tcW w:w="2266" w:type="dxa"/>
          </w:tcPr>
          <w:p w14:paraId="28D10213">
            <w:pPr>
              <w:pStyle w:val="98"/>
              <w:rPr>
                <w:color w:val="auto"/>
                <w:highlight w:val="none"/>
              </w:rPr>
            </w:pPr>
          </w:p>
        </w:tc>
        <w:tc>
          <w:tcPr>
            <w:tcW w:w="934" w:type="dxa"/>
          </w:tcPr>
          <w:p w14:paraId="0A26AD82">
            <w:pPr>
              <w:pStyle w:val="98"/>
              <w:rPr>
                <w:color w:val="auto"/>
                <w:highlight w:val="none"/>
              </w:rPr>
            </w:pPr>
          </w:p>
        </w:tc>
      </w:tr>
      <w:tr w14:paraId="7A4513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25" w:type="dxa"/>
            <w:tcBorders>
              <w:top w:val="nil"/>
              <w:left w:val="nil"/>
              <w:bottom w:val="nil"/>
            </w:tcBorders>
          </w:tcPr>
          <w:p w14:paraId="26173FA3">
            <w:pPr>
              <w:pStyle w:val="98"/>
              <w:rPr>
                <w:color w:val="auto"/>
                <w:highlight w:val="none"/>
              </w:rPr>
            </w:pPr>
          </w:p>
        </w:tc>
        <w:tc>
          <w:tcPr>
            <w:tcW w:w="1414" w:type="dxa"/>
          </w:tcPr>
          <w:p w14:paraId="2468137A">
            <w:pPr>
              <w:spacing w:before="33" w:line="221" w:lineRule="auto"/>
              <w:ind w:left="393"/>
              <w:rPr>
                <w:rFonts w:ascii="宋体" w:hAnsi="宋体" w:eastAsia="宋体" w:cs="宋体"/>
                <w:color w:val="auto"/>
                <w:highlight w:val="none"/>
              </w:rPr>
            </w:pPr>
            <w:r>
              <w:rPr>
                <w:rFonts w:ascii="宋体" w:hAnsi="宋体" w:eastAsia="宋体" w:cs="宋体"/>
                <w:color w:val="auto"/>
                <w:spacing w:val="-2"/>
                <w:highlight w:val="none"/>
              </w:rPr>
              <w:t>第三期</w:t>
            </w:r>
          </w:p>
        </w:tc>
        <w:tc>
          <w:tcPr>
            <w:tcW w:w="3792" w:type="dxa"/>
            <w:gridSpan w:val="2"/>
          </w:tcPr>
          <w:p w14:paraId="3B6DB06F">
            <w:pPr>
              <w:pStyle w:val="98"/>
              <w:rPr>
                <w:color w:val="auto"/>
                <w:highlight w:val="none"/>
              </w:rPr>
            </w:pPr>
          </w:p>
        </w:tc>
        <w:tc>
          <w:tcPr>
            <w:tcW w:w="2266" w:type="dxa"/>
          </w:tcPr>
          <w:p w14:paraId="69BEA346">
            <w:pPr>
              <w:pStyle w:val="98"/>
              <w:rPr>
                <w:color w:val="auto"/>
                <w:highlight w:val="none"/>
              </w:rPr>
            </w:pPr>
          </w:p>
        </w:tc>
        <w:tc>
          <w:tcPr>
            <w:tcW w:w="934" w:type="dxa"/>
          </w:tcPr>
          <w:p w14:paraId="008B6390">
            <w:pPr>
              <w:pStyle w:val="98"/>
              <w:rPr>
                <w:color w:val="auto"/>
                <w:highlight w:val="none"/>
              </w:rPr>
            </w:pPr>
          </w:p>
        </w:tc>
      </w:tr>
      <w:tr w14:paraId="5B718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25" w:type="dxa"/>
            <w:tcBorders>
              <w:top w:val="nil"/>
              <w:left w:val="nil"/>
            </w:tcBorders>
          </w:tcPr>
          <w:p w14:paraId="31D51817">
            <w:pPr>
              <w:pStyle w:val="98"/>
              <w:rPr>
                <w:color w:val="auto"/>
                <w:highlight w:val="none"/>
              </w:rPr>
            </w:pPr>
          </w:p>
        </w:tc>
        <w:tc>
          <w:tcPr>
            <w:tcW w:w="1414" w:type="dxa"/>
          </w:tcPr>
          <w:p w14:paraId="26DB4A03">
            <w:pPr>
              <w:spacing w:before="32" w:line="225" w:lineRule="auto"/>
              <w:ind w:left="512"/>
              <w:rPr>
                <w:rFonts w:ascii="宋体" w:hAnsi="宋体" w:eastAsia="宋体" w:cs="宋体"/>
                <w:color w:val="auto"/>
                <w:highlight w:val="none"/>
              </w:rPr>
            </w:pPr>
            <w:r>
              <w:rPr>
                <w:rFonts w:ascii="宋体" w:hAnsi="宋体" w:eastAsia="宋体" w:cs="宋体"/>
                <w:color w:val="auto"/>
                <w:spacing w:val="39"/>
                <w:w w:val="153"/>
                <w:highlight w:val="none"/>
              </w:rPr>
              <w:t>„„</w:t>
            </w:r>
          </w:p>
        </w:tc>
        <w:tc>
          <w:tcPr>
            <w:tcW w:w="3792" w:type="dxa"/>
            <w:gridSpan w:val="2"/>
          </w:tcPr>
          <w:p w14:paraId="1CE935FB">
            <w:pPr>
              <w:pStyle w:val="98"/>
              <w:rPr>
                <w:color w:val="auto"/>
                <w:highlight w:val="none"/>
              </w:rPr>
            </w:pPr>
          </w:p>
        </w:tc>
        <w:tc>
          <w:tcPr>
            <w:tcW w:w="2266" w:type="dxa"/>
          </w:tcPr>
          <w:p w14:paraId="625A04A0">
            <w:pPr>
              <w:pStyle w:val="98"/>
              <w:rPr>
                <w:color w:val="auto"/>
                <w:highlight w:val="none"/>
              </w:rPr>
            </w:pPr>
          </w:p>
        </w:tc>
        <w:tc>
          <w:tcPr>
            <w:tcW w:w="934" w:type="dxa"/>
          </w:tcPr>
          <w:p w14:paraId="31D19722">
            <w:pPr>
              <w:pStyle w:val="98"/>
              <w:rPr>
                <w:color w:val="auto"/>
                <w:highlight w:val="none"/>
              </w:rPr>
            </w:pPr>
          </w:p>
        </w:tc>
      </w:tr>
      <w:tr w14:paraId="1F1DA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9" w:hRule="atLeast"/>
        </w:trPr>
        <w:tc>
          <w:tcPr>
            <w:tcW w:w="4124" w:type="dxa"/>
            <w:gridSpan w:val="3"/>
          </w:tcPr>
          <w:p w14:paraId="24211905">
            <w:pPr>
              <w:pStyle w:val="98"/>
              <w:spacing w:line="252" w:lineRule="auto"/>
              <w:rPr>
                <w:color w:val="auto"/>
                <w:highlight w:val="none"/>
                <w:lang w:eastAsia="zh-CN"/>
              </w:rPr>
            </w:pPr>
          </w:p>
          <w:p w14:paraId="2797291F">
            <w:pPr>
              <w:pStyle w:val="98"/>
              <w:spacing w:line="252" w:lineRule="auto"/>
              <w:rPr>
                <w:color w:val="auto"/>
                <w:highlight w:val="none"/>
                <w:lang w:eastAsia="zh-CN"/>
              </w:rPr>
            </w:pPr>
          </w:p>
          <w:p w14:paraId="5E7EC666">
            <w:pPr>
              <w:pStyle w:val="98"/>
              <w:spacing w:line="252" w:lineRule="auto"/>
              <w:rPr>
                <w:color w:val="auto"/>
                <w:highlight w:val="none"/>
                <w:lang w:eastAsia="zh-CN"/>
              </w:rPr>
            </w:pPr>
          </w:p>
          <w:p w14:paraId="226839D9">
            <w:pPr>
              <w:spacing w:before="68" w:line="221" w:lineRule="auto"/>
              <w:ind w:left="1712"/>
              <w:rPr>
                <w:rFonts w:ascii="宋体" w:hAnsi="宋体" w:eastAsia="宋体" w:cs="宋体"/>
                <w:color w:val="auto"/>
                <w:highlight w:val="none"/>
                <w:lang w:eastAsia="zh-CN"/>
              </w:rPr>
            </w:pPr>
            <w:r>
              <w:rPr>
                <w:rFonts w:ascii="宋体" w:hAnsi="宋体" w:eastAsia="宋体" w:cs="宋体"/>
                <w:color w:val="auto"/>
                <w:spacing w:val="-1"/>
                <w:highlight w:val="none"/>
                <w:lang w:eastAsia="zh-CN"/>
              </w:rPr>
              <w:t>发包人代表签字：</w:t>
            </w:r>
          </w:p>
          <w:p w14:paraId="728528BA">
            <w:pPr>
              <w:pStyle w:val="98"/>
              <w:spacing w:line="398" w:lineRule="auto"/>
              <w:rPr>
                <w:color w:val="auto"/>
                <w:highlight w:val="none"/>
                <w:lang w:eastAsia="zh-CN"/>
              </w:rPr>
            </w:pPr>
          </w:p>
          <w:p w14:paraId="11141528">
            <w:pPr>
              <w:spacing w:before="68" w:line="220" w:lineRule="auto"/>
              <w:ind w:left="1712"/>
              <w:rPr>
                <w:rFonts w:ascii="宋体" w:hAnsi="宋体" w:eastAsia="宋体" w:cs="宋体"/>
                <w:color w:val="auto"/>
                <w:highlight w:val="none"/>
                <w:lang w:eastAsia="zh-CN"/>
              </w:rPr>
            </w:pPr>
            <w:r>
              <w:rPr>
                <w:rFonts w:ascii="宋体" w:hAnsi="宋体" w:eastAsia="宋体" w:cs="宋体"/>
                <w:color w:val="auto"/>
                <w:spacing w:val="-1"/>
                <w:highlight w:val="none"/>
                <w:lang w:eastAsia="zh-CN"/>
              </w:rPr>
              <w:t>发包人（盖公章）</w:t>
            </w:r>
          </w:p>
          <w:p w14:paraId="7DB6A622">
            <w:pPr>
              <w:pStyle w:val="98"/>
              <w:spacing w:line="399" w:lineRule="auto"/>
              <w:rPr>
                <w:color w:val="auto"/>
                <w:highlight w:val="none"/>
                <w:lang w:eastAsia="zh-CN"/>
              </w:rPr>
            </w:pPr>
          </w:p>
          <w:p w14:paraId="19E5D006">
            <w:pPr>
              <w:spacing w:before="68" w:line="221" w:lineRule="auto"/>
              <w:ind w:left="2483"/>
              <w:rPr>
                <w:rFonts w:ascii="宋体" w:hAnsi="宋体" w:eastAsia="宋体" w:cs="宋体"/>
                <w:color w:val="auto"/>
                <w:highlight w:val="none"/>
              </w:rPr>
            </w:pPr>
            <w:r>
              <w:rPr>
                <w:rFonts w:ascii="宋体" w:hAnsi="宋体" w:eastAsia="宋体" w:cs="宋体"/>
                <w:color w:val="auto"/>
                <w:spacing w:val="-15"/>
                <w:highlight w:val="none"/>
              </w:rPr>
              <w:t xml:space="preserve">日期         </w:t>
            </w:r>
          </w:p>
        </w:tc>
        <w:tc>
          <w:tcPr>
            <w:tcW w:w="4307" w:type="dxa"/>
            <w:gridSpan w:val="3"/>
          </w:tcPr>
          <w:p w14:paraId="534E0311">
            <w:pPr>
              <w:pStyle w:val="98"/>
              <w:spacing w:line="252" w:lineRule="auto"/>
              <w:rPr>
                <w:color w:val="auto"/>
                <w:highlight w:val="none"/>
                <w:lang w:eastAsia="zh-CN"/>
              </w:rPr>
            </w:pPr>
          </w:p>
          <w:p w14:paraId="70799C55">
            <w:pPr>
              <w:pStyle w:val="98"/>
              <w:spacing w:line="252" w:lineRule="auto"/>
              <w:rPr>
                <w:color w:val="auto"/>
                <w:highlight w:val="none"/>
                <w:lang w:eastAsia="zh-CN"/>
              </w:rPr>
            </w:pPr>
          </w:p>
          <w:p w14:paraId="432BACEB">
            <w:pPr>
              <w:pStyle w:val="98"/>
              <w:spacing w:line="252" w:lineRule="auto"/>
              <w:rPr>
                <w:color w:val="auto"/>
                <w:highlight w:val="none"/>
                <w:lang w:eastAsia="zh-CN"/>
              </w:rPr>
            </w:pPr>
          </w:p>
          <w:p w14:paraId="0BED29BB">
            <w:pPr>
              <w:spacing w:before="68" w:line="221" w:lineRule="auto"/>
              <w:ind w:left="1431"/>
              <w:rPr>
                <w:rFonts w:ascii="宋体" w:hAnsi="宋体" w:eastAsia="宋体" w:cs="宋体"/>
                <w:color w:val="auto"/>
                <w:highlight w:val="none"/>
                <w:lang w:eastAsia="zh-CN"/>
              </w:rPr>
            </w:pPr>
            <w:r>
              <w:rPr>
                <w:rFonts w:ascii="宋体" w:hAnsi="宋体" w:eastAsia="宋体" w:cs="宋体"/>
                <w:color w:val="auto"/>
                <w:spacing w:val="-1"/>
                <w:highlight w:val="none"/>
                <w:lang w:eastAsia="zh-CN"/>
              </w:rPr>
              <w:t>承包人代表签字：</w:t>
            </w:r>
          </w:p>
          <w:p w14:paraId="7C6E6049">
            <w:pPr>
              <w:pStyle w:val="98"/>
              <w:spacing w:line="398" w:lineRule="auto"/>
              <w:rPr>
                <w:color w:val="auto"/>
                <w:highlight w:val="none"/>
                <w:lang w:eastAsia="zh-CN"/>
              </w:rPr>
            </w:pPr>
          </w:p>
          <w:p w14:paraId="39CFA56B">
            <w:pPr>
              <w:spacing w:before="68" w:line="220" w:lineRule="auto"/>
              <w:ind w:left="1431"/>
              <w:rPr>
                <w:rFonts w:ascii="宋体" w:hAnsi="宋体" w:eastAsia="宋体" w:cs="宋体"/>
                <w:color w:val="auto"/>
                <w:highlight w:val="none"/>
                <w:lang w:eastAsia="zh-CN"/>
              </w:rPr>
            </w:pPr>
            <w:r>
              <w:rPr>
                <w:rFonts w:ascii="宋体" w:hAnsi="宋体" w:eastAsia="宋体" w:cs="宋体"/>
                <w:color w:val="auto"/>
                <w:spacing w:val="-1"/>
                <w:highlight w:val="none"/>
                <w:lang w:eastAsia="zh-CN"/>
              </w:rPr>
              <w:t>承包人（盖公章）</w:t>
            </w:r>
          </w:p>
          <w:p w14:paraId="79A4131C">
            <w:pPr>
              <w:pStyle w:val="98"/>
              <w:spacing w:line="399" w:lineRule="auto"/>
              <w:rPr>
                <w:color w:val="auto"/>
                <w:highlight w:val="none"/>
                <w:lang w:eastAsia="zh-CN"/>
              </w:rPr>
            </w:pPr>
          </w:p>
          <w:p w14:paraId="754FFF01">
            <w:pPr>
              <w:spacing w:before="68" w:line="221" w:lineRule="auto"/>
              <w:ind w:left="2204"/>
              <w:rPr>
                <w:rFonts w:ascii="宋体" w:hAnsi="宋体" w:eastAsia="宋体" w:cs="宋体"/>
                <w:color w:val="auto"/>
                <w:highlight w:val="none"/>
              </w:rPr>
            </w:pPr>
            <w:r>
              <w:rPr>
                <w:rFonts w:ascii="宋体" w:hAnsi="宋体" w:eastAsia="宋体" w:cs="宋体"/>
                <w:color w:val="auto"/>
                <w:spacing w:val="-27"/>
                <w:highlight w:val="none"/>
              </w:rPr>
              <w:t>日期</w:t>
            </w:r>
          </w:p>
        </w:tc>
      </w:tr>
    </w:tbl>
    <w:p w14:paraId="4D9990CF">
      <w:pPr>
        <w:rPr>
          <w:color w:val="auto"/>
          <w:highlight w:val="none"/>
        </w:rPr>
      </w:pPr>
    </w:p>
    <w:p w14:paraId="5DE08505">
      <w:pPr>
        <w:pStyle w:val="19"/>
        <w:spacing w:line="360" w:lineRule="auto"/>
        <w:rPr>
          <w:color w:val="auto"/>
          <w:spacing w:val="-2"/>
          <w:highlight w:val="none"/>
          <w:lang w:eastAsia="zh-CN"/>
        </w:rPr>
      </w:pPr>
    </w:p>
    <w:p w14:paraId="23C10C1C">
      <w:pPr>
        <w:pStyle w:val="19"/>
        <w:spacing w:line="360" w:lineRule="auto"/>
        <w:rPr>
          <w:color w:val="auto"/>
          <w:spacing w:val="-2"/>
          <w:highlight w:val="none"/>
          <w:lang w:eastAsia="zh-CN"/>
        </w:rPr>
      </w:pPr>
    </w:p>
    <w:p w14:paraId="1C394BF6">
      <w:pPr>
        <w:pStyle w:val="19"/>
        <w:spacing w:line="360" w:lineRule="auto"/>
        <w:rPr>
          <w:color w:val="auto"/>
          <w:spacing w:val="-2"/>
          <w:highlight w:val="none"/>
          <w:lang w:eastAsia="zh-CN"/>
        </w:rPr>
      </w:pPr>
    </w:p>
    <w:p w14:paraId="74AE693F">
      <w:pPr>
        <w:pStyle w:val="19"/>
        <w:spacing w:line="360" w:lineRule="auto"/>
        <w:rPr>
          <w:color w:val="auto"/>
          <w:spacing w:val="-2"/>
          <w:highlight w:val="none"/>
          <w:lang w:eastAsia="zh-CN"/>
        </w:rPr>
      </w:pPr>
    </w:p>
    <w:p w14:paraId="3B605D71">
      <w:pPr>
        <w:pStyle w:val="19"/>
        <w:spacing w:line="360" w:lineRule="auto"/>
        <w:rPr>
          <w:color w:val="auto"/>
          <w:spacing w:val="-2"/>
          <w:highlight w:val="none"/>
          <w:lang w:eastAsia="zh-CN"/>
        </w:rPr>
      </w:pPr>
    </w:p>
    <w:p w14:paraId="1D1D4BB7">
      <w:pPr>
        <w:pStyle w:val="19"/>
        <w:spacing w:line="360" w:lineRule="auto"/>
        <w:rPr>
          <w:color w:val="auto"/>
          <w:spacing w:val="-2"/>
          <w:highlight w:val="none"/>
          <w:lang w:eastAsia="zh-CN"/>
        </w:rPr>
      </w:pPr>
    </w:p>
    <w:p w14:paraId="4DCF0512">
      <w:pPr>
        <w:pStyle w:val="19"/>
        <w:spacing w:line="360" w:lineRule="auto"/>
        <w:rPr>
          <w:color w:val="auto"/>
          <w:spacing w:val="-2"/>
          <w:highlight w:val="none"/>
          <w:lang w:eastAsia="zh-CN"/>
        </w:rPr>
      </w:pPr>
    </w:p>
    <w:p w14:paraId="50BCD214">
      <w:pPr>
        <w:pStyle w:val="19"/>
        <w:spacing w:line="360" w:lineRule="auto"/>
        <w:rPr>
          <w:color w:val="auto"/>
          <w:spacing w:val="-2"/>
          <w:highlight w:val="none"/>
          <w:lang w:eastAsia="zh-CN"/>
        </w:rPr>
      </w:pPr>
    </w:p>
    <w:p w14:paraId="5F47948F">
      <w:pPr>
        <w:pStyle w:val="19"/>
        <w:spacing w:line="360" w:lineRule="auto"/>
        <w:rPr>
          <w:color w:val="auto"/>
          <w:spacing w:val="-2"/>
          <w:highlight w:val="none"/>
          <w:lang w:eastAsia="zh-CN"/>
        </w:rPr>
      </w:pPr>
    </w:p>
    <w:p w14:paraId="417F5E46">
      <w:pPr>
        <w:pStyle w:val="19"/>
        <w:spacing w:line="360" w:lineRule="auto"/>
        <w:rPr>
          <w:color w:val="auto"/>
          <w:spacing w:val="-2"/>
          <w:highlight w:val="none"/>
          <w:lang w:eastAsia="zh-CN"/>
        </w:rPr>
      </w:pPr>
    </w:p>
    <w:p w14:paraId="1DDB3DC5">
      <w:pPr>
        <w:pStyle w:val="19"/>
        <w:spacing w:line="360" w:lineRule="auto"/>
        <w:rPr>
          <w:color w:val="auto"/>
          <w:spacing w:val="-2"/>
          <w:highlight w:val="none"/>
          <w:lang w:eastAsia="zh-CN"/>
        </w:rPr>
      </w:pPr>
    </w:p>
    <w:p w14:paraId="4DB6F988">
      <w:pPr>
        <w:pStyle w:val="19"/>
        <w:spacing w:line="360" w:lineRule="auto"/>
        <w:rPr>
          <w:color w:val="auto"/>
          <w:spacing w:val="-2"/>
          <w:highlight w:val="none"/>
          <w:lang w:eastAsia="zh-CN"/>
        </w:rPr>
      </w:pPr>
    </w:p>
    <w:p w14:paraId="064D0DC7">
      <w:pPr>
        <w:pStyle w:val="19"/>
        <w:spacing w:line="360" w:lineRule="auto"/>
        <w:rPr>
          <w:color w:val="auto"/>
          <w:spacing w:val="-2"/>
          <w:highlight w:val="none"/>
          <w:lang w:eastAsia="zh-CN"/>
        </w:rPr>
      </w:pPr>
    </w:p>
    <w:p w14:paraId="09FF1DB1">
      <w:pPr>
        <w:pStyle w:val="19"/>
        <w:spacing w:line="360" w:lineRule="auto"/>
        <w:rPr>
          <w:color w:val="auto"/>
          <w:spacing w:val="-2"/>
          <w:highlight w:val="none"/>
          <w:lang w:eastAsia="zh-CN"/>
        </w:rPr>
      </w:pPr>
    </w:p>
    <w:p w14:paraId="14FFB81B">
      <w:pPr>
        <w:autoSpaceDE w:val="0"/>
        <w:autoSpaceDN w:val="0"/>
        <w:adjustRightInd w:val="0"/>
        <w:snapToGrid w:val="0"/>
        <w:spacing w:line="300" w:lineRule="auto"/>
        <w:ind w:firstLine="3264" w:firstLineChars="739"/>
        <w:outlineLvl w:val="0"/>
        <w:rPr>
          <w:rFonts w:ascii="宋体" w:hAnsi="宋体"/>
          <w:b/>
          <w:color w:val="auto"/>
          <w:kern w:val="0"/>
          <w:sz w:val="44"/>
          <w:szCs w:val="44"/>
          <w:highlight w:val="none"/>
        </w:rPr>
      </w:pPr>
      <w:bookmarkStart w:id="47" w:name="_Toc29416"/>
      <w:bookmarkStart w:id="48" w:name="_Toc176861412"/>
      <w:bookmarkStart w:id="49" w:name="_Toc3994508"/>
      <w:r>
        <w:rPr>
          <w:rFonts w:hint="eastAsia" w:ascii="宋体" w:hAnsi="宋体"/>
          <w:b/>
          <w:color w:val="auto"/>
          <w:kern w:val="0"/>
          <w:sz w:val="44"/>
          <w:szCs w:val="44"/>
          <w:highlight w:val="none"/>
        </w:rPr>
        <w:t>第七章  评定标准</w:t>
      </w:r>
      <w:bookmarkEnd w:id="47"/>
      <w:bookmarkEnd w:id="48"/>
      <w:bookmarkEnd w:id="49"/>
    </w:p>
    <w:p w14:paraId="0FE3D1C1">
      <w:pPr>
        <w:pStyle w:val="24"/>
        <w:numPr>
          <w:ilvl w:val="0"/>
          <w:numId w:val="7"/>
        </w:numPr>
        <w:adjustRightInd w:val="0"/>
        <w:spacing w:line="360" w:lineRule="auto"/>
        <w:ind w:firstLine="482" w:firstLineChars="200"/>
        <w:contextualSpacing/>
        <w:rPr>
          <w:rFonts w:hAnsi="宋体"/>
          <w:b/>
          <w:bCs/>
          <w:color w:val="auto"/>
          <w:sz w:val="24"/>
          <w:szCs w:val="24"/>
          <w:highlight w:val="none"/>
        </w:rPr>
      </w:pPr>
      <w:r>
        <w:rPr>
          <w:rFonts w:hAnsi="宋体"/>
          <w:b/>
          <w:bCs/>
          <w:color w:val="auto"/>
          <w:sz w:val="24"/>
          <w:szCs w:val="24"/>
          <w:highlight w:val="none"/>
        </w:rPr>
        <w:t>评标原则</w:t>
      </w:r>
    </w:p>
    <w:p w14:paraId="14B1E6BE">
      <w:pPr>
        <w:pStyle w:val="24"/>
        <w:adjustRightInd w:val="0"/>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(一)磋商小组组成：本磋商采购项目的磋商小组由采购人代表、技术和经济等方面的专家共3人以上单数组成。其中，专家磋商小组成员不得少于成员总数的三分之二。</w:t>
      </w:r>
    </w:p>
    <w:p w14:paraId="47F7BAA4">
      <w:pPr>
        <w:pStyle w:val="24"/>
        <w:adjustRightInd w:val="0"/>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(二)评审依据：磋商小组成员将以采购文件为评审依据，对供应商的最终报价、技术性能、实施方案、信誉业绩、售后服务、政策优惠等方面内容按百分制打分。</w:t>
      </w:r>
    </w:p>
    <w:p w14:paraId="5A78C40E">
      <w:pPr>
        <w:pStyle w:val="24"/>
        <w:adjustRightInd w:val="0"/>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(三)评审方式：以封闭方式进行。</w:t>
      </w:r>
    </w:p>
    <w:p w14:paraId="463A1500">
      <w:pPr>
        <w:autoSpaceDE w:val="0"/>
        <w:autoSpaceDN w:val="0"/>
        <w:adjustRightInd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(四)按《政府采购促进中小企业发展管理办法》(财库〔2020〕46号)的规定，</w:t>
      </w:r>
      <w:r>
        <w:rPr>
          <w:rFonts w:hint="eastAsia" w:ascii="宋体" w:hAnsi="宋体" w:cs="宋体"/>
          <w:color w:val="auto"/>
          <w:sz w:val="24"/>
          <w:highlight w:val="none"/>
        </w:rPr>
        <w:t>对于未预留份额专门面向中小企业采购的政府采购工程项目，以及预留份额政府采购工程项目中的非预留部分标项，对小型和微型企业的最后报价给予3%</w:t>
      </w:r>
      <w:r>
        <w:rPr>
          <w:rFonts w:ascii="宋体" w:hAnsi="宋体" w:cs="宋体"/>
          <w:color w:val="auto"/>
          <w:sz w:val="24"/>
          <w:highlight w:val="none"/>
        </w:rPr>
        <w:t>—</w:t>
      </w:r>
      <w:r>
        <w:rPr>
          <w:rFonts w:hint="eastAsia" w:ascii="宋体" w:hAnsi="宋体" w:cs="宋体"/>
          <w:color w:val="auto"/>
          <w:sz w:val="24"/>
          <w:highlight w:val="none"/>
        </w:rPr>
        <w:t>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w:t>
      </w:r>
      <w:r>
        <w:rPr>
          <w:rFonts w:ascii="宋体" w:hAnsi="宋体" w:cs="宋体"/>
          <w:color w:val="auto"/>
          <w:sz w:val="24"/>
          <w:highlight w:val="none"/>
        </w:rPr>
        <w:t>1%—2%</w:t>
      </w:r>
      <w:r>
        <w:rPr>
          <w:rFonts w:hint="eastAsia" w:ascii="宋体" w:hAnsi="宋体" w:cs="宋体"/>
          <w:color w:val="auto"/>
          <w:sz w:val="24"/>
          <w:highlight w:val="none"/>
        </w:rPr>
        <w:t>的扣除，用扣除后的价格参加评审。中小企业参加政府采购活动，应当出具《中小企业声明函》，否则不得享受相关中小企业扶持政策。</w:t>
      </w:r>
      <w:r>
        <w:rPr>
          <w:rFonts w:hint="eastAsia" w:ascii="宋体" w:hAnsi="宋体" w:cs="宋体"/>
          <w:color w:val="auto"/>
          <w:sz w:val="24"/>
          <w:highlight w:val="none"/>
          <w:lang w:val="en-US" w:eastAsia="zh-CN"/>
        </w:rPr>
        <w:t>本项目为专门面向小微企业采购项目，通过资格审查及符合性审查的供应商均为小微企业，不享受价格扣除优惠政策。</w:t>
      </w:r>
    </w:p>
    <w:p w14:paraId="6D2B58FB">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(五)磋商供应商按《关于政府采购支持监狱企业发展有关问题的通知》(财库〔2014〕68 号)认定为监狱企业的，在政府采购活动中，监狱企业视同小型、微型企业。监狱企业以提供由省级以上监狱管理局、戒毒管理局(含新疆生产建设兵团)出具的属于监狱企业的证明文件为准。</w:t>
      </w:r>
    </w:p>
    <w:p w14:paraId="40E91711">
      <w:pPr>
        <w:autoSpaceDE w:val="0"/>
        <w:autoSpaceDN w:val="0"/>
        <w:adjustRightIn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磋商供应商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14:paraId="00D09E1B">
      <w:pPr>
        <w:spacing w:line="360" w:lineRule="auto"/>
        <w:ind w:firstLine="480" w:firstLineChars="200"/>
        <w:rPr>
          <w:rFonts w:ascii="宋体" w:hAnsi="宋体" w:cs="Courier New"/>
          <w:bCs/>
          <w:color w:val="auto"/>
          <w:sz w:val="24"/>
          <w:highlight w:val="none"/>
        </w:rPr>
      </w:pPr>
      <w:r>
        <w:rPr>
          <w:rFonts w:hint="eastAsia" w:ascii="宋体" w:hAnsi="宋体" w:cs="宋体"/>
          <w:color w:val="auto"/>
          <w:kern w:val="0"/>
          <w:sz w:val="24"/>
          <w:highlight w:val="none"/>
        </w:rPr>
        <w:t>(七)未享受优惠政策的供应商的磋商最终报价即为评审价。</w:t>
      </w:r>
    </w:p>
    <w:p w14:paraId="7ED4B18E">
      <w:pPr>
        <w:spacing w:line="360" w:lineRule="auto"/>
        <w:ind w:firstLine="472" w:firstLineChars="196"/>
        <w:rPr>
          <w:rFonts w:ascii="宋体" w:hAnsi="宋体" w:cs="Courier New"/>
          <w:b/>
          <w:color w:val="auto"/>
          <w:sz w:val="24"/>
          <w:highlight w:val="none"/>
        </w:rPr>
      </w:pPr>
      <w:r>
        <w:rPr>
          <w:rFonts w:hint="eastAsia" w:ascii="宋体" w:hAnsi="宋体" w:cs="Courier New"/>
          <w:b/>
          <w:color w:val="auto"/>
          <w:sz w:val="24"/>
          <w:highlight w:val="none"/>
        </w:rPr>
        <w:t>二、评标方法</w:t>
      </w:r>
    </w:p>
    <w:tbl>
      <w:tblPr>
        <w:tblStyle w:val="38"/>
        <w:tblW w:w="10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31"/>
        <w:gridCol w:w="912"/>
        <w:gridCol w:w="1694"/>
        <w:gridCol w:w="5714"/>
      </w:tblGrid>
      <w:tr w14:paraId="3078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shd w:val="clear" w:color="auto" w:fill="E6E6E6"/>
            <w:vAlign w:val="center"/>
          </w:tcPr>
          <w:p w14:paraId="6A912E3F">
            <w:pPr>
              <w:spacing w:line="360" w:lineRule="auto"/>
              <w:jc w:val="center"/>
              <w:rPr>
                <w:rFonts w:ascii="宋体" w:hAnsi="宋体"/>
                <w:color w:val="auto"/>
                <w:sz w:val="24"/>
                <w:highlight w:val="none"/>
              </w:rPr>
            </w:pPr>
            <w:r>
              <w:rPr>
                <w:rFonts w:hint="eastAsia" w:ascii="宋体" w:hAnsi="宋体" w:cs="宋体"/>
                <w:color w:val="auto"/>
                <w:sz w:val="24"/>
                <w:highlight w:val="none"/>
              </w:rPr>
              <w:t>条款号</w:t>
            </w:r>
          </w:p>
        </w:tc>
        <w:tc>
          <w:tcPr>
            <w:tcW w:w="3637" w:type="dxa"/>
            <w:gridSpan w:val="3"/>
            <w:shd w:val="clear" w:color="auto" w:fill="E6E6E6"/>
            <w:vAlign w:val="center"/>
          </w:tcPr>
          <w:p w14:paraId="4C207679">
            <w:pPr>
              <w:spacing w:line="360" w:lineRule="auto"/>
              <w:jc w:val="center"/>
              <w:rPr>
                <w:rFonts w:ascii="宋体" w:hAnsi="宋体"/>
                <w:color w:val="auto"/>
                <w:sz w:val="24"/>
                <w:highlight w:val="none"/>
              </w:rPr>
            </w:pPr>
            <w:r>
              <w:rPr>
                <w:rFonts w:hint="eastAsia" w:ascii="宋体" w:hAnsi="宋体" w:cs="宋体"/>
                <w:color w:val="auto"/>
                <w:sz w:val="24"/>
                <w:highlight w:val="none"/>
              </w:rPr>
              <w:t>评审因素</w:t>
            </w:r>
          </w:p>
        </w:tc>
        <w:tc>
          <w:tcPr>
            <w:tcW w:w="5714" w:type="dxa"/>
            <w:shd w:val="clear" w:color="auto" w:fill="E6E6E6"/>
            <w:vAlign w:val="center"/>
          </w:tcPr>
          <w:p w14:paraId="4A68C27A">
            <w:pPr>
              <w:spacing w:line="360" w:lineRule="auto"/>
              <w:jc w:val="center"/>
              <w:rPr>
                <w:rFonts w:ascii="宋体" w:hAnsi="宋体"/>
                <w:color w:val="auto"/>
                <w:sz w:val="24"/>
                <w:highlight w:val="none"/>
              </w:rPr>
            </w:pPr>
            <w:r>
              <w:rPr>
                <w:rFonts w:hint="eastAsia" w:ascii="宋体" w:hAnsi="宋体" w:cs="宋体"/>
                <w:color w:val="auto"/>
                <w:sz w:val="24"/>
                <w:highlight w:val="none"/>
              </w:rPr>
              <w:t>评审标准</w:t>
            </w:r>
          </w:p>
        </w:tc>
      </w:tr>
      <w:tr w14:paraId="54B1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780" w:type="dxa"/>
            <w:vMerge w:val="restart"/>
            <w:vAlign w:val="center"/>
          </w:tcPr>
          <w:p w14:paraId="0289236A">
            <w:pPr>
              <w:spacing w:line="360" w:lineRule="auto"/>
              <w:jc w:val="center"/>
              <w:rPr>
                <w:rFonts w:ascii="宋体" w:hAnsi="宋体"/>
                <w:color w:val="auto"/>
                <w:sz w:val="24"/>
                <w:highlight w:val="none"/>
              </w:rPr>
            </w:pPr>
            <w:r>
              <w:rPr>
                <w:rFonts w:hint="eastAsia" w:ascii="宋体" w:hAnsi="宋体"/>
                <w:color w:val="auto"/>
                <w:sz w:val="24"/>
                <w:highlight w:val="none"/>
              </w:rPr>
              <w:t>1</w:t>
            </w:r>
          </w:p>
        </w:tc>
        <w:tc>
          <w:tcPr>
            <w:tcW w:w="1031" w:type="dxa"/>
            <w:vMerge w:val="restart"/>
            <w:vAlign w:val="center"/>
          </w:tcPr>
          <w:p w14:paraId="67BF19B9">
            <w:pPr>
              <w:spacing w:line="360" w:lineRule="auto"/>
              <w:jc w:val="center"/>
              <w:rPr>
                <w:rFonts w:hint="default" w:ascii="宋体" w:hAnsi="宋体" w:eastAsia="宋体"/>
                <w:color w:val="auto"/>
                <w:sz w:val="24"/>
                <w:highlight w:val="none"/>
                <w:lang w:val="en-US" w:eastAsia="zh-CN"/>
              </w:rPr>
            </w:pPr>
            <w:r>
              <w:rPr>
                <w:rFonts w:hint="eastAsia" w:ascii="宋体" w:hAnsi="宋体"/>
                <w:color w:val="auto"/>
                <w:sz w:val="24"/>
                <w:highlight w:val="none"/>
              </w:rPr>
              <w:t>技术分</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满分80分）</w:t>
            </w:r>
          </w:p>
        </w:tc>
        <w:tc>
          <w:tcPr>
            <w:tcW w:w="912" w:type="dxa"/>
            <w:vMerge w:val="restart"/>
            <w:vAlign w:val="center"/>
          </w:tcPr>
          <w:p w14:paraId="57C87B12">
            <w:pPr>
              <w:spacing w:line="360" w:lineRule="auto"/>
              <w:jc w:val="center"/>
              <w:rPr>
                <w:rFonts w:hint="default" w:ascii="宋体" w:hAnsi="宋体" w:eastAsia="宋体"/>
                <w:color w:val="auto"/>
                <w:sz w:val="24"/>
                <w:highlight w:val="none"/>
                <w:lang w:val="en-US" w:eastAsia="zh-CN"/>
              </w:rPr>
            </w:pPr>
            <w:r>
              <w:rPr>
                <w:rFonts w:hint="eastAsia" w:ascii="宋体" w:hAnsi="宋体" w:cs="宋体"/>
                <w:color w:val="auto"/>
                <w:sz w:val="24"/>
                <w:highlight w:val="none"/>
              </w:rPr>
              <w:t>项目管理机构</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满分20分）</w:t>
            </w:r>
          </w:p>
        </w:tc>
        <w:tc>
          <w:tcPr>
            <w:tcW w:w="1694" w:type="dxa"/>
            <w:vAlign w:val="center"/>
          </w:tcPr>
          <w:p w14:paraId="617CED76">
            <w:pPr>
              <w:spacing w:line="360" w:lineRule="auto"/>
              <w:jc w:val="left"/>
              <w:rPr>
                <w:rFonts w:ascii="宋体" w:hAnsi="宋体"/>
                <w:color w:val="auto"/>
                <w:kern w:val="0"/>
                <w:sz w:val="24"/>
                <w:highlight w:val="none"/>
              </w:rPr>
            </w:pPr>
            <w:r>
              <w:rPr>
                <w:rFonts w:hint="eastAsia" w:ascii="宋体" w:hAnsi="宋体" w:cs="宋体"/>
                <w:color w:val="auto"/>
                <w:kern w:val="0"/>
                <w:sz w:val="24"/>
                <w:highlight w:val="none"/>
              </w:rPr>
              <w:t>项目经理任职资格与业绩、工作经历等（</w:t>
            </w:r>
            <w:r>
              <w:rPr>
                <w:rFonts w:hint="eastAsia" w:ascii="宋体" w:hAnsi="宋体" w:cs="宋体"/>
                <w:color w:val="auto"/>
                <w:kern w:val="0"/>
                <w:sz w:val="24"/>
                <w:highlight w:val="none"/>
                <w:lang w:val="en-US" w:eastAsia="zh-CN"/>
              </w:rPr>
              <w:t>满分</w:t>
            </w:r>
            <w:r>
              <w:rPr>
                <w:rFonts w:hint="eastAsia" w:ascii="宋体" w:hAnsi="宋体"/>
                <w:color w:val="auto"/>
                <w:kern w:val="0"/>
                <w:sz w:val="24"/>
                <w:highlight w:val="none"/>
                <w:lang w:val="en-US" w:eastAsia="zh-CN"/>
              </w:rPr>
              <w:t>10</w:t>
            </w:r>
            <w:r>
              <w:rPr>
                <w:rFonts w:hint="eastAsia" w:ascii="宋体" w:hAnsi="宋体" w:cs="宋体"/>
                <w:color w:val="auto"/>
                <w:kern w:val="0"/>
                <w:sz w:val="24"/>
                <w:highlight w:val="none"/>
              </w:rPr>
              <w:t>分）</w:t>
            </w:r>
          </w:p>
        </w:tc>
        <w:tc>
          <w:tcPr>
            <w:tcW w:w="5714" w:type="dxa"/>
            <w:vAlign w:val="center"/>
          </w:tcPr>
          <w:p w14:paraId="703EFDBC">
            <w:pPr>
              <w:widowControl/>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基本要求：</w:t>
            </w:r>
            <w:r>
              <w:rPr>
                <w:rFonts w:hint="eastAsia" w:ascii="宋体" w:hAnsi="宋体" w:cs="宋体"/>
                <w:color w:val="auto"/>
                <w:kern w:val="0"/>
                <w:sz w:val="24"/>
                <w:highlight w:val="none"/>
              </w:rPr>
              <w:t>拟派任项目经理（或注册建造师）必须与资格审查通过的项目经理（或注册建造师）在名称、专业、资格等级等方面一致。</w:t>
            </w:r>
          </w:p>
          <w:p w14:paraId="45EA86E2">
            <w:pPr>
              <w:widowControl/>
              <w:spacing w:line="360" w:lineRule="auto"/>
              <w:ind w:firstLine="480" w:firstLineChars="20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拟派任项目经理在满足资格要求的前提下，具有工程类相关专业中级技术职称，得5分，具有工程类相关专业高级（含）以上技术职称，得10分，满分10分。</w:t>
            </w:r>
          </w:p>
          <w:p w14:paraId="02E0E142">
            <w:pPr>
              <w:widowControl/>
              <w:spacing w:line="360" w:lineRule="auto"/>
              <w:ind w:firstLine="480" w:firstLineChars="200"/>
              <w:rPr>
                <w:rFonts w:hint="default" w:ascii="宋体" w:hAnsi="宋体" w:cs="仿宋_GB2312"/>
                <w:color w:val="auto"/>
                <w:sz w:val="24"/>
                <w:highlight w:val="none"/>
                <w:lang w:val="en-US" w:eastAsia="zh-CN"/>
              </w:rPr>
            </w:pPr>
            <w:r>
              <w:rPr>
                <w:rFonts w:hint="eastAsia" w:ascii="宋体" w:hAnsi="宋体" w:cs="宋体"/>
                <w:color w:val="auto"/>
                <w:kern w:val="0"/>
                <w:sz w:val="24"/>
                <w:highlight w:val="none"/>
              </w:rPr>
              <w:t>注：需提供</w:t>
            </w:r>
            <w:r>
              <w:rPr>
                <w:rFonts w:hint="eastAsia" w:ascii="宋体" w:hAnsi="宋体" w:cs="宋体"/>
                <w:color w:val="auto"/>
                <w:kern w:val="0"/>
                <w:sz w:val="24"/>
                <w:highlight w:val="none"/>
                <w:lang w:val="en-US" w:eastAsia="zh-CN"/>
              </w:rPr>
              <w:t>项目经理身份证、注册证书、职称证以及磋商供应商</w:t>
            </w:r>
            <w:r>
              <w:rPr>
                <w:rFonts w:hint="eastAsia" w:ascii="宋体" w:hAnsi="宋体" w:cs="宋体"/>
                <w:color w:val="auto"/>
                <w:kern w:val="0"/>
                <w:sz w:val="24"/>
                <w:highlight w:val="none"/>
              </w:rPr>
              <w:t>为项目经理依法缴纳的</w:t>
            </w:r>
            <w:r>
              <w:rPr>
                <w:rFonts w:hint="eastAsia" w:ascii="宋体" w:hAnsi="宋体" w:cs="仿宋_GB2312"/>
                <w:color w:val="auto"/>
                <w:sz w:val="24"/>
                <w:highlight w:val="none"/>
                <w:lang w:val="en-US" w:eastAsia="zh-CN"/>
              </w:rPr>
              <w:t>距响应文件递交截止时间近半年来任意一个月的社保缴费证明</w:t>
            </w:r>
            <w:r>
              <w:rPr>
                <w:rFonts w:hint="eastAsia" w:ascii="宋体" w:hAnsi="宋体" w:eastAsia="宋体" w:cs="仿宋_GB2312"/>
                <w:color w:val="auto"/>
                <w:sz w:val="24"/>
                <w:highlight w:val="none"/>
                <w:lang w:val="en-US" w:eastAsia="zh-CN"/>
              </w:rPr>
              <w:t>（已退休未满65岁的项目经理不用提供社保缴费证明，但应附退休证明文件）</w:t>
            </w:r>
            <w:r>
              <w:rPr>
                <w:rFonts w:hint="eastAsia" w:ascii="宋体" w:hAnsi="宋体" w:cs="仿宋_GB2312"/>
                <w:color w:val="auto"/>
                <w:sz w:val="24"/>
                <w:highlight w:val="none"/>
                <w:lang w:val="en-US" w:eastAsia="zh-CN"/>
              </w:rPr>
              <w:t>复印件并加盖单位公章。</w:t>
            </w:r>
          </w:p>
        </w:tc>
      </w:tr>
      <w:tr w14:paraId="61AF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80" w:type="dxa"/>
            <w:vMerge w:val="continue"/>
            <w:vAlign w:val="center"/>
          </w:tcPr>
          <w:p w14:paraId="14516F38">
            <w:pPr>
              <w:spacing w:line="360" w:lineRule="auto"/>
              <w:jc w:val="center"/>
              <w:rPr>
                <w:rFonts w:ascii="宋体" w:hAnsi="宋体"/>
                <w:color w:val="auto"/>
                <w:sz w:val="24"/>
                <w:highlight w:val="none"/>
              </w:rPr>
            </w:pPr>
          </w:p>
        </w:tc>
        <w:tc>
          <w:tcPr>
            <w:tcW w:w="1031" w:type="dxa"/>
            <w:vMerge w:val="continue"/>
            <w:vAlign w:val="center"/>
          </w:tcPr>
          <w:p w14:paraId="14626164">
            <w:pPr>
              <w:spacing w:line="360" w:lineRule="auto"/>
              <w:jc w:val="center"/>
              <w:rPr>
                <w:rFonts w:ascii="宋体" w:hAnsi="宋体"/>
                <w:color w:val="auto"/>
                <w:sz w:val="24"/>
                <w:highlight w:val="none"/>
              </w:rPr>
            </w:pPr>
          </w:p>
        </w:tc>
        <w:tc>
          <w:tcPr>
            <w:tcW w:w="912" w:type="dxa"/>
            <w:vMerge w:val="continue"/>
            <w:vAlign w:val="center"/>
          </w:tcPr>
          <w:p w14:paraId="3F66C0EF">
            <w:pPr>
              <w:spacing w:line="360" w:lineRule="auto"/>
              <w:jc w:val="center"/>
              <w:rPr>
                <w:rFonts w:ascii="宋体" w:hAnsi="宋体"/>
                <w:color w:val="auto"/>
                <w:kern w:val="0"/>
                <w:sz w:val="24"/>
                <w:highlight w:val="none"/>
              </w:rPr>
            </w:pPr>
          </w:p>
        </w:tc>
        <w:tc>
          <w:tcPr>
            <w:tcW w:w="1694" w:type="dxa"/>
            <w:vAlign w:val="center"/>
          </w:tcPr>
          <w:p w14:paraId="18D05E83">
            <w:pPr>
              <w:spacing w:line="360" w:lineRule="auto"/>
              <w:rPr>
                <w:rFonts w:ascii="宋体" w:hAnsi="宋体"/>
                <w:color w:val="auto"/>
                <w:sz w:val="24"/>
                <w:highlight w:val="none"/>
              </w:rPr>
            </w:pPr>
            <w:r>
              <w:rPr>
                <w:rFonts w:hint="eastAsia" w:ascii="宋体" w:hAnsi="宋体" w:cs="宋体"/>
                <w:color w:val="auto"/>
                <w:kern w:val="0"/>
                <w:sz w:val="24"/>
                <w:highlight w:val="none"/>
              </w:rPr>
              <w:t>其他主要人员（</w:t>
            </w:r>
            <w:r>
              <w:rPr>
                <w:rFonts w:hint="eastAsia" w:ascii="宋体" w:hAnsi="宋体" w:cs="宋体"/>
                <w:color w:val="auto"/>
                <w:kern w:val="0"/>
                <w:sz w:val="24"/>
                <w:highlight w:val="none"/>
                <w:lang w:val="en-US" w:eastAsia="zh-CN"/>
              </w:rPr>
              <w:t>满分</w:t>
            </w:r>
            <w:r>
              <w:rPr>
                <w:rFonts w:hint="eastAsia" w:ascii="宋体" w:hAnsi="宋体"/>
                <w:color w:val="auto"/>
                <w:kern w:val="0"/>
                <w:sz w:val="24"/>
                <w:highlight w:val="none"/>
                <w:lang w:val="en-US" w:eastAsia="zh-CN"/>
              </w:rPr>
              <w:t>10</w:t>
            </w:r>
            <w:r>
              <w:rPr>
                <w:rFonts w:hint="eastAsia" w:ascii="宋体" w:hAnsi="宋体" w:cs="宋体"/>
                <w:color w:val="auto"/>
                <w:kern w:val="0"/>
                <w:sz w:val="24"/>
                <w:highlight w:val="none"/>
              </w:rPr>
              <w:t>分）</w:t>
            </w:r>
          </w:p>
        </w:tc>
        <w:tc>
          <w:tcPr>
            <w:tcW w:w="5714" w:type="dxa"/>
            <w:vAlign w:val="center"/>
          </w:tcPr>
          <w:p w14:paraId="27752B39">
            <w:pPr>
              <w:widowControl/>
              <w:spacing w:line="360" w:lineRule="auto"/>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基本要求：人员齐备、专业配套应与资格审查提供的人员配备相一致，且具备相关施工现场专业人员职业培训合格证书</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拟派驻本项目的</w:t>
            </w:r>
            <w:r>
              <w:rPr>
                <w:rFonts w:hint="eastAsia" w:ascii="宋体" w:hAnsi="宋体" w:cs="宋体"/>
                <w:color w:val="auto"/>
                <w:kern w:val="0"/>
                <w:sz w:val="24"/>
                <w:highlight w:val="none"/>
                <w:lang w:val="en-US" w:eastAsia="zh-CN"/>
              </w:rPr>
              <w:t>专职</w:t>
            </w:r>
            <w:r>
              <w:rPr>
                <w:rFonts w:hint="eastAsia" w:ascii="宋体" w:hAnsi="宋体" w:cs="宋体"/>
                <w:color w:val="auto"/>
                <w:kern w:val="0"/>
                <w:sz w:val="24"/>
                <w:highlight w:val="none"/>
              </w:rPr>
              <w:t>安全员</w:t>
            </w:r>
            <w:r>
              <w:rPr>
                <w:rFonts w:hint="eastAsia" w:ascii="宋体" w:hAnsi="宋体" w:cs="宋体"/>
                <w:color w:val="auto"/>
                <w:sz w:val="24"/>
                <w:highlight w:val="none"/>
              </w:rPr>
              <w:t>具备有效的安全生产考核合格证书（</w:t>
            </w:r>
            <w:r>
              <w:rPr>
                <w:rFonts w:ascii="宋体" w:hAnsi="宋体" w:cs="宋体"/>
                <w:color w:val="auto"/>
                <w:sz w:val="24"/>
                <w:highlight w:val="none"/>
              </w:rPr>
              <w:t>C</w:t>
            </w:r>
            <w:r>
              <w:rPr>
                <w:rFonts w:hint="eastAsia" w:ascii="宋体" w:hAnsi="宋体" w:cs="宋体"/>
                <w:color w:val="auto"/>
                <w:sz w:val="24"/>
                <w:highlight w:val="none"/>
              </w:rPr>
              <w:t>类）</w:t>
            </w:r>
            <w:r>
              <w:rPr>
                <w:rFonts w:hint="eastAsia" w:ascii="宋体" w:hAnsi="宋体" w:cs="宋体"/>
                <w:color w:val="auto"/>
                <w:kern w:val="0"/>
                <w:sz w:val="24"/>
                <w:highlight w:val="none"/>
              </w:rPr>
              <w:t>，施工员、质量员</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如有）</w:t>
            </w:r>
            <w:r>
              <w:rPr>
                <w:rFonts w:hint="eastAsia" w:ascii="宋体" w:hAnsi="宋体" w:cs="宋体"/>
                <w:color w:val="auto"/>
                <w:kern w:val="0"/>
                <w:sz w:val="24"/>
                <w:highlight w:val="none"/>
              </w:rPr>
              <w:t>、材料员</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如有）</w:t>
            </w:r>
            <w:r>
              <w:rPr>
                <w:rFonts w:hint="eastAsia" w:ascii="宋体" w:hAnsi="宋体" w:cs="宋体"/>
                <w:color w:val="auto"/>
                <w:kern w:val="0"/>
                <w:sz w:val="24"/>
                <w:highlight w:val="none"/>
              </w:rPr>
              <w:t>应具有相应施工现场专业人员职业培训合格证书，且拟投入的项目管理人员符合国家及广西壮族自治区的规定</w:t>
            </w:r>
            <w:r>
              <w:rPr>
                <w:rFonts w:hint="eastAsia" w:ascii="宋体" w:hAnsi="宋体" w:cs="宋体"/>
                <w:color w:val="auto"/>
                <w:kern w:val="0"/>
                <w:sz w:val="24"/>
                <w:highlight w:val="none"/>
                <w:lang w:eastAsia="zh-CN"/>
              </w:rPr>
              <w:t>。</w:t>
            </w:r>
          </w:p>
          <w:p w14:paraId="56E5F86D">
            <w:pPr>
              <w:widowControl/>
              <w:numPr>
                <w:ilvl w:val="0"/>
                <w:numId w:val="0"/>
              </w:numPr>
              <w:spacing w:line="360" w:lineRule="auto"/>
              <w:ind w:firstLine="480" w:firstLineChars="20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拟派任的项目管理机构其他人员（项目经理除外）具有工程类初级（含）以上技术职称，每人得5分，本项满分10分。</w:t>
            </w:r>
          </w:p>
          <w:p w14:paraId="04297CA1">
            <w:pPr>
              <w:widowControl/>
              <w:spacing w:line="360" w:lineRule="auto"/>
              <w:ind w:firstLine="480" w:firstLineChars="200"/>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注：</w:t>
            </w:r>
            <w:r>
              <w:rPr>
                <w:rFonts w:hint="eastAsia" w:ascii="宋体" w:hAnsi="宋体" w:cs="宋体"/>
                <w:color w:val="auto"/>
                <w:kern w:val="0"/>
                <w:sz w:val="24"/>
                <w:highlight w:val="none"/>
              </w:rPr>
              <w:t>需提供</w:t>
            </w:r>
            <w:r>
              <w:rPr>
                <w:rFonts w:hint="eastAsia" w:ascii="宋体" w:hAnsi="宋体" w:cs="宋体"/>
                <w:color w:val="auto"/>
                <w:kern w:val="0"/>
                <w:sz w:val="24"/>
                <w:highlight w:val="none"/>
                <w:lang w:val="en-US" w:eastAsia="zh-CN"/>
              </w:rPr>
              <w:t>项目管理机构所有人员身份证、</w:t>
            </w:r>
            <w:r>
              <w:rPr>
                <w:rFonts w:hint="eastAsia" w:ascii="宋体" w:hAnsi="宋体" w:cs="宋体"/>
                <w:color w:val="auto"/>
                <w:kern w:val="0"/>
                <w:sz w:val="24"/>
                <w:highlight w:val="none"/>
              </w:rPr>
              <w:t>施工现场专业人员职业培训合格证书</w:t>
            </w:r>
            <w:r>
              <w:rPr>
                <w:rFonts w:hint="eastAsia" w:ascii="宋体" w:hAnsi="宋体" w:cs="宋体"/>
                <w:color w:val="auto"/>
                <w:kern w:val="0"/>
                <w:sz w:val="24"/>
                <w:highlight w:val="none"/>
                <w:lang w:val="en-US" w:eastAsia="zh-CN"/>
              </w:rPr>
              <w:t>、职称证复印件以及供应商为其</w:t>
            </w:r>
            <w:r>
              <w:rPr>
                <w:rFonts w:hint="eastAsia" w:ascii="宋体" w:hAnsi="宋体" w:cs="宋体"/>
                <w:color w:val="auto"/>
                <w:kern w:val="0"/>
                <w:sz w:val="24"/>
                <w:highlight w:val="none"/>
              </w:rPr>
              <w:t>依法缴纳的</w:t>
            </w:r>
            <w:r>
              <w:rPr>
                <w:rFonts w:hint="eastAsia" w:ascii="宋体" w:hAnsi="宋体" w:cs="仿宋_GB2312"/>
                <w:color w:val="auto"/>
                <w:sz w:val="24"/>
                <w:highlight w:val="none"/>
                <w:lang w:val="en-US" w:eastAsia="zh-CN"/>
              </w:rPr>
              <w:t>距响应文件递交截止时间近半年来任意一个月的社保缴费证明复印件。</w:t>
            </w:r>
          </w:p>
        </w:tc>
      </w:tr>
      <w:tr w14:paraId="371F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80" w:type="dxa"/>
            <w:vMerge w:val="continue"/>
            <w:vAlign w:val="center"/>
          </w:tcPr>
          <w:p w14:paraId="01E1F56C">
            <w:pPr>
              <w:spacing w:line="360" w:lineRule="auto"/>
              <w:jc w:val="center"/>
              <w:rPr>
                <w:rFonts w:ascii="宋体" w:hAnsi="宋体"/>
                <w:color w:val="auto"/>
                <w:sz w:val="24"/>
                <w:highlight w:val="none"/>
              </w:rPr>
            </w:pPr>
          </w:p>
        </w:tc>
        <w:tc>
          <w:tcPr>
            <w:tcW w:w="1031" w:type="dxa"/>
            <w:vMerge w:val="continue"/>
            <w:vAlign w:val="center"/>
          </w:tcPr>
          <w:p w14:paraId="467F51A0">
            <w:pPr>
              <w:spacing w:line="360" w:lineRule="auto"/>
              <w:jc w:val="center"/>
              <w:rPr>
                <w:rFonts w:ascii="宋体" w:hAnsi="宋体"/>
                <w:color w:val="auto"/>
                <w:sz w:val="24"/>
                <w:highlight w:val="none"/>
              </w:rPr>
            </w:pPr>
          </w:p>
        </w:tc>
        <w:tc>
          <w:tcPr>
            <w:tcW w:w="912" w:type="dxa"/>
            <w:vMerge w:val="restart"/>
            <w:vAlign w:val="center"/>
          </w:tcPr>
          <w:p w14:paraId="6C7F06A3">
            <w:pPr>
              <w:spacing w:line="360" w:lineRule="auto"/>
              <w:jc w:val="center"/>
              <w:rPr>
                <w:rFonts w:hint="default" w:ascii="宋体" w:hAnsi="宋体" w:eastAsia="宋体"/>
                <w:color w:val="auto"/>
                <w:sz w:val="24"/>
                <w:highlight w:val="none"/>
                <w:lang w:val="en-US" w:eastAsia="zh-CN"/>
              </w:rPr>
            </w:pPr>
            <w:r>
              <w:rPr>
                <w:rFonts w:hint="eastAsia" w:ascii="宋体" w:hAnsi="宋体" w:cs="宋体"/>
                <w:color w:val="auto"/>
                <w:sz w:val="24"/>
                <w:highlight w:val="none"/>
              </w:rPr>
              <w:t>施工组织设计</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满分60分）</w:t>
            </w:r>
          </w:p>
        </w:tc>
        <w:tc>
          <w:tcPr>
            <w:tcW w:w="1694" w:type="dxa"/>
            <w:vAlign w:val="center"/>
          </w:tcPr>
          <w:p w14:paraId="4B0BDD18">
            <w:pPr>
              <w:spacing w:line="360" w:lineRule="auto"/>
              <w:rPr>
                <w:rFonts w:ascii="宋体" w:hAnsi="宋体"/>
                <w:color w:val="auto"/>
                <w:kern w:val="0"/>
                <w:sz w:val="24"/>
                <w:highlight w:val="none"/>
              </w:rPr>
            </w:pPr>
            <w:r>
              <w:rPr>
                <w:rFonts w:hint="eastAsia" w:ascii="宋体" w:hAnsi="宋体" w:cs="宋体"/>
                <w:color w:val="auto"/>
                <w:kern w:val="0"/>
                <w:sz w:val="24"/>
                <w:highlight w:val="none"/>
              </w:rPr>
              <w:t>主要施工方法</w:t>
            </w:r>
          </w:p>
          <w:p w14:paraId="480EBCFC">
            <w:pPr>
              <w:spacing w:line="360" w:lineRule="auto"/>
              <w:rPr>
                <w:rFonts w:ascii="宋体" w:hAnsi="宋体"/>
                <w:color w:val="auto"/>
                <w:sz w:val="24"/>
                <w:highlight w:val="none"/>
              </w:rPr>
            </w:pPr>
            <w:r>
              <w:rPr>
                <w:rFonts w:hint="eastAsia" w:ascii="宋体" w:hAnsi="宋体" w:cs="宋体"/>
                <w:color w:val="auto"/>
                <w:kern w:val="0"/>
                <w:sz w:val="24"/>
                <w:highlight w:val="none"/>
              </w:rPr>
              <w:t>（</w:t>
            </w:r>
            <w:r>
              <w:rPr>
                <w:rFonts w:hint="eastAsia" w:ascii="宋体" w:hAnsi="宋体"/>
                <w:color w:val="auto"/>
                <w:kern w:val="0"/>
                <w:sz w:val="24"/>
                <w:highlight w:val="none"/>
                <w:lang w:val="en-US" w:eastAsia="zh-CN"/>
              </w:rPr>
              <w:t>满分9</w:t>
            </w:r>
            <w:r>
              <w:rPr>
                <w:rFonts w:hint="eastAsia" w:ascii="宋体" w:hAnsi="宋体" w:cs="宋体"/>
                <w:color w:val="auto"/>
                <w:kern w:val="0"/>
                <w:sz w:val="24"/>
                <w:highlight w:val="none"/>
              </w:rPr>
              <w:t>分）</w:t>
            </w:r>
          </w:p>
        </w:tc>
        <w:tc>
          <w:tcPr>
            <w:tcW w:w="5714" w:type="dxa"/>
            <w:vAlign w:val="center"/>
          </w:tcPr>
          <w:p w14:paraId="73826DAC">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9</w:t>
            </w:r>
            <w:r>
              <w:rPr>
                <w:rFonts w:ascii="宋体" w:hAnsi="宋体"/>
                <w:color w:val="auto"/>
                <w:sz w:val="24"/>
                <w:highlight w:val="none"/>
              </w:rPr>
              <w:t>分）：有项目总体概述，表达清晰、完整、合理；有分部分项工程描述</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至少包含鱼塘清淤排水、外购土回填及压实、挡土墙施工（含滤水层、泄水孔、伸缩缝）、混凝土路面及基础拆除、大树砍伐及树根挖除等关键工序</w:t>
            </w:r>
            <w:r>
              <w:rPr>
                <w:rFonts w:hint="eastAsia" w:ascii="宋体" w:hAnsi="宋体"/>
                <w:color w:val="auto"/>
                <w:sz w:val="24"/>
                <w:highlight w:val="none"/>
                <w:lang w:eastAsia="zh-CN"/>
              </w:rPr>
              <w:t>）</w:t>
            </w:r>
            <w:r>
              <w:rPr>
                <w:rFonts w:ascii="宋体" w:hAnsi="宋体"/>
                <w:color w:val="auto"/>
                <w:sz w:val="24"/>
                <w:highlight w:val="none"/>
              </w:rPr>
              <w:t>、施工段划分，各主要分部施工方法符合项目实际，有详尽的施工方案，工艺先进、方法科学合理、可行，能很好的指导具体施工并确保安全；施工段划分呼应总体表述，划分清晰、合理，符合规范要求。</w:t>
            </w:r>
          </w:p>
          <w:p w14:paraId="2AA85B53">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6</w:t>
            </w:r>
            <w:r>
              <w:rPr>
                <w:rFonts w:ascii="宋体" w:hAnsi="宋体"/>
                <w:color w:val="auto"/>
                <w:sz w:val="24"/>
                <w:highlight w:val="none"/>
              </w:rPr>
              <w:t>分）：有项目总体概述，表达基本清晰、完整、合理；有分部分项工程描述</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至少包含鱼塘清淤排水、外购土回填及压实、挡土墙施工（含滤水层、泄水孔、伸缩缝）、混凝土路面及基础拆除、大树砍伐及树根挖除等关键工序</w:t>
            </w:r>
            <w:r>
              <w:rPr>
                <w:rFonts w:hint="eastAsia" w:ascii="宋体" w:hAnsi="宋体"/>
                <w:color w:val="auto"/>
                <w:sz w:val="24"/>
                <w:highlight w:val="none"/>
                <w:lang w:eastAsia="zh-CN"/>
              </w:rPr>
              <w:t>）</w:t>
            </w:r>
            <w:r>
              <w:rPr>
                <w:rFonts w:ascii="宋体" w:hAnsi="宋体"/>
                <w:color w:val="auto"/>
                <w:sz w:val="24"/>
                <w:highlight w:val="none"/>
              </w:rPr>
              <w:t>，各主要分部施工方法符合项目实际，有详尽的施工技术方案，能指导具体施工并确保安全。</w:t>
            </w:r>
          </w:p>
          <w:p w14:paraId="1F82911C">
            <w:pPr>
              <w:widowControl/>
              <w:spacing w:line="360" w:lineRule="auto"/>
              <w:ind w:firstLine="480" w:firstLineChars="200"/>
              <w:rPr>
                <w:rFonts w:ascii="宋体" w:hAnsi="宋体"/>
                <w:color w:val="auto"/>
                <w:sz w:val="24"/>
                <w:highlight w:val="none"/>
              </w:rPr>
            </w:pPr>
            <w:r>
              <w:rPr>
                <w:rFonts w:hint="eastAsia" w:ascii="宋体" w:hAnsi="宋体"/>
                <w:color w:val="auto"/>
                <w:sz w:val="24"/>
                <w:highlight w:val="none"/>
                <w:lang w:val="en-US" w:eastAsia="zh-CN"/>
              </w:rPr>
              <w:t>差</w:t>
            </w:r>
            <w:r>
              <w:rPr>
                <w:rFonts w:ascii="宋体" w:hAnsi="宋体"/>
                <w:color w:val="auto"/>
                <w:sz w:val="24"/>
                <w:highlight w:val="none"/>
              </w:rPr>
              <w:t>（</w:t>
            </w:r>
            <w:r>
              <w:rPr>
                <w:rFonts w:hint="eastAsia" w:ascii="宋体" w:hAnsi="宋体"/>
                <w:color w:val="auto"/>
                <w:sz w:val="24"/>
                <w:highlight w:val="none"/>
                <w:lang w:val="en-US" w:eastAsia="zh-CN"/>
              </w:rPr>
              <w:t>3</w:t>
            </w:r>
            <w:r>
              <w:rPr>
                <w:rFonts w:ascii="宋体" w:hAnsi="宋体"/>
                <w:color w:val="auto"/>
                <w:sz w:val="24"/>
                <w:highlight w:val="none"/>
              </w:rPr>
              <w:t>分）：有项目总体概述，各主要分部施工方法不符合项目实际，无详尽的施工技术方案，不能指导具体施工并确保安全。</w:t>
            </w:r>
          </w:p>
          <w:p w14:paraId="1C2AC49F">
            <w:pPr>
              <w:widowControl/>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eastAsia="宋体" w:cs="Times New Roman"/>
                <w:color w:val="auto"/>
                <w:sz w:val="24"/>
                <w:highlight w:val="none"/>
                <w:lang w:val="en-US" w:eastAsia="zh-CN"/>
              </w:rPr>
              <w:t>未提供</w:t>
            </w:r>
            <w:r>
              <w:rPr>
                <w:rFonts w:hint="eastAsia" w:ascii="宋体" w:hAnsi="宋体" w:eastAsia="宋体" w:cs="Times New Roman"/>
                <w:color w:val="auto"/>
                <w:sz w:val="24"/>
                <w:highlight w:val="none"/>
              </w:rPr>
              <w:t>主要施工方法</w:t>
            </w:r>
            <w:r>
              <w:rPr>
                <w:rFonts w:hint="eastAsia" w:ascii="宋体" w:hAnsi="宋体" w:eastAsia="宋体" w:cs="Times New Roman"/>
                <w:color w:val="auto"/>
                <w:sz w:val="24"/>
                <w:highlight w:val="none"/>
                <w:lang w:val="en-US" w:eastAsia="zh-CN"/>
              </w:rPr>
              <w:t>不得分。</w:t>
            </w:r>
          </w:p>
        </w:tc>
      </w:tr>
      <w:tr w14:paraId="7F67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80" w:type="dxa"/>
            <w:vMerge w:val="continue"/>
            <w:vAlign w:val="center"/>
          </w:tcPr>
          <w:p w14:paraId="1C655391">
            <w:pPr>
              <w:spacing w:line="360" w:lineRule="auto"/>
              <w:jc w:val="center"/>
              <w:rPr>
                <w:rFonts w:ascii="宋体" w:hAnsi="宋体"/>
                <w:color w:val="auto"/>
                <w:sz w:val="24"/>
                <w:highlight w:val="none"/>
              </w:rPr>
            </w:pPr>
          </w:p>
        </w:tc>
        <w:tc>
          <w:tcPr>
            <w:tcW w:w="1031" w:type="dxa"/>
            <w:vMerge w:val="continue"/>
            <w:vAlign w:val="center"/>
          </w:tcPr>
          <w:p w14:paraId="013015F4">
            <w:pPr>
              <w:spacing w:line="360" w:lineRule="auto"/>
              <w:jc w:val="center"/>
              <w:rPr>
                <w:rFonts w:ascii="宋体" w:hAnsi="宋体"/>
                <w:color w:val="auto"/>
                <w:sz w:val="24"/>
                <w:highlight w:val="none"/>
              </w:rPr>
            </w:pPr>
          </w:p>
        </w:tc>
        <w:tc>
          <w:tcPr>
            <w:tcW w:w="912" w:type="dxa"/>
            <w:vMerge w:val="continue"/>
            <w:vAlign w:val="center"/>
          </w:tcPr>
          <w:p w14:paraId="1E8778D3">
            <w:pPr>
              <w:spacing w:line="360" w:lineRule="auto"/>
              <w:jc w:val="center"/>
              <w:rPr>
                <w:rFonts w:ascii="宋体" w:hAnsi="宋体"/>
                <w:color w:val="auto"/>
                <w:sz w:val="24"/>
                <w:highlight w:val="none"/>
              </w:rPr>
            </w:pPr>
          </w:p>
        </w:tc>
        <w:tc>
          <w:tcPr>
            <w:tcW w:w="1694" w:type="dxa"/>
            <w:vAlign w:val="center"/>
          </w:tcPr>
          <w:p w14:paraId="46A45A93">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拟投入的主要物资计划（</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010A5297">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 xml:space="preserve"> 分）：投入的施工材料有详细的组织计划且计划周密，数量、选型配置、进场时间安排合理，完全满足施工需要。</w:t>
            </w:r>
          </w:p>
          <w:p w14:paraId="4C61799D">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分）：投入的施工材料有组织计划，数量、选型配置、进场时间安排基本合理，基本满足施工需要。</w:t>
            </w:r>
          </w:p>
          <w:p w14:paraId="199CADBC">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分）：投入的施工材料无详细的组织计划，数量、选型配置、进场时间安排不合理，不能满足施工需要。</w:t>
            </w:r>
          </w:p>
          <w:p w14:paraId="5A9EB5BA">
            <w:pPr>
              <w:widowControl/>
              <w:spacing w:line="360" w:lineRule="auto"/>
              <w:ind w:firstLine="480" w:firstLineChars="200"/>
              <w:rPr>
                <w:rFonts w:ascii="宋体" w:hAnsi="宋体"/>
                <w:color w:val="auto"/>
                <w:sz w:val="24"/>
                <w:highlight w:val="none"/>
              </w:rPr>
            </w:pPr>
            <w:r>
              <w:rPr>
                <w:rFonts w:hint="eastAsia" w:ascii="宋体" w:hAnsi="宋体" w:eastAsia="宋体" w:cs="Times New Roman"/>
                <w:color w:val="auto"/>
                <w:sz w:val="24"/>
                <w:highlight w:val="none"/>
                <w:lang w:val="en-US" w:eastAsia="zh-CN"/>
              </w:rPr>
              <w:t>未提供</w:t>
            </w:r>
            <w:r>
              <w:rPr>
                <w:rFonts w:hint="eastAsia" w:ascii="宋体" w:hAnsi="宋体" w:cs="宋体"/>
                <w:color w:val="auto"/>
                <w:kern w:val="0"/>
                <w:sz w:val="24"/>
                <w:highlight w:val="none"/>
              </w:rPr>
              <w:t>拟投入的主要物资计划</w:t>
            </w:r>
            <w:r>
              <w:rPr>
                <w:rFonts w:hint="eastAsia" w:ascii="宋体" w:hAnsi="宋体" w:eastAsia="宋体" w:cs="Times New Roman"/>
                <w:color w:val="auto"/>
                <w:sz w:val="24"/>
                <w:highlight w:val="none"/>
                <w:lang w:val="en-US" w:eastAsia="zh-CN"/>
              </w:rPr>
              <w:t>不得分。</w:t>
            </w:r>
          </w:p>
        </w:tc>
      </w:tr>
      <w:tr w14:paraId="04FD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780" w:type="dxa"/>
            <w:vMerge w:val="continue"/>
            <w:vAlign w:val="center"/>
          </w:tcPr>
          <w:p w14:paraId="207EBC62">
            <w:pPr>
              <w:spacing w:line="360" w:lineRule="auto"/>
              <w:jc w:val="center"/>
              <w:rPr>
                <w:rFonts w:ascii="宋体" w:hAnsi="宋体"/>
                <w:color w:val="auto"/>
                <w:sz w:val="24"/>
                <w:highlight w:val="none"/>
              </w:rPr>
            </w:pPr>
          </w:p>
        </w:tc>
        <w:tc>
          <w:tcPr>
            <w:tcW w:w="1031" w:type="dxa"/>
            <w:vMerge w:val="continue"/>
            <w:vAlign w:val="center"/>
          </w:tcPr>
          <w:p w14:paraId="4148C1AA">
            <w:pPr>
              <w:spacing w:line="360" w:lineRule="auto"/>
              <w:jc w:val="center"/>
              <w:rPr>
                <w:rFonts w:ascii="宋体" w:hAnsi="宋体"/>
                <w:color w:val="auto"/>
                <w:sz w:val="24"/>
                <w:highlight w:val="none"/>
              </w:rPr>
            </w:pPr>
          </w:p>
        </w:tc>
        <w:tc>
          <w:tcPr>
            <w:tcW w:w="912" w:type="dxa"/>
            <w:vMerge w:val="continue"/>
            <w:vAlign w:val="center"/>
          </w:tcPr>
          <w:p w14:paraId="218540DB">
            <w:pPr>
              <w:spacing w:line="360" w:lineRule="auto"/>
              <w:jc w:val="center"/>
              <w:rPr>
                <w:rFonts w:ascii="宋体" w:hAnsi="宋体"/>
                <w:color w:val="auto"/>
                <w:sz w:val="24"/>
                <w:highlight w:val="none"/>
              </w:rPr>
            </w:pPr>
          </w:p>
        </w:tc>
        <w:tc>
          <w:tcPr>
            <w:tcW w:w="1694" w:type="dxa"/>
            <w:vAlign w:val="center"/>
          </w:tcPr>
          <w:p w14:paraId="1635BF98">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拟投入的主要施工机械、设备计划（</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6345B86F">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分）：拟投入的机械、设备、机具有详细的组织计划且计划周密，设备数量、选型配置、进场时间安排合理，完全满足施工需要。拟投入的机械、设备、机具，包括但不限于以下设备：</w:t>
            </w:r>
            <w:r>
              <w:rPr>
                <w:rFonts w:ascii="宋体" w:hAnsi="宋体" w:eastAsia="宋体" w:cs="宋体"/>
                <w:color w:val="auto"/>
                <w:sz w:val="24"/>
                <w:szCs w:val="24"/>
                <w:highlight w:val="none"/>
              </w:rPr>
              <w:t>液压挖掘机</w:t>
            </w:r>
            <w:r>
              <w:rPr>
                <w:rFonts w:hint="eastAsia" w:ascii="宋体" w:hAnsi="宋体" w:eastAsia="宋体"/>
                <w:color w:val="auto"/>
                <w:sz w:val="24"/>
                <w:highlight w:val="none"/>
                <w:lang w:val="en-US" w:eastAsia="zh-CN"/>
              </w:rPr>
              <w:t>4</w:t>
            </w:r>
            <w:r>
              <w:rPr>
                <w:rFonts w:ascii="宋体" w:hAnsi="宋体"/>
                <w:color w:val="auto"/>
                <w:sz w:val="24"/>
                <w:highlight w:val="none"/>
              </w:rPr>
              <w:t>台及以上、</w:t>
            </w:r>
            <w:r>
              <w:rPr>
                <w:rFonts w:ascii="宋体" w:hAnsi="宋体" w:eastAsia="宋体" w:cs="宋体"/>
                <w:color w:val="auto"/>
                <w:sz w:val="24"/>
                <w:szCs w:val="24"/>
                <w:highlight w:val="none"/>
              </w:rPr>
              <w:t>自卸汽车</w:t>
            </w:r>
            <w:r>
              <w:rPr>
                <w:rFonts w:ascii="宋体" w:hAnsi="宋体"/>
                <w:color w:val="auto"/>
                <w:sz w:val="24"/>
                <w:highlight w:val="none"/>
              </w:rPr>
              <w:t>8台及以上、</w:t>
            </w:r>
            <w:r>
              <w:rPr>
                <w:rFonts w:hint="eastAsia" w:ascii="宋体" w:hAnsi="宋体"/>
                <w:color w:val="auto"/>
                <w:sz w:val="24"/>
                <w:highlight w:val="none"/>
                <w:lang w:val="en-US" w:eastAsia="zh-CN"/>
              </w:rPr>
              <w:t>装载机4</w:t>
            </w:r>
            <w:r>
              <w:rPr>
                <w:rFonts w:ascii="宋体" w:hAnsi="宋体"/>
                <w:color w:val="auto"/>
                <w:sz w:val="24"/>
                <w:highlight w:val="none"/>
              </w:rPr>
              <w:t>台及以上、</w:t>
            </w:r>
            <w:r>
              <w:rPr>
                <w:rFonts w:ascii="宋体" w:hAnsi="宋体" w:eastAsia="宋体" w:cs="宋体"/>
                <w:color w:val="auto"/>
                <w:sz w:val="24"/>
                <w:szCs w:val="24"/>
                <w:highlight w:val="none"/>
              </w:rPr>
              <w:t>插入式振动器</w:t>
            </w:r>
            <w:r>
              <w:rPr>
                <w:rFonts w:hint="eastAsia" w:ascii="宋体" w:hAnsi="宋体"/>
                <w:color w:val="auto"/>
                <w:sz w:val="24"/>
                <w:highlight w:val="none"/>
                <w:lang w:val="en-US" w:eastAsia="zh-CN"/>
              </w:rPr>
              <w:t>4</w:t>
            </w:r>
            <w:r>
              <w:rPr>
                <w:rFonts w:ascii="宋体" w:hAnsi="宋体"/>
                <w:color w:val="auto"/>
                <w:sz w:val="24"/>
                <w:highlight w:val="none"/>
              </w:rPr>
              <w:t>台及以上。</w:t>
            </w:r>
          </w:p>
          <w:p w14:paraId="31728529">
            <w:pPr>
              <w:widowControl/>
              <w:spacing w:line="360" w:lineRule="auto"/>
              <w:ind w:firstLine="480" w:firstLineChars="200"/>
              <w:rPr>
                <w:rFonts w:hint="eastAsia" w:ascii="宋体" w:hAnsi="宋体" w:eastAsia="宋体"/>
                <w:color w:val="auto"/>
                <w:sz w:val="24"/>
                <w:highlight w:val="none"/>
                <w:lang w:eastAsia="zh-CN"/>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分）：拟投入的机械、设备、机具，包括但不限于以下设备：</w:t>
            </w:r>
            <w:r>
              <w:rPr>
                <w:rFonts w:ascii="宋体" w:hAnsi="宋体" w:eastAsia="宋体" w:cs="宋体"/>
                <w:color w:val="auto"/>
                <w:sz w:val="24"/>
                <w:szCs w:val="24"/>
                <w:highlight w:val="none"/>
              </w:rPr>
              <w:t>液压挖掘机</w:t>
            </w:r>
            <w:r>
              <w:rPr>
                <w:rFonts w:hint="eastAsia" w:ascii="宋体" w:hAnsi="宋体"/>
                <w:color w:val="auto"/>
                <w:sz w:val="24"/>
                <w:highlight w:val="none"/>
                <w:lang w:val="en-US" w:eastAsia="zh-CN"/>
              </w:rPr>
              <w:t>3</w:t>
            </w:r>
            <w:r>
              <w:rPr>
                <w:rFonts w:ascii="宋体" w:hAnsi="宋体"/>
                <w:color w:val="auto"/>
                <w:sz w:val="24"/>
                <w:highlight w:val="none"/>
              </w:rPr>
              <w:t>台及以上、</w:t>
            </w:r>
            <w:r>
              <w:rPr>
                <w:rFonts w:ascii="宋体" w:hAnsi="宋体" w:eastAsia="宋体" w:cs="宋体"/>
                <w:color w:val="auto"/>
                <w:sz w:val="24"/>
                <w:szCs w:val="24"/>
                <w:highlight w:val="none"/>
              </w:rPr>
              <w:t>自卸汽车</w:t>
            </w:r>
            <w:r>
              <w:rPr>
                <w:rFonts w:hint="eastAsia" w:ascii="宋体" w:hAnsi="宋体"/>
                <w:color w:val="auto"/>
                <w:sz w:val="24"/>
                <w:highlight w:val="none"/>
                <w:lang w:val="en-US" w:eastAsia="zh-CN"/>
              </w:rPr>
              <w:t>7</w:t>
            </w:r>
            <w:r>
              <w:rPr>
                <w:rFonts w:ascii="宋体" w:hAnsi="宋体"/>
                <w:color w:val="auto"/>
                <w:sz w:val="24"/>
                <w:highlight w:val="none"/>
              </w:rPr>
              <w:t>台及以上、</w:t>
            </w:r>
            <w:r>
              <w:rPr>
                <w:rFonts w:hint="eastAsia" w:ascii="宋体" w:hAnsi="宋体"/>
                <w:color w:val="auto"/>
                <w:sz w:val="24"/>
                <w:highlight w:val="none"/>
                <w:lang w:val="en-US" w:eastAsia="zh-CN"/>
              </w:rPr>
              <w:t>装载机3</w:t>
            </w:r>
            <w:r>
              <w:rPr>
                <w:rFonts w:ascii="宋体" w:hAnsi="宋体"/>
                <w:color w:val="auto"/>
                <w:sz w:val="24"/>
                <w:highlight w:val="none"/>
              </w:rPr>
              <w:t>台及以上、</w:t>
            </w:r>
            <w:r>
              <w:rPr>
                <w:rFonts w:ascii="宋体" w:hAnsi="宋体" w:eastAsia="宋体" w:cs="宋体"/>
                <w:color w:val="auto"/>
                <w:sz w:val="24"/>
                <w:szCs w:val="24"/>
                <w:highlight w:val="none"/>
              </w:rPr>
              <w:t>插入式振动器</w:t>
            </w:r>
            <w:r>
              <w:rPr>
                <w:rFonts w:hint="eastAsia" w:ascii="宋体" w:hAnsi="宋体"/>
                <w:color w:val="auto"/>
                <w:sz w:val="24"/>
                <w:highlight w:val="none"/>
                <w:lang w:val="en-US" w:eastAsia="zh-CN"/>
              </w:rPr>
              <w:t>3</w:t>
            </w:r>
            <w:r>
              <w:rPr>
                <w:rFonts w:ascii="宋体" w:hAnsi="宋体"/>
                <w:color w:val="auto"/>
                <w:sz w:val="24"/>
                <w:highlight w:val="none"/>
              </w:rPr>
              <w:t>台。拟投入的主要机械设备配置基本齐全，数量、选型、进场时间安排基本满足施工需要。</w:t>
            </w:r>
          </w:p>
          <w:p w14:paraId="7EC0DFBF">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分）：拟投入的机械、设备、机具，包括但不限于以下设备：</w:t>
            </w:r>
            <w:r>
              <w:rPr>
                <w:rFonts w:ascii="宋体" w:hAnsi="宋体" w:eastAsia="宋体" w:cs="宋体"/>
                <w:color w:val="auto"/>
                <w:sz w:val="24"/>
                <w:szCs w:val="24"/>
                <w:highlight w:val="none"/>
              </w:rPr>
              <w:t>液压挖掘机</w:t>
            </w:r>
            <w:r>
              <w:rPr>
                <w:rFonts w:hint="eastAsia" w:ascii="宋体" w:hAnsi="宋体"/>
                <w:color w:val="auto"/>
                <w:sz w:val="24"/>
                <w:highlight w:val="none"/>
                <w:lang w:val="en-US" w:eastAsia="zh-CN"/>
              </w:rPr>
              <w:t>2</w:t>
            </w:r>
            <w:r>
              <w:rPr>
                <w:rFonts w:ascii="宋体" w:hAnsi="宋体"/>
                <w:color w:val="auto"/>
                <w:sz w:val="24"/>
                <w:highlight w:val="none"/>
              </w:rPr>
              <w:t>台及以上、</w:t>
            </w:r>
            <w:r>
              <w:rPr>
                <w:rFonts w:ascii="宋体" w:hAnsi="宋体" w:eastAsia="宋体" w:cs="宋体"/>
                <w:color w:val="auto"/>
                <w:sz w:val="24"/>
                <w:szCs w:val="24"/>
                <w:highlight w:val="none"/>
              </w:rPr>
              <w:t>自卸汽车</w:t>
            </w:r>
            <w:r>
              <w:rPr>
                <w:rFonts w:hint="eastAsia" w:ascii="宋体" w:hAnsi="宋体"/>
                <w:color w:val="auto"/>
                <w:sz w:val="24"/>
                <w:highlight w:val="none"/>
                <w:lang w:val="en-US" w:eastAsia="zh-CN"/>
              </w:rPr>
              <w:t>6</w:t>
            </w:r>
            <w:r>
              <w:rPr>
                <w:rFonts w:ascii="宋体" w:hAnsi="宋体"/>
                <w:color w:val="auto"/>
                <w:sz w:val="24"/>
                <w:highlight w:val="none"/>
              </w:rPr>
              <w:t>台及以上、</w:t>
            </w:r>
            <w:r>
              <w:rPr>
                <w:rFonts w:hint="eastAsia" w:ascii="宋体" w:hAnsi="宋体"/>
                <w:color w:val="auto"/>
                <w:sz w:val="24"/>
                <w:highlight w:val="none"/>
                <w:lang w:val="en-US" w:eastAsia="zh-CN"/>
              </w:rPr>
              <w:t>装载机2</w:t>
            </w:r>
            <w:r>
              <w:rPr>
                <w:rFonts w:ascii="宋体" w:hAnsi="宋体"/>
                <w:color w:val="auto"/>
                <w:sz w:val="24"/>
                <w:highlight w:val="none"/>
              </w:rPr>
              <w:t>台及以上、</w:t>
            </w:r>
            <w:r>
              <w:rPr>
                <w:rFonts w:ascii="宋体" w:hAnsi="宋体" w:eastAsia="宋体" w:cs="宋体"/>
                <w:color w:val="auto"/>
                <w:sz w:val="24"/>
                <w:szCs w:val="24"/>
                <w:highlight w:val="none"/>
              </w:rPr>
              <w:t>插入式振动器</w:t>
            </w:r>
            <w:r>
              <w:rPr>
                <w:rFonts w:hint="eastAsia" w:ascii="宋体" w:hAnsi="宋体"/>
                <w:color w:val="auto"/>
                <w:sz w:val="24"/>
                <w:highlight w:val="none"/>
                <w:lang w:val="en-US" w:eastAsia="zh-CN"/>
              </w:rPr>
              <w:t>2</w:t>
            </w:r>
            <w:r>
              <w:rPr>
                <w:rFonts w:ascii="宋体" w:hAnsi="宋体"/>
                <w:color w:val="auto"/>
                <w:sz w:val="24"/>
                <w:highlight w:val="none"/>
              </w:rPr>
              <w:t>台。机械设备配置、设备选型、投入数量不能完全满足施工需要。</w:t>
            </w:r>
          </w:p>
          <w:p w14:paraId="49534201">
            <w:pPr>
              <w:widowControl/>
              <w:spacing w:line="360" w:lineRule="auto"/>
              <w:ind w:firstLine="480" w:firstLineChars="200"/>
              <w:rPr>
                <w:rFonts w:hint="eastAsia" w:ascii="宋体" w:hAnsi="宋体" w:eastAsia="宋体"/>
                <w:color w:val="auto"/>
                <w:sz w:val="24"/>
                <w:highlight w:val="none"/>
                <w:lang w:val="en-US" w:eastAsia="zh-CN"/>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拟投入的主要施工机械、设备计划</w:t>
            </w:r>
            <w:r>
              <w:rPr>
                <w:rFonts w:hint="eastAsia" w:ascii="宋体" w:hAnsi="宋体" w:cs="宋体"/>
                <w:color w:val="auto"/>
                <w:kern w:val="0"/>
                <w:sz w:val="24"/>
                <w:highlight w:val="none"/>
                <w:lang w:val="en-US" w:eastAsia="zh-CN"/>
              </w:rPr>
              <w:t>不得分。</w:t>
            </w:r>
          </w:p>
        </w:tc>
      </w:tr>
      <w:tr w14:paraId="725B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80" w:type="dxa"/>
            <w:vMerge w:val="continue"/>
            <w:vAlign w:val="center"/>
          </w:tcPr>
          <w:p w14:paraId="6D122CCB">
            <w:pPr>
              <w:spacing w:line="360" w:lineRule="auto"/>
              <w:jc w:val="center"/>
              <w:rPr>
                <w:rFonts w:ascii="宋体" w:hAnsi="宋体"/>
                <w:color w:val="auto"/>
                <w:sz w:val="24"/>
                <w:highlight w:val="none"/>
              </w:rPr>
            </w:pPr>
          </w:p>
        </w:tc>
        <w:tc>
          <w:tcPr>
            <w:tcW w:w="1031" w:type="dxa"/>
            <w:vMerge w:val="continue"/>
            <w:vAlign w:val="center"/>
          </w:tcPr>
          <w:p w14:paraId="2182C929">
            <w:pPr>
              <w:spacing w:line="360" w:lineRule="auto"/>
              <w:jc w:val="center"/>
              <w:rPr>
                <w:rFonts w:ascii="宋体" w:hAnsi="宋体"/>
                <w:color w:val="auto"/>
                <w:sz w:val="24"/>
                <w:highlight w:val="none"/>
              </w:rPr>
            </w:pPr>
          </w:p>
        </w:tc>
        <w:tc>
          <w:tcPr>
            <w:tcW w:w="912" w:type="dxa"/>
            <w:vMerge w:val="continue"/>
            <w:vAlign w:val="center"/>
          </w:tcPr>
          <w:p w14:paraId="3EFBF74B">
            <w:pPr>
              <w:spacing w:line="360" w:lineRule="auto"/>
              <w:jc w:val="center"/>
              <w:rPr>
                <w:rFonts w:ascii="宋体" w:hAnsi="宋体"/>
                <w:color w:val="auto"/>
                <w:sz w:val="24"/>
                <w:highlight w:val="none"/>
              </w:rPr>
            </w:pPr>
          </w:p>
        </w:tc>
        <w:tc>
          <w:tcPr>
            <w:tcW w:w="1694" w:type="dxa"/>
            <w:vAlign w:val="center"/>
          </w:tcPr>
          <w:p w14:paraId="3BA1E76B">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劳动力安排计划（</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077EE40A">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分）：各主要施工工序有详细周密的劳动力安排计划，有各工种劳动力安排计划，劳动力投入合理，完全满足施工需要。</w:t>
            </w:r>
          </w:p>
          <w:p w14:paraId="57C3F0F7">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分）：各主要施工工序有劳动力安排计划，有各工种劳动力安排计划，劳动力投入基本合理，基本满足施工需要。</w:t>
            </w:r>
          </w:p>
          <w:p w14:paraId="6F524550">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分）：各主要施工工序无劳动力安排计划，无各工种劳动力安排计划，劳动力投入不合理，不能满足施工需要。</w:t>
            </w:r>
          </w:p>
          <w:p w14:paraId="5FFA0D07">
            <w:pPr>
              <w:widowControl/>
              <w:spacing w:line="360" w:lineRule="auto"/>
              <w:ind w:firstLine="480" w:firstLineChars="200"/>
              <w:rPr>
                <w:rFonts w:ascii="宋体" w:hAnsi="宋体"/>
                <w:color w:val="auto"/>
                <w:sz w:val="24"/>
                <w:highlight w:val="none"/>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劳动力安排计划</w:t>
            </w:r>
            <w:r>
              <w:rPr>
                <w:rFonts w:hint="eastAsia" w:ascii="宋体" w:hAnsi="宋体" w:cs="宋体"/>
                <w:color w:val="auto"/>
                <w:kern w:val="0"/>
                <w:sz w:val="24"/>
                <w:highlight w:val="none"/>
                <w:lang w:val="en-US" w:eastAsia="zh-CN"/>
              </w:rPr>
              <w:t>不得分。</w:t>
            </w:r>
          </w:p>
        </w:tc>
      </w:tr>
      <w:tr w14:paraId="6EE5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780" w:type="dxa"/>
            <w:vMerge w:val="continue"/>
            <w:vAlign w:val="center"/>
          </w:tcPr>
          <w:p w14:paraId="4D42E89D">
            <w:pPr>
              <w:spacing w:line="360" w:lineRule="auto"/>
              <w:jc w:val="center"/>
              <w:rPr>
                <w:rFonts w:ascii="宋体" w:hAnsi="宋体"/>
                <w:color w:val="auto"/>
                <w:sz w:val="24"/>
                <w:highlight w:val="none"/>
              </w:rPr>
            </w:pPr>
          </w:p>
        </w:tc>
        <w:tc>
          <w:tcPr>
            <w:tcW w:w="1031" w:type="dxa"/>
            <w:vMerge w:val="continue"/>
            <w:vAlign w:val="center"/>
          </w:tcPr>
          <w:p w14:paraId="716919AF">
            <w:pPr>
              <w:spacing w:line="360" w:lineRule="auto"/>
              <w:jc w:val="center"/>
              <w:rPr>
                <w:rFonts w:ascii="宋体" w:hAnsi="宋体"/>
                <w:color w:val="auto"/>
                <w:sz w:val="24"/>
                <w:highlight w:val="none"/>
              </w:rPr>
            </w:pPr>
          </w:p>
        </w:tc>
        <w:tc>
          <w:tcPr>
            <w:tcW w:w="912" w:type="dxa"/>
            <w:vMerge w:val="continue"/>
            <w:vAlign w:val="center"/>
          </w:tcPr>
          <w:p w14:paraId="4152417A">
            <w:pPr>
              <w:spacing w:line="360" w:lineRule="auto"/>
              <w:jc w:val="center"/>
              <w:rPr>
                <w:rFonts w:ascii="宋体" w:hAnsi="宋体"/>
                <w:color w:val="auto"/>
                <w:sz w:val="24"/>
                <w:highlight w:val="none"/>
              </w:rPr>
            </w:pPr>
          </w:p>
        </w:tc>
        <w:tc>
          <w:tcPr>
            <w:tcW w:w="1694" w:type="dxa"/>
            <w:vAlign w:val="center"/>
          </w:tcPr>
          <w:p w14:paraId="52547493">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确保工程质量的技术组织措施（</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6092C46E">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分）：有专门的质量技术管理班子和制度，且人员配备合理，制度健全。主要工序的质量技术保证措施和手段科学合理，自控体系完整，能保证技术质量，达到承诺的质量标准。</w:t>
            </w:r>
          </w:p>
          <w:p w14:paraId="7FDAAB7E">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分）：有专门的质量技术管理班子和制度，且人员配备基本合理，制度基本健全。主要工序的质量技术保证措施和手段一般，自控体系一般，基本保证技术质量，达到承诺的质量标准。</w:t>
            </w:r>
          </w:p>
          <w:p w14:paraId="62B77A95">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分）：有专门的质量技术管理班子和制度，人员配备不合理，制度不健全。主要工序无质量技术保证措施和手段，自控体系不完整，不能有效保证技术质量，达不到承诺的质量标准。</w:t>
            </w:r>
          </w:p>
          <w:p w14:paraId="247A0866">
            <w:pPr>
              <w:widowControl/>
              <w:spacing w:line="360" w:lineRule="auto"/>
              <w:ind w:firstLine="480" w:firstLineChars="200"/>
              <w:rPr>
                <w:rFonts w:ascii="宋体" w:hAnsi="宋体"/>
                <w:color w:val="auto"/>
                <w:sz w:val="24"/>
                <w:highlight w:val="none"/>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确保工程质量的技术组织措施</w:t>
            </w:r>
            <w:r>
              <w:rPr>
                <w:rFonts w:hint="eastAsia" w:ascii="宋体" w:hAnsi="宋体" w:cs="宋体"/>
                <w:color w:val="auto"/>
                <w:kern w:val="0"/>
                <w:sz w:val="24"/>
                <w:highlight w:val="none"/>
                <w:lang w:val="en-US" w:eastAsia="zh-CN"/>
              </w:rPr>
              <w:t>不得分。</w:t>
            </w:r>
          </w:p>
        </w:tc>
      </w:tr>
      <w:tr w14:paraId="4FB0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80" w:type="dxa"/>
            <w:vMerge w:val="continue"/>
            <w:vAlign w:val="center"/>
          </w:tcPr>
          <w:p w14:paraId="7BE951E0">
            <w:pPr>
              <w:spacing w:line="360" w:lineRule="auto"/>
              <w:jc w:val="center"/>
              <w:rPr>
                <w:rFonts w:ascii="宋体" w:hAnsi="宋体"/>
                <w:color w:val="auto"/>
                <w:sz w:val="24"/>
                <w:highlight w:val="none"/>
              </w:rPr>
            </w:pPr>
          </w:p>
        </w:tc>
        <w:tc>
          <w:tcPr>
            <w:tcW w:w="1031" w:type="dxa"/>
            <w:vMerge w:val="continue"/>
            <w:vAlign w:val="center"/>
          </w:tcPr>
          <w:p w14:paraId="6D59BF7F">
            <w:pPr>
              <w:spacing w:line="360" w:lineRule="auto"/>
              <w:jc w:val="center"/>
              <w:rPr>
                <w:rFonts w:ascii="宋体" w:hAnsi="宋体"/>
                <w:color w:val="auto"/>
                <w:sz w:val="24"/>
                <w:highlight w:val="none"/>
              </w:rPr>
            </w:pPr>
          </w:p>
        </w:tc>
        <w:tc>
          <w:tcPr>
            <w:tcW w:w="912" w:type="dxa"/>
            <w:vMerge w:val="continue"/>
            <w:vAlign w:val="center"/>
          </w:tcPr>
          <w:p w14:paraId="7E98C061">
            <w:pPr>
              <w:spacing w:line="360" w:lineRule="auto"/>
              <w:jc w:val="center"/>
              <w:rPr>
                <w:rFonts w:ascii="宋体" w:hAnsi="宋体"/>
                <w:color w:val="auto"/>
                <w:sz w:val="24"/>
                <w:highlight w:val="none"/>
              </w:rPr>
            </w:pPr>
          </w:p>
        </w:tc>
        <w:tc>
          <w:tcPr>
            <w:tcW w:w="1694" w:type="dxa"/>
            <w:vAlign w:val="center"/>
          </w:tcPr>
          <w:p w14:paraId="1DB0CE04">
            <w:pPr>
              <w:widowControl/>
              <w:spacing w:line="360" w:lineRule="auto"/>
              <w:rPr>
                <w:rFonts w:ascii="宋体" w:hAnsi="宋体"/>
                <w:color w:val="auto"/>
                <w:kern w:val="0"/>
                <w:sz w:val="24"/>
                <w:highlight w:val="none"/>
              </w:rPr>
            </w:pPr>
            <w:r>
              <w:rPr>
                <w:rFonts w:hint="eastAsia" w:ascii="宋体" w:hAnsi="宋体" w:cs="宋体"/>
                <w:color w:val="auto"/>
                <w:kern w:val="0"/>
                <w:sz w:val="24"/>
                <w:highlight w:val="none"/>
              </w:rPr>
              <w:t>确保安全生产的技术组织措施（</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p w14:paraId="7D97BC7D">
            <w:pPr>
              <w:widowControl/>
              <w:spacing w:line="360" w:lineRule="auto"/>
              <w:rPr>
                <w:rFonts w:ascii="宋体" w:hAnsi="宋体"/>
                <w:color w:val="auto"/>
                <w:sz w:val="24"/>
                <w:highlight w:val="none"/>
              </w:rPr>
            </w:pPr>
          </w:p>
        </w:tc>
        <w:tc>
          <w:tcPr>
            <w:tcW w:w="5714" w:type="dxa"/>
            <w:vAlign w:val="center"/>
          </w:tcPr>
          <w:p w14:paraId="6501E3C0">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分）：有专门的安全管理人员和制度，且人员配备合理，制度健全，各道工序安全技术措施针对性强，确保</w:t>
            </w:r>
            <w:r>
              <w:rPr>
                <w:rFonts w:hint="eastAsia" w:ascii="宋体" w:hAnsi="宋体" w:cs="宋体"/>
                <w:color w:val="auto"/>
                <w:kern w:val="0"/>
                <w:sz w:val="24"/>
                <w:highlight w:val="none"/>
              </w:rPr>
              <w:t>安全生产</w:t>
            </w:r>
            <w:r>
              <w:rPr>
                <w:rFonts w:ascii="宋体" w:hAnsi="宋体"/>
                <w:color w:val="auto"/>
                <w:sz w:val="24"/>
                <w:highlight w:val="none"/>
              </w:rPr>
              <w:t>的技术组织措施符合实际且完全满足有关安全技术标准要求。现场防火、应急救援、社会治安安全措施得力。</w:t>
            </w:r>
          </w:p>
          <w:p w14:paraId="020F5F88">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有专门的安全管理人员和制度，人员配备基本合理，有安全管理制度，各道工序安全技术措施针对性一般，确保工程质量的技术组织措施符合实际，基本满足有关安全技术标准要求。现场防火、应急救援、社会治安安全措施一般。</w:t>
            </w:r>
          </w:p>
          <w:p w14:paraId="27C52F66">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分）：有专门的安全管理人员和制度，人员配备不合理，制度不健全，各道工序安全技术措施针无对性，不满足有关安全技术标准要求。现场防火、应急救援、社会治安安全措施不得力。</w:t>
            </w:r>
          </w:p>
          <w:p w14:paraId="45844504">
            <w:pPr>
              <w:widowControl/>
              <w:spacing w:line="360" w:lineRule="auto"/>
              <w:ind w:firstLine="480" w:firstLineChars="200"/>
              <w:rPr>
                <w:rFonts w:ascii="宋体" w:hAnsi="宋体"/>
                <w:color w:val="auto"/>
                <w:sz w:val="24"/>
                <w:highlight w:val="none"/>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确保安全生产的技术组织措施</w:t>
            </w:r>
            <w:r>
              <w:rPr>
                <w:rFonts w:hint="eastAsia" w:ascii="宋体" w:hAnsi="宋体" w:cs="宋体"/>
                <w:color w:val="auto"/>
                <w:kern w:val="0"/>
                <w:sz w:val="24"/>
                <w:highlight w:val="none"/>
                <w:lang w:val="en-US" w:eastAsia="zh-CN"/>
              </w:rPr>
              <w:t>不得分。</w:t>
            </w:r>
          </w:p>
        </w:tc>
      </w:tr>
      <w:tr w14:paraId="55D8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80" w:type="dxa"/>
            <w:vMerge w:val="continue"/>
            <w:vAlign w:val="center"/>
          </w:tcPr>
          <w:p w14:paraId="0330F942">
            <w:pPr>
              <w:spacing w:line="360" w:lineRule="auto"/>
              <w:jc w:val="center"/>
              <w:rPr>
                <w:rFonts w:ascii="宋体" w:hAnsi="宋体"/>
                <w:color w:val="auto"/>
                <w:sz w:val="24"/>
                <w:highlight w:val="none"/>
              </w:rPr>
            </w:pPr>
          </w:p>
        </w:tc>
        <w:tc>
          <w:tcPr>
            <w:tcW w:w="1031" w:type="dxa"/>
            <w:vMerge w:val="continue"/>
            <w:vAlign w:val="center"/>
          </w:tcPr>
          <w:p w14:paraId="2ABFB201">
            <w:pPr>
              <w:spacing w:line="360" w:lineRule="auto"/>
              <w:jc w:val="center"/>
              <w:rPr>
                <w:rFonts w:ascii="宋体" w:hAnsi="宋体"/>
                <w:color w:val="auto"/>
                <w:sz w:val="24"/>
                <w:highlight w:val="none"/>
              </w:rPr>
            </w:pPr>
          </w:p>
        </w:tc>
        <w:tc>
          <w:tcPr>
            <w:tcW w:w="912" w:type="dxa"/>
            <w:vMerge w:val="continue"/>
            <w:vAlign w:val="center"/>
          </w:tcPr>
          <w:p w14:paraId="7A13C603">
            <w:pPr>
              <w:spacing w:line="360" w:lineRule="auto"/>
              <w:jc w:val="center"/>
              <w:rPr>
                <w:rFonts w:ascii="宋体" w:hAnsi="宋体"/>
                <w:color w:val="auto"/>
                <w:sz w:val="24"/>
                <w:highlight w:val="none"/>
              </w:rPr>
            </w:pPr>
          </w:p>
        </w:tc>
        <w:tc>
          <w:tcPr>
            <w:tcW w:w="1694" w:type="dxa"/>
            <w:vAlign w:val="center"/>
          </w:tcPr>
          <w:p w14:paraId="40B96098">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确保工期的技术组织措施（</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6B5B553C">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在施工工艺、施工方法、材料选用、劳动力安排、技术等方面有保证工期的具体措施且措施得当，有确保工期承诺，有控制工期的施工进度计划。有施工总进度表或施工网络图，各项计划图表编制完善，安排科学合理，完全符合本项目施工实际要求。</w:t>
            </w:r>
          </w:p>
          <w:p w14:paraId="2F464B8E">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在施工工艺、施工方法、材料选用、劳动力安排、技术等方面有保证工期的措施但措施一般。有控制工期的施工进度计划。有施工总进度表或施工网络图，各项计划图表编制一般，安排基本合理，基本符合本项目施工实际要求。</w:t>
            </w:r>
          </w:p>
          <w:p w14:paraId="39010BCF">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分）：在施工工艺、施工方法、材料选用、劳动力安排、技术等方面有保证工期的措施但措施一般。无控制工期的施工进度计划。无施工总进度表或施工网络图，不符合本项目施工实际要求。</w:t>
            </w:r>
          </w:p>
          <w:p w14:paraId="424BDC75">
            <w:pPr>
              <w:widowControl/>
              <w:spacing w:line="360" w:lineRule="auto"/>
              <w:ind w:firstLine="480" w:firstLineChars="200"/>
              <w:rPr>
                <w:rFonts w:ascii="宋体" w:hAnsi="宋体"/>
                <w:color w:val="auto"/>
                <w:sz w:val="24"/>
                <w:highlight w:val="none"/>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确保工期的技术组织措施</w:t>
            </w:r>
            <w:r>
              <w:rPr>
                <w:rFonts w:hint="eastAsia" w:ascii="宋体" w:hAnsi="宋体" w:cs="宋体"/>
                <w:color w:val="auto"/>
                <w:kern w:val="0"/>
                <w:sz w:val="24"/>
                <w:highlight w:val="none"/>
                <w:lang w:val="en-US" w:eastAsia="zh-CN"/>
              </w:rPr>
              <w:t>不得分。</w:t>
            </w:r>
          </w:p>
        </w:tc>
      </w:tr>
      <w:tr w14:paraId="6359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780" w:type="dxa"/>
            <w:vMerge w:val="continue"/>
            <w:vAlign w:val="center"/>
          </w:tcPr>
          <w:p w14:paraId="3AF39B67">
            <w:pPr>
              <w:spacing w:line="360" w:lineRule="auto"/>
              <w:jc w:val="center"/>
              <w:rPr>
                <w:rFonts w:ascii="宋体" w:hAnsi="宋体"/>
                <w:color w:val="auto"/>
                <w:sz w:val="24"/>
                <w:highlight w:val="none"/>
              </w:rPr>
            </w:pPr>
          </w:p>
        </w:tc>
        <w:tc>
          <w:tcPr>
            <w:tcW w:w="1031" w:type="dxa"/>
            <w:vMerge w:val="continue"/>
            <w:vAlign w:val="center"/>
          </w:tcPr>
          <w:p w14:paraId="5C548A53">
            <w:pPr>
              <w:spacing w:line="360" w:lineRule="auto"/>
              <w:jc w:val="center"/>
              <w:rPr>
                <w:rFonts w:ascii="宋体" w:hAnsi="宋体"/>
                <w:color w:val="auto"/>
                <w:sz w:val="24"/>
                <w:highlight w:val="none"/>
              </w:rPr>
            </w:pPr>
          </w:p>
        </w:tc>
        <w:tc>
          <w:tcPr>
            <w:tcW w:w="912" w:type="dxa"/>
            <w:vMerge w:val="continue"/>
            <w:vAlign w:val="center"/>
          </w:tcPr>
          <w:p w14:paraId="177F061B">
            <w:pPr>
              <w:spacing w:line="360" w:lineRule="auto"/>
              <w:jc w:val="center"/>
              <w:rPr>
                <w:rFonts w:ascii="宋体" w:hAnsi="宋体"/>
                <w:color w:val="auto"/>
                <w:sz w:val="24"/>
                <w:highlight w:val="none"/>
              </w:rPr>
            </w:pPr>
          </w:p>
        </w:tc>
        <w:tc>
          <w:tcPr>
            <w:tcW w:w="1694" w:type="dxa"/>
            <w:vAlign w:val="center"/>
          </w:tcPr>
          <w:p w14:paraId="35682410">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确保文明施工的技术组织措施（</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2B30147E">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针对本工程项目特点，有现场文明施工、环境保护措施，且措施内容达到《建筑施工安全生产检查标准》（JGJ59-2011）合格标准并完全符合《广西壮族自治区建筑工程文明施工导则》要求。各项措施周全、具体、有效。有具体实现现场文明施工目标的承诺。</w:t>
            </w:r>
          </w:p>
          <w:p w14:paraId="6275DDC2">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有现场文明施工、环境保护措施，且措施内容达到《建筑施工安全生产检查标准》（JGJ59-2011）合格标准并基本符合《广西壮族自治区建筑工程文明施工导则》要求。各项措施基本满足要求。有基本实现现场文明施工目标的承诺。</w:t>
            </w:r>
          </w:p>
          <w:p w14:paraId="517D2AA2">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有现场文明施工、环境保护措施，且措施内容达到《建筑施工安全生产检查标准》（JGJ59-2011）合格标准并符合《广西壮族自治区建筑工程文明施工导则》要求。但各项措施不够完善。无实现现场文明施工目标的承诺。</w:t>
            </w:r>
          </w:p>
          <w:p w14:paraId="18F7EF3C">
            <w:pPr>
              <w:widowControl/>
              <w:spacing w:line="360" w:lineRule="auto"/>
              <w:ind w:firstLine="480" w:firstLineChars="200"/>
              <w:rPr>
                <w:rFonts w:ascii="宋体" w:hAnsi="宋体"/>
                <w:color w:val="auto"/>
                <w:sz w:val="24"/>
                <w:highlight w:val="none"/>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确保文明施工的技术组织措施</w:t>
            </w:r>
            <w:r>
              <w:rPr>
                <w:rFonts w:hint="eastAsia" w:ascii="宋体" w:hAnsi="宋体" w:cs="宋体"/>
                <w:color w:val="auto"/>
                <w:kern w:val="0"/>
                <w:sz w:val="24"/>
                <w:highlight w:val="none"/>
                <w:lang w:val="en-US" w:eastAsia="zh-CN"/>
              </w:rPr>
              <w:t>不得分。</w:t>
            </w:r>
          </w:p>
        </w:tc>
      </w:tr>
      <w:tr w14:paraId="7D98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780" w:type="dxa"/>
            <w:vMerge w:val="continue"/>
            <w:vAlign w:val="center"/>
          </w:tcPr>
          <w:p w14:paraId="44A72C37">
            <w:pPr>
              <w:spacing w:line="360" w:lineRule="auto"/>
              <w:jc w:val="center"/>
              <w:rPr>
                <w:rFonts w:ascii="宋体" w:hAnsi="宋体"/>
                <w:color w:val="auto"/>
                <w:sz w:val="24"/>
                <w:highlight w:val="none"/>
              </w:rPr>
            </w:pPr>
          </w:p>
        </w:tc>
        <w:tc>
          <w:tcPr>
            <w:tcW w:w="1031" w:type="dxa"/>
            <w:vMerge w:val="continue"/>
            <w:vAlign w:val="center"/>
          </w:tcPr>
          <w:p w14:paraId="4441178A">
            <w:pPr>
              <w:spacing w:line="360" w:lineRule="auto"/>
              <w:jc w:val="center"/>
              <w:rPr>
                <w:rFonts w:ascii="宋体" w:hAnsi="宋体"/>
                <w:color w:val="auto"/>
                <w:sz w:val="24"/>
                <w:highlight w:val="none"/>
              </w:rPr>
            </w:pPr>
          </w:p>
        </w:tc>
        <w:tc>
          <w:tcPr>
            <w:tcW w:w="912" w:type="dxa"/>
            <w:vMerge w:val="continue"/>
            <w:vAlign w:val="center"/>
          </w:tcPr>
          <w:p w14:paraId="2325E2D6">
            <w:pPr>
              <w:spacing w:line="360" w:lineRule="auto"/>
              <w:jc w:val="center"/>
              <w:rPr>
                <w:rFonts w:ascii="宋体" w:hAnsi="宋体"/>
                <w:color w:val="auto"/>
                <w:sz w:val="24"/>
                <w:highlight w:val="none"/>
              </w:rPr>
            </w:pPr>
          </w:p>
        </w:tc>
        <w:tc>
          <w:tcPr>
            <w:tcW w:w="1694" w:type="dxa"/>
            <w:vAlign w:val="center"/>
          </w:tcPr>
          <w:p w14:paraId="7DCC2E7D">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工程施工的重点和难点及保证措施（</w:t>
            </w:r>
            <w:r>
              <w:rPr>
                <w:rFonts w:hint="eastAsia" w:ascii="宋体" w:hAnsi="宋体"/>
                <w:color w:val="auto"/>
                <w:kern w:val="0"/>
                <w:sz w:val="24"/>
                <w:highlight w:val="none"/>
                <w:lang w:val="en-US" w:eastAsia="zh-CN"/>
              </w:rPr>
              <w:t>满分6</w:t>
            </w:r>
            <w:r>
              <w:rPr>
                <w:rFonts w:hint="eastAsia" w:ascii="宋体" w:hAnsi="宋体" w:cs="宋体"/>
                <w:color w:val="auto"/>
                <w:kern w:val="0"/>
                <w:sz w:val="24"/>
                <w:highlight w:val="none"/>
              </w:rPr>
              <w:t>分）</w:t>
            </w:r>
          </w:p>
        </w:tc>
        <w:tc>
          <w:tcPr>
            <w:tcW w:w="5714" w:type="dxa"/>
            <w:vAlign w:val="center"/>
          </w:tcPr>
          <w:p w14:paraId="0245921E">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6</w:t>
            </w:r>
            <w:r>
              <w:rPr>
                <w:rFonts w:ascii="宋体" w:hAnsi="宋体"/>
                <w:color w:val="auto"/>
                <w:sz w:val="24"/>
                <w:highlight w:val="none"/>
              </w:rPr>
              <w:t>分）：针对本工程的特点，阐述本工程的重点和难点，解决重点和难点问题的方法科学合理，完全满足施工需要。</w:t>
            </w:r>
          </w:p>
          <w:p w14:paraId="2B5635F4">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4</w:t>
            </w:r>
            <w:r>
              <w:rPr>
                <w:rFonts w:ascii="宋体" w:hAnsi="宋体"/>
                <w:color w:val="auto"/>
                <w:sz w:val="24"/>
                <w:highlight w:val="none"/>
              </w:rPr>
              <w:t>分）：有简要阐述本工程的重点和难点，解决重点和难点问题的方法能基本满足施工要求。</w:t>
            </w:r>
          </w:p>
          <w:p w14:paraId="3B88EB98">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w:t>
            </w:r>
            <w:r>
              <w:rPr>
                <w:rFonts w:hint="eastAsia" w:ascii="宋体" w:hAnsi="宋体"/>
                <w:color w:val="auto"/>
                <w:sz w:val="24"/>
                <w:highlight w:val="none"/>
                <w:lang w:val="en-US" w:eastAsia="zh-CN"/>
              </w:rPr>
              <w:t>2</w:t>
            </w:r>
            <w:r>
              <w:rPr>
                <w:rFonts w:ascii="宋体" w:hAnsi="宋体"/>
                <w:color w:val="auto"/>
                <w:sz w:val="24"/>
                <w:highlight w:val="none"/>
              </w:rPr>
              <w:t>分）：阐述本工程的重点和难点，解决重点和难点问题的方法不合理，不能满足施工需要。</w:t>
            </w:r>
          </w:p>
          <w:p w14:paraId="1D2A5D96">
            <w:pPr>
              <w:widowControl/>
              <w:spacing w:line="360" w:lineRule="auto"/>
              <w:ind w:firstLine="480" w:firstLineChars="200"/>
              <w:rPr>
                <w:rFonts w:ascii="宋体" w:hAnsi="宋体"/>
                <w:color w:val="auto"/>
                <w:sz w:val="24"/>
                <w:highlight w:val="none"/>
              </w:rPr>
            </w:pPr>
            <w:r>
              <w:rPr>
                <w:rFonts w:hint="eastAsia" w:ascii="宋体" w:hAnsi="宋体" w:cs="宋体"/>
                <w:color w:val="auto"/>
                <w:kern w:val="0"/>
                <w:sz w:val="24"/>
                <w:highlight w:val="none"/>
                <w:lang w:val="en-US" w:eastAsia="zh-CN"/>
              </w:rPr>
              <w:t>未提供</w:t>
            </w:r>
            <w:r>
              <w:rPr>
                <w:rFonts w:hint="eastAsia" w:ascii="宋体" w:hAnsi="宋体" w:cs="宋体"/>
                <w:color w:val="auto"/>
                <w:kern w:val="0"/>
                <w:sz w:val="24"/>
                <w:highlight w:val="none"/>
              </w:rPr>
              <w:t>工程施工的重点和难点及保证措施</w:t>
            </w:r>
            <w:r>
              <w:rPr>
                <w:rFonts w:hint="eastAsia" w:ascii="宋体" w:hAnsi="宋体" w:cs="宋体"/>
                <w:color w:val="auto"/>
                <w:kern w:val="0"/>
                <w:sz w:val="24"/>
                <w:highlight w:val="none"/>
                <w:lang w:val="en-US" w:eastAsia="zh-CN"/>
              </w:rPr>
              <w:t>不得分。</w:t>
            </w:r>
          </w:p>
        </w:tc>
      </w:tr>
      <w:tr w14:paraId="74C0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780" w:type="dxa"/>
            <w:vMerge w:val="continue"/>
            <w:vAlign w:val="center"/>
          </w:tcPr>
          <w:p w14:paraId="4A283682">
            <w:pPr>
              <w:spacing w:line="360" w:lineRule="auto"/>
              <w:jc w:val="center"/>
              <w:rPr>
                <w:rFonts w:ascii="宋体" w:hAnsi="宋体"/>
                <w:color w:val="auto"/>
                <w:sz w:val="24"/>
                <w:highlight w:val="none"/>
              </w:rPr>
            </w:pPr>
          </w:p>
        </w:tc>
        <w:tc>
          <w:tcPr>
            <w:tcW w:w="1031" w:type="dxa"/>
            <w:vMerge w:val="continue"/>
            <w:vAlign w:val="center"/>
          </w:tcPr>
          <w:p w14:paraId="72B965A7">
            <w:pPr>
              <w:spacing w:line="360" w:lineRule="auto"/>
              <w:jc w:val="center"/>
              <w:rPr>
                <w:rFonts w:ascii="宋体" w:hAnsi="宋体"/>
                <w:color w:val="auto"/>
                <w:sz w:val="24"/>
                <w:highlight w:val="none"/>
              </w:rPr>
            </w:pPr>
          </w:p>
        </w:tc>
        <w:tc>
          <w:tcPr>
            <w:tcW w:w="912" w:type="dxa"/>
            <w:vMerge w:val="continue"/>
            <w:vAlign w:val="center"/>
          </w:tcPr>
          <w:p w14:paraId="7B98CB4A">
            <w:pPr>
              <w:spacing w:line="360" w:lineRule="auto"/>
              <w:jc w:val="center"/>
              <w:rPr>
                <w:rFonts w:ascii="宋体" w:hAnsi="宋体"/>
                <w:color w:val="auto"/>
                <w:sz w:val="24"/>
                <w:highlight w:val="none"/>
              </w:rPr>
            </w:pPr>
          </w:p>
        </w:tc>
        <w:tc>
          <w:tcPr>
            <w:tcW w:w="1694" w:type="dxa"/>
            <w:vAlign w:val="center"/>
          </w:tcPr>
          <w:p w14:paraId="1960F7B9">
            <w:pPr>
              <w:widowControl/>
              <w:spacing w:line="360" w:lineRule="auto"/>
              <w:rPr>
                <w:rFonts w:ascii="宋体" w:hAnsi="宋体"/>
                <w:color w:val="auto"/>
                <w:sz w:val="24"/>
                <w:highlight w:val="none"/>
              </w:rPr>
            </w:pPr>
            <w:r>
              <w:rPr>
                <w:rFonts w:hint="eastAsia" w:ascii="宋体" w:hAnsi="宋体" w:cs="宋体"/>
                <w:color w:val="auto"/>
                <w:kern w:val="0"/>
                <w:sz w:val="24"/>
                <w:highlight w:val="none"/>
              </w:rPr>
              <w:t>施工总平面布置图（</w:t>
            </w:r>
            <w:r>
              <w:rPr>
                <w:rFonts w:hint="eastAsia" w:ascii="宋体" w:hAnsi="宋体"/>
                <w:color w:val="auto"/>
                <w:kern w:val="0"/>
                <w:sz w:val="24"/>
                <w:highlight w:val="none"/>
                <w:lang w:val="en-US" w:eastAsia="zh-CN"/>
              </w:rPr>
              <w:t>满分3</w:t>
            </w:r>
            <w:r>
              <w:rPr>
                <w:rFonts w:hint="eastAsia" w:ascii="宋体" w:hAnsi="宋体" w:cs="宋体"/>
                <w:color w:val="auto"/>
                <w:kern w:val="0"/>
                <w:sz w:val="24"/>
                <w:highlight w:val="none"/>
              </w:rPr>
              <w:t>分）</w:t>
            </w:r>
          </w:p>
        </w:tc>
        <w:tc>
          <w:tcPr>
            <w:tcW w:w="5714" w:type="dxa"/>
            <w:vAlign w:val="center"/>
          </w:tcPr>
          <w:p w14:paraId="46D5F0A5">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优（</w:t>
            </w:r>
            <w:r>
              <w:rPr>
                <w:rFonts w:hint="eastAsia" w:ascii="宋体" w:hAnsi="宋体"/>
                <w:color w:val="auto"/>
                <w:sz w:val="24"/>
                <w:highlight w:val="none"/>
                <w:lang w:val="en-US" w:eastAsia="zh-CN"/>
              </w:rPr>
              <w:t>3</w:t>
            </w:r>
            <w:r>
              <w:rPr>
                <w:rFonts w:ascii="宋体" w:hAnsi="宋体"/>
                <w:color w:val="auto"/>
                <w:sz w:val="24"/>
                <w:highlight w:val="none"/>
              </w:rPr>
              <w:t>分）:根据项目场地实际情况，有施工总平面布置图，安排科学合理，完全符合本项目施工实际要求。</w:t>
            </w:r>
          </w:p>
          <w:p w14:paraId="591FF949">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中（</w:t>
            </w:r>
            <w:r>
              <w:rPr>
                <w:rFonts w:hint="eastAsia" w:ascii="宋体" w:hAnsi="宋体"/>
                <w:color w:val="auto"/>
                <w:sz w:val="24"/>
                <w:highlight w:val="none"/>
                <w:lang w:val="en-US" w:eastAsia="zh-CN"/>
              </w:rPr>
              <w:t>2</w:t>
            </w:r>
            <w:r>
              <w:rPr>
                <w:rFonts w:ascii="宋体" w:hAnsi="宋体"/>
                <w:color w:val="auto"/>
                <w:sz w:val="24"/>
                <w:highlight w:val="none"/>
              </w:rPr>
              <w:t>分）:有施工总平面布置图，安排基本合理，基本符合本项目施工实际要求。</w:t>
            </w:r>
          </w:p>
          <w:p w14:paraId="6403A3A7">
            <w:pPr>
              <w:widowControl/>
              <w:spacing w:line="360" w:lineRule="auto"/>
              <w:ind w:firstLine="480" w:firstLineChars="200"/>
              <w:rPr>
                <w:rFonts w:ascii="宋体" w:hAnsi="宋体"/>
                <w:color w:val="auto"/>
                <w:sz w:val="24"/>
                <w:highlight w:val="none"/>
              </w:rPr>
            </w:pPr>
            <w:r>
              <w:rPr>
                <w:rFonts w:ascii="宋体" w:hAnsi="宋体"/>
                <w:color w:val="auto"/>
                <w:sz w:val="24"/>
                <w:highlight w:val="none"/>
              </w:rPr>
              <w:t>差（1分）:施工总平面布置图安排不合理，不符合本项目施工实际要求。</w:t>
            </w:r>
          </w:p>
          <w:p w14:paraId="37A271EC">
            <w:pPr>
              <w:widowControl/>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未提供施工总平面布置图，不得分。</w:t>
            </w:r>
          </w:p>
        </w:tc>
      </w:tr>
      <w:tr w14:paraId="447E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80" w:type="dxa"/>
            <w:vAlign w:val="center"/>
          </w:tcPr>
          <w:p w14:paraId="5A07B2E8">
            <w:pPr>
              <w:spacing w:line="360" w:lineRule="auto"/>
              <w:jc w:val="center"/>
              <w:rPr>
                <w:rFonts w:ascii="宋体" w:hAnsi="宋体"/>
                <w:color w:val="auto"/>
                <w:sz w:val="24"/>
                <w:highlight w:val="none"/>
              </w:rPr>
            </w:pPr>
            <w:r>
              <w:rPr>
                <w:rFonts w:hint="eastAsia" w:ascii="宋体" w:hAnsi="宋体"/>
                <w:color w:val="auto"/>
                <w:sz w:val="24"/>
                <w:highlight w:val="none"/>
              </w:rPr>
              <w:t>2</w:t>
            </w:r>
          </w:p>
        </w:tc>
        <w:tc>
          <w:tcPr>
            <w:tcW w:w="1031" w:type="dxa"/>
            <w:vAlign w:val="center"/>
          </w:tcPr>
          <w:p w14:paraId="15645DC7">
            <w:pPr>
              <w:spacing w:line="360" w:lineRule="auto"/>
              <w:jc w:val="center"/>
              <w:rPr>
                <w:rFonts w:hint="default" w:ascii="宋体" w:hAnsi="宋体" w:eastAsia="宋体"/>
                <w:color w:val="auto"/>
                <w:sz w:val="24"/>
                <w:highlight w:val="none"/>
                <w:lang w:val="en-US" w:eastAsia="zh-CN"/>
              </w:rPr>
            </w:pPr>
            <w:r>
              <w:rPr>
                <w:rFonts w:hint="eastAsia" w:ascii="宋体" w:hAnsi="宋体" w:cs="宋体"/>
                <w:color w:val="auto"/>
                <w:sz w:val="24"/>
                <w:highlight w:val="none"/>
              </w:rPr>
              <w:t>报价分</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满分10分）</w:t>
            </w:r>
          </w:p>
          <w:p w14:paraId="76A9CDF4">
            <w:pPr>
              <w:spacing w:line="360" w:lineRule="auto"/>
              <w:jc w:val="center"/>
              <w:rPr>
                <w:rFonts w:ascii="宋体" w:hAnsi="宋体"/>
                <w:color w:val="auto"/>
                <w:sz w:val="24"/>
                <w:highlight w:val="none"/>
              </w:rPr>
            </w:pPr>
          </w:p>
        </w:tc>
        <w:tc>
          <w:tcPr>
            <w:tcW w:w="8320" w:type="dxa"/>
            <w:gridSpan w:val="3"/>
            <w:vAlign w:val="center"/>
          </w:tcPr>
          <w:p w14:paraId="068697A6">
            <w:pPr>
              <w:spacing w:line="360" w:lineRule="auto"/>
              <w:rPr>
                <w:rFonts w:ascii="宋体" w:hAnsi="宋体"/>
                <w:color w:val="auto"/>
                <w:sz w:val="24"/>
                <w:highlight w:val="none"/>
              </w:rPr>
            </w:pPr>
            <w:r>
              <w:rPr>
                <w:rFonts w:hint="eastAsia" w:ascii="宋体" w:hAnsi="宋体"/>
                <w:color w:val="auto"/>
                <w:sz w:val="24"/>
                <w:highlight w:val="none"/>
              </w:rPr>
              <w:t>价格分：</w:t>
            </w:r>
          </w:p>
          <w:p w14:paraId="7020A80C">
            <w:pPr>
              <w:spacing w:line="360" w:lineRule="auto"/>
              <w:ind w:firstLine="480" w:firstLineChars="200"/>
              <w:rPr>
                <w:rFonts w:ascii="宋体" w:hAnsi="宋体"/>
                <w:color w:val="auto"/>
                <w:sz w:val="24"/>
                <w:highlight w:val="none"/>
              </w:rPr>
            </w:pPr>
            <w:r>
              <w:rPr>
                <w:rFonts w:hint="eastAsia" w:ascii="宋体" w:hAnsi="宋体"/>
                <w:color w:val="auto"/>
                <w:sz w:val="24"/>
                <w:highlight w:val="none"/>
                <w:lang w:val="en-US" w:eastAsia="zh-CN"/>
              </w:rPr>
              <w:t>1.</w:t>
            </w:r>
            <w:r>
              <w:rPr>
                <w:rFonts w:hint="eastAsia" w:ascii="宋体" w:hAnsi="宋体"/>
                <w:color w:val="auto"/>
                <w:sz w:val="24"/>
                <w:highlight w:val="none"/>
              </w:rPr>
              <w:t>有效磋商报价的最低价作为评标基准价，其最低报价为满分；按［磋商报价得分=（磋商基准价/磋商报价）</w:t>
            </w:r>
            <w:r>
              <w:rPr>
                <w:rFonts w:hint="default" w:ascii="Arial" w:hAnsi="Arial" w:cs="Arial"/>
                <w:color w:val="auto"/>
                <w:sz w:val="24"/>
                <w:highlight w:val="none"/>
              </w:rPr>
              <w:t>×</w:t>
            </w:r>
            <w:r>
              <w:rPr>
                <w:rFonts w:hint="eastAsia" w:ascii="宋体" w:hAnsi="宋体"/>
                <w:color w:val="auto"/>
                <w:sz w:val="24"/>
                <w:highlight w:val="none"/>
                <w:lang w:val="en-US" w:eastAsia="zh-CN"/>
              </w:rPr>
              <w:t>10分</w:t>
            </w:r>
            <w:r>
              <w:rPr>
                <w:rFonts w:hint="eastAsia" w:ascii="宋体" w:hAnsi="宋体"/>
                <w:color w:val="auto"/>
                <w:sz w:val="24"/>
                <w:highlight w:val="none"/>
              </w:rPr>
              <w:t>］的计算公式计算。</w:t>
            </w:r>
          </w:p>
          <w:p w14:paraId="3794E5B1">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评审过程中，不得去掉报价中的最高报价和最低报价。</w:t>
            </w:r>
          </w:p>
          <w:p w14:paraId="4CB6E92E">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3.根据中华人民共和国财政部《关于推动解决政府采购异常低价问题的通知》（财库〔2026〕2号）规定，政府采购项目评审中出现下列情形之一的，磋商小组应当启动异常低价响应审查程序:</w:t>
            </w:r>
          </w:p>
          <w:p w14:paraId="2C05E279">
            <w:pPr>
              <w:spacing w:line="360" w:lineRule="auto"/>
              <w:ind w:firstLine="480" w:firstLineChars="2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①响应报价低于全部通过符合性审查供应商响应报价平均值65%的，即响应报价〈全部通过符合性审查供应商响应报价平均值</w:t>
            </w:r>
            <w:r>
              <w:rPr>
                <w:rFonts w:hint="default"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65%；</w:t>
            </w:r>
          </w:p>
          <w:p w14:paraId="48C92BB0">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②响应报价低于通过符合性审查的次低报价供应商响应报价65%的，即响应报价〈通过符合性审查的次低报价供应商响应报价</w:t>
            </w:r>
            <w:r>
              <w:rPr>
                <w:rFonts w:hint="default"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65%；</w:t>
            </w:r>
          </w:p>
          <w:p w14:paraId="72AB0F7F">
            <w:pPr>
              <w:spacing w:line="360" w:lineRule="auto"/>
              <w:ind w:firstLine="480" w:firstLineChars="2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③响应报价低于采购项目最高限价65%的，即响应报价〈采购项目最高限价</w:t>
            </w:r>
            <w:r>
              <w:rPr>
                <w:rFonts w:hint="default"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65%；</w:t>
            </w:r>
          </w:p>
          <w:p w14:paraId="41FB18EA">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④磋商小组基于专业判断，认为供应商报价过低，有可能影响产品质量或者不能诚信履约的其他情形。</w:t>
            </w:r>
          </w:p>
          <w:p w14:paraId="741630DE">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磋商小组启动异常低价响应审查后，应当要求相关供应商在评审现场合理的时间内对响应价格作出解释，提供项目具体成本测算等与报价合理性相关的书面说明及必要的证明材料，包括但不限于原材料成本、人工成本、制造费用等。</w:t>
            </w:r>
          </w:p>
          <w:p w14:paraId="07448446">
            <w:pPr>
              <w:spacing w:line="360" w:lineRule="auto"/>
              <w:ind w:firstLine="480" w:firstLineChars="200"/>
              <w:rPr>
                <w:color w:val="auto"/>
                <w:highlight w:val="none"/>
              </w:rPr>
            </w:pPr>
            <w:r>
              <w:rPr>
                <w:rFonts w:hint="eastAsia" w:ascii="宋体" w:hAnsi="宋体" w:eastAsia="宋体" w:cs="Times New Roman"/>
                <w:color w:val="auto"/>
                <w:sz w:val="24"/>
                <w:highlight w:val="none"/>
                <w:lang w:val="en-US" w:eastAsia="zh-CN"/>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tc>
      </w:tr>
      <w:tr w14:paraId="5971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780" w:type="dxa"/>
            <w:vAlign w:val="center"/>
          </w:tcPr>
          <w:p w14:paraId="4C880C07">
            <w:pPr>
              <w:spacing w:line="360" w:lineRule="auto"/>
              <w:jc w:val="center"/>
              <w:rPr>
                <w:rFonts w:ascii="宋体" w:hAnsi="宋体"/>
                <w:color w:val="auto"/>
                <w:sz w:val="24"/>
                <w:highlight w:val="none"/>
              </w:rPr>
            </w:pPr>
            <w:r>
              <w:rPr>
                <w:rFonts w:hint="eastAsia" w:ascii="宋体" w:hAnsi="宋体"/>
                <w:color w:val="auto"/>
                <w:sz w:val="24"/>
                <w:highlight w:val="none"/>
              </w:rPr>
              <w:t>3</w:t>
            </w:r>
          </w:p>
        </w:tc>
        <w:tc>
          <w:tcPr>
            <w:tcW w:w="1031" w:type="dxa"/>
            <w:vAlign w:val="center"/>
          </w:tcPr>
          <w:p w14:paraId="73BACB32">
            <w:pPr>
              <w:spacing w:line="360" w:lineRule="auto"/>
              <w:jc w:val="center"/>
              <w:rPr>
                <w:rFonts w:hint="default" w:ascii="宋体" w:hAnsi="宋体" w:eastAsia="宋体"/>
                <w:color w:val="auto"/>
                <w:sz w:val="24"/>
                <w:highlight w:val="none"/>
                <w:lang w:val="en-US" w:eastAsia="zh-CN"/>
              </w:rPr>
            </w:pPr>
            <w:r>
              <w:rPr>
                <w:rFonts w:hint="eastAsia" w:ascii="宋体" w:hAnsi="宋体" w:cs="宋体"/>
                <w:color w:val="auto"/>
                <w:sz w:val="24"/>
                <w:highlight w:val="none"/>
              </w:rPr>
              <w:t>商务分</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满分10分）</w:t>
            </w:r>
          </w:p>
        </w:tc>
        <w:tc>
          <w:tcPr>
            <w:tcW w:w="8320" w:type="dxa"/>
            <w:gridSpan w:val="3"/>
            <w:vAlign w:val="center"/>
          </w:tcPr>
          <w:p w14:paraId="637E2A20">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磋商供应商近三年来（自2023年1月1日至响应文件递交截止时间止），承接过类似建筑工程或市政工程项目的，每一项业绩得2.5分，本项满分10分。</w:t>
            </w:r>
          </w:p>
          <w:p w14:paraId="4D6C6C3F">
            <w:pPr>
              <w:spacing w:line="360" w:lineRule="auto"/>
              <w:rPr>
                <w:rFonts w:hint="default" w:ascii="宋体" w:hAnsi="宋体"/>
                <w:color w:val="auto"/>
                <w:sz w:val="24"/>
                <w:highlight w:val="none"/>
                <w:lang w:val="en-US" w:eastAsia="zh-CN"/>
              </w:rPr>
            </w:pPr>
            <w:r>
              <w:rPr>
                <w:rFonts w:hint="eastAsia" w:ascii="宋体" w:hAnsi="宋体"/>
                <w:color w:val="auto"/>
                <w:sz w:val="24"/>
                <w:highlight w:val="none"/>
                <w:lang w:val="en-US" w:eastAsia="zh-CN"/>
              </w:rPr>
              <w:t>注：需提供施工合同、中标（成交）通知书（如有）复印件并加盖磋商供应商单位公章，否则不予计分。考核时间以施工合同签订时间为准。</w:t>
            </w:r>
          </w:p>
        </w:tc>
      </w:tr>
      <w:tr w14:paraId="434C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811" w:type="dxa"/>
            <w:gridSpan w:val="2"/>
            <w:vAlign w:val="center"/>
          </w:tcPr>
          <w:p w14:paraId="7AAC1D2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磋商供应商汇总得分</w:t>
            </w:r>
          </w:p>
          <w:p w14:paraId="55EBA66C">
            <w:pPr>
              <w:spacing w:line="360" w:lineRule="auto"/>
              <w:jc w:val="center"/>
              <w:rPr>
                <w:rFonts w:ascii="宋体" w:hAnsi="宋体"/>
                <w:color w:val="auto"/>
                <w:sz w:val="24"/>
                <w:highlight w:val="none"/>
              </w:rPr>
            </w:pPr>
            <w:r>
              <w:rPr>
                <w:rFonts w:hint="eastAsia" w:ascii="宋体" w:hAnsi="宋体" w:cs="宋体"/>
                <w:color w:val="auto"/>
                <w:sz w:val="24"/>
                <w:highlight w:val="none"/>
              </w:rPr>
              <w:t>（满分100分）</w:t>
            </w:r>
          </w:p>
        </w:tc>
        <w:tc>
          <w:tcPr>
            <w:tcW w:w="8320" w:type="dxa"/>
            <w:gridSpan w:val="3"/>
            <w:vAlign w:val="center"/>
          </w:tcPr>
          <w:p w14:paraId="7C7BFD63">
            <w:pPr>
              <w:spacing w:line="360" w:lineRule="auto"/>
              <w:jc w:val="center"/>
              <w:rPr>
                <w:rFonts w:ascii="宋体" w:hAnsi="宋体"/>
                <w:color w:val="auto"/>
                <w:sz w:val="24"/>
                <w:highlight w:val="none"/>
              </w:rPr>
            </w:pPr>
            <w:r>
              <w:rPr>
                <w:rFonts w:hint="eastAsia" w:ascii="宋体" w:hAnsi="宋体" w:cs="宋体"/>
                <w:color w:val="auto"/>
                <w:sz w:val="24"/>
                <w:highlight w:val="none"/>
              </w:rPr>
              <w:t>磋商供应商汇总得分</w:t>
            </w:r>
            <w:r>
              <w:rPr>
                <w:rFonts w:ascii="宋体" w:hAnsi="宋体"/>
                <w:color w:val="auto"/>
                <w:sz w:val="24"/>
                <w:highlight w:val="none"/>
              </w:rPr>
              <w:t>=</w:t>
            </w:r>
            <w:r>
              <w:rPr>
                <w:rFonts w:hint="eastAsia" w:ascii="宋体" w:hAnsi="宋体" w:cs="宋体"/>
                <w:color w:val="auto"/>
                <w:sz w:val="24"/>
                <w:highlight w:val="none"/>
              </w:rPr>
              <w:t xml:space="preserve"> 技术分 </w:t>
            </w:r>
            <w:r>
              <w:rPr>
                <w:rFonts w:ascii="宋体" w:hAnsi="宋体"/>
                <w:color w:val="auto"/>
                <w:sz w:val="24"/>
                <w:highlight w:val="none"/>
              </w:rPr>
              <w:t>+</w:t>
            </w:r>
            <w:r>
              <w:rPr>
                <w:rFonts w:hint="eastAsia" w:ascii="宋体" w:hAnsi="宋体"/>
                <w:color w:val="auto"/>
                <w:sz w:val="24"/>
                <w:highlight w:val="none"/>
              </w:rPr>
              <w:t xml:space="preserve"> </w:t>
            </w:r>
            <w:r>
              <w:rPr>
                <w:rFonts w:hint="eastAsia" w:ascii="宋体" w:hAnsi="宋体" w:cs="宋体"/>
                <w:color w:val="auto"/>
                <w:sz w:val="24"/>
                <w:highlight w:val="none"/>
              </w:rPr>
              <w:t>商务分 +报价分</w:t>
            </w:r>
          </w:p>
        </w:tc>
      </w:tr>
    </w:tbl>
    <w:p w14:paraId="4B409C80">
      <w:pPr>
        <w:spacing w:line="360" w:lineRule="auto"/>
        <w:ind w:firstLine="482" w:firstLineChars="200"/>
        <w:rPr>
          <w:rFonts w:hint="eastAsia" w:ascii="宋体" w:hAnsi="宋体"/>
          <w:b/>
          <w:bCs/>
          <w:color w:val="auto"/>
          <w:sz w:val="24"/>
          <w:highlight w:val="none"/>
        </w:rPr>
      </w:pPr>
    </w:p>
    <w:p w14:paraId="645F0662">
      <w:pPr>
        <w:spacing w:line="360" w:lineRule="auto"/>
        <w:ind w:firstLine="482" w:firstLineChars="200"/>
        <w:rPr>
          <w:rFonts w:hint="default" w:ascii="宋体" w:hAnsi="宋体" w:eastAsia="宋体"/>
          <w:b/>
          <w:bCs/>
          <w:color w:val="auto"/>
          <w:sz w:val="24"/>
          <w:highlight w:val="none"/>
          <w:lang w:val="en-US" w:eastAsia="zh-CN"/>
        </w:rPr>
      </w:pPr>
      <w:r>
        <w:rPr>
          <w:rFonts w:hint="eastAsia" w:ascii="宋体" w:hAnsi="宋体"/>
          <w:b/>
          <w:bCs/>
          <w:color w:val="auto"/>
          <w:sz w:val="24"/>
          <w:highlight w:val="none"/>
        </w:rPr>
        <w:t>三、推荐成交候选供应商原则</w:t>
      </w:r>
      <w:r>
        <w:rPr>
          <w:rFonts w:hint="eastAsia" w:ascii="宋体" w:hAnsi="宋体"/>
          <w:b/>
          <w:bCs/>
          <w:color w:val="auto"/>
          <w:sz w:val="24"/>
          <w:highlight w:val="none"/>
          <w:lang w:val="en-US" w:eastAsia="zh-CN"/>
        </w:rPr>
        <w:t>以及成交标准</w:t>
      </w:r>
    </w:p>
    <w:p w14:paraId="1B1DB949">
      <w:pPr>
        <w:spacing w:line="360" w:lineRule="auto"/>
        <w:ind w:firstLine="480" w:firstLineChars="200"/>
        <w:rPr>
          <w:rFonts w:hint="default" w:ascii="宋体" w:hAnsi="宋体" w:eastAsia="宋体"/>
          <w:color w:val="auto"/>
          <w:sz w:val="24"/>
          <w:highlight w:val="none"/>
          <w:lang w:val="en-US" w:eastAsia="zh-CN"/>
        </w:rPr>
      </w:pPr>
      <w:r>
        <w:rPr>
          <w:rFonts w:hint="eastAsia" w:ascii="宋体" w:hAnsi="宋体"/>
          <w:color w:val="auto"/>
          <w:sz w:val="24"/>
          <w:highlight w:val="none"/>
        </w:rPr>
        <w:t>磋商小组将根据得分由高到低排列次序（得分相同时，以磋商报价由低到高顺序排列；得分相同且磋商报价相同的，按技术指标优劣顺序排列）并推荐三名成交候选供应商。采购单位应当确定磋商小组推荐排名第一的成交候选人为成交人。排名第一的成交候选人放弃成交、因不可抗力提出不能履行合同，或者磋商文件规定应当提交履约保证金而在规定的期限内未能提交的，采购单位可以确定排名第二的成交候选人为成交人。排名第二的成交候选人因前款规定的同样原因不能签订合同的，采购单位可以确定排名第三的成交候选人为成交人</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以此类推。采购人也可以重新采购。</w:t>
      </w:r>
    </w:p>
    <w:p w14:paraId="66C82272">
      <w:pPr>
        <w:pStyle w:val="78"/>
        <w:widowControl/>
        <w:ind w:firstLine="480"/>
        <w:rPr>
          <w:rFonts w:ascii="宋体" w:hAnsi="宋体"/>
          <w:color w:val="auto"/>
          <w:sz w:val="24"/>
          <w:highlight w:val="none"/>
        </w:rPr>
      </w:pPr>
    </w:p>
    <w:sectPr>
      <w:footerReference r:id="rId13" w:type="default"/>
      <w:pgSz w:w="11906" w:h="16838"/>
      <w:pgMar w:top="1247" w:right="1247" w:bottom="1247" w:left="1247" w:header="851" w:footer="992"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22C935E-657D-4946-8B23-B12E24426629}"/>
  </w:font>
  <w:font w:name="Arial">
    <w:panose1 w:val="020B0604020202020204"/>
    <w:charset w:val="01"/>
    <w:family w:val="swiss"/>
    <w:pitch w:val="default"/>
    <w:sig w:usb0="E0002EFF" w:usb1="C000785B" w:usb2="00000009" w:usb3="00000000" w:csb0="400001FF" w:csb1="FFFF0000"/>
    <w:embedRegular r:id="rId2" w:fontKey="{5BC01C6F-CE54-4503-BB4D-98AF148DFF50}"/>
  </w:font>
  <w:font w:name="黑体">
    <w:panose1 w:val="02010609060101010101"/>
    <w:charset w:val="86"/>
    <w:family w:val="auto"/>
    <w:pitch w:val="default"/>
    <w:sig w:usb0="800002BF" w:usb1="38CF7CFA" w:usb2="00000016" w:usb3="00000000" w:csb0="00040001" w:csb1="00000000"/>
    <w:embedRegular r:id="rId3" w:fontKey="{9B190300-DA5D-45D5-A755-91B57BCDDAB5}"/>
  </w:font>
  <w:font w:name="Courier New">
    <w:panose1 w:val="02070309020205020404"/>
    <w:charset w:val="01"/>
    <w:family w:val="modern"/>
    <w:pitch w:val="default"/>
    <w:sig w:usb0="E0002EFF" w:usb1="C0007843" w:usb2="00000009" w:usb3="00000000" w:csb0="400001FF" w:csb1="FFFF0000"/>
    <w:embedRegular r:id="rId4" w:fontKey="{9FDFF594-1354-492D-8278-FAEA6219768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3CF04819-7116-4110-BA88-81B2FFB6A02A}"/>
  </w:font>
  <w:font w:name="仿宋_GB2312">
    <w:panose1 w:val="02010609030101010101"/>
    <w:charset w:val="86"/>
    <w:family w:val="modern"/>
    <w:pitch w:val="default"/>
    <w:sig w:usb0="00000001" w:usb1="080E0000" w:usb2="00000000" w:usb3="00000000" w:csb0="00040000" w:csb1="00000000"/>
    <w:embedRegular r:id="rId6" w:fontKey="{1D989C20-8740-4BCA-B456-9FF208105504}"/>
  </w:font>
  <w:font w:name="Tahoma">
    <w:panose1 w:val="020B0604030504040204"/>
    <w:charset w:val="00"/>
    <w:family w:val="swiss"/>
    <w:pitch w:val="default"/>
    <w:sig w:usb0="E1002EFF" w:usb1="C000605B" w:usb2="00000029" w:usb3="00000000" w:csb0="200101FF" w:csb1="2028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0" w:usb3="00000000" w:csb0="0004009F" w:csb1="00000000"/>
  </w:font>
  <w:font w:name="方正小标宋简体">
    <w:panose1 w:val="02000000000000000000"/>
    <w:charset w:val="86"/>
    <w:family w:val="script"/>
    <w:pitch w:val="default"/>
    <w:sig w:usb0="00000001" w:usb1="08000000" w:usb2="00000000" w:usb3="00000000" w:csb0="00040000" w:csb1="00000000"/>
    <w:embedRegular r:id="rId7" w:fontKey="{8155623E-D801-4170-AF78-E76C5F8EF526}"/>
  </w:font>
  <w:font w:name="仿宋">
    <w:panose1 w:val="02010609060101010101"/>
    <w:charset w:val="86"/>
    <w:family w:val="auto"/>
    <w:pitch w:val="default"/>
    <w:sig w:usb0="800002BF" w:usb1="38CF7CFA" w:usb2="00000016" w:usb3="00000000" w:csb0="00040001" w:csb1="00000000"/>
    <w:embedRegular r:id="rId8" w:fontKey="{94F03DE2-4821-4D59-BBD2-766E7FFA0EAE}"/>
  </w:font>
  <w:font w:name="WPSEMBED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0843">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EA90D">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9EA90D">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165D2">
    <w:pPr>
      <w:tabs>
        <w:tab w:val="left" w:pos="4439"/>
      </w:tabs>
      <w:spacing w:line="167" w:lineRule="auto"/>
      <w:ind w:left="4225"/>
      <w:rPr>
        <w:rFonts w:ascii="Calibri" w:hAnsi="Calibri" w:eastAsia="宋体" w:cs="Calibri"/>
        <w:sz w:val="18"/>
        <w:szCs w:val="18"/>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AF4B6">
                          <w:pPr>
                            <w:pStyle w:val="2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3AAF4B6">
                    <w:pPr>
                      <w:pStyle w:val="28"/>
                    </w:pPr>
                    <w:r>
                      <w:fldChar w:fldCharType="begin"/>
                    </w:r>
                    <w:r>
                      <w:instrText xml:space="preserve"> PAGE  \* MERGEFORMAT </w:instrText>
                    </w:r>
                    <w:r>
                      <w:fldChar w:fldCharType="separate"/>
                    </w:r>
                    <w:r>
                      <w:t>59</w:t>
                    </w:r>
                    <w:r>
                      <w:fldChar w:fldCharType="end"/>
                    </w:r>
                  </w:p>
                </w:txbxContent>
              </v:textbox>
            </v:shape>
          </w:pict>
        </mc:Fallback>
      </mc:AlternateContent>
    </w:r>
    <w:r>
      <w:rPr>
        <w:rFonts w:hint="eastAsia" w:ascii="Calibri" w:hAnsi="Calibri" w:eastAsia="宋体" w:cs="Calibri"/>
        <w:sz w:val="18"/>
        <w:szCs w:val="18"/>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A817D">
    <w:pPr>
      <w:tabs>
        <w:tab w:val="left" w:pos="4439"/>
      </w:tabs>
      <w:spacing w:line="167" w:lineRule="auto"/>
      <w:ind w:left="4225"/>
      <w:rPr>
        <w:rFonts w:ascii="Calibri" w:hAnsi="Calibri" w:eastAsia="宋体" w:cs="Calibri"/>
        <w:sz w:val="18"/>
        <w:szCs w:val="18"/>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023C3">
                          <w:pPr>
                            <w:pStyle w:val="28"/>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BC023C3">
                    <w:pPr>
                      <w:pStyle w:val="28"/>
                    </w:pPr>
                    <w:r>
                      <w:fldChar w:fldCharType="begin"/>
                    </w:r>
                    <w:r>
                      <w:instrText xml:space="preserve"> PAGE  \* MERGEFORMAT </w:instrText>
                    </w:r>
                    <w:r>
                      <w:fldChar w:fldCharType="separate"/>
                    </w:r>
                    <w:r>
                      <w:t>66</w:t>
                    </w:r>
                    <w:r>
                      <w:fldChar w:fldCharType="end"/>
                    </w:r>
                  </w:p>
                </w:txbxContent>
              </v:textbox>
            </v:shape>
          </w:pict>
        </mc:Fallback>
      </mc:AlternateContent>
    </w:r>
    <w:r>
      <w:rPr>
        <w:rFonts w:hint="eastAsia" w:ascii="Calibri" w:hAnsi="Calibri" w:eastAsia="宋体" w:cs="Calibri"/>
        <w:sz w:val="18"/>
        <w:szCs w:val="18"/>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49FB1">
    <w:pPr>
      <w:tabs>
        <w:tab w:val="left" w:pos="4583"/>
      </w:tabs>
      <w:spacing w:line="167" w:lineRule="auto"/>
      <w:ind w:left="4225"/>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DAAF6">
                          <w:pPr>
                            <w:pStyle w:val="2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C5DAAF6">
                    <w:pPr>
                      <w:pStyle w:val="28"/>
                    </w:pPr>
                    <w:r>
                      <w:fldChar w:fldCharType="begin"/>
                    </w:r>
                    <w:r>
                      <w:instrText xml:space="preserve"> PAGE  \* MERGEFORMAT </w:instrText>
                    </w:r>
                    <w:r>
                      <w:fldChar w:fldCharType="separate"/>
                    </w:r>
                    <w:r>
                      <w:t>69</w:t>
                    </w:r>
                    <w:r>
                      <w:fldChar w:fldCharType="end"/>
                    </w:r>
                  </w:p>
                </w:txbxContent>
              </v:textbox>
            </v:shape>
          </w:pict>
        </mc:Fallback>
      </mc:AlternateContent>
    </w:r>
    <w:r>
      <w:rPr>
        <w:rFonts w:hint="eastAsia" w:ascii="Calibri" w:hAnsi="Calibri" w:eastAsia="宋体" w:cs="Calibri"/>
        <w:sz w:val="18"/>
        <w:szCs w:val="18"/>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A6A29">
    <w:pPr>
      <w:spacing w:line="166" w:lineRule="auto"/>
      <w:ind w:left="4225"/>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976B69">
                          <w:pPr>
                            <w:pStyle w:val="28"/>
                          </w:pPr>
                          <w:r>
                            <w:fldChar w:fldCharType="begin"/>
                          </w:r>
                          <w:r>
                            <w:instrText xml:space="preserve"> PAGE  \* MERGEFORMAT </w:instrText>
                          </w:r>
                          <w:r>
                            <w:fldChar w:fldCharType="separate"/>
                          </w:r>
                          <w:r>
                            <w:t>104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0976B69">
                    <w:pPr>
                      <w:pStyle w:val="28"/>
                    </w:pPr>
                    <w:r>
                      <w:fldChar w:fldCharType="begin"/>
                    </w:r>
                    <w:r>
                      <w:instrText xml:space="preserve"> PAGE  \* MERGEFORMAT </w:instrText>
                    </w:r>
                    <w:r>
                      <w:fldChar w:fldCharType="separate"/>
                    </w:r>
                    <w:r>
                      <w:t>104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E460">
    <w:pPr>
      <w:spacing w:line="167" w:lineRule="auto"/>
      <w:ind w:left="4419"/>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B5EF05">
                          <w:pPr>
                            <w:pStyle w:val="28"/>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BB5EF05">
                    <w:pPr>
                      <w:pStyle w:val="28"/>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05890">
    <w:pPr>
      <w:spacing w:line="167" w:lineRule="auto"/>
      <w:ind w:left="4419"/>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5EDAD">
                          <w:pPr>
                            <w:pStyle w:val="28"/>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175EDAD">
                    <w:pPr>
                      <w:pStyle w:val="28"/>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C2C1B">
    <w:pPr>
      <w:pStyle w:val="2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68C851">
                          <w:pPr>
                            <w:pStyle w:val="28"/>
                          </w:pPr>
                          <w:r>
                            <w:fldChar w:fldCharType="begin"/>
                          </w:r>
                          <w:r>
                            <w:instrText xml:space="preserve"> PAGE  \* MERGEFORMAT </w:instrText>
                          </w:r>
                          <w:r>
                            <w:fldChar w:fldCharType="separate"/>
                          </w:r>
                          <w:r>
                            <w:t>130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968C851">
                    <w:pPr>
                      <w:pStyle w:val="28"/>
                    </w:pPr>
                    <w:r>
                      <w:fldChar w:fldCharType="begin"/>
                    </w:r>
                    <w:r>
                      <w:instrText xml:space="preserve"> PAGE  \* MERGEFORMAT </w:instrText>
                    </w:r>
                    <w:r>
                      <w:fldChar w:fldCharType="separate"/>
                    </w:r>
                    <w:r>
                      <w:t>130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0D00A">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9A614">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CF7CF">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8D18EA"/>
    <w:multiLevelType w:val="singleLevel"/>
    <w:tmpl w:val="CB8D18EA"/>
    <w:lvl w:ilvl="0" w:tentative="0">
      <w:start w:val="1"/>
      <w:numFmt w:val="decimal"/>
      <w:suff w:val="nothing"/>
      <w:lvlText w:val="（%1）"/>
      <w:lvlJc w:val="left"/>
    </w:lvl>
  </w:abstractNum>
  <w:abstractNum w:abstractNumId="1">
    <w:nsid w:val="E1B95E27"/>
    <w:multiLevelType w:val="singleLevel"/>
    <w:tmpl w:val="E1B95E27"/>
    <w:lvl w:ilvl="0" w:tentative="0">
      <w:start w:val="2"/>
      <w:numFmt w:val="decimal"/>
      <w:lvlText w:val="%1."/>
      <w:lvlJc w:val="left"/>
      <w:pPr>
        <w:tabs>
          <w:tab w:val="left" w:pos="312"/>
        </w:tabs>
      </w:pPr>
    </w:lvl>
  </w:abstractNum>
  <w:abstractNum w:abstractNumId="2">
    <w:nsid w:val="00003F82"/>
    <w:multiLevelType w:val="multilevel"/>
    <w:tmpl w:val="00003F82"/>
    <w:lvl w:ilvl="0" w:tentative="0">
      <w:start w:val="1"/>
      <w:numFmt w:val="decimal"/>
      <w:pStyle w:val="22"/>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7"/>
      <w:lvlText w:val="%5)"/>
      <w:lvlJc w:val="left"/>
      <w:pPr>
        <w:tabs>
          <w:tab w:val="left" w:pos="2100"/>
        </w:tabs>
        <w:ind w:left="2100" w:hanging="420"/>
      </w:pPr>
    </w:lvl>
    <w:lvl w:ilvl="5" w:tentative="0">
      <w:start w:val="1"/>
      <w:numFmt w:val="lowerRoman"/>
      <w:pStyle w:val="9"/>
      <w:lvlText w:val="%6."/>
      <w:lvlJc w:val="right"/>
      <w:pPr>
        <w:tabs>
          <w:tab w:val="left" w:pos="2520"/>
        </w:tabs>
        <w:ind w:left="2520" w:hanging="420"/>
      </w:pPr>
    </w:lvl>
    <w:lvl w:ilvl="6" w:tentative="0">
      <w:start w:val="1"/>
      <w:numFmt w:val="decimal"/>
      <w:pStyle w:val="10"/>
      <w:lvlText w:val="%7."/>
      <w:lvlJc w:val="left"/>
      <w:pPr>
        <w:tabs>
          <w:tab w:val="left" w:pos="2940"/>
        </w:tabs>
        <w:ind w:left="2940" w:hanging="420"/>
      </w:pPr>
    </w:lvl>
    <w:lvl w:ilvl="7" w:tentative="0">
      <w:start w:val="1"/>
      <w:numFmt w:val="lowerLetter"/>
      <w:pStyle w:val="11"/>
      <w:lvlText w:val="%8)"/>
      <w:lvlJc w:val="left"/>
      <w:pPr>
        <w:tabs>
          <w:tab w:val="left" w:pos="3360"/>
        </w:tabs>
        <w:ind w:left="3360" w:hanging="420"/>
      </w:pPr>
    </w:lvl>
    <w:lvl w:ilvl="8" w:tentative="0">
      <w:start w:val="1"/>
      <w:numFmt w:val="lowerRoman"/>
      <w:pStyle w:val="12"/>
      <w:lvlText w:val="%9."/>
      <w:lvlJc w:val="right"/>
      <w:pPr>
        <w:tabs>
          <w:tab w:val="left" w:pos="3780"/>
        </w:tabs>
        <w:ind w:left="3780" w:hanging="420"/>
      </w:pPr>
    </w:lvl>
  </w:abstractNum>
  <w:abstractNum w:abstractNumId="3">
    <w:nsid w:val="2687D44E"/>
    <w:multiLevelType w:val="singleLevel"/>
    <w:tmpl w:val="2687D44E"/>
    <w:lvl w:ilvl="0" w:tentative="0">
      <w:start w:val="1"/>
      <w:numFmt w:val="chineseCounting"/>
      <w:suff w:val="nothing"/>
      <w:lvlText w:val="%1、"/>
      <w:lvlJc w:val="left"/>
      <w:rPr>
        <w:rFonts w:hint="eastAsia"/>
      </w:rPr>
    </w:lvl>
  </w:abstractNum>
  <w:abstractNum w:abstractNumId="4">
    <w:nsid w:val="4D844C20"/>
    <w:multiLevelType w:val="singleLevel"/>
    <w:tmpl w:val="4D844C20"/>
    <w:lvl w:ilvl="0" w:tentative="0">
      <w:start w:val="10"/>
      <w:numFmt w:val="chineseCounting"/>
      <w:suff w:val="nothing"/>
      <w:lvlText w:val="%1、"/>
      <w:lvlJc w:val="left"/>
      <w:rPr>
        <w:rFonts w:hint="eastAsia"/>
      </w:rPr>
    </w:lvl>
  </w:abstractNum>
  <w:abstractNum w:abstractNumId="5">
    <w:nsid w:val="4F7D1618"/>
    <w:multiLevelType w:val="singleLevel"/>
    <w:tmpl w:val="4F7D1618"/>
    <w:lvl w:ilvl="0" w:tentative="0">
      <w:start w:val="6"/>
      <w:numFmt w:val="decimal"/>
      <w:suff w:val="nothing"/>
      <w:lvlText w:val="（%1）"/>
      <w:lvlJc w:val="left"/>
    </w:lvl>
  </w:abstractNum>
  <w:abstractNum w:abstractNumId="6">
    <w:nsid w:val="5DF9E985"/>
    <w:multiLevelType w:val="singleLevel"/>
    <w:tmpl w:val="5DF9E985"/>
    <w:lvl w:ilvl="0" w:tentative="0">
      <w:start w:val="1"/>
      <w:numFmt w:val="chineseCounting"/>
      <w:suff w:val="nothing"/>
      <w:lvlText w:val="%1、"/>
      <w:lvlJc w:val="left"/>
      <w:rPr>
        <w:rFonts w:hint="eastAsia"/>
      </w:rPr>
    </w:lvl>
  </w:abstractNum>
  <w:num w:numId="1">
    <w:abstractNumId w:val="2"/>
  </w:num>
  <w:num w:numId="2">
    <w:abstractNumId w:val="0"/>
  </w:num>
  <w:num w:numId="3">
    <w:abstractNumId w:val="5"/>
  </w:num>
  <w:num w:numId="4">
    <w:abstractNumId w:val="4"/>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Full" w:cryptAlgorithmClass="hash" w:cryptAlgorithmType="typeAny" w:cryptAlgorithmSid="4" w:cryptSpinCount="0" w:hash="zDtJMaqJUiFFCak/tINsESiCtI0=" w:salt="xr4Ri+xSjGeaRjE5U2zZjA=="/>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iYjdmYTVhNWFiMjE1Y2E1NDNlZTdhNDMzMjk2M2EifQ=="/>
  </w:docVars>
  <w:rsids>
    <w:rsidRoot w:val="00172A27"/>
    <w:rsid w:val="000001E7"/>
    <w:rsid w:val="00000366"/>
    <w:rsid w:val="0000048D"/>
    <w:rsid w:val="00000716"/>
    <w:rsid w:val="00000A97"/>
    <w:rsid w:val="00000FE5"/>
    <w:rsid w:val="000010F5"/>
    <w:rsid w:val="000013BB"/>
    <w:rsid w:val="0000160B"/>
    <w:rsid w:val="0000181F"/>
    <w:rsid w:val="00002027"/>
    <w:rsid w:val="000026A8"/>
    <w:rsid w:val="0000279E"/>
    <w:rsid w:val="000027A3"/>
    <w:rsid w:val="00002A66"/>
    <w:rsid w:val="00002D43"/>
    <w:rsid w:val="00002DD8"/>
    <w:rsid w:val="00003301"/>
    <w:rsid w:val="000033B4"/>
    <w:rsid w:val="00003461"/>
    <w:rsid w:val="00003C25"/>
    <w:rsid w:val="00003DEE"/>
    <w:rsid w:val="0000402D"/>
    <w:rsid w:val="000043B1"/>
    <w:rsid w:val="00004632"/>
    <w:rsid w:val="0000477D"/>
    <w:rsid w:val="00004A06"/>
    <w:rsid w:val="000052CE"/>
    <w:rsid w:val="00005C76"/>
    <w:rsid w:val="00005E2B"/>
    <w:rsid w:val="00006003"/>
    <w:rsid w:val="000060BC"/>
    <w:rsid w:val="0000620D"/>
    <w:rsid w:val="0000726F"/>
    <w:rsid w:val="000075CD"/>
    <w:rsid w:val="00007683"/>
    <w:rsid w:val="00007872"/>
    <w:rsid w:val="00007A85"/>
    <w:rsid w:val="00007EEE"/>
    <w:rsid w:val="000103E1"/>
    <w:rsid w:val="00010544"/>
    <w:rsid w:val="000106AE"/>
    <w:rsid w:val="00010EB8"/>
    <w:rsid w:val="000121F1"/>
    <w:rsid w:val="00013234"/>
    <w:rsid w:val="0001385B"/>
    <w:rsid w:val="00013BF2"/>
    <w:rsid w:val="00014856"/>
    <w:rsid w:val="00014E8A"/>
    <w:rsid w:val="00015746"/>
    <w:rsid w:val="000159D8"/>
    <w:rsid w:val="00015BFC"/>
    <w:rsid w:val="00015C9A"/>
    <w:rsid w:val="00015CE7"/>
    <w:rsid w:val="000160FF"/>
    <w:rsid w:val="0001703D"/>
    <w:rsid w:val="0002028E"/>
    <w:rsid w:val="0002048F"/>
    <w:rsid w:val="0002053F"/>
    <w:rsid w:val="00020E60"/>
    <w:rsid w:val="00021435"/>
    <w:rsid w:val="00021947"/>
    <w:rsid w:val="00022B83"/>
    <w:rsid w:val="00022BE4"/>
    <w:rsid w:val="00023457"/>
    <w:rsid w:val="00023894"/>
    <w:rsid w:val="00023A16"/>
    <w:rsid w:val="000240E5"/>
    <w:rsid w:val="00024161"/>
    <w:rsid w:val="000243D1"/>
    <w:rsid w:val="000245C3"/>
    <w:rsid w:val="00024AB6"/>
    <w:rsid w:val="00024ACD"/>
    <w:rsid w:val="000251AD"/>
    <w:rsid w:val="000253C6"/>
    <w:rsid w:val="00025792"/>
    <w:rsid w:val="000257F2"/>
    <w:rsid w:val="00025934"/>
    <w:rsid w:val="00025979"/>
    <w:rsid w:val="00025A10"/>
    <w:rsid w:val="00025AF3"/>
    <w:rsid w:val="000267AE"/>
    <w:rsid w:val="00026875"/>
    <w:rsid w:val="000268F6"/>
    <w:rsid w:val="00026927"/>
    <w:rsid w:val="00026992"/>
    <w:rsid w:val="00026F49"/>
    <w:rsid w:val="00027C91"/>
    <w:rsid w:val="000301FB"/>
    <w:rsid w:val="00030269"/>
    <w:rsid w:val="000303F4"/>
    <w:rsid w:val="00030A2C"/>
    <w:rsid w:val="00030D49"/>
    <w:rsid w:val="000310B4"/>
    <w:rsid w:val="00031624"/>
    <w:rsid w:val="00031694"/>
    <w:rsid w:val="000317B4"/>
    <w:rsid w:val="00031FD2"/>
    <w:rsid w:val="000328F5"/>
    <w:rsid w:val="00032E7C"/>
    <w:rsid w:val="00032EA5"/>
    <w:rsid w:val="0003315B"/>
    <w:rsid w:val="00034049"/>
    <w:rsid w:val="000341A1"/>
    <w:rsid w:val="000349A8"/>
    <w:rsid w:val="000354FA"/>
    <w:rsid w:val="0003597C"/>
    <w:rsid w:val="00035A87"/>
    <w:rsid w:val="00035C07"/>
    <w:rsid w:val="00035FE3"/>
    <w:rsid w:val="00036189"/>
    <w:rsid w:val="00036707"/>
    <w:rsid w:val="00036D2F"/>
    <w:rsid w:val="00036D4A"/>
    <w:rsid w:val="0003702E"/>
    <w:rsid w:val="000370F3"/>
    <w:rsid w:val="000371E3"/>
    <w:rsid w:val="00037C85"/>
    <w:rsid w:val="00037EF7"/>
    <w:rsid w:val="000401B0"/>
    <w:rsid w:val="000403CC"/>
    <w:rsid w:val="0004127F"/>
    <w:rsid w:val="00041AB2"/>
    <w:rsid w:val="00041FE8"/>
    <w:rsid w:val="00042C85"/>
    <w:rsid w:val="00042FDE"/>
    <w:rsid w:val="000438B4"/>
    <w:rsid w:val="00043F42"/>
    <w:rsid w:val="000443B7"/>
    <w:rsid w:val="000446BD"/>
    <w:rsid w:val="00044BE6"/>
    <w:rsid w:val="00044FE9"/>
    <w:rsid w:val="000454C8"/>
    <w:rsid w:val="0004642E"/>
    <w:rsid w:val="00046963"/>
    <w:rsid w:val="00046DA6"/>
    <w:rsid w:val="00047604"/>
    <w:rsid w:val="000476DA"/>
    <w:rsid w:val="0005020A"/>
    <w:rsid w:val="000502A1"/>
    <w:rsid w:val="000509E1"/>
    <w:rsid w:val="00050F5A"/>
    <w:rsid w:val="00051025"/>
    <w:rsid w:val="000515BE"/>
    <w:rsid w:val="00051873"/>
    <w:rsid w:val="00051875"/>
    <w:rsid w:val="00051BF8"/>
    <w:rsid w:val="0005282C"/>
    <w:rsid w:val="00052993"/>
    <w:rsid w:val="00052E8B"/>
    <w:rsid w:val="0005301D"/>
    <w:rsid w:val="00053057"/>
    <w:rsid w:val="00053225"/>
    <w:rsid w:val="000533DF"/>
    <w:rsid w:val="00053519"/>
    <w:rsid w:val="00053947"/>
    <w:rsid w:val="00053C58"/>
    <w:rsid w:val="00054F12"/>
    <w:rsid w:val="0005528E"/>
    <w:rsid w:val="00055508"/>
    <w:rsid w:val="00056055"/>
    <w:rsid w:val="00056178"/>
    <w:rsid w:val="000565D0"/>
    <w:rsid w:val="00056641"/>
    <w:rsid w:val="00056B26"/>
    <w:rsid w:val="00056DD2"/>
    <w:rsid w:val="00057386"/>
    <w:rsid w:val="0005754F"/>
    <w:rsid w:val="00057690"/>
    <w:rsid w:val="0005780E"/>
    <w:rsid w:val="00057E84"/>
    <w:rsid w:val="000605FA"/>
    <w:rsid w:val="00060609"/>
    <w:rsid w:val="000608DA"/>
    <w:rsid w:val="00061482"/>
    <w:rsid w:val="00061489"/>
    <w:rsid w:val="00061B13"/>
    <w:rsid w:val="00061D96"/>
    <w:rsid w:val="00061D9D"/>
    <w:rsid w:val="0006240E"/>
    <w:rsid w:val="000625B1"/>
    <w:rsid w:val="00062874"/>
    <w:rsid w:val="00063349"/>
    <w:rsid w:val="000637F9"/>
    <w:rsid w:val="000638D4"/>
    <w:rsid w:val="000639E2"/>
    <w:rsid w:val="00063F74"/>
    <w:rsid w:val="0006479D"/>
    <w:rsid w:val="000648FB"/>
    <w:rsid w:val="00064FF9"/>
    <w:rsid w:val="00065247"/>
    <w:rsid w:val="00065383"/>
    <w:rsid w:val="000657DF"/>
    <w:rsid w:val="00065905"/>
    <w:rsid w:val="00066418"/>
    <w:rsid w:val="000665EC"/>
    <w:rsid w:val="000666F4"/>
    <w:rsid w:val="00066C48"/>
    <w:rsid w:val="00066D1C"/>
    <w:rsid w:val="00066FBA"/>
    <w:rsid w:val="00066FD9"/>
    <w:rsid w:val="000675B3"/>
    <w:rsid w:val="000678DC"/>
    <w:rsid w:val="00067F85"/>
    <w:rsid w:val="00070133"/>
    <w:rsid w:val="00070214"/>
    <w:rsid w:val="00070953"/>
    <w:rsid w:val="00070BF0"/>
    <w:rsid w:val="00070EC9"/>
    <w:rsid w:val="000712AE"/>
    <w:rsid w:val="000716D3"/>
    <w:rsid w:val="00071709"/>
    <w:rsid w:val="00071863"/>
    <w:rsid w:val="00072525"/>
    <w:rsid w:val="00072539"/>
    <w:rsid w:val="0007287D"/>
    <w:rsid w:val="00072B56"/>
    <w:rsid w:val="00072BED"/>
    <w:rsid w:val="00073509"/>
    <w:rsid w:val="000738C8"/>
    <w:rsid w:val="000739F4"/>
    <w:rsid w:val="00073AD4"/>
    <w:rsid w:val="00074470"/>
    <w:rsid w:val="0007467E"/>
    <w:rsid w:val="000746C2"/>
    <w:rsid w:val="00074988"/>
    <w:rsid w:val="0007510E"/>
    <w:rsid w:val="00075493"/>
    <w:rsid w:val="000764E3"/>
    <w:rsid w:val="00076629"/>
    <w:rsid w:val="000768BD"/>
    <w:rsid w:val="00076A3C"/>
    <w:rsid w:val="00076D10"/>
    <w:rsid w:val="00076F10"/>
    <w:rsid w:val="00077067"/>
    <w:rsid w:val="0007744D"/>
    <w:rsid w:val="00077793"/>
    <w:rsid w:val="00077888"/>
    <w:rsid w:val="00080194"/>
    <w:rsid w:val="00080517"/>
    <w:rsid w:val="0008099D"/>
    <w:rsid w:val="00080AF6"/>
    <w:rsid w:val="0008199B"/>
    <w:rsid w:val="00081D56"/>
    <w:rsid w:val="00081EE3"/>
    <w:rsid w:val="00081F53"/>
    <w:rsid w:val="0008237B"/>
    <w:rsid w:val="0008291C"/>
    <w:rsid w:val="00082B45"/>
    <w:rsid w:val="000830AC"/>
    <w:rsid w:val="000830C5"/>
    <w:rsid w:val="000830E5"/>
    <w:rsid w:val="00083EF5"/>
    <w:rsid w:val="00084569"/>
    <w:rsid w:val="0008458D"/>
    <w:rsid w:val="00085826"/>
    <w:rsid w:val="00085A3E"/>
    <w:rsid w:val="00085BB4"/>
    <w:rsid w:val="00085DA3"/>
    <w:rsid w:val="00085DF6"/>
    <w:rsid w:val="00085E3B"/>
    <w:rsid w:val="00085E44"/>
    <w:rsid w:val="00086890"/>
    <w:rsid w:val="00086A86"/>
    <w:rsid w:val="00086C6B"/>
    <w:rsid w:val="00086F28"/>
    <w:rsid w:val="00087061"/>
    <w:rsid w:val="00087117"/>
    <w:rsid w:val="0008734E"/>
    <w:rsid w:val="00087A84"/>
    <w:rsid w:val="000908E8"/>
    <w:rsid w:val="000908F5"/>
    <w:rsid w:val="00090A73"/>
    <w:rsid w:val="00090CB4"/>
    <w:rsid w:val="00090D1E"/>
    <w:rsid w:val="00090E81"/>
    <w:rsid w:val="0009114B"/>
    <w:rsid w:val="0009140A"/>
    <w:rsid w:val="00091B32"/>
    <w:rsid w:val="00091D0B"/>
    <w:rsid w:val="00091F18"/>
    <w:rsid w:val="00092065"/>
    <w:rsid w:val="000926BC"/>
    <w:rsid w:val="0009299B"/>
    <w:rsid w:val="00092F29"/>
    <w:rsid w:val="000930CC"/>
    <w:rsid w:val="0009319D"/>
    <w:rsid w:val="0009362D"/>
    <w:rsid w:val="000937AE"/>
    <w:rsid w:val="00093DEB"/>
    <w:rsid w:val="00093E2D"/>
    <w:rsid w:val="00093F68"/>
    <w:rsid w:val="0009404A"/>
    <w:rsid w:val="000940BD"/>
    <w:rsid w:val="00094731"/>
    <w:rsid w:val="00094C16"/>
    <w:rsid w:val="00095AC7"/>
    <w:rsid w:val="00095C3B"/>
    <w:rsid w:val="00095D49"/>
    <w:rsid w:val="000960CD"/>
    <w:rsid w:val="00096306"/>
    <w:rsid w:val="000965CA"/>
    <w:rsid w:val="000967D6"/>
    <w:rsid w:val="00096B21"/>
    <w:rsid w:val="00096DD4"/>
    <w:rsid w:val="00096F38"/>
    <w:rsid w:val="00097105"/>
    <w:rsid w:val="00097277"/>
    <w:rsid w:val="00097A0F"/>
    <w:rsid w:val="00097A78"/>
    <w:rsid w:val="00097ACA"/>
    <w:rsid w:val="00097B61"/>
    <w:rsid w:val="00097E7D"/>
    <w:rsid w:val="000A0224"/>
    <w:rsid w:val="000A02BC"/>
    <w:rsid w:val="000A04C1"/>
    <w:rsid w:val="000A0726"/>
    <w:rsid w:val="000A0AA4"/>
    <w:rsid w:val="000A0B6E"/>
    <w:rsid w:val="000A0C21"/>
    <w:rsid w:val="000A0FF0"/>
    <w:rsid w:val="000A15A5"/>
    <w:rsid w:val="000A170A"/>
    <w:rsid w:val="000A1A01"/>
    <w:rsid w:val="000A2108"/>
    <w:rsid w:val="000A24C2"/>
    <w:rsid w:val="000A24E9"/>
    <w:rsid w:val="000A2762"/>
    <w:rsid w:val="000A2C07"/>
    <w:rsid w:val="000A3234"/>
    <w:rsid w:val="000A4076"/>
    <w:rsid w:val="000A4710"/>
    <w:rsid w:val="000A49C2"/>
    <w:rsid w:val="000A555C"/>
    <w:rsid w:val="000A5AC3"/>
    <w:rsid w:val="000A5E6B"/>
    <w:rsid w:val="000A6539"/>
    <w:rsid w:val="000A7792"/>
    <w:rsid w:val="000B04F9"/>
    <w:rsid w:val="000B0591"/>
    <w:rsid w:val="000B0964"/>
    <w:rsid w:val="000B0D1F"/>
    <w:rsid w:val="000B11E4"/>
    <w:rsid w:val="000B15DE"/>
    <w:rsid w:val="000B196D"/>
    <w:rsid w:val="000B1A5F"/>
    <w:rsid w:val="000B1DDB"/>
    <w:rsid w:val="000B2278"/>
    <w:rsid w:val="000B26F8"/>
    <w:rsid w:val="000B3AF9"/>
    <w:rsid w:val="000B3CDE"/>
    <w:rsid w:val="000B43AC"/>
    <w:rsid w:val="000B5538"/>
    <w:rsid w:val="000B5B5A"/>
    <w:rsid w:val="000B5DE3"/>
    <w:rsid w:val="000B5F3E"/>
    <w:rsid w:val="000B6175"/>
    <w:rsid w:val="000B6858"/>
    <w:rsid w:val="000B69DE"/>
    <w:rsid w:val="000B6A2C"/>
    <w:rsid w:val="000B763B"/>
    <w:rsid w:val="000B78B2"/>
    <w:rsid w:val="000B79A9"/>
    <w:rsid w:val="000B7F0F"/>
    <w:rsid w:val="000C019B"/>
    <w:rsid w:val="000C022F"/>
    <w:rsid w:val="000C09E5"/>
    <w:rsid w:val="000C0BB2"/>
    <w:rsid w:val="000C0D87"/>
    <w:rsid w:val="000C0E98"/>
    <w:rsid w:val="000C1181"/>
    <w:rsid w:val="000C19AE"/>
    <w:rsid w:val="000C19B4"/>
    <w:rsid w:val="000C1A4E"/>
    <w:rsid w:val="000C1FA9"/>
    <w:rsid w:val="000C2158"/>
    <w:rsid w:val="000C21E8"/>
    <w:rsid w:val="000C285C"/>
    <w:rsid w:val="000C2F46"/>
    <w:rsid w:val="000C3373"/>
    <w:rsid w:val="000C3478"/>
    <w:rsid w:val="000C3EA7"/>
    <w:rsid w:val="000C4083"/>
    <w:rsid w:val="000C4455"/>
    <w:rsid w:val="000C4561"/>
    <w:rsid w:val="000C4739"/>
    <w:rsid w:val="000C4D91"/>
    <w:rsid w:val="000C51D4"/>
    <w:rsid w:val="000C5C42"/>
    <w:rsid w:val="000C6906"/>
    <w:rsid w:val="000C6B3E"/>
    <w:rsid w:val="000C6B70"/>
    <w:rsid w:val="000C7B5B"/>
    <w:rsid w:val="000C7B87"/>
    <w:rsid w:val="000D026D"/>
    <w:rsid w:val="000D05B5"/>
    <w:rsid w:val="000D07A7"/>
    <w:rsid w:val="000D08B3"/>
    <w:rsid w:val="000D0ADC"/>
    <w:rsid w:val="000D0C2C"/>
    <w:rsid w:val="000D0CE0"/>
    <w:rsid w:val="000D158F"/>
    <w:rsid w:val="000D1631"/>
    <w:rsid w:val="000D1CEA"/>
    <w:rsid w:val="000D1FEF"/>
    <w:rsid w:val="000D2385"/>
    <w:rsid w:val="000D2750"/>
    <w:rsid w:val="000D277B"/>
    <w:rsid w:val="000D2B57"/>
    <w:rsid w:val="000D2C64"/>
    <w:rsid w:val="000D2F62"/>
    <w:rsid w:val="000D30D3"/>
    <w:rsid w:val="000D35A7"/>
    <w:rsid w:val="000D35E0"/>
    <w:rsid w:val="000D36D3"/>
    <w:rsid w:val="000D43F5"/>
    <w:rsid w:val="000D4524"/>
    <w:rsid w:val="000D4E47"/>
    <w:rsid w:val="000D4FF3"/>
    <w:rsid w:val="000D50F9"/>
    <w:rsid w:val="000D52E9"/>
    <w:rsid w:val="000D61EE"/>
    <w:rsid w:val="000D6610"/>
    <w:rsid w:val="000D6891"/>
    <w:rsid w:val="000D6AE7"/>
    <w:rsid w:val="000D6C67"/>
    <w:rsid w:val="000D6ED6"/>
    <w:rsid w:val="000D74E3"/>
    <w:rsid w:val="000D7ECE"/>
    <w:rsid w:val="000E0408"/>
    <w:rsid w:val="000E0746"/>
    <w:rsid w:val="000E0D4C"/>
    <w:rsid w:val="000E11E2"/>
    <w:rsid w:val="000E124B"/>
    <w:rsid w:val="000E138A"/>
    <w:rsid w:val="000E14C3"/>
    <w:rsid w:val="000E1DE2"/>
    <w:rsid w:val="000E20BB"/>
    <w:rsid w:val="000E20E3"/>
    <w:rsid w:val="000E21F1"/>
    <w:rsid w:val="000E22EF"/>
    <w:rsid w:val="000E2A43"/>
    <w:rsid w:val="000E2F71"/>
    <w:rsid w:val="000E3248"/>
    <w:rsid w:val="000E3B54"/>
    <w:rsid w:val="000E3F9F"/>
    <w:rsid w:val="000E3FC4"/>
    <w:rsid w:val="000E4161"/>
    <w:rsid w:val="000E4182"/>
    <w:rsid w:val="000E454A"/>
    <w:rsid w:val="000E4600"/>
    <w:rsid w:val="000E4F0B"/>
    <w:rsid w:val="000E50B2"/>
    <w:rsid w:val="000E5165"/>
    <w:rsid w:val="000E5630"/>
    <w:rsid w:val="000E582F"/>
    <w:rsid w:val="000E5BE6"/>
    <w:rsid w:val="000E5C71"/>
    <w:rsid w:val="000E607D"/>
    <w:rsid w:val="000E61C3"/>
    <w:rsid w:val="000E6529"/>
    <w:rsid w:val="000E6E28"/>
    <w:rsid w:val="000E7CAD"/>
    <w:rsid w:val="000F01CC"/>
    <w:rsid w:val="000F03A0"/>
    <w:rsid w:val="000F0599"/>
    <w:rsid w:val="000F0980"/>
    <w:rsid w:val="000F1440"/>
    <w:rsid w:val="000F174D"/>
    <w:rsid w:val="000F1B49"/>
    <w:rsid w:val="000F21E3"/>
    <w:rsid w:val="000F26EA"/>
    <w:rsid w:val="000F2743"/>
    <w:rsid w:val="000F2773"/>
    <w:rsid w:val="000F28AF"/>
    <w:rsid w:val="000F2A54"/>
    <w:rsid w:val="000F2DB6"/>
    <w:rsid w:val="000F2DD9"/>
    <w:rsid w:val="000F2F7A"/>
    <w:rsid w:val="000F3689"/>
    <w:rsid w:val="000F40FC"/>
    <w:rsid w:val="000F4668"/>
    <w:rsid w:val="000F4927"/>
    <w:rsid w:val="000F495B"/>
    <w:rsid w:val="000F4B54"/>
    <w:rsid w:val="000F55DE"/>
    <w:rsid w:val="000F5F38"/>
    <w:rsid w:val="000F65CA"/>
    <w:rsid w:val="000F664B"/>
    <w:rsid w:val="000F6765"/>
    <w:rsid w:val="000F698F"/>
    <w:rsid w:val="000F6C79"/>
    <w:rsid w:val="000F7842"/>
    <w:rsid w:val="000F7927"/>
    <w:rsid w:val="001000D3"/>
    <w:rsid w:val="0010019B"/>
    <w:rsid w:val="001002FB"/>
    <w:rsid w:val="0010031E"/>
    <w:rsid w:val="001008CC"/>
    <w:rsid w:val="001009A7"/>
    <w:rsid w:val="001009B8"/>
    <w:rsid w:val="001011B4"/>
    <w:rsid w:val="00101354"/>
    <w:rsid w:val="001015EB"/>
    <w:rsid w:val="00101757"/>
    <w:rsid w:val="00101758"/>
    <w:rsid w:val="001017C0"/>
    <w:rsid w:val="00101E6C"/>
    <w:rsid w:val="0010217A"/>
    <w:rsid w:val="001022AD"/>
    <w:rsid w:val="0010231C"/>
    <w:rsid w:val="0010247F"/>
    <w:rsid w:val="00102C42"/>
    <w:rsid w:val="00102C4A"/>
    <w:rsid w:val="00102E5D"/>
    <w:rsid w:val="00103293"/>
    <w:rsid w:val="0010335E"/>
    <w:rsid w:val="0010395B"/>
    <w:rsid w:val="00103AB2"/>
    <w:rsid w:val="00103C10"/>
    <w:rsid w:val="00103EE5"/>
    <w:rsid w:val="00103F6D"/>
    <w:rsid w:val="001042A5"/>
    <w:rsid w:val="00104573"/>
    <w:rsid w:val="00104906"/>
    <w:rsid w:val="001049F6"/>
    <w:rsid w:val="00104D25"/>
    <w:rsid w:val="00104E39"/>
    <w:rsid w:val="001057FD"/>
    <w:rsid w:val="00105B97"/>
    <w:rsid w:val="00105D98"/>
    <w:rsid w:val="00105F98"/>
    <w:rsid w:val="00106D0B"/>
    <w:rsid w:val="0010712D"/>
    <w:rsid w:val="001075AA"/>
    <w:rsid w:val="00107A38"/>
    <w:rsid w:val="00107E04"/>
    <w:rsid w:val="001102AA"/>
    <w:rsid w:val="00110556"/>
    <w:rsid w:val="00110A94"/>
    <w:rsid w:val="00110D5A"/>
    <w:rsid w:val="0011108B"/>
    <w:rsid w:val="00112010"/>
    <w:rsid w:val="00112E13"/>
    <w:rsid w:val="00113101"/>
    <w:rsid w:val="00113DDA"/>
    <w:rsid w:val="001145AE"/>
    <w:rsid w:val="00114632"/>
    <w:rsid w:val="00114812"/>
    <w:rsid w:val="00115EBD"/>
    <w:rsid w:val="0011643A"/>
    <w:rsid w:val="0012067C"/>
    <w:rsid w:val="00120B52"/>
    <w:rsid w:val="001211FC"/>
    <w:rsid w:val="001212CE"/>
    <w:rsid w:val="001215E7"/>
    <w:rsid w:val="00121AD3"/>
    <w:rsid w:val="00121BBD"/>
    <w:rsid w:val="00121DCE"/>
    <w:rsid w:val="0012224E"/>
    <w:rsid w:val="001230C7"/>
    <w:rsid w:val="001235A0"/>
    <w:rsid w:val="00123733"/>
    <w:rsid w:val="00123871"/>
    <w:rsid w:val="0012389A"/>
    <w:rsid w:val="001238F8"/>
    <w:rsid w:val="00123910"/>
    <w:rsid w:val="00123CA5"/>
    <w:rsid w:val="00123DA5"/>
    <w:rsid w:val="00124508"/>
    <w:rsid w:val="001248CE"/>
    <w:rsid w:val="00124A76"/>
    <w:rsid w:val="00124EA0"/>
    <w:rsid w:val="00125155"/>
    <w:rsid w:val="00125613"/>
    <w:rsid w:val="00125742"/>
    <w:rsid w:val="001257BC"/>
    <w:rsid w:val="00125D14"/>
    <w:rsid w:val="00125E17"/>
    <w:rsid w:val="0012631D"/>
    <w:rsid w:val="001264DD"/>
    <w:rsid w:val="00126799"/>
    <w:rsid w:val="00126DA3"/>
    <w:rsid w:val="00130020"/>
    <w:rsid w:val="00131893"/>
    <w:rsid w:val="001318A4"/>
    <w:rsid w:val="001319AD"/>
    <w:rsid w:val="001326D6"/>
    <w:rsid w:val="0013299B"/>
    <w:rsid w:val="00132EA0"/>
    <w:rsid w:val="001337A8"/>
    <w:rsid w:val="00133CE4"/>
    <w:rsid w:val="00134207"/>
    <w:rsid w:val="00134265"/>
    <w:rsid w:val="0013446A"/>
    <w:rsid w:val="00134D71"/>
    <w:rsid w:val="0013634C"/>
    <w:rsid w:val="001364E7"/>
    <w:rsid w:val="00136522"/>
    <w:rsid w:val="00136F32"/>
    <w:rsid w:val="001373F4"/>
    <w:rsid w:val="00137922"/>
    <w:rsid w:val="00137ABA"/>
    <w:rsid w:val="00137C07"/>
    <w:rsid w:val="0014059C"/>
    <w:rsid w:val="00140ADD"/>
    <w:rsid w:val="00141225"/>
    <w:rsid w:val="00141721"/>
    <w:rsid w:val="00141F7B"/>
    <w:rsid w:val="0014209C"/>
    <w:rsid w:val="0014220D"/>
    <w:rsid w:val="001433B7"/>
    <w:rsid w:val="00143681"/>
    <w:rsid w:val="00143ED2"/>
    <w:rsid w:val="001440F1"/>
    <w:rsid w:val="0014414C"/>
    <w:rsid w:val="0014490D"/>
    <w:rsid w:val="00144AA3"/>
    <w:rsid w:val="00144E27"/>
    <w:rsid w:val="00145334"/>
    <w:rsid w:val="001453EA"/>
    <w:rsid w:val="0014545B"/>
    <w:rsid w:val="00145BB1"/>
    <w:rsid w:val="00146777"/>
    <w:rsid w:val="00146811"/>
    <w:rsid w:val="00146AB4"/>
    <w:rsid w:val="0014708A"/>
    <w:rsid w:val="001471F7"/>
    <w:rsid w:val="00147490"/>
    <w:rsid w:val="00150218"/>
    <w:rsid w:val="001509EB"/>
    <w:rsid w:val="001510D1"/>
    <w:rsid w:val="001510EE"/>
    <w:rsid w:val="00151589"/>
    <w:rsid w:val="00151786"/>
    <w:rsid w:val="001519CE"/>
    <w:rsid w:val="00151F80"/>
    <w:rsid w:val="001523B4"/>
    <w:rsid w:val="00152778"/>
    <w:rsid w:val="001527B8"/>
    <w:rsid w:val="001527D7"/>
    <w:rsid w:val="00152C02"/>
    <w:rsid w:val="00153DBF"/>
    <w:rsid w:val="00154260"/>
    <w:rsid w:val="00154C93"/>
    <w:rsid w:val="00154DA7"/>
    <w:rsid w:val="00154EBC"/>
    <w:rsid w:val="0015549A"/>
    <w:rsid w:val="00155BEF"/>
    <w:rsid w:val="00155E39"/>
    <w:rsid w:val="00156C99"/>
    <w:rsid w:val="00156DAB"/>
    <w:rsid w:val="001572CC"/>
    <w:rsid w:val="00157E05"/>
    <w:rsid w:val="0016028E"/>
    <w:rsid w:val="001604B4"/>
    <w:rsid w:val="001615E0"/>
    <w:rsid w:val="00161CB3"/>
    <w:rsid w:val="00162689"/>
    <w:rsid w:val="00162955"/>
    <w:rsid w:val="00162A34"/>
    <w:rsid w:val="00162C68"/>
    <w:rsid w:val="00163048"/>
    <w:rsid w:val="00163161"/>
    <w:rsid w:val="00163430"/>
    <w:rsid w:val="001635F9"/>
    <w:rsid w:val="00163795"/>
    <w:rsid w:val="00163A92"/>
    <w:rsid w:val="00164A30"/>
    <w:rsid w:val="00164C0A"/>
    <w:rsid w:val="00165378"/>
    <w:rsid w:val="00166168"/>
    <w:rsid w:val="00166196"/>
    <w:rsid w:val="0016676B"/>
    <w:rsid w:val="001674B1"/>
    <w:rsid w:val="00167AA5"/>
    <w:rsid w:val="00167F10"/>
    <w:rsid w:val="0017003D"/>
    <w:rsid w:val="00170337"/>
    <w:rsid w:val="00170A24"/>
    <w:rsid w:val="00170FB5"/>
    <w:rsid w:val="00171713"/>
    <w:rsid w:val="00171B95"/>
    <w:rsid w:val="00171C15"/>
    <w:rsid w:val="00171FB8"/>
    <w:rsid w:val="00172212"/>
    <w:rsid w:val="0017248D"/>
    <w:rsid w:val="00172726"/>
    <w:rsid w:val="00172A27"/>
    <w:rsid w:val="001730DD"/>
    <w:rsid w:val="00173154"/>
    <w:rsid w:val="00173A6A"/>
    <w:rsid w:val="00173A94"/>
    <w:rsid w:val="00173CC0"/>
    <w:rsid w:val="0017415E"/>
    <w:rsid w:val="001742B5"/>
    <w:rsid w:val="00174A8B"/>
    <w:rsid w:val="00174C64"/>
    <w:rsid w:val="00174CC3"/>
    <w:rsid w:val="001752C8"/>
    <w:rsid w:val="001758F8"/>
    <w:rsid w:val="00175F4C"/>
    <w:rsid w:val="0017634A"/>
    <w:rsid w:val="001764BD"/>
    <w:rsid w:val="00176A73"/>
    <w:rsid w:val="00176FD0"/>
    <w:rsid w:val="00177738"/>
    <w:rsid w:val="001804B7"/>
    <w:rsid w:val="00180808"/>
    <w:rsid w:val="0018107A"/>
    <w:rsid w:val="00181822"/>
    <w:rsid w:val="00181A4A"/>
    <w:rsid w:val="00181B8E"/>
    <w:rsid w:val="00182640"/>
    <w:rsid w:val="00182982"/>
    <w:rsid w:val="00182BBD"/>
    <w:rsid w:val="00182CD2"/>
    <w:rsid w:val="00182F4F"/>
    <w:rsid w:val="00182FC7"/>
    <w:rsid w:val="001830B4"/>
    <w:rsid w:val="00183288"/>
    <w:rsid w:val="00183588"/>
    <w:rsid w:val="00183925"/>
    <w:rsid w:val="001839D3"/>
    <w:rsid w:val="00184282"/>
    <w:rsid w:val="001844AB"/>
    <w:rsid w:val="00184B06"/>
    <w:rsid w:val="001852E1"/>
    <w:rsid w:val="00185760"/>
    <w:rsid w:val="00185B61"/>
    <w:rsid w:val="00185DC6"/>
    <w:rsid w:val="00185F2E"/>
    <w:rsid w:val="0018665C"/>
    <w:rsid w:val="001868FA"/>
    <w:rsid w:val="00186987"/>
    <w:rsid w:val="001869B4"/>
    <w:rsid w:val="00186B06"/>
    <w:rsid w:val="00186F2B"/>
    <w:rsid w:val="00187C59"/>
    <w:rsid w:val="00187DCD"/>
    <w:rsid w:val="0019095C"/>
    <w:rsid w:val="00191012"/>
    <w:rsid w:val="00191849"/>
    <w:rsid w:val="001919AB"/>
    <w:rsid w:val="001926A1"/>
    <w:rsid w:val="001926DB"/>
    <w:rsid w:val="001929F3"/>
    <w:rsid w:val="00192E37"/>
    <w:rsid w:val="001930D0"/>
    <w:rsid w:val="00193339"/>
    <w:rsid w:val="0019344B"/>
    <w:rsid w:val="00193A98"/>
    <w:rsid w:val="00193ACE"/>
    <w:rsid w:val="00194309"/>
    <w:rsid w:val="00194399"/>
    <w:rsid w:val="00194497"/>
    <w:rsid w:val="001945FA"/>
    <w:rsid w:val="00194CEE"/>
    <w:rsid w:val="00195064"/>
    <w:rsid w:val="00195CAF"/>
    <w:rsid w:val="00195E05"/>
    <w:rsid w:val="00196043"/>
    <w:rsid w:val="0019608F"/>
    <w:rsid w:val="00196A25"/>
    <w:rsid w:val="0019740F"/>
    <w:rsid w:val="00197614"/>
    <w:rsid w:val="00197905"/>
    <w:rsid w:val="00197A74"/>
    <w:rsid w:val="00197E59"/>
    <w:rsid w:val="00197EE5"/>
    <w:rsid w:val="001A02FB"/>
    <w:rsid w:val="001A0865"/>
    <w:rsid w:val="001A08CE"/>
    <w:rsid w:val="001A090E"/>
    <w:rsid w:val="001A0BDD"/>
    <w:rsid w:val="001A1192"/>
    <w:rsid w:val="001A1655"/>
    <w:rsid w:val="001A18F8"/>
    <w:rsid w:val="001A1C5C"/>
    <w:rsid w:val="001A2017"/>
    <w:rsid w:val="001A2246"/>
    <w:rsid w:val="001A2A66"/>
    <w:rsid w:val="001A3083"/>
    <w:rsid w:val="001A3486"/>
    <w:rsid w:val="001A3DD7"/>
    <w:rsid w:val="001A3EC8"/>
    <w:rsid w:val="001A4294"/>
    <w:rsid w:val="001A440B"/>
    <w:rsid w:val="001A49A2"/>
    <w:rsid w:val="001A4D6E"/>
    <w:rsid w:val="001A4F45"/>
    <w:rsid w:val="001A5682"/>
    <w:rsid w:val="001A5765"/>
    <w:rsid w:val="001A5C3E"/>
    <w:rsid w:val="001A5DEA"/>
    <w:rsid w:val="001A5F9E"/>
    <w:rsid w:val="001A617A"/>
    <w:rsid w:val="001A6233"/>
    <w:rsid w:val="001A6A14"/>
    <w:rsid w:val="001A73B5"/>
    <w:rsid w:val="001A76EF"/>
    <w:rsid w:val="001A790B"/>
    <w:rsid w:val="001A7A2D"/>
    <w:rsid w:val="001A7B8F"/>
    <w:rsid w:val="001B080F"/>
    <w:rsid w:val="001B1096"/>
    <w:rsid w:val="001B1458"/>
    <w:rsid w:val="001B145C"/>
    <w:rsid w:val="001B16A2"/>
    <w:rsid w:val="001B1732"/>
    <w:rsid w:val="001B1CD2"/>
    <w:rsid w:val="001B2C6A"/>
    <w:rsid w:val="001B3B89"/>
    <w:rsid w:val="001B4283"/>
    <w:rsid w:val="001B4A4F"/>
    <w:rsid w:val="001B4B1D"/>
    <w:rsid w:val="001B4BCC"/>
    <w:rsid w:val="001B4D55"/>
    <w:rsid w:val="001B5B48"/>
    <w:rsid w:val="001B5D49"/>
    <w:rsid w:val="001B5D93"/>
    <w:rsid w:val="001B5E64"/>
    <w:rsid w:val="001B5F81"/>
    <w:rsid w:val="001B5FD7"/>
    <w:rsid w:val="001B652F"/>
    <w:rsid w:val="001B6F32"/>
    <w:rsid w:val="001C00F2"/>
    <w:rsid w:val="001C0186"/>
    <w:rsid w:val="001C0C1B"/>
    <w:rsid w:val="001C114E"/>
    <w:rsid w:val="001C1981"/>
    <w:rsid w:val="001C19A8"/>
    <w:rsid w:val="001C1D66"/>
    <w:rsid w:val="001C1DBF"/>
    <w:rsid w:val="001C203B"/>
    <w:rsid w:val="001C2342"/>
    <w:rsid w:val="001C2851"/>
    <w:rsid w:val="001C294A"/>
    <w:rsid w:val="001C2A82"/>
    <w:rsid w:val="001C32D4"/>
    <w:rsid w:val="001C3305"/>
    <w:rsid w:val="001C3451"/>
    <w:rsid w:val="001C3CCF"/>
    <w:rsid w:val="001C4F09"/>
    <w:rsid w:val="001C58BE"/>
    <w:rsid w:val="001C58C9"/>
    <w:rsid w:val="001C5C12"/>
    <w:rsid w:val="001C5FC5"/>
    <w:rsid w:val="001C6936"/>
    <w:rsid w:val="001C6FAE"/>
    <w:rsid w:val="001C7CF3"/>
    <w:rsid w:val="001C7EE9"/>
    <w:rsid w:val="001C7F27"/>
    <w:rsid w:val="001D0D67"/>
    <w:rsid w:val="001D126E"/>
    <w:rsid w:val="001D14E2"/>
    <w:rsid w:val="001D18E5"/>
    <w:rsid w:val="001D1965"/>
    <w:rsid w:val="001D19EC"/>
    <w:rsid w:val="001D1E61"/>
    <w:rsid w:val="001D2055"/>
    <w:rsid w:val="001D2365"/>
    <w:rsid w:val="001D2837"/>
    <w:rsid w:val="001D3221"/>
    <w:rsid w:val="001D3315"/>
    <w:rsid w:val="001D434C"/>
    <w:rsid w:val="001D43D7"/>
    <w:rsid w:val="001D4409"/>
    <w:rsid w:val="001D4ADD"/>
    <w:rsid w:val="001D4D5D"/>
    <w:rsid w:val="001D4FDB"/>
    <w:rsid w:val="001D5D2C"/>
    <w:rsid w:val="001D5E55"/>
    <w:rsid w:val="001D5F05"/>
    <w:rsid w:val="001D6124"/>
    <w:rsid w:val="001D6444"/>
    <w:rsid w:val="001D65F1"/>
    <w:rsid w:val="001D6CEF"/>
    <w:rsid w:val="001D6D36"/>
    <w:rsid w:val="001D708C"/>
    <w:rsid w:val="001D7146"/>
    <w:rsid w:val="001D7954"/>
    <w:rsid w:val="001D7A13"/>
    <w:rsid w:val="001D7EFE"/>
    <w:rsid w:val="001E10B4"/>
    <w:rsid w:val="001E1140"/>
    <w:rsid w:val="001E1884"/>
    <w:rsid w:val="001E26E8"/>
    <w:rsid w:val="001E2FE6"/>
    <w:rsid w:val="001E3479"/>
    <w:rsid w:val="001E3BD5"/>
    <w:rsid w:val="001E3E65"/>
    <w:rsid w:val="001E4887"/>
    <w:rsid w:val="001E4A29"/>
    <w:rsid w:val="001E4FCA"/>
    <w:rsid w:val="001E5932"/>
    <w:rsid w:val="001E5B73"/>
    <w:rsid w:val="001E64E4"/>
    <w:rsid w:val="001E67EA"/>
    <w:rsid w:val="001E6905"/>
    <w:rsid w:val="001E6F56"/>
    <w:rsid w:val="001E78AA"/>
    <w:rsid w:val="001F0080"/>
    <w:rsid w:val="001F04FF"/>
    <w:rsid w:val="001F05F9"/>
    <w:rsid w:val="001F09C4"/>
    <w:rsid w:val="001F0D9A"/>
    <w:rsid w:val="001F124C"/>
    <w:rsid w:val="001F2A99"/>
    <w:rsid w:val="001F2B54"/>
    <w:rsid w:val="001F30EB"/>
    <w:rsid w:val="001F316D"/>
    <w:rsid w:val="001F32B2"/>
    <w:rsid w:val="001F3701"/>
    <w:rsid w:val="001F3DAE"/>
    <w:rsid w:val="001F4286"/>
    <w:rsid w:val="001F4695"/>
    <w:rsid w:val="001F4779"/>
    <w:rsid w:val="001F4F01"/>
    <w:rsid w:val="001F556E"/>
    <w:rsid w:val="001F5B99"/>
    <w:rsid w:val="001F60A1"/>
    <w:rsid w:val="001F6190"/>
    <w:rsid w:val="001F66B7"/>
    <w:rsid w:val="001F67F4"/>
    <w:rsid w:val="001F6894"/>
    <w:rsid w:val="001F6927"/>
    <w:rsid w:val="001F7113"/>
    <w:rsid w:val="001F7274"/>
    <w:rsid w:val="001F7C3F"/>
    <w:rsid w:val="001F7DCE"/>
    <w:rsid w:val="00200103"/>
    <w:rsid w:val="00200DCD"/>
    <w:rsid w:val="002017D7"/>
    <w:rsid w:val="00201B8C"/>
    <w:rsid w:val="00202489"/>
    <w:rsid w:val="002025CA"/>
    <w:rsid w:val="00202898"/>
    <w:rsid w:val="002034F7"/>
    <w:rsid w:val="0020396D"/>
    <w:rsid w:val="00203A07"/>
    <w:rsid w:val="00203F79"/>
    <w:rsid w:val="00204133"/>
    <w:rsid w:val="0020434F"/>
    <w:rsid w:val="002043A9"/>
    <w:rsid w:val="00204EBB"/>
    <w:rsid w:val="00204FF5"/>
    <w:rsid w:val="00205338"/>
    <w:rsid w:val="00205CC8"/>
    <w:rsid w:val="002070A1"/>
    <w:rsid w:val="002072F7"/>
    <w:rsid w:val="002073DA"/>
    <w:rsid w:val="002077A0"/>
    <w:rsid w:val="00207A83"/>
    <w:rsid w:val="00207DBE"/>
    <w:rsid w:val="00210477"/>
    <w:rsid w:val="00210B7D"/>
    <w:rsid w:val="0021162F"/>
    <w:rsid w:val="00211969"/>
    <w:rsid w:val="00211B24"/>
    <w:rsid w:val="002120CA"/>
    <w:rsid w:val="002121A4"/>
    <w:rsid w:val="00212C64"/>
    <w:rsid w:val="00212D31"/>
    <w:rsid w:val="002134D4"/>
    <w:rsid w:val="002135AC"/>
    <w:rsid w:val="002139F8"/>
    <w:rsid w:val="00214A5D"/>
    <w:rsid w:val="00215193"/>
    <w:rsid w:val="002152CB"/>
    <w:rsid w:val="00215C58"/>
    <w:rsid w:val="00215D65"/>
    <w:rsid w:val="00215DF0"/>
    <w:rsid w:val="00215F4D"/>
    <w:rsid w:val="00216376"/>
    <w:rsid w:val="00216C88"/>
    <w:rsid w:val="00216D2E"/>
    <w:rsid w:val="00216EF0"/>
    <w:rsid w:val="0021762C"/>
    <w:rsid w:val="00217E65"/>
    <w:rsid w:val="0022081A"/>
    <w:rsid w:val="00221D09"/>
    <w:rsid w:val="00221E8B"/>
    <w:rsid w:val="00221F12"/>
    <w:rsid w:val="002224E1"/>
    <w:rsid w:val="0022256E"/>
    <w:rsid w:val="00222A15"/>
    <w:rsid w:val="00222D68"/>
    <w:rsid w:val="00223430"/>
    <w:rsid w:val="002235F9"/>
    <w:rsid w:val="0022378A"/>
    <w:rsid w:val="00223D37"/>
    <w:rsid w:val="00223E0B"/>
    <w:rsid w:val="0022414A"/>
    <w:rsid w:val="002241C8"/>
    <w:rsid w:val="0022420C"/>
    <w:rsid w:val="00224A3C"/>
    <w:rsid w:val="00224C05"/>
    <w:rsid w:val="00224C6E"/>
    <w:rsid w:val="00224C85"/>
    <w:rsid w:val="00224DA3"/>
    <w:rsid w:val="00224EB4"/>
    <w:rsid w:val="0022571B"/>
    <w:rsid w:val="00225DDD"/>
    <w:rsid w:val="00225ECC"/>
    <w:rsid w:val="00225F7F"/>
    <w:rsid w:val="00226942"/>
    <w:rsid w:val="00226DDF"/>
    <w:rsid w:val="00226FCB"/>
    <w:rsid w:val="002272D4"/>
    <w:rsid w:val="002272F4"/>
    <w:rsid w:val="00227D01"/>
    <w:rsid w:val="00230294"/>
    <w:rsid w:val="002302F9"/>
    <w:rsid w:val="00230602"/>
    <w:rsid w:val="0023180B"/>
    <w:rsid w:val="0023198F"/>
    <w:rsid w:val="002320AD"/>
    <w:rsid w:val="002320BF"/>
    <w:rsid w:val="00232190"/>
    <w:rsid w:val="00233437"/>
    <w:rsid w:val="00233D32"/>
    <w:rsid w:val="0023419F"/>
    <w:rsid w:val="002346A9"/>
    <w:rsid w:val="00234961"/>
    <w:rsid w:val="00234CAB"/>
    <w:rsid w:val="00234CCD"/>
    <w:rsid w:val="00234D51"/>
    <w:rsid w:val="0023514C"/>
    <w:rsid w:val="0023528F"/>
    <w:rsid w:val="002359D6"/>
    <w:rsid w:val="00235BF2"/>
    <w:rsid w:val="00235F64"/>
    <w:rsid w:val="002363CB"/>
    <w:rsid w:val="002365EA"/>
    <w:rsid w:val="00236C44"/>
    <w:rsid w:val="00236EC2"/>
    <w:rsid w:val="00236EC9"/>
    <w:rsid w:val="00236F9A"/>
    <w:rsid w:val="00237357"/>
    <w:rsid w:val="0023739F"/>
    <w:rsid w:val="00237663"/>
    <w:rsid w:val="0024023F"/>
    <w:rsid w:val="002405EF"/>
    <w:rsid w:val="002409AD"/>
    <w:rsid w:val="00240BD4"/>
    <w:rsid w:val="0024180B"/>
    <w:rsid w:val="00241990"/>
    <w:rsid w:val="00241A1C"/>
    <w:rsid w:val="00241A8F"/>
    <w:rsid w:val="00241B97"/>
    <w:rsid w:val="00241EFC"/>
    <w:rsid w:val="00243008"/>
    <w:rsid w:val="00243A69"/>
    <w:rsid w:val="00244260"/>
    <w:rsid w:val="0024453E"/>
    <w:rsid w:val="0024465B"/>
    <w:rsid w:val="002449C8"/>
    <w:rsid w:val="002449CF"/>
    <w:rsid w:val="00244C8A"/>
    <w:rsid w:val="002452A6"/>
    <w:rsid w:val="002456CF"/>
    <w:rsid w:val="002457DE"/>
    <w:rsid w:val="0024596F"/>
    <w:rsid w:val="002459A5"/>
    <w:rsid w:val="00245FA9"/>
    <w:rsid w:val="002465D7"/>
    <w:rsid w:val="002468E6"/>
    <w:rsid w:val="00246906"/>
    <w:rsid w:val="00246F2F"/>
    <w:rsid w:val="00246FEB"/>
    <w:rsid w:val="0024707A"/>
    <w:rsid w:val="002470C7"/>
    <w:rsid w:val="002474E2"/>
    <w:rsid w:val="0024772C"/>
    <w:rsid w:val="0024788C"/>
    <w:rsid w:val="00247FA7"/>
    <w:rsid w:val="00250177"/>
    <w:rsid w:val="00250397"/>
    <w:rsid w:val="002507C6"/>
    <w:rsid w:val="00250D34"/>
    <w:rsid w:val="002511F1"/>
    <w:rsid w:val="002514C2"/>
    <w:rsid w:val="00251AB8"/>
    <w:rsid w:val="002520FF"/>
    <w:rsid w:val="002521D4"/>
    <w:rsid w:val="00252288"/>
    <w:rsid w:val="002524F8"/>
    <w:rsid w:val="00252632"/>
    <w:rsid w:val="00252BBD"/>
    <w:rsid w:val="002531D5"/>
    <w:rsid w:val="002532A9"/>
    <w:rsid w:val="002532FF"/>
    <w:rsid w:val="00253371"/>
    <w:rsid w:val="002536DE"/>
    <w:rsid w:val="002537F7"/>
    <w:rsid w:val="0025428D"/>
    <w:rsid w:val="002547D7"/>
    <w:rsid w:val="002552D8"/>
    <w:rsid w:val="0025532F"/>
    <w:rsid w:val="002553B6"/>
    <w:rsid w:val="0025578E"/>
    <w:rsid w:val="002559BB"/>
    <w:rsid w:val="00256597"/>
    <w:rsid w:val="0025666D"/>
    <w:rsid w:val="0025681A"/>
    <w:rsid w:val="00256908"/>
    <w:rsid w:val="00256EE0"/>
    <w:rsid w:val="0025779F"/>
    <w:rsid w:val="00257805"/>
    <w:rsid w:val="002578F3"/>
    <w:rsid w:val="0026007A"/>
    <w:rsid w:val="00260278"/>
    <w:rsid w:val="00260A38"/>
    <w:rsid w:val="00260DC2"/>
    <w:rsid w:val="00260E29"/>
    <w:rsid w:val="002611EA"/>
    <w:rsid w:val="0026178F"/>
    <w:rsid w:val="00261D59"/>
    <w:rsid w:val="00261DB1"/>
    <w:rsid w:val="00261EE6"/>
    <w:rsid w:val="00262015"/>
    <w:rsid w:val="002625A4"/>
    <w:rsid w:val="00262815"/>
    <w:rsid w:val="00262A9F"/>
    <w:rsid w:val="00262C1C"/>
    <w:rsid w:val="00262FAA"/>
    <w:rsid w:val="00262FED"/>
    <w:rsid w:val="002631F9"/>
    <w:rsid w:val="0026346A"/>
    <w:rsid w:val="0026353F"/>
    <w:rsid w:val="00263832"/>
    <w:rsid w:val="00263AE3"/>
    <w:rsid w:val="00263EDF"/>
    <w:rsid w:val="00264FB8"/>
    <w:rsid w:val="00265295"/>
    <w:rsid w:val="0026541D"/>
    <w:rsid w:val="0026678F"/>
    <w:rsid w:val="0026682E"/>
    <w:rsid w:val="0026688E"/>
    <w:rsid w:val="00266B65"/>
    <w:rsid w:val="00266B96"/>
    <w:rsid w:val="00266CE6"/>
    <w:rsid w:val="00267345"/>
    <w:rsid w:val="002679D8"/>
    <w:rsid w:val="00270638"/>
    <w:rsid w:val="002707D5"/>
    <w:rsid w:val="00270AB8"/>
    <w:rsid w:val="0027122A"/>
    <w:rsid w:val="00271386"/>
    <w:rsid w:val="00271861"/>
    <w:rsid w:val="00271AC0"/>
    <w:rsid w:val="00272AD9"/>
    <w:rsid w:val="00272C03"/>
    <w:rsid w:val="00273221"/>
    <w:rsid w:val="0027329A"/>
    <w:rsid w:val="00273613"/>
    <w:rsid w:val="002739F2"/>
    <w:rsid w:val="00273B96"/>
    <w:rsid w:val="00273BD1"/>
    <w:rsid w:val="00273C81"/>
    <w:rsid w:val="002742E6"/>
    <w:rsid w:val="0027510C"/>
    <w:rsid w:val="0027555D"/>
    <w:rsid w:val="00275F97"/>
    <w:rsid w:val="0027668B"/>
    <w:rsid w:val="002766F1"/>
    <w:rsid w:val="00276B6B"/>
    <w:rsid w:val="00276F30"/>
    <w:rsid w:val="00276FDD"/>
    <w:rsid w:val="00277054"/>
    <w:rsid w:val="0027723D"/>
    <w:rsid w:val="002772C2"/>
    <w:rsid w:val="00277331"/>
    <w:rsid w:val="00277C97"/>
    <w:rsid w:val="00277F45"/>
    <w:rsid w:val="00280670"/>
    <w:rsid w:val="00280C26"/>
    <w:rsid w:val="00280C70"/>
    <w:rsid w:val="00280C9A"/>
    <w:rsid w:val="00281303"/>
    <w:rsid w:val="00282008"/>
    <w:rsid w:val="002826CD"/>
    <w:rsid w:val="00282946"/>
    <w:rsid w:val="00282BA7"/>
    <w:rsid w:val="0028326D"/>
    <w:rsid w:val="0028335D"/>
    <w:rsid w:val="00283816"/>
    <w:rsid w:val="00283C52"/>
    <w:rsid w:val="00283FF7"/>
    <w:rsid w:val="00284407"/>
    <w:rsid w:val="00284744"/>
    <w:rsid w:val="00284C5D"/>
    <w:rsid w:val="00284E0B"/>
    <w:rsid w:val="00284FB9"/>
    <w:rsid w:val="002851CE"/>
    <w:rsid w:val="002853A3"/>
    <w:rsid w:val="00285437"/>
    <w:rsid w:val="00285600"/>
    <w:rsid w:val="00285D23"/>
    <w:rsid w:val="002865DA"/>
    <w:rsid w:val="00286814"/>
    <w:rsid w:val="00286DB4"/>
    <w:rsid w:val="0028710A"/>
    <w:rsid w:val="0028718F"/>
    <w:rsid w:val="002900B8"/>
    <w:rsid w:val="00290127"/>
    <w:rsid w:val="002906DB"/>
    <w:rsid w:val="00290D63"/>
    <w:rsid w:val="002916C2"/>
    <w:rsid w:val="0029191D"/>
    <w:rsid w:val="002919DF"/>
    <w:rsid w:val="0029200F"/>
    <w:rsid w:val="002926C7"/>
    <w:rsid w:val="00292C53"/>
    <w:rsid w:val="00292D66"/>
    <w:rsid w:val="00292EEE"/>
    <w:rsid w:val="0029314A"/>
    <w:rsid w:val="002931F5"/>
    <w:rsid w:val="00293247"/>
    <w:rsid w:val="002939F5"/>
    <w:rsid w:val="002943B7"/>
    <w:rsid w:val="00294A28"/>
    <w:rsid w:val="0029539B"/>
    <w:rsid w:val="002954E4"/>
    <w:rsid w:val="002956EC"/>
    <w:rsid w:val="00296340"/>
    <w:rsid w:val="00296378"/>
    <w:rsid w:val="002965EB"/>
    <w:rsid w:val="00296958"/>
    <w:rsid w:val="00296BD3"/>
    <w:rsid w:val="00296E8C"/>
    <w:rsid w:val="00297586"/>
    <w:rsid w:val="00297A0F"/>
    <w:rsid w:val="00297A8B"/>
    <w:rsid w:val="00297A8D"/>
    <w:rsid w:val="00297B8F"/>
    <w:rsid w:val="002A18CA"/>
    <w:rsid w:val="002A193F"/>
    <w:rsid w:val="002A1FC0"/>
    <w:rsid w:val="002A298F"/>
    <w:rsid w:val="002A29AB"/>
    <w:rsid w:val="002A29C1"/>
    <w:rsid w:val="002A38A2"/>
    <w:rsid w:val="002A3EAF"/>
    <w:rsid w:val="002A4180"/>
    <w:rsid w:val="002A4215"/>
    <w:rsid w:val="002A4458"/>
    <w:rsid w:val="002A473C"/>
    <w:rsid w:val="002A4914"/>
    <w:rsid w:val="002A4B58"/>
    <w:rsid w:val="002A508B"/>
    <w:rsid w:val="002A5111"/>
    <w:rsid w:val="002A52F1"/>
    <w:rsid w:val="002A54D4"/>
    <w:rsid w:val="002A5CCF"/>
    <w:rsid w:val="002A611C"/>
    <w:rsid w:val="002A6C4B"/>
    <w:rsid w:val="002A6E8D"/>
    <w:rsid w:val="002A6F04"/>
    <w:rsid w:val="002A7029"/>
    <w:rsid w:val="002A730A"/>
    <w:rsid w:val="002B0837"/>
    <w:rsid w:val="002B0BA4"/>
    <w:rsid w:val="002B0BBB"/>
    <w:rsid w:val="002B0F45"/>
    <w:rsid w:val="002B1204"/>
    <w:rsid w:val="002B145E"/>
    <w:rsid w:val="002B154F"/>
    <w:rsid w:val="002B1567"/>
    <w:rsid w:val="002B1BCB"/>
    <w:rsid w:val="002B1E34"/>
    <w:rsid w:val="002B24FC"/>
    <w:rsid w:val="002B268B"/>
    <w:rsid w:val="002B2873"/>
    <w:rsid w:val="002B2AF6"/>
    <w:rsid w:val="002B2CAF"/>
    <w:rsid w:val="002B2E2A"/>
    <w:rsid w:val="002B2F5B"/>
    <w:rsid w:val="002B30CC"/>
    <w:rsid w:val="002B32C4"/>
    <w:rsid w:val="002B3686"/>
    <w:rsid w:val="002B36CE"/>
    <w:rsid w:val="002B3751"/>
    <w:rsid w:val="002B3959"/>
    <w:rsid w:val="002B408A"/>
    <w:rsid w:val="002B4661"/>
    <w:rsid w:val="002B4C53"/>
    <w:rsid w:val="002B4CE0"/>
    <w:rsid w:val="002B4D33"/>
    <w:rsid w:val="002B4E0C"/>
    <w:rsid w:val="002B4E1B"/>
    <w:rsid w:val="002B5168"/>
    <w:rsid w:val="002B581C"/>
    <w:rsid w:val="002B5A10"/>
    <w:rsid w:val="002B5ACB"/>
    <w:rsid w:val="002B5CA4"/>
    <w:rsid w:val="002B60AC"/>
    <w:rsid w:val="002B623D"/>
    <w:rsid w:val="002B64D8"/>
    <w:rsid w:val="002B67C3"/>
    <w:rsid w:val="002B6995"/>
    <w:rsid w:val="002B6A48"/>
    <w:rsid w:val="002B6A50"/>
    <w:rsid w:val="002B733B"/>
    <w:rsid w:val="002B766E"/>
    <w:rsid w:val="002B7C9F"/>
    <w:rsid w:val="002C0289"/>
    <w:rsid w:val="002C0320"/>
    <w:rsid w:val="002C046A"/>
    <w:rsid w:val="002C0487"/>
    <w:rsid w:val="002C0EE6"/>
    <w:rsid w:val="002C0FA5"/>
    <w:rsid w:val="002C1053"/>
    <w:rsid w:val="002C163C"/>
    <w:rsid w:val="002C22BA"/>
    <w:rsid w:val="002C23EC"/>
    <w:rsid w:val="002C255C"/>
    <w:rsid w:val="002C2BBB"/>
    <w:rsid w:val="002C30E3"/>
    <w:rsid w:val="002C325E"/>
    <w:rsid w:val="002C34DA"/>
    <w:rsid w:val="002C38CA"/>
    <w:rsid w:val="002C3C77"/>
    <w:rsid w:val="002C3D37"/>
    <w:rsid w:val="002C3E9F"/>
    <w:rsid w:val="002C42B3"/>
    <w:rsid w:val="002C4410"/>
    <w:rsid w:val="002C488A"/>
    <w:rsid w:val="002C4CBC"/>
    <w:rsid w:val="002C4F83"/>
    <w:rsid w:val="002C5654"/>
    <w:rsid w:val="002C5924"/>
    <w:rsid w:val="002C5952"/>
    <w:rsid w:val="002C5C94"/>
    <w:rsid w:val="002C5DC1"/>
    <w:rsid w:val="002C6200"/>
    <w:rsid w:val="002C6327"/>
    <w:rsid w:val="002C63A9"/>
    <w:rsid w:val="002C6864"/>
    <w:rsid w:val="002C6D31"/>
    <w:rsid w:val="002C6F4A"/>
    <w:rsid w:val="002C7271"/>
    <w:rsid w:val="002C76B0"/>
    <w:rsid w:val="002C7A99"/>
    <w:rsid w:val="002C7B0B"/>
    <w:rsid w:val="002C7B3E"/>
    <w:rsid w:val="002C7B9D"/>
    <w:rsid w:val="002C7C74"/>
    <w:rsid w:val="002D01C5"/>
    <w:rsid w:val="002D04B5"/>
    <w:rsid w:val="002D1026"/>
    <w:rsid w:val="002D1201"/>
    <w:rsid w:val="002D1C26"/>
    <w:rsid w:val="002D2070"/>
    <w:rsid w:val="002D209C"/>
    <w:rsid w:val="002D2541"/>
    <w:rsid w:val="002D2582"/>
    <w:rsid w:val="002D2B58"/>
    <w:rsid w:val="002D2C09"/>
    <w:rsid w:val="002D2F24"/>
    <w:rsid w:val="002D347F"/>
    <w:rsid w:val="002D3B87"/>
    <w:rsid w:val="002D492C"/>
    <w:rsid w:val="002D4FAC"/>
    <w:rsid w:val="002D504B"/>
    <w:rsid w:val="002D5173"/>
    <w:rsid w:val="002D5372"/>
    <w:rsid w:val="002D596C"/>
    <w:rsid w:val="002D6164"/>
    <w:rsid w:val="002D61FD"/>
    <w:rsid w:val="002D66F6"/>
    <w:rsid w:val="002D6DDA"/>
    <w:rsid w:val="002D747A"/>
    <w:rsid w:val="002D76FC"/>
    <w:rsid w:val="002D7DDD"/>
    <w:rsid w:val="002D7EBC"/>
    <w:rsid w:val="002E10A7"/>
    <w:rsid w:val="002E11F8"/>
    <w:rsid w:val="002E131E"/>
    <w:rsid w:val="002E1623"/>
    <w:rsid w:val="002E179F"/>
    <w:rsid w:val="002E1FEF"/>
    <w:rsid w:val="002E24F8"/>
    <w:rsid w:val="002E2614"/>
    <w:rsid w:val="002E2F9C"/>
    <w:rsid w:val="002E34AA"/>
    <w:rsid w:val="002E3974"/>
    <w:rsid w:val="002E3DBB"/>
    <w:rsid w:val="002E4029"/>
    <w:rsid w:val="002E4935"/>
    <w:rsid w:val="002E4F9A"/>
    <w:rsid w:val="002E51AD"/>
    <w:rsid w:val="002E6166"/>
    <w:rsid w:val="002E67A0"/>
    <w:rsid w:val="002E6B05"/>
    <w:rsid w:val="002E6D4B"/>
    <w:rsid w:val="002E6EB5"/>
    <w:rsid w:val="002E6ED5"/>
    <w:rsid w:val="002E6F9C"/>
    <w:rsid w:val="002E7122"/>
    <w:rsid w:val="002E7A29"/>
    <w:rsid w:val="002E7A5F"/>
    <w:rsid w:val="002F04BB"/>
    <w:rsid w:val="002F091C"/>
    <w:rsid w:val="002F0B3C"/>
    <w:rsid w:val="002F0C47"/>
    <w:rsid w:val="002F237B"/>
    <w:rsid w:val="002F26FE"/>
    <w:rsid w:val="002F2B24"/>
    <w:rsid w:val="002F2F61"/>
    <w:rsid w:val="002F3652"/>
    <w:rsid w:val="002F3976"/>
    <w:rsid w:val="002F408C"/>
    <w:rsid w:val="002F4AAD"/>
    <w:rsid w:val="002F4C82"/>
    <w:rsid w:val="002F4ED5"/>
    <w:rsid w:val="002F4FF6"/>
    <w:rsid w:val="002F5508"/>
    <w:rsid w:val="002F563E"/>
    <w:rsid w:val="002F582D"/>
    <w:rsid w:val="002F5ADE"/>
    <w:rsid w:val="002F5AE7"/>
    <w:rsid w:val="002F6472"/>
    <w:rsid w:val="002F6A81"/>
    <w:rsid w:val="002F6C4C"/>
    <w:rsid w:val="002F6D62"/>
    <w:rsid w:val="002F6E83"/>
    <w:rsid w:val="002F7122"/>
    <w:rsid w:val="002F74F6"/>
    <w:rsid w:val="002F79AC"/>
    <w:rsid w:val="002F7A53"/>
    <w:rsid w:val="002F7C4B"/>
    <w:rsid w:val="002F7EE4"/>
    <w:rsid w:val="00300EB0"/>
    <w:rsid w:val="003012F0"/>
    <w:rsid w:val="00301407"/>
    <w:rsid w:val="00301450"/>
    <w:rsid w:val="00301725"/>
    <w:rsid w:val="0030176D"/>
    <w:rsid w:val="00301829"/>
    <w:rsid w:val="0030186D"/>
    <w:rsid w:val="00301E6E"/>
    <w:rsid w:val="003022AE"/>
    <w:rsid w:val="00302BED"/>
    <w:rsid w:val="00302E1E"/>
    <w:rsid w:val="00302FEB"/>
    <w:rsid w:val="00303C54"/>
    <w:rsid w:val="003040D3"/>
    <w:rsid w:val="00304362"/>
    <w:rsid w:val="003048B2"/>
    <w:rsid w:val="00304C82"/>
    <w:rsid w:val="00305006"/>
    <w:rsid w:val="003050B5"/>
    <w:rsid w:val="0030563F"/>
    <w:rsid w:val="0030569F"/>
    <w:rsid w:val="003056DF"/>
    <w:rsid w:val="0030579C"/>
    <w:rsid w:val="003057DB"/>
    <w:rsid w:val="0030592C"/>
    <w:rsid w:val="00305B47"/>
    <w:rsid w:val="00305DA6"/>
    <w:rsid w:val="00305E73"/>
    <w:rsid w:val="00306234"/>
    <w:rsid w:val="0030625C"/>
    <w:rsid w:val="0030641E"/>
    <w:rsid w:val="003066E5"/>
    <w:rsid w:val="00306BDE"/>
    <w:rsid w:val="00306F18"/>
    <w:rsid w:val="00306F74"/>
    <w:rsid w:val="003071FC"/>
    <w:rsid w:val="00307331"/>
    <w:rsid w:val="00307B8C"/>
    <w:rsid w:val="00307E23"/>
    <w:rsid w:val="00310570"/>
    <w:rsid w:val="0031059B"/>
    <w:rsid w:val="003113F1"/>
    <w:rsid w:val="00311845"/>
    <w:rsid w:val="00311B79"/>
    <w:rsid w:val="00311E6C"/>
    <w:rsid w:val="00312484"/>
    <w:rsid w:val="003125A4"/>
    <w:rsid w:val="00312BAA"/>
    <w:rsid w:val="00312D22"/>
    <w:rsid w:val="00313133"/>
    <w:rsid w:val="003133D0"/>
    <w:rsid w:val="00313559"/>
    <w:rsid w:val="00313DD5"/>
    <w:rsid w:val="00313E66"/>
    <w:rsid w:val="00313F95"/>
    <w:rsid w:val="003142C0"/>
    <w:rsid w:val="003145EC"/>
    <w:rsid w:val="003147EF"/>
    <w:rsid w:val="00314B74"/>
    <w:rsid w:val="00314BDD"/>
    <w:rsid w:val="00314DE8"/>
    <w:rsid w:val="00314E0D"/>
    <w:rsid w:val="0031583B"/>
    <w:rsid w:val="003158F3"/>
    <w:rsid w:val="00315A20"/>
    <w:rsid w:val="00315EC8"/>
    <w:rsid w:val="003163A3"/>
    <w:rsid w:val="003166FC"/>
    <w:rsid w:val="003168EC"/>
    <w:rsid w:val="00316AA1"/>
    <w:rsid w:val="00316AC0"/>
    <w:rsid w:val="00316CCE"/>
    <w:rsid w:val="0031719D"/>
    <w:rsid w:val="00320483"/>
    <w:rsid w:val="003209CB"/>
    <w:rsid w:val="00320DA6"/>
    <w:rsid w:val="00320DFD"/>
    <w:rsid w:val="00320F58"/>
    <w:rsid w:val="0032130F"/>
    <w:rsid w:val="00321C2C"/>
    <w:rsid w:val="003228AA"/>
    <w:rsid w:val="0032349B"/>
    <w:rsid w:val="003236FD"/>
    <w:rsid w:val="00323892"/>
    <w:rsid w:val="00324012"/>
    <w:rsid w:val="003240A7"/>
    <w:rsid w:val="0032423D"/>
    <w:rsid w:val="00324A05"/>
    <w:rsid w:val="003255C5"/>
    <w:rsid w:val="003265FC"/>
    <w:rsid w:val="00326EDE"/>
    <w:rsid w:val="00327163"/>
    <w:rsid w:val="00327199"/>
    <w:rsid w:val="00327255"/>
    <w:rsid w:val="0032725E"/>
    <w:rsid w:val="00330071"/>
    <w:rsid w:val="00330466"/>
    <w:rsid w:val="0033053E"/>
    <w:rsid w:val="00330691"/>
    <w:rsid w:val="003306C9"/>
    <w:rsid w:val="0033087F"/>
    <w:rsid w:val="00330992"/>
    <w:rsid w:val="00330DA6"/>
    <w:rsid w:val="00331240"/>
    <w:rsid w:val="00331DEE"/>
    <w:rsid w:val="00331DFF"/>
    <w:rsid w:val="00332C53"/>
    <w:rsid w:val="003336AC"/>
    <w:rsid w:val="00333959"/>
    <w:rsid w:val="00333988"/>
    <w:rsid w:val="00333E50"/>
    <w:rsid w:val="003344D1"/>
    <w:rsid w:val="00334F9B"/>
    <w:rsid w:val="00335B12"/>
    <w:rsid w:val="00335F9E"/>
    <w:rsid w:val="00336079"/>
    <w:rsid w:val="003366C3"/>
    <w:rsid w:val="00336DA8"/>
    <w:rsid w:val="00336F7B"/>
    <w:rsid w:val="003371DD"/>
    <w:rsid w:val="00337621"/>
    <w:rsid w:val="00337764"/>
    <w:rsid w:val="00340054"/>
    <w:rsid w:val="00340701"/>
    <w:rsid w:val="00340AFD"/>
    <w:rsid w:val="003415DF"/>
    <w:rsid w:val="0034185C"/>
    <w:rsid w:val="00341DF8"/>
    <w:rsid w:val="003422A3"/>
    <w:rsid w:val="003422F3"/>
    <w:rsid w:val="003423F3"/>
    <w:rsid w:val="003428FF"/>
    <w:rsid w:val="00342922"/>
    <w:rsid w:val="00342ECF"/>
    <w:rsid w:val="003430AB"/>
    <w:rsid w:val="00343AB8"/>
    <w:rsid w:val="00344064"/>
    <w:rsid w:val="003445DE"/>
    <w:rsid w:val="00344B8D"/>
    <w:rsid w:val="00344BD2"/>
    <w:rsid w:val="003453DE"/>
    <w:rsid w:val="00345814"/>
    <w:rsid w:val="003459EC"/>
    <w:rsid w:val="00345D4F"/>
    <w:rsid w:val="00346225"/>
    <w:rsid w:val="003475DD"/>
    <w:rsid w:val="003479AE"/>
    <w:rsid w:val="00347DE2"/>
    <w:rsid w:val="00350099"/>
    <w:rsid w:val="00350C61"/>
    <w:rsid w:val="0035117C"/>
    <w:rsid w:val="00351464"/>
    <w:rsid w:val="00351B60"/>
    <w:rsid w:val="00351CF0"/>
    <w:rsid w:val="00352169"/>
    <w:rsid w:val="00352467"/>
    <w:rsid w:val="00352825"/>
    <w:rsid w:val="0035297E"/>
    <w:rsid w:val="003529F3"/>
    <w:rsid w:val="00352B27"/>
    <w:rsid w:val="00352BA4"/>
    <w:rsid w:val="0035302E"/>
    <w:rsid w:val="0035342D"/>
    <w:rsid w:val="00353A94"/>
    <w:rsid w:val="00353BA7"/>
    <w:rsid w:val="00353F51"/>
    <w:rsid w:val="00354302"/>
    <w:rsid w:val="003544E8"/>
    <w:rsid w:val="003547DA"/>
    <w:rsid w:val="00354E15"/>
    <w:rsid w:val="00354E8F"/>
    <w:rsid w:val="0035527F"/>
    <w:rsid w:val="00355972"/>
    <w:rsid w:val="00355F0D"/>
    <w:rsid w:val="003562F6"/>
    <w:rsid w:val="003564E3"/>
    <w:rsid w:val="00356B77"/>
    <w:rsid w:val="00356DAA"/>
    <w:rsid w:val="00356FB9"/>
    <w:rsid w:val="003577FD"/>
    <w:rsid w:val="00357C6C"/>
    <w:rsid w:val="00360162"/>
    <w:rsid w:val="00360BC8"/>
    <w:rsid w:val="00360E93"/>
    <w:rsid w:val="00361052"/>
    <w:rsid w:val="00361403"/>
    <w:rsid w:val="00361DCA"/>
    <w:rsid w:val="00362200"/>
    <w:rsid w:val="003622C4"/>
    <w:rsid w:val="0036262A"/>
    <w:rsid w:val="003626A2"/>
    <w:rsid w:val="00362C62"/>
    <w:rsid w:val="00363174"/>
    <w:rsid w:val="003633C3"/>
    <w:rsid w:val="0036371A"/>
    <w:rsid w:val="0036397E"/>
    <w:rsid w:val="00363CDA"/>
    <w:rsid w:val="00364505"/>
    <w:rsid w:val="00364743"/>
    <w:rsid w:val="003650E8"/>
    <w:rsid w:val="003657A6"/>
    <w:rsid w:val="00366037"/>
    <w:rsid w:val="0036636A"/>
    <w:rsid w:val="003665E0"/>
    <w:rsid w:val="00366682"/>
    <w:rsid w:val="00366C48"/>
    <w:rsid w:val="00367178"/>
    <w:rsid w:val="00367984"/>
    <w:rsid w:val="00367AE4"/>
    <w:rsid w:val="00367BE4"/>
    <w:rsid w:val="00367C30"/>
    <w:rsid w:val="00370456"/>
    <w:rsid w:val="00370605"/>
    <w:rsid w:val="00370FCD"/>
    <w:rsid w:val="00370FD9"/>
    <w:rsid w:val="003711CD"/>
    <w:rsid w:val="003713EB"/>
    <w:rsid w:val="00371676"/>
    <w:rsid w:val="0037182D"/>
    <w:rsid w:val="00371F93"/>
    <w:rsid w:val="00371FDC"/>
    <w:rsid w:val="0037204A"/>
    <w:rsid w:val="003728A8"/>
    <w:rsid w:val="003728A9"/>
    <w:rsid w:val="003729BA"/>
    <w:rsid w:val="00373663"/>
    <w:rsid w:val="00373724"/>
    <w:rsid w:val="003739A4"/>
    <w:rsid w:val="00373A99"/>
    <w:rsid w:val="0037425A"/>
    <w:rsid w:val="00374755"/>
    <w:rsid w:val="00374988"/>
    <w:rsid w:val="00374C04"/>
    <w:rsid w:val="00375D98"/>
    <w:rsid w:val="00375F4B"/>
    <w:rsid w:val="00376586"/>
    <w:rsid w:val="00376774"/>
    <w:rsid w:val="00376B3C"/>
    <w:rsid w:val="003775B2"/>
    <w:rsid w:val="00377BBB"/>
    <w:rsid w:val="00377EA7"/>
    <w:rsid w:val="00380142"/>
    <w:rsid w:val="0038021C"/>
    <w:rsid w:val="003809DB"/>
    <w:rsid w:val="003811E8"/>
    <w:rsid w:val="003816F5"/>
    <w:rsid w:val="00381B61"/>
    <w:rsid w:val="00381FEA"/>
    <w:rsid w:val="00382116"/>
    <w:rsid w:val="00382B46"/>
    <w:rsid w:val="00382CC0"/>
    <w:rsid w:val="00382EBA"/>
    <w:rsid w:val="003833E7"/>
    <w:rsid w:val="00383567"/>
    <w:rsid w:val="003838AD"/>
    <w:rsid w:val="00383BB7"/>
    <w:rsid w:val="00384628"/>
    <w:rsid w:val="003848A6"/>
    <w:rsid w:val="00384ED1"/>
    <w:rsid w:val="003851C4"/>
    <w:rsid w:val="00385462"/>
    <w:rsid w:val="00385884"/>
    <w:rsid w:val="00385A20"/>
    <w:rsid w:val="003860D3"/>
    <w:rsid w:val="003860E4"/>
    <w:rsid w:val="00386428"/>
    <w:rsid w:val="003865E9"/>
    <w:rsid w:val="003866DF"/>
    <w:rsid w:val="00386877"/>
    <w:rsid w:val="00386DF0"/>
    <w:rsid w:val="0038795D"/>
    <w:rsid w:val="00387FAB"/>
    <w:rsid w:val="00387FB9"/>
    <w:rsid w:val="0039042F"/>
    <w:rsid w:val="00390749"/>
    <w:rsid w:val="00390BDF"/>
    <w:rsid w:val="003913B5"/>
    <w:rsid w:val="00392186"/>
    <w:rsid w:val="003922C1"/>
    <w:rsid w:val="003922E5"/>
    <w:rsid w:val="00392436"/>
    <w:rsid w:val="00392E73"/>
    <w:rsid w:val="0039352B"/>
    <w:rsid w:val="00393580"/>
    <w:rsid w:val="003941C0"/>
    <w:rsid w:val="00394548"/>
    <w:rsid w:val="00394561"/>
    <w:rsid w:val="00394CDC"/>
    <w:rsid w:val="00394EBB"/>
    <w:rsid w:val="003951F9"/>
    <w:rsid w:val="0039554A"/>
    <w:rsid w:val="00395687"/>
    <w:rsid w:val="00395881"/>
    <w:rsid w:val="003960AA"/>
    <w:rsid w:val="00396147"/>
    <w:rsid w:val="00396755"/>
    <w:rsid w:val="003967D2"/>
    <w:rsid w:val="00396A60"/>
    <w:rsid w:val="00396AE1"/>
    <w:rsid w:val="00396E57"/>
    <w:rsid w:val="00396E94"/>
    <w:rsid w:val="0039707A"/>
    <w:rsid w:val="003A00DC"/>
    <w:rsid w:val="003A0B2E"/>
    <w:rsid w:val="003A0C1B"/>
    <w:rsid w:val="003A10B9"/>
    <w:rsid w:val="003A14C6"/>
    <w:rsid w:val="003A17C0"/>
    <w:rsid w:val="003A1E39"/>
    <w:rsid w:val="003A1ED4"/>
    <w:rsid w:val="003A23F1"/>
    <w:rsid w:val="003A2410"/>
    <w:rsid w:val="003A258C"/>
    <w:rsid w:val="003A260E"/>
    <w:rsid w:val="003A2EB4"/>
    <w:rsid w:val="003A38A6"/>
    <w:rsid w:val="003A3905"/>
    <w:rsid w:val="003A3B7F"/>
    <w:rsid w:val="003A3CA7"/>
    <w:rsid w:val="003A3E19"/>
    <w:rsid w:val="003A3F47"/>
    <w:rsid w:val="003A4D28"/>
    <w:rsid w:val="003A4E7D"/>
    <w:rsid w:val="003A501B"/>
    <w:rsid w:val="003A5DC5"/>
    <w:rsid w:val="003A63E4"/>
    <w:rsid w:val="003A65A0"/>
    <w:rsid w:val="003A6804"/>
    <w:rsid w:val="003A6B3E"/>
    <w:rsid w:val="003A6E4E"/>
    <w:rsid w:val="003A72DA"/>
    <w:rsid w:val="003A72ED"/>
    <w:rsid w:val="003A7B72"/>
    <w:rsid w:val="003A7CEF"/>
    <w:rsid w:val="003B0715"/>
    <w:rsid w:val="003B0BF3"/>
    <w:rsid w:val="003B0CE7"/>
    <w:rsid w:val="003B15AE"/>
    <w:rsid w:val="003B192E"/>
    <w:rsid w:val="003B1DCE"/>
    <w:rsid w:val="003B2BEA"/>
    <w:rsid w:val="003B30C1"/>
    <w:rsid w:val="003B3277"/>
    <w:rsid w:val="003B4A15"/>
    <w:rsid w:val="003B4F34"/>
    <w:rsid w:val="003B4F3D"/>
    <w:rsid w:val="003B51B9"/>
    <w:rsid w:val="003B55EE"/>
    <w:rsid w:val="003B5801"/>
    <w:rsid w:val="003B5BED"/>
    <w:rsid w:val="003B5CF7"/>
    <w:rsid w:val="003B60E6"/>
    <w:rsid w:val="003B6666"/>
    <w:rsid w:val="003B6BB8"/>
    <w:rsid w:val="003B6CD9"/>
    <w:rsid w:val="003B6F42"/>
    <w:rsid w:val="003B74DD"/>
    <w:rsid w:val="003B7617"/>
    <w:rsid w:val="003B7814"/>
    <w:rsid w:val="003C11F3"/>
    <w:rsid w:val="003C12BC"/>
    <w:rsid w:val="003C163F"/>
    <w:rsid w:val="003C1754"/>
    <w:rsid w:val="003C1CA9"/>
    <w:rsid w:val="003C1DE5"/>
    <w:rsid w:val="003C2A1D"/>
    <w:rsid w:val="003C2B62"/>
    <w:rsid w:val="003C2CF5"/>
    <w:rsid w:val="003C2F4A"/>
    <w:rsid w:val="003C2FE5"/>
    <w:rsid w:val="003C3B51"/>
    <w:rsid w:val="003C3DDA"/>
    <w:rsid w:val="003C4071"/>
    <w:rsid w:val="003C4097"/>
    <w:rsid w:val="003C473D"/>
    <w:rsid w:val="003C48E5"/>
    <w:rsid w:val="003C49C0"/>
    <w:rsid w:val="003C4C6A"/>
    <w:rsid w:val="003C4EE7"/>
    <w:rsid w:val="003C5262"/>
    <w:rsid w:val="003C5466"/>
    <w:rsid w:val="003C54AA"/>
    <w:rsid w:val="003C562D"/>
    <w:rsid w:val="003C5C13"/>
    <w:rsid w:val="003C60DF"/>
    <w:rsid w:val="003C620A"/>
    <w:rsid w:val="003C68BA"/>
    <w:rsid w:val="003C68CB"/>
    <w:rsid w:val="003C69EA"/>
    <w:rsid w:val="003C6F47"/>
    <w:rsid w:val="003C7282"/>
    <w:rsid w:val="003C7AC9"/>
    <w:rsid w:val="003D0178"/>
    <w:rsid w:val="003D017C"/>
    <w:rsid w:val="003D04E2"/>
    <w:rsid w:val="003D05C4"/>
    <w:rsid w:val="003D0A0F"/>
    <w:rsid w:val="003D11C9"/>
    <w:rsid w:val="003D13BC"/>
    <w:rsid w:val="003D2A9B"/>
    <w:rsid w:val="003D2CE7"/>
    <w:rsid w:val="003D3788"/>
    <w:rsid w:val="003D3A26"/>
    <w:rsid w:val="003D3B0D"/>
    <w:rsid w:val="003D3EC9"/>
    <w:rsid w:val="003D4521"/>
    <w:rsid w:val="003D56C2"/>
    <w:rsid w:val="003D5A08"/>
    <w:rsid w:val="003D5B2E"/>
    <w:rsid w:val="003D5BEF"/>
    <w:rsid w:val="003D625F"/>
    <w:rsid w:val="003D6351"/>
    <w:rsid w:val="003D65E4"/>
    <w:rsid w:val="003D67F2"/>
    <w:rsid w:val="003D6BA9"/>
    <w:rsid w:val="003D6DE8"/>
    <w:rsid w:val="003D7459"/>
    <w:rsid w:val="003D7724"/>
    <w:rsid w:val="003D773E"/>
    <w:rsid w:val="003D7811"/>
    <w:rsid w:val="003D79BC"/>
    <w:rsid w:val="003D7B46"/>
    <w:rsid w:val="003D7E00"/>
    <w:rsid w:val="003E006C"/>
    <w:rsid w:val="003E055F"/>
    <w:rsid w:val="003E0887"/>
    <w:rsid w:val="003E1C22"/>
    <w:rsid w:val="003E1E4A"/>
    <w:rsid w:val="003E20E7"/>
    <w:rsid w:val="003E21E3"/>
    <w:rsid w:val="003E21F2"/>
    <w:rsid w:val="003E2775"/>
    <w:rsid w:val="003E32AC"/>
    <w:rsid w:val="003E33F0"/>
    <w:rsid w:val="003E3C3B"/>
    <w:rsid w:val="003E40FF"/>
    <w:rsid w:val="003E4AED"/>
    <w:rsid w:val="003E4F5A"/>
    <w:rsid w:val="003E51AA"/>
    <w:rsid w:val="003E5A5A"/>
    <w:rsid w:val="003E61C9"/>
    <w:rsid w:val="003E69D7"/>
    <w:rsid w:val="003F01E7"/>
    <w:rsid w:val="003F02D4"/>
    <w:rsid w:val="003F0B42"/>
    <w:rsid w:val="003F0C43"/>
    <w:rsid w:val="003F0EB5"/>
    <w:rsid w:val="003F1399"/>
    <w:rsid w:val="003F1BCE"/>
    <w:rsid w:val="003F1D26"/>
    <w:rsid w:val="003F1DFB"/>
    <w:rsid w:val="003F2104"/>
    <w:rsid w:val="003F21A2"/>
    <w:rsid w:val="003F23A7"/>
    <w:rsid w:val="003F34B6"/>
    <w:rsid w:val="003F381C"/>
    <w:rsid w:val="003F3B11"/>
    <w:rsid w:val="003F41D2"/>
    <w:rsid w:val="003F434D"/>
    <w:rsid w:val="003F439E"/>
    <w:rsid w:val="003F440C"/>
    <w:rsid w:val="003F4489"/>
    <w:rsid w:val="003F4B03"/>
    <w:rsid w:val="003F4DF2"/>
    <w:rsid w:val="003F541B"/>
    <w:rsid w:val="003F549F"/>
    <w:rsid w:val="003F588A"/>
    <w:rsid w:val="003F5891"/>
    <w:rsid w:val="003F5C0F"/>
    <w:rsid w:val="003F60B6"/>
    <w:rsid w:val="003F688A"/>
    <w:rsid w:val="003F70EA"/>
    <w:rsid w:val="003F7166"/>
    <w:rsid w:val="003F742F"/>
    <w:rsid w:val="003F7567"/>
    <w:rsid w:val="003F7838"/>
    <w:rsid w:val="003F7934"/>
    <w:rsid w:val="003F7A10"/>
    <w:rsid w:val="003F7B76"/>
    <w:rsid w:val="003F7BB2"/>
    <w:rsid w:val="003F7CD2"/>
    <w:rsid w:val="00400701"/>
    <w:rsid w:val="00401157"/>
    <w:rsid w:val="0040122F"/>
    <w:rsid w:val="004013FB"/>
    <w:rsid w:val="0040162C"/>
    <w:rsid w:val="00401697"/>
    <w:rsid w:val="00401BB1"/>
    <w:rsid w:val="00401DB8"/>
    <w:rsid w:val="00402066"/>
    <w:rsid w:val="0040222D"/>
    <w:rsid w:val="004022CC"/>
    <w:rsid w:val="004027A4"/>
    <w:rsid w:val="0040290E"/>
    <w:rsid w:val="00402F75"/>
    <w:rsid w:val="004036F3"/>
    <w:rsid w:val="00404229"/>
    <w:rsid w:val="004045C1"/>
    <w:rsid w:val="0040534B"/>
    <w:rsid w:val="004054F0"/>
    <w:rsid w:val="0040570B"/>
    <w:rsid w:val="00405890"/>
    <w:rsid w:val="00405B70"/>
    <w:rsid w:val="004060BE"/>
    <w:rsid w:val="0040670B"/>
    <w:rsid w:val="004076BD"/>
    <w:rsid w:val="004077C8"/>
    <w:rsid w:val="00407B9F"/>
    <w:rsid w:val="00407D23"/>
    <w:rsid w:val="0041017D"/>
    <w:rsid w:val="0041024D"/>
    <w:rsid w:val="00410E23"/>
    <w:rsid w:val="00410F8F"/>
    <w:rsid w:val="00411206"/>
    <w:rsid w:val="004113FF"/>
    <w:rsid w:val="00412065"/>
    <w:rsid w:val="00412318"/>
    <w:rsid w:val="00412498"/>
    <w:rsid w:val="00412843"/>
    <w:rsid w:val="0041292E"/>
    <w:rsid w:val="00412996"/>
    <w:rsid w:val="004131F4"/>
    <w:rsid w:val="004133B2"/>
    <w:rsid w:val="00413695"/>
    <w:rsid w:val="00413FB6"/>
    <w:rsid w:val="00414101"/>
    <w:rsid w:val="0041466E"/>
    <w:rsid w:val="004146E7"/>
    <w:rsid w:val="00414929"/>
    <w:rsid w:val="00415110"/>
    <w:rsid w:val="00415CE3"/>
    <w:rsid w:val="0041632B"/>
    <w:rsid w:val="00416765"/>
    <w:rsid w:val="004168DE"/>
    <w:rsid w:val="0041697A"/>
    <w:rsid w:val="00416A64"/>
    <w:rsid w:val="00416AB7"/>
    <w:rsid w:val="00416D35"/>
    <w:rsid w:val="00417057"/>
    <w:rsid w:val="0041740D"/>
    <w:rsid w:val="0041758E"/>
    <w:rsid w:val="00417728"/>
    <w:rsid w:val="00417E61"/>
    <w:rsid w:val="00420050"/>
    <w:rsid w:val="004204FF"/>
    <w:rsid w:val="004205F5"/>
    <w:rsid w:val="00420D81"/>
    <w:rsid w:val="004210FF"/>
    <w:rsid w:val="00421505"/>
    <w:rsid w:val="00421954"/>
    <w:rsid w:val="004219FD"/>
    <w:rsid w:val="00421A9B"/>
    <w:rsid w:val="00421BD5"/>
    <w:rsid w:val="00421D8E"/>
    <w:rsid w:val="0042210E"/>
    <w:rsid w:val="004222AC"/>
    <w:rsid w:val="00422727"/>
    <w:rsid w:val="004227F3"/>
    <w:rsid w:val="00423766"/>
    <w:rsid w:val="004237A5"/>
    <w:rsid w:val="0042387B"/>
    <w:rsid w:val="00423BE3"/>
    <w:rsid w:val="00423D4A"/>
    <w:rsid w:val="004248B4"/>
    <w:rsid w:val="00424961"/>
    <w:rsid w:val="00424B41"/>
    <w:rsid w:val="0042506F"/>
    <w:rsid w:val="00425276"/>
    <w:rsid w:val="004256CA"/>
    <w:rsid w:val="00425735"/>
    <w:rsid w:val="00425774"/>
    <w:rsid w:val="00425BD0"/>
    <w:rsid w:val="00425EEC"/>
    <w:rsid w:val="00426121"/>
    <w:rsid w:val="00426809"/>
    <w:rsid w:val="004269E0"/>
    <w:rsid w:val="004277E5"/>
    <w:rsid w:val="00427E15"/>
    <w:rsid w:val="00430110"/>
    <w:rsid w:val="0043091C"/>
    <w:rsid w:val="00430B77"/>
    <w:rsid w:val="00430CB8"/>
    <w:rsid w:val="0043105E"/>
    <w:rsid w:val="004317F0"/>
    <w:rsid w:val="004321E1"/>
    <w:rsid w:val="004325DF"/>
    <w:rsid w:val="004326DD"/>
    <w:rsid w:val="00432A18"/>
    <w:rsid w:val="00433025"/>
    <w:rsid w:val="004332FE"/>
    <w:rsid w:val="00433F4A"/>
    <w:rsid w:val="00434485"/>
    <w:rsid w:val="00434B85"/>
    <w:rsid w:val="00434CD8"/>
    <w:rsid w:val="00435168"/>
    <w:rsid w:val="004355FE"/>
    <w:rsid w:val="004356A3"/>
    <w:rsid w:val="00435AB3"/>
    <w:rsid w:val="00435B28"/>
    <w:rsid w:val="00436379"/>
    <w:rsid w:val="00436D15"/>
    <w:rsid w:val="00437234"/>
    <w:rsid w:val="00437559"/>
    <w:rsid w:val="004377C6"/>
    <w:rsid w:val="00437AE3"/>
    <w:rsid w:val="0044026F"/>
    <w:rsid w:val="004409DC"/>
    <w:rsid w:val="00440A3C"/>
    <w:rsid w:val="00440B9F"/>
    <w:rsid w:val="0044107D"/>
    <w:rsid w:val="00441A4B"/>
    <w:rsid w:val="00441A4C"/>
    <w:rsid w:val="00441FB4"/>
    <w:rsid w:val="004423E5"/>
    <w:rsid w:val="00442CC6"/>
    <w:rsid w:val="00442D69"/>
    <w:rsid w:val="00442D8C"/>
    <w:rsid w:val="00443442"/>
    <w:rsid w:val="00443B1D"/>
    <w:rsid w:val="00444666"/>
    <w:rsid w:val="004448F7"/>
    <w:rsid w:val="00444A13"/>
    <w:rsid w:val="00444D0C"/>
    <w:rsid w:val="00444DA2"/>
    <w:rsid w:val="0044503D"/>
    <w:rsid w:val="00445069"/>
    <w:rsid w:val="004450F1"/>
    <w:rsid w:val="00445DA7"/>
    <w:rsid w:val="00445EF6"/>
    <w:rsid w:val="00445FBC"/>
    <w:rsid w:val="0044611E"/>
    <w:rsid w:val="00446530"/>
    <w:rsid w:val="004469A8"/>
    <w:rsid w:val="00446C28"/>
    <w:rsid w:val="00447266"/>
    <w:rsid w:val="00447429"/>
    <w:rsid w:val="00450002"/>
    <w:rsid w:val="004502FF"/>
    <w:rsid w:val="00450808"/>
    <w:rsid w:val="004509C5"/>
    <w:rsid w:val="00451274"/>
    <w:rsid w:val="004519B4"/>
    <w:rsid w:val="00451E80"/>
    <w:rsid w:val="00451F00"/>
    <w:rsid w:val="0045207F"/>
    <w:rsid w:val="0045241F"/>
    <w:rsid w:val="004525E1"/>
    <w:rsid w:val="0045274D"/>
    <w:rsid w:val="00452832"/>
    <w:rsid w:val="00452A91"/>
    <w:rsid w:val="00452B46"/>
    <w:rsid w:val="00452F0E"/>
    <w:rsid w:val="004535A9"/>
    <w:rsid w:val="004538F4"/>
    <w:rsid w:val="00453985"/>
    <w:rsid w:val="00453D49"/>
    <w:rsid w:val="00454485"/>
    <w:rsid w:val="00454A48"/>
    <w:rsid w:val="00454A7A"/>
    <w:rsid w:val="00454EED"/>
    <w:rsid w:val="00455D0D"/>
    <w:rsid w:val="004563CF"/>
    <w:rsid w:val="00456953"/>
    <w:rsid w:val="00456D28"/>
    <w:rsid w:val="00457B77"/>
    <w:rsid w:val="004600D5"/>
    <w:rsid w:val="0046046D"/>
    <w:rsid w:val="004604D7"/>
    <w:rsid w:val="004605E0"/>
    <w:rsid w:val="00460950"/>
    <w:rsid w:val="004609EC"/>
    <w:rsid w:val="00460E38"/>
    <w:rsid w:val="004613B8"/>
    <w:rsid w:val="0046167A"/>
    <w:rsid w:val="00462065"/>
    <w:rsid w:val="00462242"/>
    <w:rsid w:val="00463286"/>
    <w:rsid w:val="00463429"/>
    <w:rsid w:val="00463C1B"/>
    <w:rsid w:val="00463D64"/>
    <w:rsid w:val="00463F19"/>
    <w:rsid w:val="004641AB"/>
    <w:rsid w:val="00464470"/>
    <w:rsid w:val="004646CA"/>
    <w:rsid w:val="00464CED"/>
    <w:rsid w:val="004651E3"/>
    <w:rsid w:val="00465599"/>
    <w:rsid w:val="004656E2"/>
    <w:rsid w:val="00465EF4"/>
    <w:rsid w:val="0046620A"/>
    <w:rsid w:val="004662C5"/>
    <w:rsid w:val="00466333"/>
    <w:rsid w:val="00466341"/>
    <w:rsid w:val="00466E0A"/>
    <w:rsid w:val="00466E10"/>
    <w:rsid w:val="00467255"/>
    <w:rsid w:val="00467428"/>
    <w:rsid w:val="00467679"/>
    <w:rsid w:val="0046790B"/>
    <w:rsid w:val="00467FAF"/>
    <w:rsid w:val="0047000B"/>
    <w:rsid w:val="0047010B"/>
    <w:rsid w:val="004705F9"/>
    <w:rsid w:val="00470781"/>
    <w:rsid w:val="00470C15"/>
    <w:rsid w:val="00470F5F"/>
    <w:rsid w:val="00471BBF"/>
    <w:rsid w:val="004722A6"/>
    <w:rsid w:val="004722B5"/>
    <w:rsid w:val="0047266B"/>
    <w:rsid w:val="00472F2D"/>
    <w:rsid w:val="00473041"/>
    <w:rsid w:val="004731F1"/>
    <w:rsid w:val="004738D8"/>
    <w:rsid w:val="00473CB8"/>
    <w:rsid w:val="00474567"/>
    <w:rsid w:val="00474817"/>
    <w:rsid w:val="00474827"/>
    <w:rsid w:val="00474AA6"/>
    <w:rsid w:val="00474DD1"/>
    <w:rsid w:val="00474F21"/>
    <w:rsid w:val="00475353"/>
    <w:rsid w:val="0047558F"/>
    <w:rsid w:val="004758B7"/>
    <w:rsid w:val="00475D1C"/>
    <w:rsid w:val="00475E7C"/>
    <w:rsid w:val="00475F00"/>
    <w:rsid w:val="00476382"/>
    <w:rsid w:val="00476ABD"/>
    <w:rsid w:val="0047737A"/>
    <w:rsid w:val="00477D76"/>
    <w:rsid w:val="00477E95"/>
    <w:rsid w:val="00477F0B"/>
    <w:rsid w:val="00480266"/>
    <w:rsid w:val="0048099E"/>
    <w:rsid w:val="00480AA6"/>
    <w:rsid w:val="00480AD7"/>
    <w:rsid w:val="00481A3E"/>
    <w:rsid w:val="00481C16"/>
    <w:rsid w:val="00481D3F"/>
    <w:rsid w:val="00481DD9"/>
    <w:rsid w:val="0048261F"/>
    <w:rsid w:val="00482BBE"/>
    <w:rsid w:val="00482CFF"/>
    <w:rsid w:val="00482DF7"/>
    <w:rsid w:val="0048328C"/>
    <w:rsid w:val="004836C4"/>
    <w:rsid w:val="00483CE6"/>
    <w:rsid w:val="004840BE"/>
    <w:rsid w:val="00484320"/>
    <w:rsid w:val="004848D8"/>
    <w:rsid w:val="00484D62"/>
    <w:rsid w:val="0048534D"/>
    <w:rsid w:val="00485BC4"/>
    <w:rsid w:val="00485F6B"/>
    <w:rsid w:val="004860DA"/>
    <w:rsid w:val="00486128"/>
    <w:rsid w:val="004862D0"/>
    <w:rsid w:val="00486838"/>
    <w:rsid w:val="00486E67"/>
    <w:rsid w:val="0048715E"/>
    <w:rsid w:val="00490123"/>
    <w:rsid w:val="00490886"/>
    <w:rsid w:val="00490C8C"/>
    <w:rsid w:val="004912D5"/>
    <w:rsid w:val="0049136C"/>
    <w:rsid w:val="00491850"/>
    <w:rsid w:val="00491AF6"/>
    <w:rsid w:val="00491FB3"/>
    <w:rsid w:val="00492280"/>
    <w:rsid w:val="00492BD6"/>
    <w:rsid w:val="00494013"/>
    <w:rsid w:val="004940D3"/>
    <w:rsid w:val="004949A3"/>
    <w:rsid w:val="00494CB0"/>
    <w:rsid w:val="00495639"/>
    <w:rsid w:val="0049577E"/>
    <w:rsid w:val="00495965"/>
    <w:rsid w:val="00495C1B"/>
    <w:rsid w:val="00495DCE"/>
    <w:rsid w:val="00496042"/>
    <w:rsid w:val="00496C81"/>
    <w:rsid w:val="00496F2F"/>
    <w:rsid w:val="00497372"/>
    <w:rsid w:val="00497459"/>
    <w:rsid w:val="00497580"/>
    <w:rsid w:val="00497769"/>
    <w:rsid w:val="004A1098"/>
    <w:rsid w:val="004A10B8"/>
    <w:rsid w:val="004A1365"/>
    <w:rsid w:val="004A1506"/>
    <w:rsid w:val="004A23DC"/>
    <w:rsid w:val="004A25B0"/>
    <w:rsid w:val="004A28A0"/>
    <w:rsid w:val="004A2995"/>
    <w:rsid w:val="004A2C5E"/>
    <w:rsid w:val="004A2DFD"/>
    <w:rsid w:val="004A3708"/>
    <w:rsid w:val="004A3B3B"/>
    <w:rsid w:val="004A44A2"/>
    <w:rsid w:val="004A50B6"/>
    <w:rsid w:val="004A55EF"/>
    <w:rsid w:val="004A564D"/>
    <w:rsid w:val="004A5668"/>
    <w:rsid w:val="004A5770"/>
    <w:rsid w:val="004A5890"/>
    <w:rsid w:val="004A5AC6"/>
    <w:rsid w:val="004A5BD5"/>
    <w:rsid w:val="004A5EBA"/>
    <w:rsid w:val="004A604D"/>
    <w:rsid w:val="004A6130"/>
    <w:rsid w:val="004A67CB"/>
    <w:rsid w:val="004A6A6B"/>
    <w:rsid w:val="004A6BCC"/>
    <w:rsid w:val="004A6F1F"/>
    <w:rsid w:val="004A706A"/>
    <w:rsid w:val="004A70F1"/>
    <w:rsid w:val="004A7FB2"/>
    <w:rsid w:val="004B039B"/>
    <w:rsid w:val="004B04EE"/>
    <w:rsid w:val="004B061D"/>
    <w:rsid w:val="004B090C"/>
    <w:rsid w:val="004B0D3B"/>
    <w:rsid w:val="004B1FC4"/>
    <w:rsid w:val="004B2129"/>
    <w:rsid w:val="004B218B"/>
    <w:rsid w:val="004B28C5"/>
    <w:rsid w:val="004B2914"/>
    <w:rsid w:val="004B29D0"/>
    <w:rsid w:val="004B2D32"/>
    <w:rsid w:val="004B3734"/>
    <w:rsid w:val="004B3A7D"/>
    <w:rsid w:val="004B3A88"/>
    <w:rsid w:val="004B3EA3"/>
    <w:rsid w:val="004B40F5"/>
    <w:rsid w:val="004B46D3"/>
    <w:rsid w:val="004B4A0E"/>
    <w:rsid w:val="004B4A25"/>
    <w:rsid w:val="004B4CE8"/>
    <w:rsid w:val="004B50B2"/>
    <w:rsid w:val="004B5246"/>
    <w:rsid w:val="004B6472"/>
    <w:rsid w:val="004B6A7A"/>
    <w:rsid w:val="004B7429"/>
    <w:rsid w:val="004B7611"/>
    <w:rsid w:val="004B7F3A"/>
    <w:rsid w:val="004C034E"/>
    <w:rsid w:val="004C037A"/>
    <w:rsid w:val="004C044E"/>
    <w:rsid w:val="004C098E"/>
    <w:rsid w:val="004C0B43"/>
    <w:rsid w:val="004C0E0B"/>
    <w:rsid w:val="004C0E4E"/>
    <w:rsid w:val="004C1191"/>
    <w:rsid w:val="004C14AF"/>
    <w:rsid w:val="004C1885"/>
    <w:rsid w:val="004C1B0A"/>
    <w:rsid w:val="004C1D09"/>
    <w:rsid w:val="004C1E79"/>
    <w:rsid w:val="004C20D5"/>
    <w:rsid w:val="004C2143"/>
    <w:rsid w:val="004C2431"/>
    <w:rsid w:val="004C2D60"/>
    <w:rsid w:val="004C2D69"/>
    <w:rsid w:val="004C3882"/>
    <w:rsid w:val="004C3C3B"/>
    <w:rsid w:val="004C490E"/>
    <w:rsid w:val="004C49B0"/>
    <w:rsid w:val="004C516C"/>
    <w:rsid w:val="004C537A"/>
    <w:rsid w:val="004C5AFD"/>
    <w:rsid w:val="004C5C8F"/>
    <w:rsid w:val="004C5EB6"/>
    <w:rsid w:val="004C64AA"/>
    <w:rsid w:val="004C658C"/>
    <w:rsid w:val="004C68C9"/>
    <w:rsid w:val="004C6E19"/>
    <w:rsid w:val="004C6EBE"/>
    <w:rsid w:val="004C72F7"/>
    <w:rsid w:val="004C7443"/>
    <w:rsid w:val="004C7614"/>
    <w:rsid w:val="004C77A1"/>
    <w:rsid w:val="004C7830"/>
    <w:rsid w:val="004C7E75"/>
    <w:rsid w:val="004D0726"/>
    <w:rsid w:val="004D0EF8"/>
    <w:rsid w:val="004D11FA"/>
    <w:rsid w:val="004D1417"/>
    <w:rsid w:val="004D1573"/>
    <w:rsid w:val="004D1E41"/>
    <w:rsid w:val="004D29D3"/>
    <w:rsid w:val="004D2C34"/>
    <w:rsid w:val="004D3880"/>
    <w:rsid w:val="004D3986"/>
    <w:rsid w:val="004D3B6E"/>
    <w:rsid w:val="004D44B3"/>
    <w:rsid w:val="004D45F5"/>
    <w:rsid w:val="004D492D"/>
    <w:rsid w:val="004D4969"/>
    <w:rsid w:val="004D563F"/>
    <w:rsid w:val="004D590B"/>
    <w:rsid w:val="004D5988"/>
    <w:rsid w:val="004D63F1"/>
    <w:rsid w:val="004D646C"/>
    <w:rsid w:val="004E0447"/>
    <w:rsid w:val="004E0ACA"/>
    <w:rsid w:val="004E0EE2"/>
    <w:rsid w:val="004E14A7"/>
    <w:rsid w:val="004E1AB5"/>
    <w:rsid w:val="004E1C08"/>
    <w:rsid w:val="004E258C"/>
    <w:rsid w:val="004E2B43"/>
    <w:rsid w:val="004E2C6D"/>
    <w:rsid w:val="004E2C83"/>
    <w:rsid w:val="004E2DAA"/>
    <w:rsid w:val="004E2F9F"/>
    <w:rsid w:val="004E32A0"/>
    <w:rsid w:val="004E32C8"/>
    <w:rsid w:val="004E341D"/>
    <w:rsid w:val="004E3756"/>
    <w:rsid w:val="004E3949"/>
    <w:rsid w:val="004E39A9"/>
    <w:rsid w:val="004E42CB"/>
    <w:rsid w:val="004E434D"/>
    <w:rsid w:val="004E4602"/>
    <w:rsid w:val="004E4896"/>
    <w:rsid w:val="004E52D5"/>
    <w:rsid w:val="004E56CC"/>
    <w:rsid w:val="004E58A4"/>
    <w:rsid w:val="004E6085"/>
    <w:rsid w:val="004E640F"/>
    <w:rsid w:val="004E657B"/>
    <w:rsid w:val="004E6620"/>
    <w:rsid w:val="004E6757"/>
    <w:rsid w:val="004E67F1"/>
    <w:rsid w:val="004E67FD"/>
    <w:rsid w:val="004E71D4"/>
    <w:rsid w:val="004E71F9"/>
    <w:rsid w:val="004F0258"/>
    <w:rsid w:val="004F057D"/>
    <w:rsid w:val="004F05DC"/>
    <w:rsid w:val="004F0C89"/>
    <w:rsid w:val="004F0D1A"/>
    <w:rsid w:val="004F0F3A"/>
    <w:rsid w:val="004F1147"/>
    <w:rsid w:val="004F1807"/>
    <w:rsid w:val="004F1C6C"/>
    <w:rsid w:val="004F22F8"/>
    <w:rsid w:val="004F23FA"/>
    <w:rsid w:val="004F2E08"/>
    <w:rsid w:val="004F38A0"/>
    <w:rsid w:val="004F3B96"/>
    <w:rsid w:val="004F3E5B"/>
    <w:rsid w:val="004F47FC"/>
    <w:rsid w:val="004F4922"/>
    <w:rsid w:val="004F4F41"/>
    <w:rsid w:val="004F502E"/>
    <w:rsid w:val="004F5414"/>
    <w:rsid w:val="004F6840"/>
    <w:rsid w:val="004F687F"/>
    <w:rsid w:val="004F6962"/>
    <w:rsid w:val="004F69F6"/>
    <w:rsid w:val="004F6C1F"/>
    <w:rsid w:val="004F6C83"/>
    <w:rsid w:val="004F6D52"/>
    <w:rsid w:val="004F7583"/>
    <w:rsid w:val="004F75D9"/>
    <w:rsid w:val="004F7E52"/>
    <w:rsid w:val="005008B4"/>
    <w:rsid w:val="005009A9"/>
    <w:rsid w:val="005010E9"/>
    <w:rsid w:val="00501FFD"/>
    <w:rsid w:val="00502ACD"/>
    <w:rsid w:val="00502AFA"/>
    <w:rsid w:val="005034E5"/>
    <w:rsid w:val="00503B94"/>
    <w:rsid w:val="00503FCF"/>
    <w:rsid w:val="00504A48"/>
    <w:rsid w:val="00504FC7"/>
    <w:rsid w:val="00505C8C"/>
    <w:rsid w:val="00506147"/>
    <w:rsid w:val="00506274"/>
    <w:rsid w:val="00506677"/>
    <w:rsid w:val="00506968"/>
    <w:rsid w:val="00506B41"/>
    <w:rsid w:val="00506CF8"/>
    <w:rsid w:val="00506D53"/>
    <w:rsid w:val="00506F3C"/>
    <w:rsid w:val="005075C3"/>
    <w:rsid w:val="005079ED"/>
    <w:rsid w:val="00507BE8"/>
    <w:rsid w:val="00507C26"/>
    <w:rsid w:val="00507E61"/>
    <w:rsid w:val="005100FA"/>
    <w:rsid w:val="005104A9"/>
    <w:rsid w:val="005104EC"/>
    <w:rsid w:val="0051056D"/>
    <w:rsid w:val="00510673"/>
    <w:rsid w:val="00511264"/>
    <w:rsid w:val="0051132B"/>
    <w:rsid w:val="00511457"/>
    <w:rsid w:val="0051184B"/>
    <w:rsid w:val="00511B39"/>
    <w:rsid w:val="00511F77"/>
    <w:rsid w:val="00512270"/>
    <w:rsid w:val="00512478"/>
    <w:rsid w:val="005126C2"/>
    <w:rsid w:val="005129EB"/>
    <w:rsid w:val="005129EF"/>
    <w:rsid w:val="0051339A"/>
    <w:rsid w:val="005138B5"/>
    <w:rsid w:val="00513953"/>
    <w:rsid w:val="00513C86"/>
    <w:rsid w:val="00513C98"/>
    <w:rsid w:val="00513D8A"/>
    <w:rsid w:val="00514194"/>
    <w:rsid w:val="005147E8"/>
    <w:rsid w:val="0051486E"/>
    <w:rsid w:val="00514AE9"/>
    <w:rsid w:val="00514AF7"/>
    <w:rsid w:val="005158BD"/>
    <w:rsid w:val="00515D71"/>
    <w:rsid w:val="00515E2C"/>
    <w:rsid w:val="0051635E"/>
    <w:rsid w:val="005165EE"/>
    <w:rsid w:val="005167E4"/>
    <w:rsid w:val="00516C66"/>
    <w:rsid w:val="00516C9A"/>
    <w:rsid w:val="00516F35"/>
    <w:rsid w:val="00517404"/>
    <w:rsid w:val="00517415"/>
    <w:rsid w:val="005177D3"/>
    <w:rsid w:val="00517A2D"/>
    <w:rsid w:val="00517D21"/>
    <w:rsid w:val="005203E3"/>
    <w:rsid w:val="0052056D"/>
    <w:rsid w:val="005209A3"/>
    <w:rsid w:val="00521B60"/>
    <w:rsid w:val="00522A52"/>
    <w:rsid w:val="005231A2"/>
    <w:rsid w:val="005234DD"/>
    <w:rsid w:val="005236F2"/>
    <w:rsid w:val="00523DD9"/>
    <w:rsid w:val="00523E1F"/>
    <w:rsid w:val="00524147"/>
    <w:rsid w:val="005244A7"/>
    <w:rsid w:val="005244DF"/>
    <w:rsid w:val="00524862"/>
    <w:rsid w:val="0052510A"/>
    <w:rsid w:val="0052693D"/>
    <w:rsid w:val="00527256"/>
    <w:rsid w:val="00527574"/>
    <w:rsid w:val="00527BDF"/>
    <w:rsid w:val="00527D7A"/>
    <w:rsid w:val="005302F4"/>
    <w:rsid w:val="00530550"/>
    <w:rsid w:val="005307BF"/>
    <w:rsid w:val="00530EA0"/>
    <w:rsid w:val="00530F8B"/>
    <w:rsid w:val="00531A23"/>
    <w:rsid w:val="00531AA5"/>
    <w:rsid w:val="00531B3D"/>
    <w:rsid w:val="00531C55"/>
    <w:rsid w:val="00531DEF"/>
    <w:rsid w:val="005323B8"/>
    <w:rsid w:val="00532B6D"/>
    <w:rsid w:val="00532F0E"/>
    <w:rsid w:val="005335A0"/>
    <w:rsid w:val="0053369B"/>
    <w:rsid w:val="00533BDC"/>
    <w:rsid w:val="00533E2D"/>
    <w:rsid w:val="00533EAE"/>
    <w:rsid w:val="005345D0"/>
    <w:rsid w:val="00534B36"/>
    <w:rsid w:val="00535368"/>
    <w:rsid w:val="00535588"/>
    <w:rsid w:val="005355A4"/>
    <w:rsid w:val="005355A9"/>
    <w:rsid w:val="00535632"/>
    <w:rsid w:val="00535862"/>
    <w:rsid w:val="0053675C"/>
    <w:rsid w:val="005367A9"/>
    <w:rsid w:val="00536A24"/>
    <w:rsid w:val="00536B4E"/>
    <w:rsid w:val="005370D8"/>
    <w:rsid w:val="0053778F"/>
    <w:rsid w:val="0053792C"/>
    <w:rsid w:val="00537A07"/>
    <w:rsid w:val="00537A11"/>
    <w:rsid w:val="00537A17"/>
    <w:rsid w:val="00537B22"/>
    <w:rsid w:val="005405FF"/>
    <w:rsid w:val="0054070C"/>
    <w:rsid w:val="00540886"/>
    <w:rsid w:val="00540F02"/>
    <w:rsid w:val="0054115D"/>
    <w:rsid w:val="005411DB"/>
    <w:rsid w:val="0054139D"/>
    <w:rsid w:val="005413C8"/>
    <w:rsid w:val="005414AE"/>
    <w:rsid w:val="005415D5"/>
    <w:rsid w:val="005416AA"/>
    <w:rsid w:val="005419EF"/>
    <w:rsid w:val="00542270"/>
    <w:rsid w:val="0054276D"/>
    <w:rsid w:val="00542A01"/>
    <w:rsid w:val="005435F5"/>
    <w:rsid w:val="00543ADE"/>
    <w:rsid w:val="00543D89"/>
    <w:rsid w:val="00543F44"/>
    <w:rsid w:val="00544A34"/>
    <w:rsid w:val="005450CB"/>
    <w:rsid w:val="00545704"/>
    <w:rsid w:val="005457D4"/>
    <w:rsid w:val="00546850"/>
    <w:rsid w:val="00546B68"/>
    <w:rsid w:val="00547509"/>
    <w:rsid w:val="005475A5"/>
    <w:rsid w:val="005475D3"/>
    <w:rsid w:val="00547675"/>
    <w:rsid w:val="005477F5"/>
    <w:rsid w:val="005478AA"/>
    <w:rsid w:val="00547A0B"/>
    <w:rsid w:val="00547B58"/>
    <w:rsid w:val="00547F80"/>
    <w:rsid w:val="00550478"/>
    <w:rsid w:val="005504CB"/>
    <w:rsid w:val="00550970"/>
    <w:rsid w:val="00550F7B"/>
    <w:rsid w:val="00551639"/>
    <w:rsid w:val="00551D05"/>
    <w:rsid w:val="00552177"/>
    <w:rsid w:val="005521A2"/>
    <w:rsid w:val="00552266"/>
    <w:rsid w:val="0055267B"/>
    <w:rsid w:val="0055274D"/>
    <w:rsid w:val="0055279C"/>
    <w:rsid w:val="00552AFC"/>
    <w:rsid w:val="00552B49"/>
    <w:rsid w:val="00552E15"/>
    <w:rsid w:val="00552EBE"/>
    <w:rsid w:val="00553EDC"/>
    <w:rsid w:val="00554063"/>
    <w:rsid w:val="00554085"/>
    <w:rsid w:val="00554775"/>
    <w:rsid w:val="00554B0A"/>
    <w:rsid w:val="00554E88"/>
    <w:rsid w:val="005551D8"/>
    <w:rsid w:val="005557D3"/>
    <w:rsid w:val="00555B40"/>
    <w:rsid w:val="00556F7E"/>
    <w:rsid w:val="00557524"/>
    <w:rsid w:val="00557585"/>
    <w:rsid w:val="0055796B"/>
    <w:rsid w:val="00557DFD"/>
    <w:rsid w:val="0056004A"/>
    <w:rsid w:val="00560272"/>
    <w:rsid w:val="005609D4"/>
    <w:rsid w:val="00560AEA"/>
    <w:rsid w:val="00561514"/>
    <w:rsid w:val="00561519"/>
    <w:rsid w:val="00561618"/>
    <w:rsid w:val="00561B3B"/>
    <w:rsid w:val="00561BA2"/>
    <w:rsid w:val="00562955"/>
    <w:rsid w:val="005629E5"/>
    <w:rsid w:val="00562B93"/>
    <w:rsid w:val="00562E31"/>
    <w:rsid w:val="0056337E"/>
    <w:rsid w:val="00563687"/>
    <w:rsid w:val="00563AA7"/>
    <w:rsid w:val="0056434F"/>
    <w:rsid w:val="00564970"/>
    <w:rsid w:val="00565906"/>
    <w:rsid w:val="00565BA4"/>
    <w:rsid w:val="00565C27"/>
    <w:rsid w:val="00565DF8"/>
    <w:rsid w:val="0056635C"/>
    <w:rsid w:val="005668E0"/>
    <w:rsid w:val="00566B11"/>
    <w:rsid w:val="00566D25"/>
    <w:rsid w:val="00567126"/>
    <w:rsid w:val="005675B0"/>
    <w:rsid w:val="00567D39"/>
    <w:rsid w:val="00567FC9"/>
    <w:rsid w:val="00570140"/>
    <w:rsid w:val="005701A7"/>
    <w:rsid w:val="0057121A"/>
    <w:rsid w:val="005714FE"/>
    <w:rsid w:val="0057153A"/>
    <w:rsid w:val="005719E7"/>
    <w:rsid w:val="00571B87"/>
    <w:rsid w:val="00571CAD"/>
    <w:rsid w:val="005723FE"/>
    <w:rsid w:val="00572654"/>
    <w:rsid w:val="0057306C"/>
    <w:rsid w:val="0057319C"/>
    <w:rsid w:val="00573326"/>
    <w:rsid w:val="005735CF"/>
    <w:rsid w:val="00573A3C"/>
    <w:rsid w:val="005741DF"/>
    <w:rsid w:val="0057457F"/>
    <w:rsid w:val="00574BB8"/>
    <w:rsid w:val="00575016"/>
    <w:rsid w:val="0057529C"/>
    <w:rsid w:val="005752E1"/>
    <w:rsid w:val="005753FD"/>
    <w:rsid w:val="00575414"/>
    <w:rsid w:val="0057603D"/>
    <w:rsid w:val="00576927"/>
    <w:rsid w:val="0057695F"/>
    <w:rsid w:val="00576EBE"/>
    <w:rsid w:val="00577419"/>
    <w:rsid w:val="00577C2B"/>
    <w:rsid w:val="00577EEF"/>
    <w:rsid w:val="00580752"/>
    <w:rsid w:val="0058113D"/>
    <w:rsid w:val="00581544"/>
    <w:rsid w:val="00581A37"/>
    <w:rsid w:val="00581B08"/>
    <w:rsid w:val="00581BFE"/>
    <w:rsid w:val="005821BC"/>
    <w:rsid w:val="005821CD"/>
    <w:rsid w:val="005828AA"/>
    <w:rsid w:val="00582B16"/>
    <w:rsid w:val="00583AD7"/>
    <w:rsid w:val="00584011"/>
    <w:rsid w:val="00584CFB"/>
    <w:rsid w:val="00584D29"/>
    <w:rsid w:val="00585027"/>
    <w:rsid w:val="00585086"/>
    <w:rsid w:val="0058554F"/>
    <w:rsid w:val="00585A16"/>
    <w:rsid w:val="00585A24"/>
    <w:rsid w:val="005863F5"/>
    <w:rsid w:val="005866BE"/>
    <w:rsid w:val="00586F87"/>
    <w:rsid w:val="005870CE"/>
    <w:rsid w:val="005875E8"/>
    <w:rsid w:val="00587892"/>
    <w:rsid w:val="005901C6"/>
    <w:rsid w:val="005903B8"/>
    <w:rsid w:val="00590B62"/>
    <w:rsid w:val="00590D08"/>
    <w:rsid w:val="00590FCE"/>
    <w:rsid w:val="005912D8"/>
    <w:rsid w:val="00591382"/>
    <w:rsid w:val="00591789"/>
    <w:rsid w:val="005919BF"/>
    <w:rsid w:val="00591B89"/>
    <w:rsid w:val="00591FC4"/>
    <w:rsid w:val="00592430"/>
    <w:rsid w:val="005924E7"/>
    <w:rsid w:val="00592ACA"/>
    <w:rsid w:val="00592DA2"/>
    <w:rsid w:val="00592E79"/>
    <w:rsid w:val="00592EEF"/>
    <w:rsid w:val="0059375D"/>
    <w:rsid w:val="00594204"/>
    <w:rsid w:val="00594383"/>
    <w:rsid w:val="005944CA"/>
    <w:rsid w:val="00594904"/>
    <w:rsid w:val="00597181"/>
    <w:rsid w:val="00597A75"/>
    <w:rsid w:val="00597C51"/>
    <w:rsid w:val="00597D50"/>
    <w:rsid w:val="00597EE3"/>
    <w:rsid w:val="005A0035"/>
    <w:rsid w:val="005A00E2"/>
    <w:rsid w:val="005A025C"/>
    <w:rsid w:val="005A033A"/>
    <w:rsid w:val="005A064D"/>
    <w:rsid w:val="005A06B9"/>
    <w:rsid w:val="005A06E2"/>
    <w:rsid w:val="005A1075"/>
    <w:rsid w:val="005A1666"/>
    <w:rsid w:val="005A1C5B"/>
    <w:rsid w:val="005A1C74"/>
    <w:rsid w:val="005A2B71"/>
    <w:rsid w:val="005A3536"/>
    <w:rsid w:val="005A35F5"/>
    <w:rsid w:val="005A3ED0"/>
    <w:rsid w:val="005A3F85"/>
    <w:rsid w:val="005A435D"/>
    <w:rsid w:val="005A4579"/>
    <w:rsid w:val="005A539E"/>
    <w:rsid w:val="005A5999"/>
    <w:rsid w:val="005A5C15"/>
    <w:rsid w:val="005A5ED1"/>
    <w:rsid w:val="005A6286"/>
    <w:rsid w:val="005A6311"/>
    <w:rsid w:val="005A6346"/>
    <w:rsid w:val="005A655E"/>
    <w:rsid w:val="005A666E"/>
    <w:rsid w:val="005A694D"/>
    <w:rsid w:val="005A6D2F"/>
    <w:rsid w:val="005A73EE"/>
    <w:rsid w:val="005A7997"/>
    <w:rsid w:val="005A7BBA"/>
    <w:rsid w:val="005B082B"/>
    <w:rsid w:val="005B09F5"/>
    <w:rsid w:val="005B17DD"/>
    <w:rsid w:val="005B17E8"/>
    <w:rsid w:val="005B1DD4"/>
    <w:rsid w:val="005B1E97"/>
    <w:rsid w:val="005B21DD"/>
    <w:rsid w:val="005B21FB"/>
    <w:rsid w:val="005B22E1"/>
    <w:rsid w:val="005B2589"/>
    <w:rsid w:val="005B28F5"/>
    <w:rsid w:val="005B29DA"/>
    <w:rsid w:val="005B30B2"/>
    <w:rsid w:val="005B30FC"/>
    <w:rsid w:val="005B343F"/>
    <w:rsid w:val="005B3962"/>
    <w:rsid w:val="005B3B5A"/>
    <w:rsid w:val="005B3B76"/>
    <w:rsid w:val="005B4329"/>
    <w:rsid w:val="005B4430"/>
    <w:rsid w:val="005B47BE"/>
    <w:rsid w:val="005B507F"/>
    <w:rsid w:val="005B5626"/>
    <w:rsid w:val="005B5A17"/>
    <w:rsid w:val="005B5BAC"/>
    <w:rsid w:val="005B5F94"/>
    <w:rsid w:val="005B5FE9"/>
    <w:rsid w:val="005B6056"/>
    <w:rsid w:val="005B63FE"/>
    <w:rsid w:val="005B699A"/>
    <w:rsid w:val="005B6E4B"/>
    <w:rsid w:val="005B72C9"/>
    <w:rsid w:val="005C0014"/>
    <w:rsid w:val="005C0424"/>
    <w:rsid w:val="005C0A90"/>
    <w:rsid w:val="005C0AFC"/>
    <w:rsid w:val="005C0C3B"/>
    <w:rsid w:val="005C0D75"/>
    <w:rsid w:val="005C15EB"/>
    <w:rsid w:val="005C164F"/>
    <w:rsid w:val="005C1AB2"/>
    <w:rsid w:val="005C1EF2"/>
    <w:rsid w:val="005C2234"/>
    <w:rsid w:val="005C2338"/>
    <w:rsid w:val="005C2676"/>
    <w:rsid w:val="005C296C"/>
    <w:rsid w:val="005C29FA"/>
    <w:rsid w:val="005C319D"/>
    <w:rsid w:val="005C31BC"/>
    <w:rsid w:val="005C371D"/>
    <w:rsid w:val="005C3F8A"/>
    <w:rsid w:val="005C413D"/>
    <w:rsid w:val="005C4156"/>
    <w:rsid w:val="005C417C"/>
    <w:rsid w:val="005C47FE"/>
    <w:rsid w:val="005C4CB0"/>
    <w:rsid w:val="005C4CF7"/>
    <w:rsid w:val="005C4EB4"/>
    <w:rsid w:val="005C4F32"/>
    <w:rsid w:val="005C4F9E"/>
    <w:rsid w:val="005C4FEC"/>
    <w:rsid w:val="005C50DE"/>
    <w:rsid w:val="005C512A"/>
    <w:rsid w:val="005C5669"/>
    <w:rsid w:val="005C57C6"/>
    <w:rsid w:val="005C59AA"/>
    <w:rsid w:val="005C5BB2"/>
    <w:rsid w:val="005C5E90"/>
    <w:rsid w:val="005C60E9"/>
    <w:rsid w:val="005C6473"/>
    <w:rsid w:val="005C6584"/>
    <w:rsid w:val="005C6713"/>
    <w:rsid w:val="005C6ABB"/>
    <w:rsid w:val="005C6AD7"/>
    <w:rsid w:val="005C6CCE"/>
    <w:rsid w:val="005C6DC0"/>
    <w:rsid w:val="005C71CC"/>
    <w:rsid w:val="005C78DD"/>
    <w:rsid w:val="005C7AC4"/>
    <w:rsid w:val="005C7B9A"/>
    <w:rsid w:val="005C7F6D"/>
    <w:rsid w:val="005D0197"/>
    <w:rsid w:val="005D04C8"/>
    <w:rsid w:val="005D08D8"/>
    <w:rsid w:val="005D115D"/>
    <w:rsid w:val="005D1179"/>
    <w:rsid w:val="005D12EB"/>
    <w:rsid w:val="005D1490"/>
    <w:rsid w:val="005D16E4"/>
    <w:rsid w:val="005D1B42"/>
    <w:rsid w:val="005D1D57"/>
    <w:rsid w:val="005D1DC7"/>
    <w:rsid w:val="005D221B"/>
    <w:rsid w:val="005D2875"/>
    <w:rsid w:val="005D2A41"/>
    <w:rsid w:val="005D30BA"/>
    <w:rsid w:val="005D349A"/>
    <w:rsid w:val="005D3986"/>
    <w:rsid w:val="005D40ED"/>
    <w:rsid w:val="005D42A8"/>
    <w:rsid w:val="005D5019"/>
    <w:rsid w:val="005D50F4"/>
    <w:rsid w:val="005D51DB"/>
    <w:rsid w:val="005D5327"/>
    <w:rsid w:val="005D53F6"/>
    <w:rsid w:val="005D58FD"/>
    <w:rsid w:val="005D5D94"/>
    <w:rsid w:val="005D6D00"/>
    <w:rsid w:val="005D6F4B"/>
    <w:rsid w:val="005D79C1"/>
    <w:rsid w:val="005D7C40"/>
    <w:rsid w:val="005E00BD"/>
    <w:rsid w:val="005E0147"/>
    <w:rsid w:val="005E0FC4"/>
    <w:rsid w:val="005E1EF3"/>
    <w:rsid w:val="005E21C1"/>
    <w:rsid w:val="005E26B3"/>
    <w:rsid w:val="005E27AA"/>
    <w:rsid w:val="005E288A"/>
    <w:rsid w:val="005E30A7"/>
    <w:rsid w:val="005E3739"/>
    <w:rsid w:val="005E3DA4"/>
    <w:rsid w:val="005E3DA6"/>
    <w:rsid w:val="005E3DB6"/>
    <w:rsid w:val="005E40E0"/>
    <w:rsid w:val="005E41BE"/>
    <w:rsid w:val="005E41C0"/>
    <w:rsid w:val="005E50D7"/>
    <w:rsid w:val="005E5426"/>
    <w:rsid w:val="005E555D"/>
    <w:rsid w:val="005E5DC4"/>
    <w:rsid w:val="005E65AC"/>
    <w:rsid w:val="005E6827"/>
    <w:rsid w:val="005E7188"/>
    <w:rsid w:val="005E7408"/>
    <w:rsid w:val="005E754D"/>
    <w:rsid w:val="005E7593"/>
    <w:rsid w:val="005E787B"/>
    <w:rsid w:val="005E7C73"/>
    <w:rsid w:val="005F0503"/>
    <w:rsid w:val="005F072C"/>
    <w:rsid w:val="005F0D0E"/>
    <w:rsid w:val="005F0DF7"/>
    <w:rsid w:val="005F149F"/>
    <w:rsid w:val="005F15B0"/>
    <w:rsid w:val="005F1879"/>
    <w:rsid w:val="005F1B5A"/>
    <w:rsid w:val="005F2089"/>
    <w:rsid w:val="005F22A7"/>
    <w:rsid w:val="005F25D7"/>
    <w:rsid w:val="005F2CBF"/>
    <w:rsid w:val="005F3012"/>
    <w:rsid w:val="005F3439"/>
    <w:rsid w:val="005F3E3A"/>
    <w:rsid w:val="005F3E51"/>
    <w:rsid w:val="005F4261"/>
    <w:rsid w:val="005F442F"/>
    <w:rsid w:val="005F4784"/>
    <w:rsid w:val="005F56AE"/>
    <w:rsid w:val="005F5F8F"/>
    <w:rsid w:val="005F77A6"/>
    <w:rsid w:val="005F781A"/>
    <w:rsid w:val="005F7CC5"/>
    <w:rsid w:val="006002D8"/>
    <w:rsid w:val="00600335"/>
    <w:rsid w:val="006003BA"/>
    <w:rsid w:val="00600A0C"/>
    <w:rsid w:val="00600B25"/>
    <w:rsid w:val="00600CB5"/>
    <w:rsid w:val="00600FAC"/>
    <w:rsid w:val="00601010"/>
    <w:rsid w:val="006011CF"/>
    <w:rsid w:val="006018F8"/>
    <w:rsid w:val="00601C2A"/>
    <w:rsid w:val="0060216E"/>
    <w:rsid w:val="00602E43"/>
    <w:rsid w:val="006034CA"/>
    <w:rsid w:val="00603749"/>
    <w:rsid w:val="00603C82"/>
    <w:rsid w:val="00604B22"/>
    <w:rsid w:val="00604B43"/>
    <w:rsid w:val="00604DEB"/>
    <w:rsid w:val="00605496"/>
    <w:rsid w:val="006058EC"/>
    <w:rsid w:val="0060625E"/>
    <w:rsid w:val="00606D58"/>
    <w:rsid w:val="00606D5C"/>
    <w:rsid w:val="00606DDA"/>
    <w:rsid w:val="00606FF4"/>
    <w:rsid w:val="006074E3"/>
    <w:rsid w:val="00607B49"/>
    <w:rsid w:val="0061026B"/>
    <w:rsid w:val="00610803"/>
    <w:rsid w:val="00610A1B"/>
    <w:rsid w:val="00611304"/>
    <w:rsid w:val="00611406"/>
    <w:rsid w:val="006115FD"/>
    <w:rsid w:val="0061219C"/>
    <w:rsid w:val="00612344"/>
    <w:rsid w:val="006123DF"/>
    <w:rsid w:val="00612AD8"/>
    <w:rsid w:val="00612C03"/>
    <w:rsid w:val="00612EA1"/>
    <w:rsid w:val="006130C1"/>
    <w:rsid w:val="006138D2"/>
    <w:rsid w:val="00613F66"/>
    <w:rsid w:val="00614183"/>
    <w:rsid w:val="006142C0"/>
    <w:rsid w:val="006147DC"/>
    <w:rsid w:val="006148C7"/>
    <w:rsid w:val="00614A20"/>
    <w:rsid w:val="006155E6"/>
    <w:rsid w:val="00615909"/>
    <w:rsid w:val="00615B68"/>
    <w:rsid w:val="00615DF7"/>
    <w:rsid w:val="0061673A"/>
    <w:rsid w:val="00616B1A"/>
    <w:rsid w:val="0061717F"/>
    <w:rsid w:val="0061725A"/>
    <w:rsid w:val="00617773"/>
    <w:rsid w:val="006178A4"/>
    <w:rsid w:val="006179A3"/>
    <w:rsid w:val="00617B79"/>
    <w:rsid w:val="00620746"/>
    <w:rsid w:val="00620BC8"/>
    <w:rsid w:val="00620DCD"/>
    <w:rsid w:val="00620EFE"/>
    <w:rsid w:val="0062102A"/>
    <w:rsid w:val="0062105C"/>
    <w:rsid w:val="00621410"/>
    <w:rsid w:val="00621FDB"/>
    <w:rsid w:val="0062265B"/>
    <w:rsid w:val="00622936"/>
    <w:rsid w:val="00622D66"/>
    <w:rsid w:val="00622FED"/>
    <w:rsid w:val="006237ED"/>
    <w:rsid w:val="0062385A"/>
    <w:rsid w:val="006238FB"/>
    <w:rsid w:val="00623CFD"/>
    <w:rsid w:val="0062411A"/>
    <w:rsid w:val="006243A5"/>
    <w:rsid w:val="00624915"/>
    <w:rsid w:val="00624D88"/>
    <w:rsid w:val="00624FCA"/>
    <w:rsid w:val="0062542B"/>
    <w:rsid w:val="00625DAA"/>
    <w:rsid w:val="00625E48"/>
    <w:rsid w:val="00626818"/>
    <w:rsid w:val="006271AA"/>
    <w:rsid w:val="006271CB"/>
    <w:rsid w:val="00627271"/>
    <w:rsid w:val="00627424"/>
    <w:rsid w:val="006278AF"/>
    <w:rsid w:val="0062790C"/>
    <w:rsid w:val="00627EBA"/>
    <w:rsid w:val="00630141"/>
    <w:rsid w:val="0063034D"/>
    <w:rsid w:val="0063038B"/>
    <w:rsid w:val="00630767"/>
    <w:rsid w:val="00630825"/>
    <w:rsid w:val="006309C9"/>
    <w:rsid w:val="00630A01"/>
    <w:rsid w:val="0063113E"/>
    <w:rsid w:val="0063175E"/>
    <w:rsid w:val="0063187B"/>
    <w:rsid w:val="0063197A"/>
    <w:rsid w:val="00632415"/>
    <w:rsid w:val="00632663"/>
    <w:rsid w:val="0063271C"/>
    <w:rsid w:val="00632CBF"/>
    <w:rsid w:val="00632D5B"/>
    <w:rsid w:val="00633471"/>
    <w:rsid w:val="00634494"/>
    <w:rsid w:val="006347E6"/>
    <w:rsid w:val="0063515C"/>
    <w:rsid w:val="0063526E"/>
    <w:rsid w:val="006355AB"/>
    <w:rsid w:val="00635642"/>
    <w:rsid w:val="00635BB0"/>
    <w:rsid w:val="00635BC1"/>
    <w:rsid w:val="00635D2D"/>
    <w:rsid w:val="00635FD1"/>
    <w:rsid w:val="006361DD"/>
    <w:rsid w:val="006363A4"/>
    <w:rsid w:val="00636C69"/>
    <w:rsid w:val="006371ED"/>
    <w:rsid w:val="00637640"/>
    <w:rsid w:val="00637E70"/>
    <w:rsid w:val="006405D7"/>
    <w:rsid w:val="006410C3"/>
    <w:rsid w:val="006411AE"/>
    <w:rsid w:val="006416C6"/>
    <w:rsid w:val="00641A94"/>
    <w:rsid w:val="00641DCC"/>
    <w:rsid w:val="0064228D"/>
    <w:rsid w:val="00642939"/>
    <w:rsid w:val="00642A4E"/>
    <w:rsid w:val="00642F0E"/>
    <w:rsid w:val="006430AC"/>
    <w:rsid w:val="0064373E"/>
    <w:rsid w:val="00643815"/>
    <w:rsid w:val="006439C0"/>
    <w:rsid w:val="00643E33"/>
    <w:rsid w:val="0064453D"/>
    <w:rsid w:val="00644DDE"/>
    <w:rsid w:val="00644FD3"/>
    <w:rsid w:val="00645453"/>
    <w:rsid w:val="00645A33"/>
    <w:rsid w:val="00645ECD"/>
    <w:rsid w:val="00645F33"/>
    <w:rsid w:val="00646792"/>
    <w:rsid w:val="00646946"/>
    <w:rsid w:val="006469BE"/>
    <w:rsid w:val="00646E33"/>
    <w:rsid w:val="00646E66"/>
    <w:rsid w:val="006473A7"/>
    <w:rsid w:val="0064789A"/>
    <w:rsid w:val="0064798E"/>
    <w:rsid w:val="00647B47"/>
    <w:rsid w:val="00647C0B"/>
    <w:rsid w:val="00647D02"/>
    <w:rsid w:val="006503A9"/>
    <w:rsid w:val="006504A8"/>
    <w:rsid w:val="00650514"/>
    <w:rsid w:val="006506F5"/>
    <w:rsid w:val="00650705"/>
    <w:rsid w:val="00650C48"/>
    <w:rsid w:val="00650E27"/>
    <w:rsid w:val="00651063"/>
    <w:rsid w:val="006518EF"/>
    <w:rsid w:val="00651D17"/>
    <w:rsid w:val="00652529"/>
    <w:rsid w:val="006525B9"/>
    <w:rsid w:val="006526A5"/>
    <w:rsid w:val="00652859"/>
    <w:rsid w:val="00652A2F"/>
    <w:rsid w:val="00652E00"/>
    <w:rsid w:val="00653A58"/>
    <w:rsid w:val="00653B56"/>
    <w:rsid w:val="00653E41"/>
    <w:rsid w:val="00653EC0"/>
    <w:rsid w:val="00654F5A"/>
    <w:rsid w:val="00655292"/>
    <w:rsid w:val="0065534F"/>
    <w:rsid w:val="00655C02"/>
    <w:rsid w:val="00655C06"/>
    <w:rsid w:val="00656287"/>
    <w:rsid w:val="00656393"/>
    <w:rsid w:val="006565C7"/>
    <w:rsid w:val="00657212"/>
    <w:rsid w:val="00657303"/>
    <w:rsid w:val="00657931"/>
    <w:rsid w:val="006579A6"/>
    <w:rsid w:val="0066055C"/>
    <w:rsid w:val="006613C8"/>
    <w:rsid w:val="00661415"/>
    <w:rsid w:val="006618E2"/>
    <w:rsid w:val="006619E4"/>
    <w:rsid w:val="00661E5C"/>
    <w:rsid w:val="006623C8"/>
    <w:rsid w:val="00662552"/>
    <w:rsid w:val="006626CC"/>
    <w:rsid w:val="006627AD"/>
    <w:rsid w:val="00662B0F"/>
    <w:rsid w:val="00663CD6"/>
    <w:rsid w:val="00663DBB"/>
    <w:rsid w:val="006641DB"/>
    <w:rsid w:val="00664D82"/>
    <w:rsid w:val="00664FAA"/>
    <w:rsid w:val="006656BD"/>
    <w:rsid w:val="00666472"/>
    <w:rsid w:val="006664F3"/>
    <w:rsid w:val="00666573"/>
    <w:rsid w:val="00666E74"/>
    <w:rsid w:val="00667571"/>
    <w:rsid w:val="0067033F"/>
    <w:rsid w:val="0067064E"/>
    <w:rsid w:val="0067109F"/>
    <w:rsid w:val="0067140F"/>
    <w:rsid w:val="00671498"/>
    <w:rsid w:val="00672649"/>
    <w:rsid w:val="00672BD6"/>
    <w:rsid w:val="00672CDF"/>
    <w:rsid w:val="00672F0E"/>
    <w:rsid w:val="0067314A"/>
    <w:rsid w:val="00673873"/>
    <w:rsid w:val="00673B23"/>
    <w:rsid w:val="0067419B"/>
    <w:rsid w:val="0067429D"/>
    <w:rsid w:val="0067458B"/>
    <w:rsid w:val="00674A88"/>
    <w:rsid w:val="00674D44"/>
    <w:rsid w:val="00675718"/>
    <w:rsid w:val="0067594C"/>
    <w:rsid w:val="00675C57"/>
    <w:rsid w:val="006762ED"/>
    <w:rsid w:val="0067630C"/>
    <w:rsid w:val="006765A5"/>
    <w:rsid w:val="00676B40"/>
    <w:rsid w:val="00676BDD"/>
    <w:rsid w:val="00676FE8"/>
    <w:rsid w:val="006770BF"/>
    <w:rsid w:val="006771C5"/>
    <w:rsid w:val="00677550"/>
    <w:rsid w:val="00677DDD"/>
    <w:rsid w:val="006806F0"/>
    <w:rsid w:val="00680BA5"/>
    <w:rsid w:val="00680F0D"/>
    <w:rsid w:val="006815DF"/>
    <w:rsid w:val="00681768"/>
    <w:rsid w:val="006818FE"/>
    <w:rsid w:val="00681B67"/>
    <w:rsid w:val="00682368"/>
    <w:rsid w:val="006835E7"/>
    <w:rsid w:val="0068388B"/>
    <w:rsid w:val="00683B1B"/>
    <w:rsid w:val="00683CFF"/>
    <w:rsid w:val="00683F03"/>
    <w:rsid w:val="00683FF5"/>
    <w:rsid w:val="00683FFB"/>
    <w:rsid w:val="00684ADC"/>
    <w:rsid w:val="0068548E"/>
    <w:rsid w:val="00685556"/>
    <w:rsid w:val="006855C4"/>
    <w:rsid w:val="00685D63"/>
    <w:rsid w:val="00686054"/>
    <w:rsid w:val="006865A3"/>
    <w:rsid w:val="006869EF"/>
    <w:rsid w:val="00686CDD"/>
    <w:rsid w:val="00686FD4"/>
    <w:rsid w:val="00687204"/>
    <w:rsid w:val="0068740F"/>
    <w:rsid w:val="006876A0"/>
    <w:rsid w:val="00687E8A"/>
    <w:rsid w:val="00687EEF"/>
    <w:rsid w:val="006901BC"/>
    <w:rsid w:val="00690CBB"/>
    <w:rsid w:val="00690F01"/>
    <w:rsid w:val="00691812"/>
    <w:rsid w:val="00691EA1"/>
    <w:rsid w:val="006923D4"/>
    <w:rsid w:val="006929C6"/>
    <w:rsid w:val="00692C22"/>
    <w:rsid w:val="00693104"/>
    <w:rsid w:val="00693130"/>
    <w:rsid w:val="00693613"/>
    <w:rsid w:val="00693634"/>
    <w:rsid w:val="0069495A"/>
    <w:rsid w:val="006954D3"/>
    <w:rsid w:val="00695653"/>
    <w:rsid w:val="00695C3B"/>
    <w:rsid w:val="00695DE0"/>
    <w:rsid w:val="00696061"/>
    <w:rsid w:val="00696413"/>
    <w:rsid w:val="006967E4"/>
    <w:rsid w:val="00696AF6"/>
    <w:rsid w:val="00697403"/>
    <w:rsid w:val="00697D76"/>
    <w:rsid w:val="006A0040"/>
    <w:rsid w:val="006A00BE"/>
    <w:rsid w:val="006A0312"/>
    <w:rsid w:val="006A099C"/>
    <w:rsid w:val="006A0CE4"/>
    <w:rsid w:val="006A0E1F"/>
    <w:rsid w:val="006A0EDB"/>
    <w:rsid w:val="006A0F32"/>
    <w:rsid w:val="006A10DE"/>
    <w:rsid w:val="006A12FD"/>
    <w:rsid w:val="006A1737"/>
    <w:rsid w:val="006A1B0A"/>
    <w:rsid w:val="006A1C83"/>
    <w:rsid w:val="006A294C"/>
    <w:rsid w:val="006A2977"/>
    <w:rsid w:val="006A2B3F"/>
    <w:rsid w:val="006A3740"/>
    <w:rsid w:val="006A37E7"/>
    <w:rsid w:val="006A40DE"/>
    <w:rsid w:val="006A482D"/>
    <w:rsid w:val="006A4AE8"/>
    <w:rsid w:val="006A4EA7"/>
    <w:rsid w:val="006A4FFF"/>
    <w:rsid w:val="006A516F"/>
    <w:rsid w:val="006A5E45"/>
    <w:rsid w:val="006A633E"/>
    <w:rsid w:val="006A6448"/>
    <w:rsid w:val="006A654A"/>
    <w:rsid w:val="006A6B81"/>
    <w:rsid w:val="006A6DB4"/>
    <w:rsid w:val="006A6DF0"/>
    <w:rsid w:val="006A7087"/>
    <w:rsid w:val="006A7251"/>
    <w:rsid w:val="006A72F1"/>
    <w:rsid w:val="006A737E"/>
    <w:rsid w:val="006A742C"/>
    <w:rsid w:val="006A76DA"/>
    <w:rsid w:val="006A7754"/>
    <w:rsid w:val="006A7AC5"/>
    <w:rsid w:val="006B02B7"/>
    <w:rsid w:val="006B078C"/>
    <w:rsid w:val="006B0CD3"/>
    <w:rsid w:val="006B108E"/>
    <w:rsid w:val="006B111C"/>
    <w:rsid w:val="006B124D"/>
    <w:rsid w:val="006B1480"/>
    <w:rsid w:val="006B17E1"/>
    <w:rsid w:val="006B19C0"/>
    <w:rsid w:val="006B1B6F"/>
    <w:rsid w:val="006B2719"/>
    <w:rsid w:val="006B29F7"/>
    <w:rsid w:val="006B3752"/>
    <w:rsid w:val="006B41C3"/>
    <w:rsid w:val="006B4326"/>
    <w:rsid w:val="006B4C44"/>
    <w:rsid w:val="006B4FDA"/>
    <w:rsid w:val="006B53A2"/>
    <w:rsid w:val="006B55F0"/>
    <w:rsid w:val="006B5D00"/>
    <w:rsid w:val="006B6087"/>
    <w:rsid w:val="006B66A4"/>
    <w:rsid w:val="006B6995"/>
    <w:rsid w:val="006B6A26"/>
    <w:rsid w:val="006B6D6E"/>
    <w:rsid w:val="006B71C5"/>
    <w:rsid w:val="006B7263"/>
    <w:rsid w:val="006B72BD"/>
    <w:rsid w:val="006C054B"/>
    <w:rsid w:val="006C05ED"/>
    <w:rsid w:val="006C07E9"/>
    <w:rsid w:val="006C120C"/>
    <w:rsid w:val="006C1258"/>
    <w:rsid w:val="006C146B"/>
    <w:rsid w:val="006C274B"/>
    <w:rsid w:val="006C295B"/>
    <w:rsid w:val="006C2960"/>
    <w:rsid w:val="006C2C32"/>
    <w:rsid w:val="006C2D06"/>
    <w:rsid w:val="006C2EFB"/>
    <w:rsid w:val="006C38D5"/>
    <w:rsid w:val="006C3A9E"/>
    <w:rsid w:val="006C3C0B"/>
    <w:rsid w:val="006C3D9A"/>
    <w:rsid w:val="006C3F5E"/>
    <w:rsid w:val="006C3FF6"/>
    <w:rsid w:val="006C415A"/>
    <w:rsid w:val="006C487C"/>
    <w:rsid w:val="006C48F3"/>
    <w:rsid w:val="006C4961"/>
    <w:rsid w:val="006C4CE9"/>
    <w:rsid w:val="006C4D81"/>
    <w:rsid w:val="006C52D7"/>
    <w:rsid w:val="006C552A"/>
    <w:rsid w:val="006C6516"/>
    <w:rsid w:val="006C65D7"/>
    <w:rsid w:val="006C667C"/>
    <w:rsid w:val="006C6687"/>
    <w:rsid w:val="006C694A"/>
    <w:rsid w:val="006C69D9"/>
    <w:rsid w:val="006C6EBB"/>
    <w:rsid w:val="006C6F82"/>
    <w:rsid w:val="006C7172"/>
    <w:rsid w:val="006C74A5"/>
    <w:rsid w:val="006D0767"/>
    <w:rsid w:val="006D0856"/>
    <w:rsid w:val="006D0F63"/>
    <w:rsid w:val="006D10A8"/>
    <w:rsid w:val="006D1219"/>
    <w:rsid w:val="006D1384"/>
    <w:rsid w:val="006D14B3"/>
    <w:rsid w:val="006D1557"/>
    <w:rsid w:val="006D160B"/>
    <w:rsid w:val="006D19CF"/>
    <w:rsid w:val="006D22B4"/>
    <w:rsid w:val="006D2E91"/>
    <w:rsid w:val="006D3086"/>
    <w:rsid w:val="006D31FA"/>
    <w:rsid w:val="006D3233"/>
    <w:rsid w:val="006D3B1D"/>
    <w:rsid w:val="006D3BFE"/>
    <w:rsid w:val="006D3DD1"/>
    <w:rsid w:val="006D4D50"/>
    <w:rsid w:val="006D54B2"/>
    <w:rsid w:val="006D5839"/>
    <w:rsid w:val="006D5941"/>
    <w:rsid w:val="006D5B73"/>
    <w:rsid w:val="006D5F59"/>
    <w:rsid w:val="006D6937"/>
    <w:rsid w:val="006D69A5"/>
    <w:rsid w:val="006D6AF1"/>
    <w:rsid w:val="006D6CAD"/>
    <w:rsid w:val="006D70CB"/>
    <w:rsid w:val="006D77B2"/>
    <w:rsid w:val="006D7C18"/>
    <w:rsid w:val="006E0049"/>
    <w:rsid w:val="006E0165"/>
    <w:rsid w:val="006E12EB"/>
    <w:rsid w:val="006E1F0E"/>
    <w:rsid w:val="006E1F85"/>
    <w:rsid w:val="006E25A0"/>
    <w:rsid w:val="006E3398"/>
    <w:rsid w:val="006E36C2"/>
    <w:rsid w:val="006E37B3"/>
    <w:rsid w:val="006E3D54"/>
    <w:rsid w:val="006E3DD6"/>
    <w:rsid w:val="006E4970"/>
    <w:rsid w:val="006E49EC"/>
    <w:rsid w:val="006E4D41"/>
    <w:rsid w:val="006E522C"/>
    <w:rsid w:val="006E5589"/>
    <w:rsid w:val="006E5D02"/>
    <w:rsid w:val="006E5DE4"/>
    <w:rsid w:val="006E65BD"/>
    <w:rsid w:val="006E692D"/>
    <w:rsid w:val="006E7038"/>
    <w:rsid w:val="006E72D6"/>
    <w:rsid w:val="006E782C"/>
    <w:rsid w:val="006E7961"/>
    <w:rsid w:val="006E7CE1"/>
    <w:rsid w:val="006E7DEB"/>
    <w:rsid w:val="006F052A"/>
    <w:rsid w:val="006F0655"/>
    <w:rsid w:val="006F0E09"/>
    <w:rsid w:val="006F1128"/>
    <w:rsid w:val="006F15B8"/>
    <w:rsid w:val="006F2464"/>
    <w:rsid w:val="006F27A4"/>
    <w:rsid w:val="006F3184"/>
    <w:rsid w:val="006F3D7A"/>
    <w:rsid w:val="006F4856"/>
    <w:rsid w:val="006F4958"/>
    <w:rsid w:val="006F5337"/>
    <w:rsid w:val="006F5746"/>
    <w:rsid w:val="006F5E2D"/>
    <w:rsid w:val="006F66AE"/>
    <w:rsid w:val="006F6919"/>
    <w:rsid w:val="006F6985"/>
    <w:rsid w:val="006F69ED"/>
    <w:rsid w:val="006F730B"/>
    <w:rsid w:val="006F7649"/>
    <w:rsid w:val="00700135"/>
    <w:rsid w:val="007002A7"/>
    <w:rsid w:val="007005B6"/>
    <w:rsid w:val="00700A09"/>
    <w:rsid w:val="00700F5E"/>
    <w:rsid w:val="00701050"/>
    <w:rsid w:val="00701FFC"/>
    <w:rsid w:val="00702203"/>
    <w:rsid w:val="0070220A"/>
    <w:rsid w:val="007028D7"/>
    <w:rsid w:val="00702F23"/>
    <w:rsid w:val="00703800"/>
    <w:rsid w:val="007044F6"/>
    <w:rsid w:val="00704A96"/>
    <w:rsid w:val="00704C1A"/>
    <w:rsid w:val="007050E6"/>
    <w:rsid w:val="00705E38"/>
    <w:rsid w:val="007061C5"/>
    <w:rsid w:val="007061DF"/>
    <w:rsid w:val="0070620B"/>
    <w:rsid w:val="0070644B"/>
    <w:rsid w:val="00706A36"/>
    <w:rsid w:val="00706AFB"/>
    <w:rsid w:val="00706B39"/>
    <w:rsid w:val="00707249"/>
    <w:rsid w:val="007075A5"/>
    <w:rsid w:val="007076D2"/>
    <w:rsid w:val="007078C9"/>
    <w:rsid w:val="007104D3"/>
    <w:rsid w:val="007106CA"/>
    <w:rsid w:val="007106D5"/>
    <w:rsid w:val="00710D8C"/>
    <w:rsid w:val="0071134F"/>
    <w:rsid w:val="00711851"/>
    <w:rsid w:val="00712040"/>
    <w:rsid w:val="007121EE"/>
    <w:rsid w:val="007126A0"/>
    <w:rsid w:val="0071305A"/>
    <w:rsid w:val="007135BA"/>
    <w:rsid w:val="00713D30"/>
    <w:rsid w:val="00714A00"/>
    <w:rsid w:val="00714C6B"/>
    <w:rsid w:val="0071501A"/>
    <w:rsid w:val="00715597"/>
    <w:rsid w:val="007164D9"/>
    <w:rsid w:val="007165B6"/>
    <w:rsid w:val="0071692A"/>
    <w:rsid w:val="00716B67"/>
    <w:rsid w:val="00716C40"/>
    <w:rsid w:val="00716DCF"/>
    <w:rsid w:val="00717250"/>
    <w:rsid w:val="007173ED"/>
    <w:rsid w:val="00717A3E"/>
    <w:rsid w:val="00717C82"/>
    <w:rsid w:val="0072010A"/>
    <w:rsid w:val="00720292"/>
    <w:rsid w:val="007204D6"/>
    <w:rsid w:val="0072084F"/>
    <w:rsid w:val="00720EC9"/>
    <w:rsid w:val="007211FC"/>
    <w:rsid w:val="0072142C"/>
    <w:rsid w:val="00721A50"/>
    <w:rsid w:val="00722080"/>
    <w:rsid w:val="00722505"/>
    <w:rsid w:val="00722577"/>
    <w:rsid w:val="007225D5"/>
    <w:rsid w:val="007225D6"/>
    <w:rsid w:val="00722618"/>
    <w:rsid w:val="00722C94"/>
    <w:rsid w:val="00723023"/>
    <w:rsid w:val="00723819"/>
    <w:rsid w:val="00723B45"/>
    <w:rsid w:val="00723E1F"/>
    <w:rsid w:val="00723F6B"/>
    <w:rsid w:val="00724669"/>
    <w:rsid w:val="007247D3"/>
    <w:rsid w:val="00724A88"/>
    <w:rsid w:val="00724CA1"/>
    <w:rsid w:val="00724CE4"/>
    <w:rsid w:val="00724E6C"/>
    <w:rsid w:val="0072525F"/>
    <w:rsid w:val="0072526F"/>
    <w:rsid w:val="007253BB"/>
    <w:rsid w:val="00725722"/>
    <w:rsid w:val="00725864"/>
    <w:rsid w:val="00725B1A"/>
    <w:rsid w:val="00725C35"/>
    <w:rsid w:val="007269A6"/>
    <w:rsid w:val="007270D2"/>
    <w:rsid w:val="007271E2"/>
    <w:rsid w:val="00727729"/>
    <w:rsid w:val="00727A97"/>
    <w:rsid w:val="00727BC8"/>
    <w:rsid w:val="00727DC5"/>
    <w:rsid w:val="00727ED8"/>
    <w:rsid w:val="007303EF"/>
    <w:rsid w:val="00730693"/>
    <w:rsid w:val="00730D80"/>
    <w:rsid w:val="0073154E"/>
    <w:rsid w:val="00731AAB"/>
    <w:rsid w:val="0073233E"/>
    <w:rsid w:val="0073294A"/>
    <w:rsid w:val="00732952"/>
    <w:rsid w:val="00732961"/>
    <w:rsid w:val="00732F00"/>
    <w:rsid w:val="00733102"/>
    <w:rsid w:val="00733200"/>
    <w:rsid w:val="007333C5"/>
    <w:rsid w:val="007336C4"/>
    <w:rsid w:val="007336DC"/>
    <w:rsid w:val="00734005"/>
    <w:rsid w:val="007340C4"/>
    <w:rsid w:val="007344FC"/>
    <w:rsid w:val="0073489B"/>
    <w:rsid w:val="007349EA"/>
    <w:rsid w:val="00734F94"/>
    <w:rsid w:val="007350E8"/>
    <w:rsid w:val="007354DF"/>
    <w:rsid w:val="00735929"/>
    <w:rsid w:val="00735962"/>
    <w:rsid w:val="0073648E"/>
    <w:rsid w:val="00736884"/>
    <w:rsid w:val="00736F2C"/>
    <w:rsid w:val="00736F7D"/>
    <w:rsid w:val="0073703A"/>
    <w:rsid w:val="0073719C"/>
    <w:rsid w:val="00737C43"/>
    <w:rsid w:val="007406CE"/>
    <w:rsid w:val="00740CA0"/>
    <w:rsid w:val="00741003"/>
    <w:rsid w:val="007410EF"/>
    <w:rsid w:val="007414C7"/>
    <w:rsid w:val="00742059"/>
    <w:rsid w:val="00742274"/>
    <w:rsid w:val="00742E7D"/>
    <w:rsid w:val="00742F9D"/>
    <w:rsid w:val="0074301E"/>
    <w:rsid w:val="00743764"/>
    <w:rsid w:val="007439CB"/>
    <w:rsid w:val="00743D8C"/>
    <w:rsid w:val="00743DE5"/>
    <w:rsid w:val="00743F00"/>
    <w:rsid w:val="00743F6E"/>
    <w:rsid w:val="0074438D"/>
    <w:rsid w:val="00744E38"/>
    <w:rsid w:val="00745019"/>
    <w:rsid w:val="00745094"/>
    <w:rsid w:val="00745233"/>
    <w:rsid w:val="00745528"/>
    <w:rsid w:val="007457FA"/>
    <w:rsid w:val="00745B11"/>
    <w:rsid w:val="00745BC4"/>
    <w:rsid w:val="00745BD7"/>
    <w:rsid w:val="007460FB"/>
    <w:rsid w:val="0074642E"/>
    <w:rsid w:val="00746A07"/>
    <w:rsid w:val="00746FB0"/>
    <w:rsid w:val="007475F5"/>
    <w:rsid w:val="007478CE"/>
    <w:rsid w:val="00747D46"/>
    <w:rsid w:val="00747FBA"/>
    <w:rsid w:val="00750284"/>
    <w:rsid w:val="00750AE9"/>
    <w:rsid w:val="007511BC"/>
    <w:rsid w:val="0075132D"/>
    <w:rsid w:val="0075141D"/>
    <w:rsid w:val="007519BB"/>
    <w:rsid w:val="0075211A"/>
    <w:rsid w:val="00752799"/>
    <w:rsid w:val="00752940"/>
    <w:rsid w:val="00752A33"/>
    <w:rsid w:val="00753128"/>
    <w:rsid w:val="007533D7"/>
    <w:rsid w:val="007534A2"/>
    <w:rsid w:val="007534AA"/>
    <w:rsid w:val="007534F0"/>
    <w:rsid w:val="00754597"/>
    <w:rsid w:val="00754AE4"/>
    <w:rsid w:val="00755450"/>
    <w:rsid w:val="00755726"/>
    <w:rsid w:val="0075580D"/>
    <w:rsid w:val="00755B29"/>
    <w:rsid w:val="007560D0"/>
    <w:rsid w:val="00756107"/>
    <w:rsid w:val="00756191"/>
    <w:rsid w:val="00756195"/>
    <w:rsid w:val="00756251"/>
    <w:rsid w:val="00757B40"/>
    <w:rsid w:val="00757C47"/>
    <w:rsid w:val="00757EB3"/>
    <w:rsid w:val="00757EFF"/>
    <w:rsid w:val="00760589"/>
    <w:rsid w:val="00760884"/>
    <w:rsid w:val="00760EAE"/>
    <w:rsid w:val="007611A3"/>
    <w:rsid w:val="0076133A"/>
    <w:rsid w:val="00761B8E"/>
    <w:rsid w:val="00761CDF"/>
    <w:rsid w:val="00762431"/>
    <w:rsid w:val="007627DB"/>
    <w:rsid w:val="0076285E"/>
    <w:rsid w:val="00762931"/>
    <w:rsid w:val="00762AD5"/>
    <w:rsid w:val="00763369"/>
    <w:rsid w:val="00763390"/>
    <w:rsid w:val="00763455"/>
    <w:rsid w:val="00763462"/>
    <w:rsid w:val="00763CBB"/>
    <w:rsid w:val="007643E3"/>
    <w:rsid w:val="00764784"/>
    <w:rsid w:val="007648E4"/>
    <w:rsid w:val="007651F5"/>
    <w:rsid w:val="0076569A"/>
    <w:rsid w:val="00765B15"/>
    <w:rsid w:val="00765BFA"/>
    <w:rsid w:val="00765E06"/>
    <w:rsid w:val="00765EAC"/>
    <w:rsid w:val="00765F2F"/>
    <w:rsid w:val="00765F65"/>
    <w:rsid w:val="00766054"/>
    <w:rsid w:val="00766937"/>
    <w:rsid w:val="00766DF1"/>
    <w:rsid w:val="0076748C"/>
    <w:rsid w:val="00767991"/>
    <w:rsid w:val="00770387"/>
    <w:rsid w:val="007705A0"/>
    <w:rsid w:val="00770A1A"/>
    <w:rsid w:val="00771177"/>
    <w:rsid w:val="007716F5"/>
    <w:rsid w:val="00771CA3"/>
    <w:rsid w:val="0077243B"/>
    <w:rsid w:val="00772459"/>
    <w:rsid w:val="00772751"/>
    <w:rsid w:val="00772B15"/>
    <w:rsid w:val="007730F5"/>
    <w:rsid w:val="0077325B"/>
    <w:rsid w:val="0077346C"/>
    <w:rsid w:val="00773ED4"/>
    <w:rsid w:val="00774648"/>
    <w:rsid w:val="007746C6"/>
    <w:rsid w:val="0077557E"/>
    <w:rsid w:val="0077559F"/>
    <w:rsid w:val="00775795"/>
    <w:rsid w:val="007758B5"/>
    <w:rsid w:val="0077701D"/>
    <w:rsid w:val="00777211"/>
    <w:rsid w:val="0077795C"/>
    <w:rsid w:val="00777A43"/>
    <w:rsid w:val="00777CCE"/>
    <w:rsid w:val="00777DF6"/>
    <w:rsid w:val="0078074A"/>
    <w:rsid w:val="00780A92"/>
    <w:rsid w:val="00781303"/>
    <w:rsid w:val="0078151C"/>
    <w:rsid w:val="00781584"/>
    <w:rsid w:val="0078210E"/>
    <w:rsid w:val="0078223E"/>
    <w:rsid w:val="0078228C"/>
    <w:rsid w:val="007825C7"/>
    <w:rsid w:val="007827EA"/>
    <w:rsid w:val="0078282B"/>
    <w:rsid w:val="00782927"/>
    <w:rsid w:val="00782C8B"/>
    <w:rsid w:val="007834B3"/>
    <w:rsid w:val="00783A91"/>
    <w:rsid w:val="007841EE"/>
    <w:rsid w:val="007844AD"/>
    <w:rsid w:val="007846D2"/>
    <w:rsid w:val="00784BE1"/>
    <w:rsid w:val="00785749"/>
    <w:rsid w:val="007859B0"/>
    <w:rsid w:val="00785B9F"/>
    <w:rsid w:val="00785D60"/>
    <w:rsid w:val="00785FE9"/>
    <w:rsid w:val="007863A2"/>
    <w:rsid w:val="0078667C"/>
    <w:rsid w:val="00786DE5"/>
    <w:rsid w:val="00787310"/>
    <w:rsid w:val="00787425"/>
    <w:rsid w:val="00787518"/>
    <w:rsid w:val="007875FC"/>
    <w:rsid w:val="00787883"/>
    <w:rsid w:val="00787A8B"/>
    <w:rsid w:val="00787F63"/>
    <w:rsid w:val="007905F9"/>
    <w:rsid w:val="00790CAC"/>
    <w:rsid w:val="00790E2F"/>
    <w:rsid w:val="007910F2"/>
    <w:rsid w:val="007918EB"/>
    <w:rsid w:val="00791E29"/>
    <w:rsid w:val="0079268E"/>
    <w:rsid w:val="007928B4"/>
    <w:rsid w:val="00792BB0"/>
    <w:rsid w:val="00792E10"/>
    <w:rsid w:val="007933D8"/>
    <w:rsid w:val="0079368F"/>
    <w:rsid w:val="007937EB"/>
    <w:rsid w:val="00793C77"/>
    <w:rsid w:val="00793EAD"/>
    <w:rsid w:val="007943C7"/>
    <w:rsid w:val="0079477A"/>
    <w:rsid w:val="00794ABA"/>
    <w:rsid w:val="00794C1B"/>
    <w:rsid w:val="0079571C"/>
    <w:rsid w:val="007959FE"/>
    <w:rsid w:val="00795E9F"/>
    <w:rsid w:val="007962AD"/>
    <w:rsid w:val="00796364"/>
    <w:rsid w:val="00796805"/>
    <w:rsid w:val="00796DA4"/>
    <w:rsid w:val="00796F0C"/>
    <w:rsid w:val="007978C9"/>
    <w:rsid w:val="007978FE"/>
    <w:rsid w:val="00797923"/>
    <w:rsid w:val="00797C43"/>
    <w:rsid w:val="007A08F1"/>
    <w:rsid w:val="007A0B81"/>
    <w:rsid w:val="007A0CE7"/>
    <w:rsid w:val="007A12A4"/>
    <w:rsid w:val="007A22C4"/>
    <w:rsid w:val="007A2435"/>
    <w:rsid w:val="007A2AC2"/>
    <w:rsid w:val="007A2BD4"/>
    <w:rsid w:val="007A2FB7"/>
    <w:rsid w:val="007A37EA"/>
    <w:rsid w:val="007A391A"/>
    <w:rsid w:val="007A3E90"/>
    <w:rsid w:val="007A3FC3"/>
    <w:rsid w:val="007A4C68"/>
    <w:rsid w:val="007A50AC"/>
    <w:rsid w:val="007A5224"/>
    <w:rsid w:val="007A533E"/>
    <w:rsid w:val="007A5533"/>
    <w:rsid w:val="007A5CB5"/>
    <w:rsid w:val="007A6318"/>
    <w:rsid w:val="007A6421"/>
    <w:rsid w:val="007A72F3"/>
    <w:rsid w:val="007A7897"/>
    <w:rsid w:val="007A79D6"/>
    <w:rsid w:val="007A7BB9"/>
    <w:rsid w:val="007A7F81"/>
    <w:rsid w:val="007A7F84"/>
    <w:rsid w:val="007A7FB1"/>
    <w:rsid w:val="007A7FD9"/>
    <w:rsid w:val="007B03FB"/>
    <w:rsid w:val="007B07DB"/>
    <w:rsid w:val="007B0CF0"/>
    <w:rsid w:val="007B1CD2"/>
    <w:rsid w:val="007B1D35"/>
    <w:rsid w:val="007B244A"/>
    <w:rsid w:val="007B339A"/>
    <w:rsid w:val="007B3C62"/>
    <w:rsid w:val="007B42B9"/>
    <w:rsid w:val="007B43DE"/>
    <w:rsid w:val="007B46D8"/>
    <w:rsid w:val="007B52B5"/>
    <w:rsid w:val="007B52C0"/>
    <w:rsid w:val="007B5E8D"/>
    <w:rsid w:val="007B5FAD"/>
    <w:rsid w:val="007B7011"/>
    <w:rsid w:val="007B71D0"/>
    <w:rsid w:val="007B71F5"/>
    <w:rsid w:val="007B74A8"/>
    <w:rsid w:val="007B76FC"/>
    <w:rsid w:val="007B7852"/>
    <w:rsid w:val="007C015B"/>
    <w:rsid w:val="007C016B"/>
    <w:rsid w:val="007C026A"/>
    <w:rsid w:val="007C0306"/>
    <w:rsid w:val="007C0434"/>
    <w:rsid w:val="007C0D69"/>
    <w:rsid w:val="007C0DC1"/>
    <w:rsid w:val="007C17FD"/>
    <w:rsid w:val="007C18FD"/>
    <w:rsid w:val="007C2003"/>
    <w:rsid w:val="007C2836"/>
    <w:rsid w:val="007C2950"/>
    <w:rsid w:val="007C2C40"/>
    <w:rsid w:val="007C2F11"/>
    <w:rsid w:val="007C3779"/>
    <w:rsid w:val="007C3A5A"/>
    <w:rsid w:val="007C3A87"/>
    <w:rsid w:val="007C43C5"/>
    <w:rsid w:val="007C448E"/>
    <w:rsid w:val="007C46F0"/>
    <w:rsid w:val="007C49C5"/>
    <w:rsid w:val="007C4F6D"/>
    <w:rsid w:val="007C57DC"/>
    <w:rsid w:val="007C5905"/>
    <w:rsid w:val="007C5E36"/>
    <w:rsid w:val="007C6F22"/>
    <w:rsid w:val="007C744E"/>
    <w:rsid w:val="007C7455"/>
    <w:rsid w:val="007C7515"/>
    <w:rsid w:val="007C7A16"/>
    <w:rsid w:val="007C7D68"/>
    <w:rsid w:val="007D04CF"/>
    <w:rsid w:val="007D0C2F"/>
    <w:rsid w:val="007D0D01"/>
    <w:rsid w:val="007D1295"/>
    <w:rsid w:val="007D1934"/>
    <w:rsid w:val="007D1D44"/>
    <w:rsid w:val="007D1EF0"/>
    <w:rsid w:val="007D2220"/>
    <w:rsid w:val="007D2460"/>
    <w:rsid w:val="007D24DC"/>
    <w:rsid w:val="007D3948"/>
    <w:rsid w:val="007D3B70"/>
    <w:rsid w:val="007D3D16"/>
    <w:rsid w:val="007D4AF0"/>
    <w:rsid w:val="007D527D"/>
    <w:rsid w:val="007D5587"/>
    <w:rsid w:val="007D580D"/>
    <w:rsid w:val="007D5D26"/>
    <w:rsid w:val="007D5FA8"/>
    <w:rsid w:val="007D6084"/>
    <w:rsid w:val="007D60C5"/>
    <w:rsid w:val="007D61BF"/>
    <w:rsid w:val="007D6694"/>
    <w:rsid w:val="007D6728"/>
    <w:rsid w:val="007D67B8"/>
    <w:rsid w:val="007D6940"/>
    <w:rsid w:val="007D7085"/>
    <w:rsid w:val="007D7A52"/>
    <w:rsid w:val="007E07E4"/>
    <w:rsid w:val="007E081B"/>
    <w:rsid w:val="007E0C09"/>
    <w:rsid w:val="007E0C54"/>
    <w:rsid w:val="007E0E19"/>
    <w:rsid w:val="007E113E"/>
    <w:rsid w:val="007E1217"/>
    <w:rsid w:val="007E1338"/>
    <w:rsid w:val="007E199C"/>
    <w:rsid w:val="007E19C2"/>
    <w:rsid w:val="007E1D61"/>
    <w:rsid w:val="007E2422"/>
    <w:rsid w:val="007E27C0"/>
    <w:rsid w:val="007E287D"/>
    <w:rsid w:val="007E2FDC"/>
    <w:rsid w:val="007E306E"/>
    <w:rsid w:val="007E3378"/>
    <w:rsid w:val="007E34FA"/>
    <w:rsid w:val="007E3618"/>
    <w:rsid w:val="007E38FA"/>
    <w:rsid w:val="007E3FC7"/>
    <w:rsid w:val="007E47B3"/>
    <w:rsid w:val="007E4B5D"/>
    <w:rsid w:val="007E4EFD"/>
    <w:rsid w:val="007E5100"/>
    <w:rsid w:val="007E5987"/>
    <w:rsid w:val="007E5E19"/>
    <w:rsid w:val="007E5FBF"/>
    <w:rsid w:val="007E65E4"/>
    <w:rsid w:val="007E728A"/>
    <w:rsid w:val="007E79E2"/>
    <w:rsid w:val="007E7CDF"/>
    <w:rsid w:val="007E7F7A"/>
    <w:rsid w:val="007F0504"/>
    <w:rsid w:val="007F080C"/>
    <w:rsid w:val="007F13B5"/>
    <w:rsid w:val="007F13BC"/>
    <w:rsid w:val="007F15C2"/>
    <w:rsid w:val="007F1969"/>
    <w:rsid w:val="007F1CD1"/>
    <w:rsid w:val="007F25A8"/>
    <w:rsid w:val="007F3776"/>
    <w:rsid w:val="007F3BBC"/>
    <w:rsid w:val="007F3E78"/>
    <w:rsid w:val="007F43A9"/>
    <w:rsid w:val="007F49ED"/>
    <w:rsid w:val="007F516E"/>
    <w:rsid w:val="007F5244"/>
    <w:rsid w:val="007F5F2F"/>
    <w:rsid w:val="007F6232"/>
    <w:rsid w:val="007F7386"/>
    <w:rsid w:val="007F7B7E"/>
    <w:rsid w:val="008003BB"/>
    <w:rsid w:val="00800D9E"/>
    <w:rsid w:val="00801902"/>
    <w:rsid w:val="00802155"/>
    <w:rsid w:val="008022EB"/>
    <w:rsid w:val="008022F0"/>
    <w:rsid w:val="008039C1"/>
    <w:rsid w:val="008039F6"/>
    <w:rsid w:val="00803B8B"/>
    <w:rsid w:val="00804002"/>
    <w:rsid w:val="008040D5"/>
    <w:rsid w:val="0080452D"/>
    <w:rsid w:val="0080489E"/>
    <w:rsid w:val="00804EBF"/>
    <w:rsid w:val="008050E9"/>
    <w:rsid w:val="0080547D"/>
    <w:rsid w:val="00805517"/>
    <w:rsid w:val="00805B41"/>
    <w:rsid w:val="00805FAA"/>
    <w:rsid w:val="008067FF"/>
    <w:rsid w:val="00806897"/>
    <w:rsid w:val="00806B15"/>
    <w:rsid w:val="00806BCF"/>
    <w:rsid w:val="0080706D"/>
    <w:rsid w:val="00807415"/>
    <w:rsid w:val="0080788D"/>
    <w:rsid w:val="008078D7"/>
    <w:rsid w:val="00807BA5"/>
    <w:rsid w:val="00807DCD"/>
    <w:rsid w:val="008102DA"/>
    <w:rsid w:val="008109A2"/>
    <w:rsid w:val="0081125F"/>
    <w:rsid w:val="00811712"/>
    <w:rsid w:val="0081238D"/>
    <w:rsid w:val="0081251C"/>
    <w:rsid w:val="00812741"/>
    <w:rsid w:val="008128C8"/>
    <w:rsid w:val="00812A03"/>
    <w:rsid w:val="0081326E"/>
    <w:rsid w:val="00813367"/>
    <w:rsid w:val="0081352D"/>
    <w:rsid w:val="00814514"/>
    <w:rsid w:val="00814DD7"/>
    <w:rsid w:val="00815FDC"/>
    <w:rsid w:val="008160CE"/>
    <w:rsid w:val="008161B8"/>
    <w:rsid w:val="008171BA"/>
    <w:rsid w:val="008174E5"/>
    <w:rsid w:val="00817738"/>
    <w:rsid w:val="008179D0"/>
    <w:rsid w:val="00817E7E"/>
    <w:rsid w:val="00820353"/>
    <w:rsid w:val="008203AC"/>
    <w:rsid w:val="008208C4"/>
    <w:rsid w:val="00821018"/>
    <w:rsid w:val="0082112F"/>
    <w:rsid w:val="00821A6F"/>
    <w:rsid w:val="00821BC6"/>
    <w:rsid w:val="008232CA"/>
    <w:rsid w:val="00823629"/>
    <w:rsid w:val="0082397E"/>
    <w:rsid w:val="00823F4E"/>
    <w:rsid w:val="0082401A"/>
    <w:rsid w:val="008242C2"/>
    <w:rsid w:val="008246C4"/>
    <w:rsid w:val="00824B5A"/>
    <w:rsid w:val="00825A71"/>
    <w:rsid w:val="00825B67"/>
    <w:rsid w:val="00825C56"/>
    <w:rsid w:val="00826021"/>
    <w:rsid w:val="008261C2"/>
    <w:rsid w:val="008262DE"/>
    <w:rsid w:val="008266DA"/>
    <w:rsid w:val="008268E2"/>
    <w:rsid w:val="00826A63"/>
    <w:rsid w:val="00826BD7"/>
    <w:rsid w:val="0082704A"/>
    <w:rsid w:val="00827407"/>
    <w:rsid w:val="00827E17"/>
    <w:rsid w:val="00827F3C"/>
    <w:rsid w:val="0083017F"/>
    <w:rsid w:val="008301B4"/>
    <w:rsid w:val="008305F9"/>
    <w:rsid w:val="00831A3D"/>
    <w:rsid w:val="00831BD6"/>
    <w:rsid w:val="008325F9"/>
    <w:rsid w:val="008330F9"/>
    <w:rsid w:val="0083336A"/>
    <w:rsid w:val="008337A7"/>
    <w:rsid w:val="0083410C"/>
    <w:rsid w:val="0083416F"/>
    <w:rsid w:val="00834182"/>
    <w:rsid w:val="0083463E"/>
    <w:rsid w:val="00834671"/>
    <w:rsid w:val="00834A58"/>
    <w:rsid w:val="00834AB9"/>
    <w:rsid w:val="00834C83"/>
    <w:rsid w:val="00834CBB"/>
    <w:rsid w:val="00835C0A"/>
    <w:rsid w:val="0083649A"/>
    <w:rsid w:val="0083685F"/>
    <w:rsid w:val="008371DE"/>
    <w:rsid w:val="0083721A"/>
    <w:rsid w:val="00837423"/>
    <w:rsid w:val="00837454"/>
    <w:rsid w:val="008376F1"/>
    <w:rsid w:val="00837759"/>
    <w:rsid w:val="008377F6"/>
    <w:rsid w:val="00837831"/>
    <w:rsid w:val="00837BFC"/>
    <w:rsid w:val="00840352"/>
    <w:rsid w:val="008407DB"/>
    <w:rsid w:val="00840D8A"/>
    <w:rsid w:val="0084161A"/>
    <w:rsid w:val="008419E1"/>
    <w:rsid w:val="0084200B"/>
    <w:rsid w:val="0084220B"/>
    <w:rsid w:val="0084227E"/>
    <w:rsid w:val="008428BB"/>
    <w:rsid w:val="008429F8"/>
    <w:rsid w:val="00842F1C"/>
    <w:rsid w:val="00842F37"/>
    <w:rsid w:val="00843975"/>
    <w:rsid w:val="00843C2E"/>
    <w:rsid w:val="00843C5A"/>
    <w:rsid w:val="00843CFF"/>
    <w:rsid w:val="00843D03"/>
    <w:rsid w:val="00844568"/>
    <w:rsid w:val="008447D0"/>
    <w:rsid w:val="00844820"/>
    <w:rsid w:val="00845742"/>
    <w:rsid w:val="00845BF0"/>
    <w:rsid w:val="00845E86"/>
    <w:rsid w:val="00847138"/>
    <w:rsid w:val="00847B4F"/>
    <w:rsid w:val="00847C46"/>
    <w:rsid w:val="00847C9C"/>
    <w:rsid w:val="008509A2"/>
    <w:rsid w:val="00850FE5"/>
    <w:rsid w:val="0085116D"/>
    <w:rsid w:val="00851278"/>
    <w:rsid w:val="00851932"/>
    <w:rsid w:val="00851B89"/>
    <w:rsid w:val="00851FCE"/>
    <w:rsid w:val="00852315"/>
    <w:rsid w:val="0085301F"/>
    <w:rsid w:val="0085309D"/>
    <w:rsid w:val="008534B9"/>
    <w:rsid w:val="00853711"/>
    <w:rsid w:val="0085374E"/>
    <w:rsid w:val="00853773"/>
    <w:rsid w:val="00853B9D"/>
    <w:rsid w:val="00853ED1"/>
    <w:rsid w:val="00854979"/>
    <w:rsid w:val="00854B0B"/>
    <w:rsid w:val="00854BB2"/>
    <w:rsid w:val="00854CB5"/>
    <w:rsid w:val="00854D51"/>
    <w:rsid w:val="00854F23"/>
    <w:rsid w:val="008550B1"/>
    <w:rsid w:val="00855171"/>
    <w:rsid w:val="00855394"/>
    <w:rsid w:val="00855779"/>
    <w:rsid w:val="0085595F"/>
    <w:rsid w:val="00856A42"/>
    <w:rsid w:val="00856DC5"/>
    <w:rsid w:val="008570E0"/>
    <w:rsid w:val="0086054C"/>
    <w:rsid w:val="00860977"/>
    <w:rsid w:val="00860CC1"/>
    <w:rsid w:val="00860FDA"/>
    <w:rsid w:val="008612A0"/>
    <w:rsid w:val="0086156E"/>
    <w:rsid w:val="00861820"/>
    <w:rsid w:val="00861BB3"/>
    <w:rsid w:val="0086219B"/>
    <w:rsid w:val="00862610"/>
    <w:rsid w:val="00862C49"/>
    <w:rsid w:val="008631DB"/>
    <w:rsid w:val="00863B29"/>
    <w:rsid w:val="00863CCE"/>
    <w:rsid w:val="00863D38"/>
    <w:rsid w:val="008645CB"/>
    <w:rsid w:val="00864C01"/>
    <w:rsid w:val="00864C0F"/>
    <w:rsid w:val="00864D9E"/>
    <w:rsid w:val="00864E12"/>
    <w:rsid w:val="00864F27"/>
    <w:rsid w:val="00865AFD"/>
    <w:rsid w:val="00865C8B"/>
    <w:rsid w:val="0086601C"/>
    <w:rsid w:val="00866473"/>
    <w:rsid w:val="0086677C"/>
    <w:rsid w:val="00866AED"/>
    <w:rsid w:val="00866F5E"/>
    <w:rsid w:val="00867387"/>
    <w:rsid w:val="008678EE"/>
    <w:rsid w:val="00867FD4"/>
    <w:rsid w:val="0087051A"/>
    <w:rsid w:val="00870BA2"/>
    <w:rsid w:val="00870BAE"/>
    <w:rsid w:val="00870FF5"/>
    <w:rsid w:val="0087154C"/>
    <w:rsid w:val="0087155D"/>
    <w:rsid w:val="0087184A"/>
    <w:rsid w:val="008718AB"/>
    <w:rsid w:val="00871E96"/>
    <w:rsid w:val="008721C5"/>
    <w:rsid w:val="008723F1"/>
    <w:rsid w:val="00872537"/>
    <w:rsid w:val="00873193"/>
    <w:rsid w:val="0087345F"/>
    <w:rsid w:val="00873FD2"/>
    <w:rsid w:val="00874286"/>
    <w:rsid w:val="00874593"/>
    <w:rsid w:val="0087467E"/>
    <w:rsid w:val="008747CE"/>
    <w:rsid w:val="008748E5"/>
    <w:rsid w:val="00874E62"/>
    <w:rsid w:val="00874EA9"/>
    <w:rsid w:val="00875B8D"/>
    <w:rsid w:val="008764C4"/>
    <w:rsid w:val="00876576"/>
    <w:rsid w:val="008765A9"/>
    <w:rsid w:val="008769AC"/>
    <w:rsid w:val="00876EFF"/>
    <w:rsid w:val="008773DD"/>
    <w:rsid w:val="008776FF"/>
    <w:rsid w:val="0088014A"/>
    <w:rsid w:val="00880557"/>
    <w:rsid w:val="00880592"/>
    <w:rsid w:val="00880DFD"/>
    <w:rsid w:val="00881584"/>
    <w:rsid w:val="00881974"/>
    <w:rsid w:val="00881BE1"/>
    <w:rsid w:val="00882710"/>
    <w:rsid w:val="00882C4C"/>
    <w:rsid w:val="008838DA"/>
    <w:rsid w:val="00883E46"/>
    <w:rsid w:val="00883FF3"/>
    <w:rsid w:val="008841FF"/>
    <w:rsid w:val="008849DF"/>
    <w:rsid w:val="00884E47"/>
    <w:rsid w:val="0088563C"/>
    <w:rsid w:val="00885AC2"/>
    <w:rsid w:val="0088607E"/>
    <w:rsid w:val="00886585"/>
    <w:rsid w:val="0088664D"/>
    <w:rsid w:val="008866E2"/>
    <w:rsid w:val="00886DED"/>
    <w:rsid w:val="00886F99"/>
    <w:rsid w:val="00887372"/>
    <w:rsid w:val="00887383"/>
    <w:rsid w:val="00887714"/>
    <w:rsid w:val="00887AA9"/>
    <w:rsid w:val="00887D76"/>
    <w:rsid w:val="00887FC4"/>
    <w:rsid w:val="00890448"/>
    <w:rsid w:val="00890826"/>
    <w:rsid w:val="00890AEE"/>
    <w:rsid w:val="00890B31"/>
    <w:rsid w:val="00890D89"/>
    <w:rsid w:val="00891003"/>
    <w:rsid w:val="00891582"/>
    <w:rsid w:val="00891682"/>
    <w:rsid w:val="00891B29"/>
    <w:rsid w:val="00891B4F"/>
    <w:rsid w:val="00891D85"/>
    <w:rsid w:val="00891E72"/>
    <w:rsid w:val="0089222E"/>
    <w:rsid w:val="008929BB"/>
    <w:rsid w:val="00892BD7"/>
    <w:rsid w:val="00892E8C"/>
    <w:rsid w:val="008939F1"/>
    <w:rsid w:val="00893F33"/>
    <w:rsid w:val="00893F5B"/>
    <w:rsid w:val="0089458E"/>
    <w:rsid w:val="00895313"/>
    <w:rsid w:val="008966DD"/>
    <w:rsid w:val="00896D36"/>
    <w:rsid w:val="00896E8B"/>
    <w:rsid w:val="008978FC"/>
    <w:rsid w:val="00897E80"/>
    <w:rsid w:val="00897FD0"/>
    <w:rsid w:val="008A0516"/>
    <w:rsid w:val="008A0E3B"/>
    <w:rsid w:val="008A1D62"/>
    <w:rsid w:val="008A1DE6"/>
    <w:rsid w:val="008A2422"/>
    <w:rsid w:val="008A2C0F"/>
    <w:rsid w:val="008A2C4F"/>
    <w:rsid w:val="008A2C73"/>
    <w:rsid w:val="008A2E3C"/>
    <w:rsid w:val="008A33EC"/>
    <w:rsid w:val="008A395E"/>
    <w:rsid w:val="008A3CE0"/>
    <w:rsid w:val="008A41EE"/>
    <w:rsid w:val="008A43C9"/>
    <w:rsid w:val="008A43E5"/>
    <w:rsid w:val="008A4579"/>
    <w:rsid w:val="008A45A3"/>
    <w:rsid w:val="008A4F7B"/>
    <w:rsid w:val="008A52D6"/>
    <w:rsid w:val="008A544E"/>
    <w:rsid w:val="008A5AF9"/>
    <w:rsid w:val="008A5DCB"/>
    <w:rsid w:val="008A5DE0"/>
    <w:rsid w:val="008A6B37"/>
    <w:rsid w:val="008A6CB0"/>
    <w:rsid w:val="008A6FDC"/>
    <w:rsid w:val="008A75C7"/>
    <w:rsid w:val="008A7811"/>
    <w:rsid w:val="008A7B79"/>
    <w:rsid w:val="008B0258"/>
    <w:rsid w:val="008B0317"/>
    <w:rsid w:val="008B040C"/>
    <w:rsid w:val="008B044A"/>
    <w:rsid w:val="008B04F2"/>
    <w:rsid w:val="008B10BD"/>
    <w:rsid w:val="008B11A0"/>
    <w:rsid w:val="008B12D6"/>
    <w:rsid w:val="008B1778"/>
    <w:rsid w:val="008B2355"/>
    <w:rsid w:val="008B249C"/>
    <w:rsid w:val="008B2DE8"/>
    <w:rsid w:val="008B2E8E"/>
    <w:rsid w:val="008B315D"/>
    <w:rsid w:val="008B34D5"/>
    <w:rsid w:val="008B3AA1"/>
    <w:rsid w:val="008B3FBB"/>
    <w:rsid w:val="008B4D87"/>
    <w:rsid w:val="008B5321"/>
    <w:rsid w:val="008B58FA"/>
    <w:rsid w:val="008B5DCC"/>
    <w:rsid w:val="008B5F88"/>
    <w:rsid w:val="008B6217"/>
    <w:rsid w:val="008B6241"/>
    <w:rsid w:val="008B67CB"/>
    <w:rsid w:val="008B7419"/>
    <w:rsid w:val="008B78E9"/>
    <w:rsid w:val="008B7F15"/>
    <w:rsid w:val="008C0456"/>
    <w:rsid w:val="008C08A8"/>
    <w:rsid w:val="008C0A46"/>
    <w:rsid w:val="008C0C1E"/>
    <w:rsid w:val="008C0F60"/>
    <w:rsid w:val="008C189F"/>
    <w:rsid w:val="008C18B9"/>
    <w:rsid w:val="008C1904"/>
    <w:rsid w:val="008C1AA4"/>
    <w:rsid w:val="008C1BED"/>
    <w:rsid w:val="008C1C9A"/>
    <w:rsid w:val="008C26E4"/>
    <w:rsid w:val="008C3766"/>
    <w:rsid w:val="008C3D36"/>
    <w:rsid w:val="008C3F7E"/>
    <w:rsid w:val="008C44E1"/>
    <w:rsid w:val="008C4D49"/>
    <w:rsid w:val="008C501A"/>
    <w:rsid w:val="008C55A1"/>
    <w:rsid w:val="008C6077"/>
    <w:rsid w:val="008C66D3"/>
    <w:rsid w:val="008C76F4"/>
    <w:rsid w:val="008D027D"/>
    <w:rsid w:val="008D041F"/>
    <w:rsid w:val="008D0454"/>
    <w:rsid w:val="008D0C39"/>
    <w:rsid w:val="008D0E9A"/>
    <w:rsid w:val="008D0FC1"/>
    <w:rsid w:val="008D1311"/>
    <w:rsid w:val="008D216C"/>
    <w:rsid w:val="008D21D9"/>
    <w:rsid w:val="008D2463"/>
    <w:rsid w:val="008D2F22"/>
    <w:rsid w:val="008D32B4"/>
    <w:rsid w:val="008D38BF"/>
    <w:rsid w:val="008D3AC2"/>
    <w:rsid w:val="008D434C"/>
    <w:rsid w:val="008D44FC"/>
    <w:rsid w:val="008D44FD"/>
    <w:rsid w:val="008D4737"/>
    <w:rsid w:val="008D50A6"/>
    <w:rsid w:val="008D534A"/>
    <w:rsid w:val="008D557C"/>
    <w:rsid w:val="008D5593"/>
    <w:rsid w:val="008D58B9"/>
    <w:rsid w:val="008D612D"/>
    <w:rsid w:val="008D65B6"/>
    <w:rsid w:val="008D65D9"/>
    <w:rsid w:val="008D68B2"/>
    <w:rsid w:val="008D6A0B"/>
    <w:rsid w:val="008D74C7"/>
    <w:rsid w:val="008D7801"/>
    <w:rsid w:val="008D7823"/>
    <w:rsid w:val="008D7D57"/>
    <w:rsid w:val="008E0E40"/>
    <w:rsid w:val="008E123E"/>
    <w:rsid w:val="008E13A0"/>
    <w:rsid w:val="008E1A30"/>
    <w:rsid w:val="008E1ECC"/>
    <w:rsid w:val="008E256D"/>
    <w:rsid w:val="008E258A"/>
    <w:rsid w:val="008E2A17"/>
    <w:rsid w:val="008E2B72"/>
    <w:rsid w:val="008E2F39"/>
    <w:rsid w:val="008E3609"/>
    <w:rsid w:val="008E3B41"/>
    <w:rsid w:val="008E4047"/>
    <w:rsid w:val="008E40BA"/>
    <w:rsid w:val="008E41C6"/>
    <w:rsid w:val="008E4355"/>
    <w:rsid w:val="008E4731"/>
    <w:rsid w:val="008E4B0C"/>
    <w:rsid w:val="008E4CB4"/>
    <w:rsid w:val="008E4DCD"/>
    <w:rsid w:val="008E616B"/>
    <w:rsid w:val="008E6410"/>
    <w:rsid w:val="008E648C"/>
    <w:rsid w:val="008E7477"/>
    <w:rsid w:val="008F019E"/>
    <w:rsid w:val="008F01AD"/>
    <w:rsid w:val="008F0648"/>
    <w:rsid w:val="008F0956"/>
    <w:rsid w:val="008F0CF9"/>
    <w:rsid w:val="008F11A8"/>
    <w:rsid w:val="008F1930"/>
    <w:rsid w:val="008F22AB"/>
    <w:rsid w:val="008F2680"/>
    <w:rsid w:val="008F2797"/>
    <w:rsid w:val="008F2849"/>
    <w:rsid w:val="008F28FE"/>
    <w:rsid w:val="008F29BE"/>
    <w:rsid w:val="008F2C2D"/>
    <w:rsid w:val="008F3063"/>
    <w:rsid w:val="008F31DB"/>
    <w:rsid w:val="008F335A"/>
    <w:rsid w:val="008F3D6C"/>
    <w:rsid w:val="008F3D96"/>
    <w:rsid w:val="008F42F7"/>
    <w:rsid w:val="008F456A"/>
    <w:rsid w:val="008F4668"/>
    <w:rsid w:val="008F50B4"/>
    <w:rsid w:val="008F5B28"/>
    <w:rsid w:val="008F5C0B"/>
    <w:rsid w:val="008F5E41"/>
    <w:rsid w:val="008F5E8D"/>
    <w:rsid w:val="008F615F"/>
    <w:rsid w:val="008F6322"/>
    <w:rsid w:val="008F6547"/>
    <w:rsid w:val="008F65A7"/>
    <w:rsid w:val="008F672F"/>
    <w:rsid w:val="008F6868"/>
    <w:rsid w:val="008F6C30"/>
    <w:rsid w:val="008F71BD"/>
    <w:rsid w:val="008F79F7"/>
    <w:rsid w:val="008F7D0F"/>
    <w:rsid w:val="008F7FB4"/>
    <w:rsid w:val="00900616"/>
    <w:rsid w:val="009010DF"/>
    <w:rsid w:val="00901103"/>
    <w:rsid w:val="009011AD"/>
    <w:rsid w:val="00901222"/>
    <w:rsid w:val="00901D76"/>
    <w:rsid w:val="00902024"/>
    <w:rsid w:val="0090245C"/>
    <w:rsid w:val="00902584"/>
    <w:rsid w:val="0090270C"/>
    <w:rsid w:val="00902725"/>
    <w:rsid w:val="00902848"/>
    <w:rsid w:val="00902986"/>
    <w:rsid w:val="009029EC"/>
    <w:rsid w:val="00902D57"/>
    <w:rsid w:val="009031F0"/>
    <w:rsid w:val="00903390"/>
    <w:rsid w:val="00903B9D"/>
    <w:rsid w:val="009040DF"/>
    <w:rsid w:val="009042B4"/>
    <w:rsid w:val="00904898"/>
    <w:rsid w:val="0090490D"/>
    <w:rsid w:val="00904A0B"/>
    <w:rsid w:val="00904F85"/>
    <w:rsid w:val="009051EE"/>
    <w:rsid w:val="00905918"/>
    <w:rsid w:val="00905BAE"/>
    <w:rsid w:val="00905D41"/>
    <w:rsid w:val="009061B6"/>
    <w:rsid w:val="009064A9"/>
    <w:rsid w:val="009064F8"/>
    <w:rsid w:val="00906B30"/>
    <w:rsid w:val="00907430"/>
    <w:rsid w:val="009074E7"/>
    <w:rsid w:val="0090783F"/>
    <w:rsid w:val="009078EA"/>
    <w:rsid w:val="00907A3A"/>
    <w:rsid w:val="00907B44"/>
    <w:rsid w:val="00907E44"/>
    <w:rsid w:val="00907E93"/>
    <w:rsid w:val="00907F6B"/>
    <w:rsid w:val="0091019E"/>
    <w:rsid w:val="009101E2"/>
    <w:rsid w:val="00910786"/>
    <w:rsid w:val="00910A92"/>
    <w:rsid w:val="00911ADA"/>
    <w:rsid w:val="00911B6C"/>
    <w:rsid w:val="0091209C"/>
    <w:rsid w:val="00912932"/>
    <w:rsid w:val="00912A2A"/>
    <w:rsid w:val="00912E8B"/>
    <w:rsid w:val="00913009"/>
    <w:rsid w:val="00913630"/>
    <w:rsid w:val="009136D5"/>
    <w:rsid w:val="00913DF7"/>
    <w:rsid w:val="00913F0E"/>
    <w:rsid w:val="0091427B"/>
    <w:rsid w:val="00914409"/>
    <w:rsid w:val="0091443F"/>
    <w:rsid w:val="0091481C"/>
    <w:rsid w:val="009149A5"/>
    <w:rsid w:val="00914CB7"/>
    <w:rsid w:val="00914EA8"/>
    <w:rsid w:val="00915065"/>
    <w:rsid w:val="0091536C"/>
    <w:rsid w:val="00915757"/>
    <w:rsid w:val="009167FE"/>
    <w:rsid w:val="009177A2"/>
    <w:rsid w:val="00917E2D"/>
    <w:rsid w:val="00917F2D"/>
    <w:rsid w:val="00917F36"/>
    <w:rsid w:val="00917F4D"/>
    <w:rsid w:val="009207CD"/>
    <w:rsid w:val="00920A06"/>
    <w:rsid w:val="00920A6E"/>
    <w:rsid w:val="00920E77"/>
    <w:rsid w:val="00920F6C"/>
    <w:rsid w:val="00921089"/>
    <w:rsid w:val="0092118D"/>
    <w:rsid w:val="009211EF"/>
    <w:rsid w:val="0092136C"/>
    <w:rsid w:val="0092188B"/>
    <w:rsid w:val="009218D8"/>
    <w:rsid w:val="00921D48"/>
    <w:rsid w:val="009225E1"/>
    <w:rsid w:val="00923129"/>
    <w:rsid w:val="009234F7"/>
    <w:rsid w:val="009236A1"/>
    <w:rsid w:val="00924A23"/>
    <w:rsid w:val="00924B20"/>
    <w:rsid w:val="00924BF6"/>
    <w:rsid w:val="00925177"/>
    <w:rsid w:val="00925787"/>
    <w:rsid w:val="00926094"/>
    <w:rsid w:val="009263B3"/>
    <w:rsid w:val="00926405"/>
    <w:rsid w:val="0092683C"/>
    <w:rsid w:val="00926FA6"/>
    <w:rsid w:val="00927409"/>
    <w:rsid w:val="009279DD"/>
    <w:rsid w:val="00927C72"/>
    <w:rsid w:val="00930327"/>
    <w:rsid w:val="00930360"/>
    <w:rsid w:val="0093037F"/>
    <w:rsid w:val="0093094A"/>
    <w:rsid w:val="00930D40"/>
    <w:rsid w:val="0093187D"/>
    <w:rsid w:val="00931A84"/>
    <w:rsid w:val="00932246"/>
    <w:rsid w:val="009323FF"/>
    <w:rsid w:val="009326FC"/>
    <w:rsid w:val="00933751"/>
    <w:rsid w:val="00933779"/>
    <w:rsid w:val="009338B6"/>
    <w:rsid w:val="00933917"/>
    <w:rsid w:val="00933A81"/>
    <w:rsid w:val="00933EC2"/>
    <w:rsid w:val="0093402C"/>
    <w:rsid w:val="00934345"/>
    <w:rsid w:val="009348B1"/>
    <w:rsid w:val="00935197"/>
    <w:rsid w:val="0093559A"/>
    <w:rsid w:val="00935B81"/>
    <w:rsid w:val="00935C2B"/>
    <w:rsid w:val="00936B6C"/>
    <w:rsid w:val="009377A4"/>
    <w:rsid w:val="00937A60"/>
    <w:rsid w:val="00937BD1"/>
    <w:rsid w:val="00937CB4"/>
    <w:rsid w:val="00937F59"/>
    <w:rsid w:val="00940134"/>
    <w:rsid w:val="009401BB"/>
    <w:rsid w:val="0094094E"/>
    <w:rsid w:val="00940CBA"/>
    <w:rsid w:val="009410DC"/>
    <w:rsid w:val="00941BBC"/>
    <w:rsid w:val="00941E1B"/>
    <w:rsid w:val="00941FB1"/>
    <w:rsid w:val="0094213F"/>
    <w:rsid w:val="00942273"/>
    <w:rsid w:val="009425FC"/>
    <w:rsid w:val="00942A61"/>
    <w:rsid w:val="009432C9"/>
    <w:rsid w:val="00943F93"/>
    <w:rsid w:val="00944337"/>
    <w:rsid w:val="00944CE5"/>
    <w:rsid w:val="009452FB"/>
    <w:rsid w:val="009454E8"/>
    <w:rsid w:val="00945854"/>
    <w:rsid w:val="00945B30"/>
    <w:rsid w:val="00945BF2"/>
    <w:rsid w:val="009462D0"/>
    <w:rsid w:val="0094667F"/>
    <w:rsid w:val="00946973"/>
    <w:rsid w:val="00946F86"/>
    <w:rsid w:val="00947001"/>
    <w:rsid w:val="009472F5"/>
    <w:rsid w:val="00947761"/>
    <w:rsid w:val="00947815"/>
    <w:rsid w:val="00947B47"/>
    <w:rsid w:val="00947B9C"/>
    <w:rsid w:val="00947BB4"/>
    <w:rsid w:val="00947BD1"/>
    <w:rsid w:val="009501B6"/>
    <w:rsid w:val="00950AA3"/>
    <w:rsid w:val="009513C3"/>
    <w:rsid w:val="009515B6"/>
    <w:rsid w:val="009519FF"/>
    <w:rsid w:val="00951C7C"/>
    <w:rsid w:val="00951D26"/>
    <w:rsid w:val="00951D3A"/>
    <w:rsid w:val="00951D3B"/>
    <w:rsid w:val="0095237B"/>
    <w:rsid w:val="00952754"/>
    <w:rsid w:val="00952BA2"/>
    <w:rsid w:val="009530DC"/>
    <w:rsid w:val="009530F0"/>
    <w:rsid w:val="009536A7"/>
    <w:rsid w:val="00953D59"/>
    <w:rsid w:val="00953FF5"/>
    <w:rsid w:val="009542E8"/>
    <w:rsid w:val="00954793"/>
    <w:rsid w:val="00954979"/>
    <w:rsid w:val="00954B61"/>
    <w:rsid w:val="00954EA6"/>
    <w:rsid w:val="00955423"/>
    <w:rsid w:val="00955748"/>
    <w:rsid w:val="00955974"/>
    <w:rsid w:val="00955A63"/>
    <w:rsid w:val="00955AF9"/>
    <w:rsid w:val="0095668F"/>
    <w:rsid w:val="009566F7"/>
    <w:rsid w:val="00956A4D"/>
    <w:rsid w:val="00956F77"/>
    <w:rsid w:val="00957324"/>
    <w:rsid w:val="009573E4"/>
    <w:rsid w:val="009574FE"/>
    <w:rsid w:val="009575E7"/>
    <w:rsid w:val="00957FC4"/>
    <w:rsid w:val="00957FC5"/>
    <w:rsid w:val="00960041"/>
    <w:rsid w:val="009606EE"/>
    <w:rsid w:val="0096077A"/>
    <w:rsid w:val="00960954"/>
    <w:rsid w:val="00960A87"/>
    <w:rsid w:val="0096152A"/>
    <w:rsid w:val="0096172D"/>
    <w:rsid w:val="009617C1"/>
    <w:rsid w:val="00961DF4"/>
    <w:rsid w:val="00961E17"/>
    <w:rsid w:val="00962343"/>
    <w:rsid w:val="00962443"/>
    <w:rsid w:val="0096262B"/>
    <w:rsid w:val="00962FD9"/>
    <w:rsid w:val="0096306A"/>
    <w:rsid w:val="009634EE"/>
    <w:rsid w:val="009636AA"/>
    <w:rsid w:val="00963C32"/>
    <w:rsid w:val="00964055"/>
    <w:rsid w:val="00964082"/>
    <w:rsid w:val="00964215"/>
    <w:rsid w:val="0096470D"/>
    <w:rsid w:val="00964E63"/>
    <w:rsid w:val="00964F37"/>
    <w:rsid w:val="0096580B"/>
    <w:rsid w:val="00965E3F"/>
    <w:rsid w:val="00965F43"/>
    <w:rsid w:val="00965F4D"/>
    <w:rsid w:val="00966346"/>
    <w:rsid w:val="00966B98"/>
    <w:rsid w:val="00966BE4"/>
    <w:rsid w:val="00967037"/>
    <w:rsid w:val="0096735B"/>
    <w:rsid w:val="00970199"/>
    <w:rsid w:val="009709F4"/>
    <w:rsid w:val="00970D5F"/>
    <w:rsid w:val="00970FA1"/>
    <w:rsid w:val="00971B29"/>
    <w:rsid w:val="00972F13"/>
    <w:rsid w:val="009735F3"/>
    <w:rsid w:val="00973641"/>
    <w:rsid w:val="00973705"/>
    <w:rsid w:val="0097379F"/>
    <w:rsid w:val="00974BE3"/>
    <w:rsid w:val="009753C7"/>
    <w:rsid w:val="009755AB"/>
    <w:rsid w:val="009758E7"/>
    <w:rsid w:val="00975E39"/>
    <w:rsid w:val="00976038"/>
    <w:rsid w:val="00976285"/>
    <w:rsid w:val="009766C3"/>
    <w:rsid w:val="009769A3"/>
    <w:rsid w:val="00976EEE"/>
    <w:rsid w:val="00976F0B"/>
    <w:rsid w:val="0097750C"/>
    <w:rsid w:val="00977590"/>
    <w:rsid w:val="009778D0"/>
    <w:rsid w:val="00977C1E"/>
    <w:rsid w:val="00980742"/>
    <w:rsid w:val="00980C72"/>
    <w:rsid w:val="00980E3A"/>
    <w:rsid w:val="009812A0"/>
    <w:rsid w:val="0098178A"/>
    <w:rsid w:val="00981986"/>
    <w:rsid w:val="009819B2"/>
    <w:rsid w:val="00981AEF"/>
    <w:rsid w:val="00981EA6"/>
    <w:rsid w:val="009824AA"/>
    <w:rsid w:val="0098282C"/>
    <w:rsid w:val="00982946"/>
    <w:rsid w:val="00982EC0"/>
    <w:rsid w:val="009839B0"/>
    <w:rsid w:val="00983D7B"/>
    <w:rsid w:val="00984348"/>
    <w:rsid w:val="009843B2"/>
    <w:rsid w:val="00984580"/>
    <w:rsid w:val="009846FE"/>
    <w:rsid w:val="00984E46"/>
    <w:rsid w:val="00984FC4"/>
    <w:rsid w:val="00984FFC"/>
    <w:rsid w:val="00985567"/>
    <w:rsid w:val="0098570E"/>
    <w:rsid w:val="00985897"/>
    <w:rsid w:val="00985D39"/>
    <w:rsid w:val="009863AD"/>
    <w:rsid w:val="00987368"/>
    <w:rsid w:val="0098761E"/>
    <w:rsid w:val="0098763D"/>
    <w:rsid w:val="00987697"/>
    <w:rsid w:val="009878FD"/>
    <w:rsid w:val="00990021"/>
    <w:rsid w:val="0099048A"/>
    <w:rsid w:val="009905FC"/>
    <w:rsid w:val="00990811"/>
    <w:rsid w:val="0099171B"/>
    <w:rsid w:val="00991828"/>
    <w:rsid w:val="00991AF5"/>
    <w:rsid w:val="00992514"/>
    <w:rsid w:val="00992573"/>
    <w:rsid w:val="00992B92"/>
    <w:rsid w:val="00992BDB"/>
    <w:rsid w:val="009931C3"/>
    <w:rsid w:val="0099330B"/>
    <w:rsid w:val="0099377B"/>
    <w:rsid w:val="00993847"/>
    <w:rsid w:val="00993D78"/>
    <w:rsid w:val="00993DC8"/>
    <w:rsid w:val="0099415D"/>
    <w:rsid w:val="009941C4"/>
    <w:rsid w:val="0099535C"/>
    <w:rsid w:val="0099554C"/>
    <w:rsid w:val="00995D09"/>
    <w:rsid w:val="00995D8D"/>
    <w:rsid w:val="009963EB"/>
    <w:rsid w:val="009965A4"/>
    <w:rsid w:val="00996FF0"/>
    <w:rsid w:val="00997258"/>
    <w:rsid w:val="009974D1"/>
    <w:rsid w:val="00997592"/>
    <w:rsid w:val="00997ACF"/>
    <w:rsid w:val="00997B02"/>
    <w:rsid w:val="00997E7B"/>
    <w:rsid w:val="00997E8C"/>
    <w:rsid w:val="009A01DE"/>
    <w:rsid w:val="009A05CF"/>
    <w:rsid w:val="009A0A1D"/>
    <w:rsid w:val="009A0AEA"/>
    <w:rsid w:val="009A0BF6"/>
    <w:rsid w:val="009A0EAF"/>
    <w:rsid w:val="009A0FD8"/>
    <w:rsid w:val="009A0FF5"/>
    <w:rsid w:val="009A10D4"/>
    <w:rsid w:val="009A1318"/>
    <w:rsid w:val="009A2037"/>
    <w:rsid w:val="009A20AD"/>
    <w:rsid w:val="009A2510"/>
    <w:rsid w:val="009A29F3"/>
    <w:rsid w:val="009A2CDF"/>
    <w:rsid w:val="009A303A"/>
    <w:rsid w:val="009A396D"/>
    <w:rsid w:val="009A3C39"/>
    <w:rsid w:val="009A3CCB"/>
    <w:rsid w:val="009A48AC"/>
    <w:rsid w:val="009A5BC9"/>
    <w:rsid w:val="009A624E"/>
    <w:rsid w:val="009A646B"/>
    <w:rsid w:val="009A65AE"/>
    <w:rsid w:val="009A67AF"/>
    <w:rsid w:val="009A7783"/>
    <w:rsid w:val="009A783E"/>
    <w:rsid w:val="009B05AE"/>
    <w:rsid w:val="009B1D27"/>
    <w:rsid w:val="009B1E6C"/>
    <w:rsid w:val="009B20A7"/>
    <w:rsid w:val="009B24C8"/>
    <w:rsid w:val="009B289B"/>
    <w:rsid w:val="009B2C2E"/>
    <w:rsid w:val="009B2C59"/>
    <w:rsid w:val="009B3347"/>
    <w:rsid w:val="009B3837"/>
    <w:rsid w:val="009B3AAD"/>
    <w:rsid w:val="009B3AB6"/>
    <w:rsid w:val="009B3B27"/>
    <w:rsid w:val="009B3BD2"/>
    <w:rsid w:val="009B40CA"/>
    <w:rsid w:val="009B466D"/>
    <w:rsid w:val="009B48F9"/>
    <w:rsid w:val="009B51AF"/>
    <w:rsid w:val="009B5289"/>
    <w:rsid w:val="009B5439"/>
    <w:rsid w:val="009B55A5"/>
    <w:rsid w:val="009B55E4"/>
    <w:rsid w:val="009B57C8"/>
    <w:rsid w:val="009B6027"/>
    <w:rsid w:val="009B64CC"/>
    <w:rsid w:val="009B69F1"/>
    <w:rsid w:val="009B6A10"/>
    <w:rsid w:val="009B775E"/>
    <w:rsid w:val="009B7791"/>
    <w:rsid w:val="009C0014"/>
    <w:rsid w:val="009C025B"/>
    <w:rsid w:val="009C087D"/>
    <w:rsid w:val="009C0DF5"/>
    <w:rsid w:val="009C1334"/>
    <w:rsid w:val="009C13DA"/>
    <w:rsid w:val="009C14FE"/>
    <w:rsid w:val="009C1B77"/>
    <w:rsid w:val="009C1E78"/>
    <w:rsid w:val="009C21D0"/>
    <w:rsid w:val="009C23CD"/>
    <w:rsid w:val="009C2730"/>
    <w:rsid w:val="009C2C62"/>
    <w:rsid w:val="009C3119"/>
    <w:rsid w:val="009C381A"/>
    <w:rsid w:val="009C3AD1"/>
    <w:rsid w:val="009C3F3C"/>
    <w:rsid w:val="009C3F57"/>
    <w:rsid w:val="009C4BBA"/>
    <w:rsid w:val="009C4C8A"/>
    <w:rsid w:val="009C4DF8"/>
    <w:rsid w:val="009C4E2C"/>
    <w:rsid w:val="009C4F06"/>
    <w:rsid w:val="009C4F8D"/>
    <w:rsid w:val="009C4FAA"/>
    <w:rsid w:val="009C5AA8"/>
    <w:rsid w:val="009C5C4C"/>
    <w:rsid w:val="009C5D87"/>
    <w:rsid w:val="009C606F"/>
    <w:rsid w:val="009C657C"/>
    <w:rsid w:val="009C69BA"/>
    <w:rsid w:val="009C6CE4"/>
    <w:rsid w:val="009C7012"/>
    <w:rsid w:val="009C7C0C"/>
    <w:rsid w:val="009C7EED"/>
    <w:rsid w:val="009D0205"/>
    <w:rsid w:val="009D030A"/>
    <w:rsid w:val="009D033A"/>
    <w:rsid w:val="009D0372"/>
    <w:rsid w:val="009D0425"/>
    <w:rsid w:val="009D09A3"/>
    <w:rsid w:val="009D0A04"/>
    <w:rsid w:val="009D0B58"/>
    <w:rsid w:val="009D0CD1"/>
    <w:rsid w:val="009D149C"/>
    <w:rsid w:val="009D177E"/>
    <w:rsid w:val="009D1EA4"/>
    <w:rsid w:val="009D2067"/>
    <w:rsid w:val="009D25ED"/>
    <w:rsid w:val="009D2B6E"/>
    <w:rsid w:val="009D4453"/>
    <w:rsid w:val="009D5743"/>
    <w:rsid w:val="009D5CCC"/>
    <w:rsid w:val="009D60D3"/>
    <w:rsid w:val="009D65AD"/>
    <w:rsid w:val="009D723D"/>
    <w:rsid w:val="009D73A1"/>
    <w:rsid w:val="009D73BF"/>
    <w:rsid w:val="009D775C"/>
    <w:rsid w:val="009D7C21"/>
    <w:rsid w:val="009D7FEF"/>
    <w:rsid w:val="009E02CC"/>
    <w:rsid w:val="009E0328"/>
    <w:rsid w:val="009E03D0"/>
    <w:rsid w:val="009E056F"/>
    <w:rsid w:val="009E065E"/>
    <w:rsid w:val="009E0EBA"/>
    <w:rsid w:val="009E12AE"/>
    <w:rsid w:val="009E12CA"/>
    <w:rsid w:val="009E1649"/>
    <w:rsid w:val="009E17FD"/>
    <w:rsid w:val="009E28A2"/>
    <w:rsid w:val="009E2C1A"/>
    <w:rsid w:val="009E300D"/>
    <w:rsid w:val="009E3271"/>
    <w:rsid w:val="009E3272"/>
    <w:rsid w:val="009E32BF"/>
    <w:rsid w:val="009E35FA"/>
    <w:rsid w:val="009E370E"/>
    <w:rsid w:val="009E38D3"/>
    <w:rsid w:val="009E3907"/>
    <w:rsid w:val="009E3D57"/>
    <w:rsid w:val="009E47A9"/>
    <w:rsid w:val="009E47B7"/>
    <w:rsid w:val="009E4A3A"/>
    <w:rsid w:val="009E4BF1"/>
    <w:rsid w:val="009E57BF"/>
    <w:rsid w:val="009E5D07"/>
    <w:rsid w:val="009E5FD3"/>
    <w:rsid w:val="009E5FE5"/>
    <w:rsid w:val="009E604C"/>
    <w:rsid w:val="009E60C6"/>
    <w:rsid w:val="009E6A2A"/>
    <w:rsid w:val="009E6BAC"/>
    <w:rsid w:val="009E6F4A"/>
    <w:rsid w:val="009E710A"/>
    <w:rsid w:val="009E723D"/>
    <w:rsid w:val="009E79CA"/>
    <w:rsid w:val="009E7A4E"/>
    <w:rsid w:val="009E7E65"/>
    <w:rsid w:val="009F073E"/>
    <w:rsid w:val="009F10E9"/>
    <w:rsid w:val="009F11F7"/>
    <w:rsid w:val="009F126D"/>
    <w:rsid w:val="009F1367"/>
    <w:rsid w:val="009F15F8"/>
    <w:rsid w:val="009F1E45"/>
    <w:rsid w:val="009F2198"/>
    <w:rsid w:val="009F22DC"/>
    <w:rsid w:val="009F27C3"/>
    <w:rsid w:val="009F2ACA"/>
    <w:rsid w:val="009F2AEB"/>
    <w:rsid w:val="009F2B85"/>
    <w:rsid w:val="009F2CDB"/>
    <w:rsid w:val="009F2E61"/>
    <w:rsid w:val="009F4009"/>
    <w:rsid w:val="009F41B9"/>
    <w:rsid w:val="009F4773"/>
    <w:rsid w:val="009F4791"/>
    <w:rsid w:val="009F5A39"/>
    <w:rsid w:val="009F5B39"/>
    <w:rsid w:val="009F5DD0"/>
    <w:rsid w:val="009F62C7"/>
    <w:rsid w:val="009F6518"/>
    <w:rsid w:val="009F7307"/>
    <w:rsid w:val="009F7710"/>
    <w:rsid w:val="009F7ABA"/>
    <w:rsid w:val="00A006B4"/>
    <w:rsid w:val="00A008B2"/>
    <w:rsid w:val="00A00BED"/>
    <w:rsid w:val="00A01F85"/>
    <w:rsid w:val="00A023D7"/>
    <w:rsid w:val="00A0243F"/>
    <w:rsid w:val="00A02844"/>
    <w:rsid w:val="00A03485"/>
    <w:rsid w:val="00A03616"/>
    <w:rsid w:val="00A039C9"/>
    <w:rsid w:val="00A04189"/>
    <w:rsid w:val="00A04241"/>
    <w:rsid w:val="00A04435"/>
    <w:rsid w:val="00A049A9"/>
    <w:rsid w:val="00A04B78"/>
    <w:rsid w:val="00A04D19"/>
    <w:rsid w:val="00A04DC1"/>
    <w:rsid w:val="00A052F7"/>
    <w:rsid w:val="00A05493"/>
    <w:rsid w:val="00A059C2"/>
    <w:rsid w:val="00A06425"/>
    <w:rsid w:val="00A07139"/>
    <w:rsid w:val="00A0732D"/>
    <w:rsid w:val="00A07C0F"/>
    <w:rsid w:val="00A10673"/>
    <w:rsid w:val="00A1109D"/>
    <w:rsid w:val="00A11132"/>
    <w:rsid w:val="00A1212D"/>
    <w:rsid w:val="00A12260"/>
    <w:rsid w:val="00A124C6"/>
    <w:rsid w:val="00A126B1"/>
    <w:rsid w:val="00A12D3A"/>
    <w:rsid w:val="00A12F20"/>
    <w:rsid w:val="00A13095"/>
    <w:rsid w:val="00A1314F"/>
    <w:rsid w:val="00A13B17"/>
    <w:rsid w:val="00A13BF0"/>
    <w:rsid w:val="00A13E9D"/>
    <w:rsid w:val="00A1421E"/>
    <w:rsid w:val="00A155CD"/>
    <w:rsid w:val="00A16CEB"/>
    <w:rsid w:val="00A17493"/>
    <w:rsid w:val="00A175EA"/>
    <w:rsid w:val="00A2016F"/>
    <w:rsid w:val="00A203D4"/>
    <w:rsid w:val="00A20592"/>
    <w:rsid w:val="00A20950"/>
    <w:rsid w:val="00A20B70"/>
    <w:rsid w:val="00A21987"/>
    <w:rsid w:val="00A21CE6"/>
    <w:rsid w:val="00A21D45"/>
    <w:rsid w:val="00A21DA8"/>
    <w:rsid w:val="00A21F78"/>
    <w:rsid w:val="00A225EC"/>
    <w:rsid w:val="00A2292A"/>
    <w:rsid w:val="00A22DA8"/>
    <w:rsid w:val="00A22F08"/>
    <w:rsid w:val="00A23642"/>
    <w:rsid w:val="00A23831"/>
    <w:rsid w:val="00A238E4"/>
    <w:rsid w:val="00A23913"/>
    <w:rsid w:val="00A23A29"/>
    <w:rsid w:val="00A23A96"/>
    <w:rsid w:val="00A23B5C"/>
    <w:rsid w:val="00A2435E"/>
    <w:rsid w:val="00A24372"/>
    <w:rsid w:val="00A24858"/>
    <w:rsid w:val="00A25055"/>
    <w:rsid w:val="00A25114"/>
    <w:rsid w:val="00A2557E"/>
    <w:rsid w:val="00A258CA"/>
    <w:rsid w:val="00A26448"/>
    <w:rsid w:val="00A268AE"/>
    <w:rsid w:val="00A26A57"/>
    <w:rsid w:val="00A26ACA"/>
    <w:rsid w:val="00A272D0"/>
    <w:rsid w:val="00A27BA8"/>
    <w:rsid w:val="00A27EB8"/>
    <w:rsid w:val="00A27F6E"/>
    <w:rsid w:val="00A305A8"/>
    <w:rsid w:val="00A30959"/>
    <w:rsid w:val="00A31391"/>
    <w:rsid w:val="00A3147A"/>
    <w:rsid w:val="00A3147F"/>
    <w:rsid w:val="00A31C14"/>
    <w:rsid w:val="00A31CBC"/>
    <w:rsid w:val="00A31E84"/>
    <w:rsid w:val="00A320DD"/>
    <w:rsid w:val="00A322B3"/>
    <w:rsid w:val="00A325FB"/>
    <w:rsid w:val="00A32697"/>
    <w:rsid w:val="00A32AC9"/>
    <w:rsid w:val="00A33134"/>
    <w:rsid w:val="00A3332F"/>
    <w:rsid w:val="00A33342"/>
    <w:rsid w:val="00A33872"/>
    <w:rsid w:val="00A33878"/>
    <w:rsid w:val="00A33BC3"/>
    <w:rsid w:val="00A343FA"/>
    <w:rsid w:val="00A345C0"/>
    <w:rsid w:val="00A345F1"/>
    <w:rsid w:val="00A34C48"/>
    <w:rsid w:val="00A34DA5"/>
    <w:rsid w:val="00A353F5"/>
    <w:rsid w:val="00A35713"/>
    <w:rsid w:val="00A35BF8"/>
    <w:rsid w:val="00A36CC5"/>
    <w:rsid w:val="00A37CFA"/>
    <w:rsid w:val="00A4049C"/>
    <w:rsid w:val="00A41411"/>
    <w:rsid w:val="00A4169A"/>
    <w:rsid w:val="00A4174A"/>
    <w:rsid w:val="00A42039"/>
    <w:rsid w:val="00A423B3"/>
    <w:rsid w:val="00A42944"/>
    <w:rsid w:val="00A431F9"/>
    <w:rsid w:val="00A436C7"/>
    <w:rsid w:val="00A43914"/>
    <w:rsid w:val="00A439AF"/>
    <w:rsid w:val="00A44224"/>
    <w:rsid w:val="00A45024"/>
    <w:rsid w:val="00A450DF"/>
    <w:rsid w:val="00A452AC"/>
    <w:rsid w:val="00A455E3"/>
    <w:rsid w:val="00A4578A"/>
    <w:rsid w:val="00A45A16"/>
    <w:rsid w:val="00A45AC3"/>
    <w:rsid w:val="00A4616D"/>
    <w:rsid w:val="00A465B5"/>
    <w:rsid w:val="00A46913"/>
    <w:rsid w:val="00A47763"/>
    <w:rsid w:val="00A47891"/>
    <w:rsid w:val="00A47A3D"/>
    <w:rsid w:val="00A50058"/>
    <w:rsid w:val="00A503B6"/>
    <w:rsid w:val="00A51796"/>
    <w:rsid w:val="00A520F6"/>
    <w:rsid w:val="00A5298C"/>
    <w:rsid w:val="00A52AA2"/>
    <w:rsid w:val="00A52DBA"/>
    <w:rsid w:val="00A5310B"/>
    <w:rsid w:val="00A53BDA"/>
    <w:rsid w:val="00A53C45"/>
    <w:rsid w:val="00A53E29"/>
    <w:rsid w:val="00A53F7B"/>
    <w:rsid w:val="00A540E2"/>
    <w:rsid w:val="00A544E9"/>
    <w:rsid w:val="00A545CC"/>
    <w:rsid w:val="00A555A7"/>
    <w:rsid w:val="00A55645"/>
    <w:rsid w:val="00A55682"/>
    <w:rsid w:val="00A5568D"/>
    <w:rsid w:val="00A55996"/>
    <w:rsid w:val="00A562AA"/>
    <w:rsid w:val="00A56B99"/>
    <w:rsid w:val="00A56D07"/>
    <w:rsid w:val="00A56E00"/>
    <w:rsid w:val="00A60906"/>
    <w:rsid w:val="00A60BDB"/>
    <w:rsid w:val="00A60CEC"/>
    <w:rsid w:val="00A60FFD"/>
    <w:rsid w:val="00A6153A"/>
    <w:rsid w:val="00A62123"/>
    <w:rsid w:val="00A62244"/>
    <w:rsid w:val="00A62393"/>
    <w:rsid w:val="00A62A71"/>
    <w:rsid w:val="00A62AFC"/>
    <w:rsid w:val="00A62D8A"/>
    <w:rsid w:val="00A62F62"/>
    <w:rsid w:val="00A62FBC"/>
    <w:rsid w:val="00A63473"/>
    <w:rsid w:val="00A638C0"/>
    <w:rsid w:val="00A639B7"/>
    <w:rsid w:val="00A63FD1"/>
    <w:rsid w:val="00A643D8"/>
    <w:rsid w:val="00A645B4"/>
    <w:rsid w:val="00A64878"/>
    <w:rsid w:val="00A64A30"/>
    <w:rsid w:val="00A65766"/>
    <w:rsid w:val="00A65775"/>
    <w:rsid w:val="00A66131"/>
    <w:rsid w:val="00A666B8"/>
    <w:rsid w:val="00A668A2"/>
    <w:rsid w:val="00A66BAD"/>
    <w:rsid w:val="00A67DE1"/>
    <w:rsid w:val="00A70549"/>
    <w:rsid w:val="00A709F6"/>
    <w:rsid w:val="00A7117A"/>
    <w:rsid w:val="00A717D7"/>
    <w:rsid w:val="00A718E3"/>
    <w:rsid w:val="00A71A79"/>
    <w:rsid w:val="00A71C19"/>
    <w:rsid w:val="00A71D6E"/>
    <w:rsid w:val="00A72032"/>
    <w:rsid w:val="00A7265B"/>
    <w:rsid w:val="00A72A86"/>
    <w:rsid w:val="00A72F71"/>
    <w:rsid w:val="00A72FD0"/>
    <w:rsid w:val="00A734C1"/>
    <w:rsid w:val="00A7353E"/>
    <w:rsid w:val="00A73E75"/>
    <w:rsid w:val="00A73FA2"/>
    <w:rsid w:val="00A747B4"/>
    <w:rsid w:val="00A7499E"/>
    <w:rsid w:val="00A74A70"/>
    <w:rsid w:val="00A74ED0"/>
    <w:rsid w:val="00A751DF"/>
    <w:rsid w:val="00A75929"/>
    <w:rsid w:val="00A75933"/>
    <w:rsid w:val="00A75D68"/>
    <w:rsid w:val="00A76467"/>
    <w:rsid w:val="00A76F2F"/>
    <w:rsid w:val="00A77211"/>
    <w:rsid w:val="00A77651"/>
    <w:rsid w:val="00A777E9"/>
    <w:rsid w:val="00A778E5"/>
    <w:rsid w:val="00A77964"/>
    <w:rsid w:val="00A77C29"/>
    <w:rsid w:val="00A77C72"/>
    <w:rsid w:val="00A77DD5"/>
    <w:rsid w:val="00A77DE6"/>
    <w:rsid w:val="00A8014A"/>
    <w:rsid w:val="00A80266"/>
    <w:rsid w:val="00A8034E"/>
    <w:rsid w:val="00A80622"/>
    <w:rsid w:val="00A80780"/>
    <w:rsid w:val="00A811BF"/>
    <w:rsid w:val="00A81E32"/>
    <w:rsid w:val="00A82089"/>
    <w:rsid w:val="00A822F3"/>
    <w:rsid w:val="00A828DD"/>
    <w:rsid w:val="00A8297A"/>
    <w:rsid w:val="00A83169"/>
    <w:rsid w:val="00A83454"/>
    <w:rsid w:val="00A835C6"/>
    <w:rsid w:val="00A8364E"/>
    <w:rsid w:val="00A83700"/>
    <w:rsid w:val="00A83953"/>
    <w:rsid w:val="00A839E1"/>
    <w:rsid w:val="00A83E9B"/>
    <w:rsid w:val="00A83FE6"/>
    <w:rsid w:val="00A840F1"/>
    <w:rsid w:val="00A8461A"/>
    <w:rsid w:val="00A84ACC"/>
    <w:rsid w:val="00A84B08"/>
    <w:rsid w:val="00A851AF"/>
    <w:rsid w:val="00A85474"/>
    <w:rsid w:val="00A85E23"/>
    <w:rsid w:val="00A8644F"/>
    <w:rsid w:val="00A865A2"/>
    <w:rsid w:val="00A866B6"/>
    <w:rsid w:val="00A86B8A"/>
    <w:rsid w:val="00A86BE7"/>
    <w:rsid w:val="00A86E47"/>
    <w:rsid w:val="00A86F26"/>
    <w:rsid w:val="00A86F8A"/>
    <w:rsid w:val="00A874C5"/>
    <w:rsid w:val="00A87671"/>
    <w:rsid w:val="00A876FA"/>
    <w:rsid w:val="00A90573"/>
    <w:rsid w:val="00A90F5E"/>
    <w:rsid w:val="00A913A5"/>
    <w:rsid w:val="00A91432"/>
    <w:rsid w:val="00A9176A"/>
    <w:rsid w:val="00A91BF7"/>
    <w:rsid w:val="00A92695"/>
    <w:rsid w:val="00A926AE"/>
    <w:rsid w:val="00A92B05"/>
    <w:rsid w:val="00A92E1F"/>
    <w:rsid w:val="00A92F77"/>
    <w:rsid w:val="00A933D9"/>
    <w:rsid w:val="00A934EB"/>
    <w:rsid w:val="00A93612"/>
    <w:rsid w:val="00A93DD8"/>
    <w:rsid w:val="00A9437A"/>
    <w:rsid w:val="00A94415"/>
    <w:rsid w:val="00A94947"/>
    <w:rsid w:val="00A94964"/>
    <w:rsid w:val="00A9535E"/>
    <w:rsid w:val="00A95E82"/>
    <w:rsid w:val="00A9605C"/>
    <w:rsid w:val="00A9695C"/>
    <w:rsid w:val="00A9791E"/>
    <w:rsid w:val="00A97BF4"/>
    <w:rsid w:val="00AA094E"/>
    <w:rsid w:val="00AA0AFE"/>
    <w:rsid w:val="00AA0C1F"/>
    <w:rsid w:val="00AA1164"/>
    <w:rsid w:val="00AA145F"/>
    <w:rsid w:val="00AA1680"/>
    <w:rsid w:val="00AA1739"/>
    <w:rsid w:val="00AA26A4"/>
    <w:rsid w:val="00AA26CD"/>
    <w:rsid w:val="00AA32F0"/>
    <w:rsid w:val="00AA3463"/>
    <w:rsid w:val="00AA3DA8"/>
    <w:rsid w:val="00AA48A4"/>
    <w:rsid w:val="00AA498E"/>
    <w:rsid w:val="00AA4E40"/>
    <w:rsid w:val="00AA51EC"/>
    <w:rsid w:val="00AA52A8"/>
    <w:rsid w:val="00AA5404"/>
    <w:rsid w:val="00AA5A56"/>
    <w:rsid w:val="00AA5C03"/>
    <w:rsid w:val="00AA5F58"/>
    <w:rsid w:val="00AA5FF2"/>
    <w:rsid w:val="00AA61AC"/>
    <w:rsid w:val="00AA6212"/>
    <w:rsid w:val="00AA63C8"/>
    <w:rsid w:val="00AA66D6"/>
    <w:rsid w:val="00AB01A7"/>
    <w:rsid w:val="00AB0850"/>
    <w:rsid w:val="00AB086E"/>
    <w:rsid w:val="00AB0946"/>
    <w:rsid w:val="00AB1047"/>
    <w:rsid w:val="00AB12EC"/>
    <w:rsid w:val="00AB2751"/>
    <w:rsid w:val="00AB2B8E"/>
    <w:rsid w:val="00AB2C91"/>
    <w:rsid w:val="00AB32A9"/>
    <w:rsid w:val="00AB33A1"/>
    <w:rsid w:val="00AB3D93"/>
    <w:rsid w:val="00AB4133"/>
    <w:rsid w:val="00AB4971"/>
    <w:rsid w:val="00AB49A6"/>
    <w:rsid w:val="00AB55C7"/>
    <w:rsid w:val="00AB5CFB"/>
    <w:rsid w:val="00AB5F22"/>
    <w:rsid w:val="00AB60B8"/>
    <w:rsid w:val="00AB6C62"/>
    <w:rsid w:val="00AB76FC"/>
    <w:rsid w:val="00AB7845"/>
    <w:rsid w:val="00AB7AA8"/>
    <w:rsid w:val="00AC05F7"/>
    <w:rsid w:val="00AC148D"/>
    <w:rsid w:val="00AC1E3B"/>
    <w:rsid w:val="00AC2470"/>
    <w:rsid w:val="00AC2813"/>
    <w:rsid w:val="00AC2B3A"/>
    <w:rsid w:val="00AC2D8F"/>
    <w:rsid w:val="00AC312D"/>
    <w:rsid w:val="00AC3734"/>
    <w:rsid w:val="00AC384C"/>
    <w:rsid w:val="00AC3EEF"/>
    <w:rsid w:val="00AC3FDF"/>
    <w:rsid w:val="00AC44EC"/>
    <w:rsid w:val="00AC4A75"/>
    <w:rsid w:val="00AC4F79"/>
    <w:rsid w:val="00AC5001"/>
    <w:rsid w:val="00AC51C1"/>
    <w:rsid w:val="00AC5337"/>
    <w:rsid w:val="00AC5437"/>
    <w:rsid w:val="00AC5B3F"/>
    <w:rsid w:val="00AC5DE8"/>
    <w:rsid w:val="00AC5F36"/>
    <w:rsid w:val="00AC65C6"/>
    <w:rsid w:val="00AC6783"/>
    <w:rsid w:val="00AC714B"/>
    <w:rsid w:val="00AC71AE"/>
    <w:rsid w:val="00AC7258"/>
    <w:rsid w:val="00AC7ACE"/>
    <w:rsid w:val="00AC7AF7"/>
    <w:rsid w:val="00AC7EB6"/>
    <w:rsid w:val="00AD06FF"/>
    <w:rsid w:val="00AD09D1"/>
    <w:rsid w:val="00AD18DF"/>
    <w:rsid w:val="00AD19B0"/>
    <w:rsid w:val="00AD20EE"/>
    <w:rsid w:val="00AD21D2"/>
    <w:rsid w:val="00AD241A"/>
    <w:rsid w:val="00AD350D"/>
    <w:rsid w:val="00AD3981"/>
    <w:rsid w:val="00AD3A84"/>
    <w:rsid w:val="00AD4539"/>
    <w:rsid w:val="00AD4BB3"/>
    <w:rsid w:val="00AD5589"/>
    <w:rsid w:val="00AD5D29"/>
    <w:rsid w:val="00AD5D35"/>
    <w:rsid w:val="00AD7062"/>
    <w:rsid w:val="00AD70AA"/>
    <w:rsid w:val="00AD7896"/>
    <w:rsid w:val="00AD78EF"/>
    <w:rsid w:val="00AE10C8"/>
    <w:rsid w:val="00AE18F6"/>
    <w:rsid w:val="00AE2095"/>
    <w:rsid w:val="00AE23EE"/>
    <w:rsid w:val="00AE245F"/>
    <w:rsid w:val="00AE2768"/>
    <w:rsid w:val="00AE2AE3"/>
    <w:rsid w:val="00AE2E62"/>
    <w:rsid w:val="00AE31D4"/>
    <w:rsid w:val="00AE31DC"/>
    <w:rsid w:val="00AE3505"/>
    <w:rsid w:val="00AE3D60"/>
    <w:rsid w:val="00AE4A81"/>
    <w:rsid w:val="00AE4D38"/>
    <w:rsid w:val="00AE4D50"/>
    <w:rsid w:val="00AE4DF1"/>
    <w:rsid w:val="00AE4F14"/>
    <w:rsid w:val="00AE542A"/>
    <w:rsid w:val="00AE55A9"/>
    <w:rsid w:val="00AE589D"/>
    <w:rsid w:val="00AE602E"/>
    <w:rsid w:val="00AE6096"/>
    <w:rsid w:val="00AE6252"/>
    <w:rsid w:val="00AE661A"/>
    <w:rsid w:val="00AE72CB"/>
    <w:rsid w:val="00AF0493"/>
    <w:rsid w:val="00AF04F3"/>
    <w:rsid w:val="00AF07AD"/>
    <w:rsid w:val="00AF0990"/>
    <w:rsid w:val="00AF1011"/>
    <w:rsid w:val="00AF11D7"/>
    <w:rsid w:val="00AF1473"/>
    <w:rsid w:val="00AF164A"/>
    <w:rsid w:val="00AF19BA"/>
    <w:rsid w:val="00AF1C02"/>
    <w:rsid w:val="00AF24B8"/>
    <w:rsid w:val="00AF2B25"/>
    <w:rsid w:val="00AF31D7"/>
    <w:rsid w:val="00AF37D1"/>
    <w:rsid w:val="00AF390F"/>
    <w:rsid w:val="00AF395B"/>
    <w:rsid w:val="00AF3CFD"/>
    <w:rsid w:val="00AF4057"/>
    <w:rsid w:val="00AF42B5"/>
    <w:rsid w:val="00AF45B3"/>
    <w:rsid w:val="00AF4AA6"/>
    <w:rsid w:val="00AF517C"/>
    <w:rsid w:val="00AF570C"/>
    <w:rsid w:val="00AF5906"/>
    <w:rsid w:val="00AF61F1"/>
    <w:rsid w:val="00AF6247"/>
    <w:rsid w:val="00AF63B6"/>
    <w:rsid w:val="00AF6473"/>
    <w:rsid w:val="00AF6915"/>
    <w:rsid w:val="00AF69D2"/>
    <w:rsid w:val="00B002B4"/>
    <w:rsid w:val="00B00848"/>
    <w:rsid w:val="00B018C6"/>
    <w:rsid w:val="00B01B56"/>
    <w:rsid w:val="00B01C26"/>
    <w:rsid w:val="00B01FDC"/>
    <w:rsid w:val="00B0219A"/>
    <w:rsid w:val="00B0253B"/>
    <w:rsid w:val="00B02F9B"/>
    <w:rsid w:val="00B035CC"/>
    <w:rsid w:val="00B039DD"/>
    <w:rsid w:val="00B0421D"/>
    <w:rsid w:val="00B04ED9"/>
    <w:rsid w:val="00B064F7"/>
    <w:rsid w:val="00B067DF"/>
    <w:rsid w:val="00B06880"/>
    <w:rsid w:val="00B06921"/>
    <w:rsid w:val="00B070CF"/>
    <w:rsid w:val="00B10023"/>
    <w:rsid w:val="00B10184"/>
    <w:rsid w:val="00B10229"/>
    <w:rsid w:val="00B10294"/>
    <w:rsid w:val="00B104A2"/>
    <w:rsid w:val="00B1088E"/>
    <w:rsid w:val="00B10BE2"/>
    <w:rsid w:val="00B10C94"/>
    <w:rsid w:val="00B10CA7"/>
    <w:rsid w:val="00B10D22"/>
    <w:rsid w:val="00B10EF8"/>
    <w:rsid w:val="00B114C0"/>
    <w:rsid w:val="00B1153F"/>
    <w:rsid w:val="00B1179C"/>
    <w:rsid w:val="00B11E2A"/>
    <w:rsid w:val="00B12174"/>
    <w:rsid w:val="00B12941"/>
    <w:rsid w:val="00B13721"/>
    <w:rsid w:val="00B1396C"/>
    <w:rsid w:val="00B13A6E"/>
    <w:rsid w:val="00B13DF6"/>
    <w:rsid w:val="00B13EC2"/>
    <w:rsid w:val="00B1425F"/>
    <w:rsid w:val="00B14408"/>
    <w:rsid w:val="00B1458B"/>
    <w:rsid w:val="00B14908"/>
    <w:rsid w:val="00B14B61"/>
    <w:rsid w:val="00B14B6B"/>
    <w:rsid w:val="00B15384"/>
    <w:rsid w:val="00B156A4"/>
    <w:rsid w:val="00B161B3"/>
    <w:rsid w:val="00B1652F"/>
    <w:rsid w:val="00B165E3"/>
    <w:rsid w:val="00B16AE9"/>
    <w:rsid w:val="00B16B96"/>
    <w:rsid w:val="00B16F6F"/>
    <w:rsid w:val="00B1743E"/>
    <w:rsid w:val="00B1745D"/>
    <w:rsid w:val="00B178A8"/>
    <w:rsid w:val="00B17AF7"/>
    <w:rsid w:val="00B17ECE"/>
    <w:rsid w:val="00B203E3"/>
    <w:rsid w:val="00B2082C"/>
    <w:rsid w:val="00B208C9"/>
    <w:rsid w:val="00B20D52"/>
    <w:rsid w:val="00B21662"/>
    <w:rsid w:val="00B21F56"/>
    <w:rsid w:val="00B21FBB"/>
    <w:rsid w:val="00B22386"/>
    <w:rsid w:val="00B22865"/>
    <w:rsid w:val="00B228FB"/>
    <w:rsid w:val="00B22CB7"/>
    <w:rsid w:val="00B22D99"/>
    <w:rsid w:val="00B23362"/>
    <w:rsid w:val="00B23C86"/>
    <w:rsid w:val="00B23CD2"/>
    <w:rsid w:val="00B23E06"/>
    <w:rsid w:val="00B23E19"/>
    <w:rsid w:val="00B23F97"/>
    <w:rsid w:val="00B248CB"/>
    <w:rsid w:val="00B24911"/>
    <w:rsid w:val="00B24DCB"/>
    <w:rsid w:val="00B256F6"/>
    <w:rsid w:val="00B2598D"/>
    <w:rsid w:val="00B25C36"/>
    <w:rsid w:val="00B25C45"/>
    <w:rsid w:val="00B25CD7"/>
    <w:rsid w:val="00B26BC5"/>
    <w:rsid w:val="00B275D7"/>
    <w:rsid w:val="00B27C71"/>
    <w:rsid w:val="00B27E92"/>
    <w:rsid w:val="00B27E97"/>
    <w:rsid w:val="00B27FC8"/>
    <w:rsid w:val="00B30366"/>
    <w:rsid w:val="00B31011"/>
    <w:rsid w:val="00B311E9"/>
    <w:rsid w:val="00B3154C"/>
    <w:rsid w:val="00B31D26"/>
    <w:rsid w:val="00B31FB2"/>
    <w:rsid w:val="00B334CC"/>
    <w:rsid w:val="00B33A58"/>
    <w:rsid w:val="00B33C7B"/>
    <w:rsid w:val="00B33DA7"/>
    <w:rsid w:val="00B3404C"/>
    <w:rsid w:val="00B3438A"/>
    <w:rsid w:val="00B346B1"/>
    <w:rsid w:val="00B3485E"/>
    <w:rsid w:val="00B348DC"/>
    <w:rsid w:val="00B349B6"/>
    <w:rsid w:val="00B350E2"/>
    <w:rsid w:val="00B35793"/>
    <w:rsid w:val="00B35F75"/>
    <w:rsid w:val="00B364F7"/>
    <w:rsid w:val="00B366AA"/>
    <w:rsid w:val="00B36826"/>
    <w:rsid w:val="00B36ACF"/>
    <w:rsid w:val="00B36EE1"/>
    <w:rsid w:val="00B36F2D"/>
    <w:rsid w:val="00B36FDC"/>
    <w:rsid w:val="00B371C1"/>
    <w:rsid w:val="00B37865"/>
    <w:rsid w:val="00B37925"/>
    <w:rsid w:val="00B37926"/>
    <w:rsid w:val="00B37EC0"/>
    <w:rsid w:val="00B40C61"/>
    <w:rsid w:val="00B40F71"/>
    <w:rsid w:val="00B4119A"/>
    <w:rsid w:val="00B41248"/>
    <w:rsid w:val="00B41943"/>
    <w:rsid w:val="00B41A46"/>
    <w:rsid w:val="00B41FA6"/>
    <w:rsid w:val="00B42399"/>
    <w:rsid w:val="00B42472"/>
    <w:rsid w:val="00B429E8"/>
    <w:rsid w:val="00B42A87"/>
    <w:rsid w:val="00B42DB1"/>
    <w:rsid w:val="00B43634"/>
    <w:rsid w:val="00B43CF7"/>
    <w:rsid w:val="00B4544D"/>
    <w:rsid w:val="00B4545D"/>
    <w:rsid w:val="00B456C8"/>
    <w:rsid w:val="00B46231"/>
    <w:rsid w:val="00B4630F"/>
    <w:rsid w:val="00B46610"/>
    <w:rsid w:val="00B4670F"/>
    <w:rsid w:val="00B46724"/>
    <w:rsid w:val="00B4672B"/>
    <w:rsid w:val="00B46CE2"/>
    <w:rsid w:val="00B46F45"/>
    <w:rsid w:val="00B474AA"/>
    <w:rsid w:val="00B47E7C"/>
    <w:rsid w:val="00B501A7"/>
    <w:rsid w:val="00B50446"/>
    <w:rsid w:val="00B50762"/>
    <w:rsid w:val="00B509AF"/>
    <w:rsid w:val="00B50F32"/>
    <w:rsid w:val="00B5103E"/>
    <w:rsid w:val="00B510FD"/>
    <w:rsid w:val="00B513C7"/>
    <w:rsid w:val="00B51AD5"/>
    <w:rsid w:val="00B51AE0"/>
    <w:rsid w:val="00B51C68"/>
    <w:rsid w:val="00B51F5D"/>
    <w:rsid w:val="00B52520"/>
    <w:rsid w:val="00B52A9D"/>
    <w:rsid w:val="00B52F19"/>
    <w:rsid w:val="00B53038"/>
    <w:rsid w:val="00B534B7"/>
    <w:rsid w:val="00B53540"/>
    <w:rsid w:val="00B537C4"/>
    <w:rsid w:val="00B5380B"/>
    <w:rsid w:val="00B5386E"/>
    <w:rsid w:val="00B53914"/>
    <w:rsid w:val="00B53B4A"/>
    <w:rsid w:val="00B53D8B"/>
    <w:rsid w:val="00B53FA6"/>
    <w:rsid w:val="00B54148"/>
    <w:rsid w:val="00B5416D"/>
    <w:rsid w:val="00B54191"/>
    <w:rsid w:val="00B551E7"/>
    <w:rsid w:val="00B55943"/>
    <w:rsid w:val="00B55B31"/>
    <w:rsid w:val="00B55C60"/>
    <w:rsid w:val="00B55D04"/>
    <w:rsid w:val="00B55E26"/>
    <w:rsid w:val="00B56CA6"/>
    <w:rsid w:val="00B56D62"/>
    <w:rsid w:val="00B56EAF"/>
    <w:rsid w:val="00B573BA"/>
    <w:rsid w:val="00B57BEE"/>
    <w:rsid w:val="00B57D7A"/>
    <w:rsid w:val="00B605B5"/>
    <w:rsid w:val="00B60B65"/>
    <w:rsid w:val="00B6138F"/>
    <w:rsid w:val="00B6158B"/>
    <w:rsid w:val="00B61DF6"/>
    <w:rsid w:val="00B62086"/>
    <w:rsid w:val="00B62214"/>
    <w:rsid w:val="00B623A0"/>
    <w:rsid w:val="00B62D82"/>
    <w:rsid w:val="00B62DCE"/>
    <w:rsid w:val="00B62F60"/>
    <w:rsid w:val="00B6366B"/>
    <w:rsid w:val="00B6371A"/>
    <w:rsid w:val="00B639C4"/>
    <w:rsid w:val="00B6404C"/>
    <w:rsid w:val="00B6436F"/>
    <w:rsid w:val="00B64B47"/>
    <w:rsid w:val="00B6583A"/>
    <w:rsid w:val="00B663CA"/>
    <w:rsid w:val="00B663D9"/>
    <w:rsid w:val="00B6667F"/>
    <w:rsid w:val="00B666B9"/>
    <w:rsid w:val="00B66CEB"/>
    <w:rsid w:val="00B6732E"/>
    <w:rsid w:val="00B7036C"/>
    <w:rsid w:val="00B70410"/>
    <w:rsid w:val="00B70433"/>
    <w:rsid w:val="00B70956"/>
    <w:rsid w:val="00B70DCB"/>
    <w:rsid w:val="00B71038"/>
    <w:rsid w:val="00B7146A"/>
    <w:rsid w:val="00B71A9C"/>
    <w:rsid w:val="00B71B55"/>
    <w:rsid w:val="00B71E4B"/>
    <w:rsid w:val="00B72208"/>
    <w:rsid w:val="00B7283B"/>
    <w:rsid w:val="00B72943"/>
    <w:rsid w:val="00B72F5A"/>
    <w:rsid w:val="00B7315A"/>
    <w:rsid w:val="00B73698"/>
    <w:rsid w:val="00B7390E"/>
    <w:rsid w:val="00B74069"/>
    <w:rsid w:val="00B74641"/>
    <w:rsid w:val="00B746B7"/>
    <w:rsid w:val="00B75124"/>
    <w:rsid w:val="00B754D2"/>
    <w:rsid w:val="00B75611"/>
    <w:rsid w:val="00B75C48"/>
    <w:rsid w:val="00B7666E"/>
    <w:rsid w:val="00B7667F"/>
    <w:rsid w:val="00B7670C"/>
    <w:rsid w:val="00B7678A"/>
    <w:rsid w:val="00B769C1"/>
    <w:rsid w:val="00B76F56"/>
    <w:rsid w:val="00B771AC"/>
    <w:rsid w:val="00B77312"/>
    <w:rsid w:val="00B7731E"/>
    <w:rsid w:val="00B7745C"/>
    <w:rsid w:val="00B7798C"/>
    <w:rsid w:val="00B779B6"/>
    <w:rsid w:val="00B804B3"/>
    <w:rsid w:val="00B80EEB"/>
    <w:rsid w:val="00B80FE9"/>
    <w:rsid w:val="00B81077"/>
    <w:rsid w:val="00B816CB"/>
    <w:rsid w:val="00B81981"/>
    <w:rsid w:val="00B81D7A"/>
    <w:rsid w:val="00B81F9A"/>
    <w:rsid w:val="00B82004"/>
    <w:rsid w:val="00B8231D"/>
    <w:rsid w:val="00B828A9"/>
    <w:rsid w:val="00B829B5"/>
    <w:rsid w:val="00B83178"/>
    <w:rsid w:val="00B83227"/>
    <w:rsid w:val="00B833AF"/>
    <w:rsid w:val="00B836C7"/>
    <w:rsid w:val="00B837CC"/>
    <w:rsid w:val="00B848EF"/>
    <w:rsid w:val="00B84AC4"/>
    <w:rsid w:val="00B84D64"/>
    <w:rsid w:val="00B84E7B"/>
    <w:rsid w:val="00B84FD8"/>
    <w:rsid w:val="00B8500B"/>
    <w:rsid w:val="00B850D8"/>
    <w:rsid w:val="00B85A6A"/>
    <w:rsid w:val="00B85CE0"/>
    <w:rsid w:val="00B86612"/>
    <w:rsid w:val="00B86B2A"/>
    <w:rsid w:val="00B86BC2"/>
    <w:rsid w:val="00B86F40"/>
    <w:rsid w:val="00B875EF"/>
    <w:rsid w:val="00B87B5F"/>
    <w:rsid w:val="00B87B66"/>
    <w:rsid w:val="00B900CD"/>
    <w:rsid w:val="00B90417"/>
    <w:rsid w:val="00B90896"/>
    <w:rsid w:val="00B90F09"/>
    <w:rsid w:val="00B911E0"/>
    <w:rsid w:val="00B913B5"/>
    <w:rsid w:val="00B915AD"/>
    <w:rsid w:val="00B91B41"/>
    <w:rsid w:val="00B91D9C"/>
    <w:rsid w:val="00B91E0A"/>
    <w:rsid w:val="00B92339"/>
    <w:rsid w:val="00B92400"/>
    <w:rsid w:val="00B93171"/>
    <w:rsid w:val="00B935D0"/>
    <w:rsid w:val="00B93EF9"/>
    <w:rsid w:val="00B940B6"/>
    <w:rsid w:val="00B94DF0"/>
    <w:rsid w:val="00B9522B"/>
    <w:rsid w:val="00B9578C"/>
    <w:rsid w:val="00B9590C"/>
    <w:rsid w:val="00B95A93"/>
    <w:rsid w:val="00B95F51"/>
    <w:rsid w:val="00B96956"/>
    <w:rsid w:val="00B979A5"/>
    <w:rsid w:val="00B97BD4"/>
    <w:rsid w:val="00B97EDA"/>
    <w:rsid w:val="00BA022A"/>
    <w:rsid w:val="00BA04CF"/>
    <w:rsid w:val="00BA0F57"/>
    <w:rsid w:val="00BA0F7A"/>
    <w:rsid w:val="00BA10F3"/>
    <w:rsid w:val="00BA12EE"/>
    <w:rsid w:val="00BA1AE2"/>
    <w:rsid w:val="00BA1D53"/>
    <w:rsid w:val="00BA2F13"/>
    <w:rsid w:val="00BA4074"/>
    <w:rsid w:val="00BA479E"/>
    <w:rsid w:val="00BA4909"/>
    <w:rsid w:val="00BA4E7D"/>
    <w:rsid w:val="00BA4F11"/>
    <w:rsid w:val="00BA50DF"/>
    <w:rsid w:val="00BA539B"/>
    <w:rsid w:val="00BA5911"/>
    <w:rsid w:val="00BA5A5A"/>
    <w:rsid w:val="00BA5F76"/>
    <w:rsid w:val="00BA73B6"/>
    <w:rsid w:val="00BA7C0A"/>
    <w:rsid w:val="00BA7FF9"/>
    <w:rsid w:val="00BB00B8"/>
    <w:rsid w:val="00BB0578"/>
    <w:rsid w:val="00BB0621"/>
    <w:rsid w:val="00BB07D7"/>
    <w:rsid w:val="00BB0878"/>
    <w:rsid w:val="00BB0986"/>
    <w:rsid w:val="00BB0AC1"/>
    <w:rsid w:val="00BB0D3A"/>
    <w:rsid w:val="00BB12BD"/>
    <w:rsid w:val="00BB198B"/>
    <w:rsid w:val="00BB1BB3"/>
    <w:rsid w:val="00BB2153"/>
    <w:rsid w:val="00BB2177"/>
    <w:rsid w:val="00BB2777"/>
    <w:rsid w:val="00BB27A3"/>
    <w:rsid w:val="00BB3FA9"/>
    <w:rsid w:val="00BB3FE3"/>
    <w:rsid w:val="00BB423B"/>
    <w:rsid w:val="00BB437B"/>
    <w:rsid w:val="00BB5114"/>
    <w:rsid w:val="00BB5841"/>
    <w:rsid w:val="00BB5EA7"/>
    <w:rsid w:val="00BB6297"/>
    <w:rsid w:val="00BB65A6"/>
    <w:rsid w:val="00BB65EF"/>
    <w:rsid w:val="00BB69D7"/>
    <w:rsid w:val="00BB6A31"/>
    <w:rsid w:val="00BB6F2A"/>
    <w:rsid w:val="00BB76EB"/>
    <w:rsid w:val="00BB780E"/>
    <w:rsid w:val="00BB7C0C"/>
    <w:rsid w:val="00BC0829"/>
    <w:rsid w:val="00BC10BB"/>
    <w:rsid w:val="00BC1194"/>
    <w:rsid w:val="00BC12CB"/>
    <w:rsid w:val="00BC1BD1"/>
    <w:rsid w:val="00BC247C"/>
    <w:rsid w:val="00BC2725"/>
    <w:rsid w:val="00BC2BE3"/>
    <w:rsid w:val="00BC2CB6"/>
    <w:rsid w:val="00BC2E4E"/>
    <w:rsid w:val="00BC30AE"/>
    <w:rsid w:val="00BC32A4"/>
    <w:rsid w:val="00BC4542"/>
    <w:rsid w:val="00BC5C7F"/>
    <w:rsid w:val="00BC6038"/>
    <w:rsid w:val="00BC6109"/>
    <w:rsid w:val="00BC6674"/>
    <w:rsid w:val="00BC6795"/>
    <w:rsid w:val="00BC6B71"/>
    <w:rsid w:val="00BC6E7C"/>
    <w:rsid w:val="00BC7611"/>
    <w:rsid w:val="00BC79EB"/>
    <w:rsid w:val="00BC7A89"/>
    <w:rsid w:val="00BD0417"/>
    <w:rsid w:val="00BD0C45"/>
    <w:rsid w:val="00BD0F1C"/>
    <w:rsid w:val="00BD169C"/>
    <w:rsid w:val="00BD1851"/>
    <w:rsid w:val="00BD19CC"/>
    <w:rsid w:val="00BD1C34"/>
    <w:rsid w:val="00BD1F1E"/>
    <w:rsid w:val="00BD1F71"/>
    <w:rsid w:val="00BD2073"/>
    <w:rsid w:val="00BD21BD"/>
    <w:rsid w:val="00BD2D0B"/>
    <w:rsid w:val="00BD3460"/>
    <w:rsid w:val="00BD3E9F"/>
    <w:rsid w:val="00BD43DC"/>
    <w:rsid w:val="00BD43E9"/>
    <w:rsid w:val="00BD445E"/>
    <w:rsid w:val="00BD4920"/>
    <w:rsid w:val="00BD523F"/>
    <w:rsid w:val="00BD536A"/>
    <w:rsid w:val="00BD55FF"/>
    <w:rsid w:val="00BD57D1"/>
    <w:rsid w:val="00BD663F"/>
    <w:rsid w:val="00BD72E7"/>
    <w:rsid w:val="00BD7529"/>
    <w:rsid w:val="00BD7683"/>
    <w:rsid w:val="00BD783A"/>
    <w:rsid w:val="00BD794A"/>
    <w:rsid w:val="00BD7B4F"/>
    <w:rsid w:val="00BD7D30"/>
    <w:rsid w:val="00BD7FCE"/>
    <w:rsid w:val="00BE0081"/>
    <w:rsid w:val="00BE0236"/>
    <w:rsid w:val="00BE0287"/>
    <w:rsid w:val="00BE0931"/>
    <w:rsid w:val="00BE0BBF"/>
    <w:rsid w:val="00BE1098"/>
    <w:rsid w:val="00BE1263"/>
    <w:rsid w:val="00BE19C8"/>
    <w:rsid w:val="00BE1AC7"/>
    <w:rsid w:val="00BE1D2A"/>
    <w:rsid w:val="00BE1FBA"/>
    <w:rsid w:val="00BE22C8"/>
    <w:rsid w:val="00BE289D"/>
    <w:rsid w:val="00BE2AC5"/>
    <w:rsid w:val="00BE30D6"/>
    <w:rsid w:val="00BE3C07"/>
    <w:rsid w:val="00BE433E"/>
    <w:rsid w:val="00BE43D1"/>
    <w:rsid w:val="00BE477A"/>
    <w:rsid w:val="00BE4BF7"/>
    <w:rsid w:val="00BE4C92"/>
    <w:rsid w:val="00BE50D2"/>
    <w:rsid w:val="00BE52C2"/>
    <w:rsid w:val="00BE53A2"/>
    <w:rsid w:val="00BE6217"/>
    <w:rsid w:val="00BE6361"/>
    <w:rsid w:val="00BE6AD5"/>
    <w:rsid w:val="00BE7214"/>
    <w:rsid w:val="00BE735E"/>
    <w:rsid w:val="00BE76A9"/>
    <w:rsid w:val="00BE7AF6"/>
    <w:rsid w:val="00BE7E84"/>
    <w:rsid w:val="00BF00D7"/>
    <w:rsid w:val="00BF0172"/>
    <w:rsid w:val="00BF01B6"/>
    <w:rsid w:val="00BF0599"/>
    <w:rsid w:val="00BF0855"/>
    <w:rsid w:val="00BF0CF2"/>
    <w:rsid w:val="00BF0DD3"/>
    <w:rsid w:val="00BF157F"/>
    <w:rsid w:val="00BF1648"/>
    <w:rsid w:val="00BF1E08"/>
    <w:rsid w:val="00BF1F9C"/>
    <w:rsid w:val="00BF20C0"/>
    <w:rsid w:val="00BF29E8"/>
    <w:rsid w:val="00BF2B49"/>
    <w:rsid w:val="00BF2B63"/>
    <w:rsid w:val="00BF2EC9"/>
    <w:rsid w:val="00BF34D3"/>
    <w:rsid w:val="00BF378A"/>
    <w:rsid w:val="00BF4099"/>
    <w:rsid w:val="00BF49FE"/>
    <w:rsid w:val="00BF4DE4"/>
    <w:rsid w:val="00BF4E51"/>
    <w:rsid w:val="00BF52BA"/>
    <w:rsid w:val="00BF56A0"/>
    <w:rsid w:val="00BF60F0"/>
    <w:rsid w:val="00BF640C"/>
    <w:rsid w:val="00BF6705"/>
    <w:rsid w:val="00BF6BE9"/>
    <w:rsid w:val="00BF780E"/>
    <w:rsid w:val="00BF7A59"/>
    <w:rsid w:val="00BF7C59"/>
    <w:rsid w:val="00BF7E18"/>
    <w:rsid w:val="00BF7F0D"/>
    <w:rsid w:val="00C00125"/>
    <w:rsid w:val="00C007F5"/>
    <w:rsid w:val="00C00A28"/>
    <w:rsid w:val="00C00C0B"/>
    <w:rsid w:val="00C00E59"/>
    <w:rsid w:val="00C00FAA"/>
    <w:rsid w:val="00C013B5"/>
    <w:rsid w:val="00C013EB"/>
    <w:rsid w:val="00C01791"/>
    <w:rsid w:val="00C018F8"/>
    <w:rsid w:val="00C01A36"/>
    <w:rsid w:val="00C02D16"/>
    <w:rsid w:val="00C02E16"/>
    <w:rsid w:val="00C03508"/>
    <w:rsid w:val="00C035CC"/>
    <w:rsid w:val="00C039B6"/>
    <w:rsid w:val="00C03A9B"/>
    <w:rsid w:val="00C03F76"/>
    <w:rsid w:val="00C041A3"/>
    <w:rsid w:val="00C04D46"/>
    <w:rsid w:val="00C04ED4"/>
    <w:rsid w:val="00C05290"/>
    <w:rsid w:val="00C0532A"/>
    <w:rsid w:val="00C0566F"/>
    <w:rsid w:val="00C05D72"/>
    <w:rsid w:val="00C065D3"/>
    <w:rsid w:val="00C069D5"/>
    <w:rsid w:val="00C06AFA"/>
    <w:rsid w:val="00C06C47"/>
    <w:rsid w:val="00C07F39"/>
    <w:rsid w:val="00C100F9"/>
    <w:rsid w:val="00C101E1"/>
    <w:rsid w:val="00C107CA"/>
    <w:rsid w:val="00C10C88"/>
    <w:rsid w:val="00C1148A"/>
    <w:rsid w:val="00C11CE3"/>
    <w:rsid w:val="00C1221B"/>
    <w:rsid w:val="00C123D7"/>
    <w:rsid w:val="00C12727"/>
    <w:rsid w:val="00C13344"/>
    <w:rsid w:val="00C13ACE"/>
    <w:rsid w:val="00C13DDE"/>
    <w:rsid w:val="00C13FA0"/>
    <w:rsid w:val="00C14AE6"/>
    <w:rsid w:val="00C14C5E"/>
    <w:rsid w:val="00C14F31"/>
    <w:rsid w:val="00C1551F"/>
    <w:rsid w:val="00C16588"/>
    <w:rsid w:val="00C165EA"/>
    <w:rsid w:val="00C16DAB"/>
    <w:rsid w:val="00C170DC"/>
    <w:rsid w:val="00C17D77"/>
    <w:rsid w:val="00C17DF4"/>
    <w:rsid w:val="00C20385"/>
    <w:rsid w:val="00C20397"/>
    <w:rsid w:val="00C203FB"/>
    <w:rsid w:val="00C208E1"/>
    <w:rsid w:val="00C209FE"/>
    <w:rsid w:val="00C21697"/>
    <w:rsid w:val="00C2180F"/>
    <w:rsid w:val="00C21BDE"/>
    <w:rsid w:val="00C22714"/>
    <w:rsid w:val="00C22CF9"/>
    <w:rsid w:val="00C22FEE"/>
    <w:rsid w:val="00C23178"/>
    <w:rsid w:val="00C23A16"/>
    <w:rsid w:val="00C23A3B"/>
    <w:rsid w:val="00C23A94"/>
    <w:rsid w:val="00C23C2C"/>
    <w:rsid w:val="00C23DF1"/>
    <w:rsid w:val="00C240AC"/>
    <w:rsid w:val="00C2428E"/>
    <w:rsid w:val="00C24421"/>
    <w:rsid w:val="00C2446C"/>
    <w:rsid w:val="00C245C8"/>
    <w:rsid w:val="00C246E2"/>
    <w:rsid w:val="00C24836"/>
    <w:rsid w:val="00C250F5"/>
    <w:rsid w:val="00C258BC"/>
    <w:rsid w:val="00C25B45"/>
    <w:rsid w:val="00C26577"/>
    <w:rsid w:val="00C26612"/>
    <w:rsid w:val="00C26869"/>
    <w:rsid w:val="00C26A20"/>
    <w:rsid w:val="00C26CDB"/>
    <w:rsid w:val="00C271F8"/>
    <w:rsid w:val="00C2767A"/>
    <w:rsid w:val="00C277D1"/>
    <w:rsid w:val="00C279AD"/>
    <w:rsid w:val="00C27CDF"/>
    <w:rsid w:val="00C27E3D"/>
    <w:rsid w:val="00C27F38"/>
    <w:rsid w:val="00C30180"/>
    <w:rsid w:val="00C301E4"/>
    <w:rsid w:val="00C301EA"/>
    <w:rsid w:val="00C30CE2"/>
    <w:rsid w:val="00C30F41"/>
    <w:rsid w:val="00C31251"/>
    <w:rsid w:val="00C31419"/>
    <w:rsid w:val="00C32809"/>
    <w:rsid w:val="00C32903"/>
    <w:rsid w:val="00C32FF5"/>
    <w:rsid w:val="00C3309E"/>
    <w:rsid w:val="00C335D6"/>
    <w:rsid w:val="00C337D8"/>
    <w:rsid w:val="00C33D7B"/>
    <w:rsid w:val="00C34223"/>
    <w:rsid w:val="00C34597"/>
    <w:rsid w:val="00C346B6"/>
    <w:rsid w:val="00C34AB3"/>
    <w:rsid w:val="00C35215"/>
    <w:rsid w:val="00C35E7E"/>
    <w:rsid w:val="00C35F7B"/>
    <w:rsid w:val="00C3633C"/>
    <w:rsid w:val="00C3647B"/>
    <w:rsid w:val="00C366E3"/>
    <w:rsid w:val="00C36C6C"/>
    <w:rsid w:val="00C36F57"/>
    <w:rsid w:val="00C371E2"/>
    <w:rsid w:val="00C3793E"/>
    <w:rsid w:val="00C37A1E"/>
    <w:rsid w:val="00C37B34"/>
    <w:rsid w:val="00C37D06"/>
    <w:rsid w:val="00C37D80"/>
    <w:rsid w:val="00C37FEF"/>
    <w:rsid w:val="00C401CE"/>
    <w:rsid w:val="00C40B55"/>
    <w:rsid w:val="00C41D3A"/>
    <w:rsid w:val="00C41ED6"/>
    <w:rsid w:val="00C41EF3"/>
    <w:rsid w:val="00C42407"/>
    <w:rsid w:val="00C42B17"/>
    <w:rsid w:val="00C42B54"/>
    <w:rsid w:val="00C42C66"/>
    <w:rsid w:val="00C42D17"/>
    <w:rsid w:val="00C43291"/>
    <w:rsid w:val="00C434B0"/>
    <w:rsid w:val="00C44455"/>
    <w:rsid w:val="00C4466C"/>
    <w:rsid w:val="00C448D4"/>
    <w:rsid w:val="00C44944"/>
    <w:rsid w:val="00C44A78"/>
    <w:rsid w:val="00C44A84"/>
    <w:rsid w:val="00C44BEA"/>
    <w:rsid w:val="00C45A18"/>
    <w:rsid w:val="00C46258"/>
    <w:rsid w:val="00C46677"/>
    <w:rsid w:val="00C4675F"/>
    <w:rsid w:val="00C46851"/>
    <w:rsid w:val="00C46A70"/>
    <w:rsid w:val="00C46BA5"/>
    <w:rsid w:val="00C471FB"/>
    <w:rsid w:val="00C47766"/>
    <w:rsid w:val="00C47F22"/>
    <w:rsid w:val="00C501DB"/>
    <w:rsid w:val="00C501E3"/>
    <w:rsid w:val="00C5022C"/>
    <w:rsid w:val="00C505DF"/>
    <w:rsid w:val="00C508D1"/>
    <w:rsid w:val="00C50A05"/>
    <w:rsid w:val="00C50AB0"/>
    <w:rsid w:val="00C50CD2"/>
    <w:rsid w:val="00C518A9"/>
    <w:rsid w:val="00C51946"/>
    <w:rsid w:val="00C51AB1"/>
    <w:rsid w:val="00C51E7E"/>
    <w:rsid w:val="00C52222"/>
    <w:rsid w:val="00C52969"/>
    <w:rsid w:val="00C529A5"/>
    <w:rsid w:val="00C52BB3"/>
    <w:rsid w:val="00C53040"/>
    <w:rsid w:val="00C536BE"/>
    <w:rsid w:val="00C5377D"/>
    <w:rsid w:val="00C53F3F"/>
    <w:rsid w:val="00C543FE"/>
    <w:rsid w:val="00C545C3"/>
    <w:rsid w:val="00C548D0"/>
    <w:rsid w:val="00C54A5B"/>
    <w:rsid w:val="00C55294"/>
    <w:rsid w:val="00C552DE"/>
    <w:rsid w:val="00C55699"/>
    <w:rsid w:val="00C556A7"/>
    <w:rsid w:val="00C55D93"/>
    <w:rsid w:val="00C55F83"/>
    <w:rsid w:val="00C561F1"/>
    <w:rsid w:val="00C5637A"/>
    <w:rsid w:val="00C565F5"/>
    <w:rsid w:val="00C56BB8"/>
    <w:rsid w:val="00C56D1C"/>
    <w:rsid w:val="00C5748E"/>
    <w:rsid w:val="00C57D82"/>
    <w:rsid w:val="00C60746"/>
    <w:rsid w:val="00C607FC"/>
    <w:rsid w:val="00C608A7"/>
    <w:rsid w:val="00C60CAF"/>
    <w:rsid w:val="00C61365"/>
    <w:rsid w:val="00C61B52"/>
    <w:rsid w:val="00C61F31"/>
    <w:rsid w:val="00C625B3"/>
    <w:rsid w:val="00C62A2E"/>
    <w:rsid w:val="00C6319D"/>
    <w:rsid w:val="00C63282"/>
    <w:rsid w:val="00C633F7"/>
    <w:rsid w:val="00C63548"/>
    <w:rsid w:val="00C638E6"/>
    <w:rsid w:val="00C63A08"/>
    <w:rsid w:val="00C63EE9"/>
    <w:rsid w:val="00C6433D"/>
    <w:rsid w:val="00C6493A"/>
    <w:rsid w:val="00C64AF0"/>
    <w:rsid w:val="00C64CFB"/>
    <w:rsid w:val="00C65753"/>
    <w:rsid w:val="00C657A4"/>
    <w:rsid w:val="00C667FE"/>
    <w:rsid w:val="00C66810"/>
    <w:rsid w:val="00C66818"/>
    <w:rsid w:val="00C66AC2"/>
    <w:rsid w:val="00C6702E"/>
    <w:rsid w:val="00C67609"/>
    <w:rsid w:val="00C678A0"/>
    <w:rsid w:val="00C702B4"/>
    <w:rsid w:val="00C702F5"/>
    <w:rsid w:val="00C70873"/>
    <w:rsid w:val="00C718A5"/>
    <w:rsid w:val="00C71987"/>
    <w:rsid w:val="00C719BC"/>
    <w:rsid w:val="00C71D7B"/>
    <w:rsid w:val="00C71F67"/>
    <w:rsid w:val="00C72130"/>
    <w:rsid w:val="00C721F2"/>
    <w:rsid w:val="00C726F0"/>
    <w:rsid w:val="00C729DB"/>
    <w:rsid w:val="00C72FC8"/>
    <w:rsid w:val="00C735CA"/>
    <w:rsid w:val="00C73911"/>
    <w:rsid w:val="00C7466D"/>
    <w:rsid w:val="00C74694"/>
    <w:rsid w:val="00C7486C"/>
    <w:rsid w:val="00C74897"/>
    <w:rsid w:val="00C74C5C"/>
    <w:rsid w:val="00C75023"/>
    <w:rsid w:val="00C75522"/>
    <w:rsid w:val="00C75567"/>
    <w:rsid w:val="00C75DB6"/>
    <w:rsid w:val="00C762F3"/>
    <w:rsid w:val="00C76376"/>
    <w:rsid w:val="00C76751"/>
    <w:rsid w:val="00C768E8"/>
    <w:rsid w:val="00C76A11"/>
    <w:rsid w:val="00C76C64"/>
    <w:rsid w:val="00C77039"/>
    <w:rsid w:val="00C776AB"/>
    <w:rsid w:val="00C80525"/>
    <w:rsid w:val="00C806FD"/>
    <w:rsid w:val="00C80A0B"/>
    <w:rsid w:val="00C81105"/>
    <w:rsid w:val="00C82281"/>
    <w:rsid w:val="00C8272C"/>
    <w:rsid w:val="00C82B0B"/>
    <w:rsid w:val="00C83340"/>
    <w:rsid w:val="00C834A3"/>
    <w:rsid w:val="00C835F7"/>
    <w:rsid w:val="00C8388F"/>
    <w:rsid w:val="00C838B5"/>
    <w:rsid w:val="00C838F3"/>
    <w:rsid w:val="00C83B86"/>
    <w:rsid w:val="00C83D8B"/>
    <w:rsid w:val="00C84422"/>
    <w:rsid w:val="00C8497D"/>
    <w:rsid w:val="00C84AD4"/>
    <w:rsid w:val="00C84D4F"/>
    <w:rsid w:val="00C85459"/>
    <w:rsid w:val="00C85A99"/>
    <w:rsid w:val="00C85BD4"/>
    <w:rsid w:val="00C8640B"/>
    <w:rsid w:val="00C86F11"/>
    <w:rsid w:val="00C86F62"/>
    <w:rsid w:val="00C8707A"/>
    <w:rsid w:val="00C8718C"/>
    <w:rsid w:val="00C87325"/>
    <w:rsid w:val="00C876B2"/>
    <w:rsid w:val="00C8776F"/>
    <w:rsid w:val="00C87A11"/>
    <w:rsid w:val="00C87EF5"/>
    <w:rsid w:val="00C87FB5"/>
    <w:rsid w:val="00C901D9"/>
    <w:rsid w:val="00C9128C"/>
    <w:rsid w:val="00C91943"/>
    <w:rsid w:val="00C91FE9"/>
    <w:rsid w:val="00C9203A"/>
    <w:rsid w:val="00C92159"/>
    <w:rsid w:val="00C92A6B"/>
    <w:rsid w:val="00C92A74"/>
    <w:rsid w:val="00C930EA"/>
    <w:rsid w:val="00C932F2"/>
    <w:rsid w:val="00C9467A"/>
    <w:rsid w:val="00C953CA"/>
    <w:rsid w:val="00C959AC"/>
    <w:rsid w:val="00C95D23"/>
    <w:rsid w:val="00C95E7B"/>
    <w:rsid w:val="00C96143"/>
    <w:rsid w:val="00C969A3"/>
    <w:rsid w:val="00C97212"/>
    <w:rsid w:val="00C97B9D"/>
    <w:rsid w:val="00C97FD2"/>
    <w:rsid w:val="00CA0309"/>
    <w:rsid w:val="00CA061F"/>
    <w:rsid w:val="00CA0690"/>
    <w:rsid w:val="00CA073F"/>
    <w:rsid w:val="00CA0DD8"/>
    <w:rsid w:val="00CA1352"/>
    <w:rsid w:val="00CA1415"/>
    <w:rsid w:val="00CA1A2A"/>
    <w:rsid w:val="00CA23F7"/>
    <w:rsid w:val="00CA2A9D"/>
    <w:rsid w:val="00CA2C1C"/>
    <w:rsid w:val="00CA365B"/>
    <w:rsid w:val="00CA38DE"/>
    <w:rsid w:val="00CA417D"/>
    <w:rsid w:val="00CA41B9"/>
    <w:rsid w:val="00CA42A3"/>
    <w:rsid w:val="00CA483E"/>
    <w:rsid w:val="00CA4941"/>
    <w:rsid w:val="00CA5B08"/>
    <w:rsid w:val="00CA635E"/>
    <w:rsid w:val="00CA6C1B"/>
    <w:rsid w:val="00CA6CA4"/>
    <w:rsid w:val="00CA7786"/>
    <w:rsid w:val="00CB06FD"/>
    <w:rsid w:val="00CB084E"/>
    <w:rsid w:val="00CB091E"/>
    <w:rsid w:val="00CB09BF"/>
    <w:rsid w:val="00CB0A5B"/>
    <w:rsid w:val="00CB0C41"/>
    <w:rsid w:val="00CB0F2F"/>
    <w:rsid w:val="00CB11A2"/>
    <w:rsid w:val="00CB1941"/>
    <w:rsid w:val="00CB1A50"/>
    <w:rsid w:val="00CB1E29"/>
    <w:rsid w:val="00CB1F12"/>
    <w:rsid w:val="00CB2190"/>
    <w:rsid w:val="00CB2683"/>
    <w:rsid w:val="00CB2A95"/>
    <w:rsid w:val="00CB2E32"/>
    <w:rsid w:val="00CB31EC"/>
    <w:rsid w:val="00CB35C6"/>
    <w:rsid w:val="00CB3775"/>
    <w:rsid w:val="00CB3805"/>
    <w:rsid w:val="00CB3DA7"/>
    <w:rsid w:val="00CB4044"/>
    <w:rsid w:val="00CB42E1"/>
    <w:rsid w:val="00CB447E"/>
    <w:rsid w:val="00CB455D"/>
    <w:rsid w:val="00CB56BF"/>
    <w:rsid w:val="00CB59D0"/>
    <w:rsid w:val="00CB60A8"/>
    <w:rsid w:val="00CB6476"/>
    <w:rsid w:val="00CB664C"/>
    <w:rsid w:val="00CB693B"/>
    <w:rsid w:val="00CB6EB1"/>
    <w:rsid w:val="00CB7108"/>
    <w:rsid w:val="00CC047A"/>
    <w:rsid w:val="00CC0867"/>
    <w:rsid w:val="00CC101B"/>
    <w:rsid w:val="00CC114C"/>
    <w:rsid w:val="00CC153A"/>
    <w:rsid w:val="00CC1CC5"/>
    <w:rsid w:val="00CC22A3"/>
    <w:rsid w:val="00CC305A"/>
    <w:rsid w:val="00CC33F4"/>
    <w:rsid w:val="00CC3578"/>
    <w:rsid w:val="00CC3C4A"/>
    <w:rsid w:val="00CC3E0F"/>
    <w:rsid w:val="00CC3FAB"/>
    <w:rsid w:val="00CC4872"/>
    <w:rsid w:val="00CC48E8"/>
    <w:rsid w:val="00CC48F6"/>
    <w:rsid w:val="00CC4B77"/>
    <w:rsid w:val="00CC5AFC"/>
    <w:rsid w:val="00CC5F7C"/>
    <w:rsid w:val="00CC614C"/>
    <w:rsid w:val="00CC615E"/>
    <w:rsid w:val="00CC647E"/>
    <w:rsid w:val="00CC64AF"/>
    <w:rsid w:val="00CC66D9"/>
    <w:rsid w:val="00CC69A4"/>
    <w:rsid w:val="00CC6A61"/>
    <w:rsid w:val="00CC6D46"/>
    <w:rsid w:val="00CC73EC"/>
    <w:rsid w:val="00CC792E"/>
    <w:rsid w:val="00CC7DBF"/>
    <w:rsid w:val="00CD0661"/>
    <w:rsid w:val="00CD0C58"/>
    <w:rsid w:val="00CD13BF"/>
    <w:rsid w:val="00CD1977"/>
    <w:rsid w:val="00CD1CAF"/>
    <w:rsid w:val="00CD2405"/>
    <w:rsid w:val="00CD26B0"/>
    <w:rsid w:val="00CD348C"/>
    <w:rsid w:val="00CD3518"/>
    <w:rsid w:val="00CD351B"/>
    <w:rsid w:val="00CD352C"/>
    <w:rsid w:val="00CD3615"/>
    <w:rsid w:val="00CD3B3B"/>
    <w:rsid w:val="00CD445E"/>
    <w:rsid w:val="00CD46DB"/>
    <w:rsid w:val="00CD49D9"/>
    <w:rsid w:val="00CD4B4C"/>
    <w:rsid w:val="00CD4EF6"/>
    <w:rsid w:val="00CD54DF"/>
    <w:rsid w:val="00CD5702"/>
    <w:rsid w:val="00CD5848"/>
    <w:rsid w:val="00CD58A5"/>
    <w:rsid w:val="00CD5BC7"/>
    <w:rsid w:val="00CD5E43"/>
    <w:rsid w:val="00CD60E7"/>
    <w:rsid w:val="00CD6666"/>
    <w:rsid w:val="00CD670E"/>
    <w:rsid w:val="00CD67EA"/>
    <w:rsid w:val="00CD68A7"/>
    <w:rsid w:val="00CD6B5E"/>
    <w:rsid w:val="00CD6EE5"/>
    <w:rsid w:val="00CD6F28"/>
    <w:rsid w:val="00CD7295"/>
    <w:rsid w:val="00CD7499"/>
    <w:rsid w:val="00CD772B"/>
    <w:rsid w:val="00CD7892"/>
    <w:rsid w:val="00CD7F20"/>
    <w:rsid w:val="00CE0447"/>
    <w:rsid w:val="00CE062F"/>
    <w:rsid w:val="00CE0B03"/>
    <w:rsid w:val="00CE1AC0"/>
    <w:rsid w:val="00CE286D"/>
    <w:rsid w:val="00CE3556"/>
    <w:rsid w:val="00CE3865"/>
    <w:rsid w:val="00CE3B41"/>
    <w:rsid w:val="00CE3DE2"/>
    <w:rsid w:val="00CE3E86"/>
    <w:rsid w:val="00CE43EF"/>
    <w:rsid w:val="00CE4901"/>
    <w:rsid w:val="00CE5233"/>
    <w:rsid w:val="00CE577B"/>
    <w:rsid w:val="00CE60C9"/>
    <w:rsid w:val="00CE650A"/>
    <w:rsid w:val="00CE65EB"/>
    <w:rsid w:val="00CE6862"/>
    <w:rsid w:val="00CE6A91"/>
    <w:rsid w:val="00CE6CB0"/>
    <w:rsid w:val="00CE76E7"/>
    <w:rsid w:val="00CE7F2B"/>
    <w:rsid w:val="00CF0687"/>
    <w:rsid w:val="00CF07F2"/>
    <w:rsid w:val="00CF0A05"/>
    <w:rsid w:val="00CF11E0"/>
    <w:rsid w:val="00CF25D4"/>
    <w:rsid w:val="00CF3302"/>
    <w:rsid w:val="00CF338B"/>
    <w:rsid w:val="00CF349F"/>
    <w:rsid w:val="00CF37B6"/>
    <w:rsid w:val="00CF3D6F"/>
    <w:rsid w:val="00CF4F7E"/>
    <w:rsid w:val="00CF58ED"/>
    <w:rsid w:val="00CF61C5"/>
    <w:rsid w:val="00CF67BD"/>
    <w:rsid w:val="00CF785A"/>
    <w:rsid w:val="00CF7D0A"/>
    <w:rsid w:val="00D0019A"/>
    <w:rsid w:val="00D002A2"/>
    <w:rsid w:val="00D00638"/>
    <w:rsid w:val="00D00863"/>
    <w:rsid w:val="00D00A2A"/>
    <w:rsid w:val="00D012C5"/>
    <w:rsid w:val="00D019FB"/>
    <w:rsid w:val="00D01C8E"/>
    <w:rsid w:val="00D01CBA"/>
    <w:rsid w:val="00D01D65"/>
    <w:rsid w:val="00D01E01"/>
    <w:rsid w:val="00D0219C"/>
    <w:rsid w:val="00D022BF"/>
    <w:rsid w:val="00D02BA9"/>
    <w:rsid w:val="00D02FBF"/>
    <w:rsid w:val="00D0308E"/>
    <w:rsid w:val="00D031C3"/>
    <w:rsid w:val="00D0337C"/>
    <w:rsid w:val="00D03641"/>
    <w:rsid w:val="00D03701"/>
    <w:rsid w:val="00D03879"/>
    <w:rsid w:val="00D03BB3"/>
    <w:rsid w:val="00D044A6"/>
    <w:rsid w:val="00D045C0"/>
    <w:rsid w:val="00D0483E"/>
    <w:rsid w:val="00D04A64"/>
    <w:rsid w:val="00D04E40"/>
    <w:rsid w:val="00D04EFB"/>
    <w:rsid w:val="00D058CA"/>
    <w:rsid w:val="00D05AC2"/>
    <w:rsid w:val="00D05AD3"/>
    <w:rsid w:val="00D05FC5"/>
    <w:rsid w:val="00D05FC6"/>
    <w:rsid w:val="00D068B9"/>
    <w:rsid w:val="00D06AED"/>
    <w:rsid w:val="00D06C58"/>
    <w:rsid w:val="00D07059"/>
    <w:rsid w:val="00D072E0"/>
    <w:rsid w:val="00D077AE"/>
    <w:rsid w:val="00D10040"/>
    <w:rsid w:val="00D10604"/>
    <w:rsid w:val="00D106C3"/>
    <w:rsid w:val="00D10BAE"/>
    <w:rsid w:val="00D11981"/>
    <w:rsid w:val="00D11DE8"/>
    <w:rsid w:val="00D1226D"/>
    <w:rsid w:val="00D12311"/>
    <w:rsid w:val="00D127B3"/>
    <w:rsid w:val="00D128C4"/>
    <w:rsid w:val="00D12CD8"/>
    <w:rsid w:val="00D12CF6"/>
    <w:rsid w:val="00D13B8D"/>
    <w:rsid w:val="00D13F2A"/>
    <w:rsid w:val="00D13FAF"/>
    <w:rsid w:val="00D143BD"/>
    <w:rsid w:val="00D14578"/>
    <w:rsid w:val="00D15A77"/>
    <w:rsid w:val="00D15BA3"/>
    <w:rsid w:val="00D164F1"/>
    <w:rsid w:val="00D1683B"/>
    <w:rsid w:val="00D16961"/>
    <w:rsid w:val="00D16EE6"/>
    <w:rsid w:val="00D1737C"/>
    <w:rsid w:val="00D17A8E"/>
    <w:rsid w:val="00D17ACF"/>
    <w:rsid w:val="00D202A4"/>
    <w:rsid w:val="00D20626"/>
    <w:rsid w:val="00D20775"/>
    <w:rsid w:val="00D20A53"/>
    <w:rsid w:val="00D20FCA"/>
    <w:rsid w:val="00D217C7"/>
    <w:rsid w:val="00D21880"/>
    <w:rsid w:val="00D21BE7"/>
    <w:rsid w:val="00D21D89"/>
    <w:rsid w:val="00D21F1B"/>
    <w:rsid w:val="00D22356"/>
    <w:rsid w:val="00D22A8C"/>
    <w:rsid w:val="00D231E7"/>
    <w:rsid w:val="00D23557"/>
    <w:rsid w:val="00D23AE3"/>
    <w:rsid w:val="00D23B50"/>
    <w:rsid w:val="00D23F66"/>
    <w:rsid w:val="00D24BA2"/>
    <w:rsid w:val="00D25061"/>
    <w:rsid w:val="00D25941"/>
    <w:rsid w:val="00D2696F"/>
    <w:rsid w:val="00D26977"/>
    <w:rsid w:val="00D26FF6"/>
    <w:rsid w:val="00D27227"/>
    <w:rsid w:val="00D27948"/>
    <w:rsid w:val="00D27BC5"/>
    <w:rsid w:val="00D308FF"/>
    <w:rsid w:val="00D30A75"/>
    <w:rsid w:val="00D30AED"/>
    <w:rsid w:val="00D30DF6"/>
    <w:rsid w:val="00D30F0B"/>
    <w:rsid w:val="00D3103E"/>
    <w:rsid w:val="00D3107C"/>
    <w:rsid w:val="00D3113C"/>
    <w:rsid w:val="00D31146"/>
    <w:rsid w:val="00D31235"/>
    <w:rsid w:val="00D31438"/>
    <w:rsid w:val="00D31498"/>
    <w:rsid w:val="00D31A47"/>
    <w:rsid w:val="00D32A9E"/>
    <w:rsid w:val="00D32CD1"/>
    <w:rsid w:val="00D337CA"/>
    <w:rsid w:val="00D33D73"/>
    <w:rsid w:val="00D340E6"/>
    <w:rsid w:val="00D3417B"/>
    <w:rsid w:val="00D341C2"/>
    <w:rsid w:val="00D349BC"/>
    <w:rsid w:val="00D34A5D"/>
    <w:rsid w:val="00D34C59"/>
    <w:rsid w:val="00D351AE"/>
    <w:rsid w:val="00D352AB"/>
    <w:rsid w:val="00D35594"/>
    <w:rsid w:val="00D356F9"/>
    <w:rsid w:val="00D35EB1"/>
    <w:rsid w:val="00D363C1"/>
    <w:rsid w:val="00D36B0F"/>
    <w:rsid w:val="00D36BF3"/>
    <w:rsid w:val="00D371BB"/>
    <w:rsid w:val="00D374BD"/>
    <w:rsid w:val="00D37579"/>
    <w:rsid w:val="00D4058D"/>
    <w:rsid w:val="00D406D3"/>
    <w:rsid w:val="00D40C52"/>
    <w:rsid w:val="00D4132E"/>
    <w:rsid w:val="00D4137E"/>
    <w:rsid w:val="00D413A7"/>
    <w:rsid w:val="00D4210E"/>
    <w:rsid w:val="00D42A75"/>
    <w:rsid w:val="00D42B28"/>
    <w:rsid w:val="00D43455"/>
    <w:rsid w:val="00D43649"/>
    <w:rsid w:val="00D43D5B"/>
    <w:rsid w:val="00D43E29"/>
    <w:rsid w:val="00D43E2D"/>
    <w:rsid w:val="00D43F3D"/>
    <w:rsid w:val="00D43FAA"/>
    <w:rsid w:val="00D446EA"/>
    <w:rsid w:val="00D447FF"/>
    <w:rsid w:val="00D44988"/>
    <w:rsid w:val="00D44C6C"/>
    <w:rsid w:val="00D452B5"/>
    <w:rsid w:val="00D4533C"/>
    <w:rsid w:val="00D458F2"/>
    <w:rsid w:val="00D46C85"/>
    <w:rsid w:val="00D475BE"/>
    <w:rsid w:val="00D50410"/>
    <w:rsid w:val="00D507AE"/>
    <w:rsid w:val="00D507EA"/>
    <w:rsid w:val="00D5080F"/>
    <w:rsid w:val="00D5081A"/>
    <w:rsid w:val="00D508E8"/>
    <w:rsid w:val="00D50E7D"/>
    <w:rsid w:val="00D514CE"/>
    <w:rsid w:val="00D5154F"/>
    <w:rsid w:val="00D515BF"/>
    <w:rsid w:val="00D516D0"/>
    <w:rsid w:val="00D518F4"/>
    <w:rsid w:val="00D51B52"/>
    <w:rsid w:val="00D51BBC"/>
    <w:rsid w:val="00D51FD8"/>
    <w:rsid w:val="00D52121"/>
    <w:rsid w:val="00D521CD"/>
    <w:rsid w:val="00D52F40"/>
    <w:rsid w:val="00D53047"/>
    <w:rsid w:val="00D530E2"/>
    <w:rsid w:val="00D53A82"/>
    <w:rsid w:val="00D542E3"/>
    <w:rsid w:val="00D54788"/>
    <w:rsid w:val="00D55426"/>
    <w:rsid w:val="00D559B3"/>
    <w:rsid w:val="00D560B9"/>
    <w:rsid w:val="00D56551"/>
    <w:rsid w:val="00D56677"/>
    <w:rsid w:val="00D5670B"/>
    <w:rsid w:val="00D56AA9"/>
    <w:rsid w:val="00D56B52"/>
    <w:rsid w:val="00D56EC6"/>
    <w:rsid w:val="00D5748E"/>
    <w:rsid w:val="00D57664"/>
    <w:rsid w:val="00D57A0D"/>
    <w:rsid w:val="00D57C80"/>
    <w:rsid w:val="00D603B0"/>
    <w:rsid w:val="00D60746"/>
    <w:rsid w:val="00D60EA6"/>
    <w:rsid w:val="00D614BE"/>
    <w:rsid w:val="00D61EDA"/>
    <w:rsid w:val="00D6222F"/>
    <w:rsid w:val="00D6289B"/>
    <w:rsid w:val="00D62C0A"/>
    <w:rsid w:val="00D63F48"/>
    <w:rsid w:val="00D64064"/>
    <w:rsid w:val="00D64093"/>
    <w:rsid w:val="00D644BC"/>
    <w:rsid w:val="00D6453A"/>
    <w:rsid w:val="00D6456F"/>
    <w:rsid w:val="00D64700"/>
    <w:rsid w:val="00D64752"/>
    <w:rsid w:val="00D64D13"/>
    <w:rsid w:val="00D652F5"/>
    <w:rsid w:val="00D65B8F"/>
    <w:rsid w:val="00D67382"/>
    <w:rsid w:val="00D6761C"/>
    <w:rsid w:val="00D706D0"/>
    <w:rsid w:val="00D708F2"/>
    <w:rsid w:val="00D71143"/>
    <w:rsid w:val="00D715C0"/>
    <w:rsid w:val="00D718C6"/>
    <w:rsid w:val="00D71EB9"/>
    <w:rsid w:val="00D71FED"/>
    <w:rsid w:val="00D728D2"/>
    <w:rsid w:val="00D729A9"/>
    <w:rsid w:val="00D72CBB"/>
    <w:rsid w:val="00D72EB3"/>
    <w:rsid w:val="00D730C7"/>
    <w:rsid w:val="00D7323A"/>
    <w:rsid w:val="00D732A6"/>
    <w:rsid w:val="00D73AB1"/>
    <w:rsid w:val="00D74611"/>
    <w:rsid w:val="00D74999"/>
    <w:rsid w:val="00D74B0A"/>
    <w:rsid w:val="00D74D21"/>
    <w:rsid w:val="00D75291"/>
    <w:rsid w:val="00D7686C"/>
    <w:rsid w:val="00D76BD7"/>
    <w:rsid w:val="00D76D4B"/>
    <w:rsid w:val="00D77228"/>
    <w:rsid w:val="00D80321"/>
    <w:rsid w:val="00D81386"/>
    <w:rsid w:val="00D814F3"/>
    <w:rsid w:val="00D81C8D"/>
    <w:rsid w:val="00D82157"/>
    <w:rsid w:val="00D82636"/>
    <w:rsid w:val="00D82EF3"/>
    <w:rsid w:val="00D82FC3"/>
    <w:rsid w:val="00D8351C"/>
    <w:rsid w:val="00D83630"/>
    <w:rsid w:val="00D8390A"/>
    <w:rsid w:val="00D83FAA"/>
    <w:rsid w:val="00D842AA"/>
    <w:rsid w:val="00D842E7"/>
    <w:rsid w:val="00D846D6"/>
    <w:rsid w:val="00D84ACA"/>
    <w:rsid w:val="00D84C83"/>
    <w:rsid w:val="00D85453"/>
    <w:rsid w:val="00D857E7"/>
    <w:rsid w:val="00D85C0C"/>
    <w:rsid w:val="00D85DCE"/>
    <w:rsid w:val="00D85EE2"/>
    <w:rsid w:val="00D86B6E"/>
    <w:rsid w:val="00D86DAF"/>
    <w:rsid w:val="00D8703B"/>
    <w:rsid w:val="00D87165"/>
    <w:rsid w:val="00D879C8"/>
    <w:rsid w:val="00D909AF"/>
    <w:rsid w:val="00D90BBE"/>
    <w:rsid w:val="00D90CE5"/>
    <w:rsid w:val="00D912CF"/>
    <w:rsid w:val="00D91528"/>
    <w:rsid w:val="00D91B26"/>
    <w:rsid w:val="00D92215"/>
    <w:rsid w:val="00D929AD"/>
    <w:rsid w:val="00D92CD2"/>
    <w:rsid w:val="00D93117"/>
    <w:rsid w:val="00D933CE"/>
    <w:rsid w:val="00D933DA"/>
    <w:rsid w:val="00D936BF"/>
    <w:rsid w:val="00D93FB7"/>
    <w:rsid w:val="00D940B9"/>
    <w:rsid w:val="00D94302"/>
    <w:rsid w:val="00D9462F"/>
    <w:rsid w:val="00D949DC"/>
    <w:rsid w:val="00D94BB2"/>
    <w:rsid w:val="00D95073"/>
    <w:rsid w:val="00D95D70"/>
    <w:rsid w:val="00D9644F"/>
    <w:rsid w:val="00D96664"/>
    <w:rsid w:val="00D96F3C"/>
    <w:rsid w:val="00D9704B"/>
    <w:rsid w:val="00D97C54"/>
    <w:rsid w:val="00D97D80"/>
    <w:rsid w:val="00D97F70"/>
    <w:rsid w:val="00D97FBA"/>
    <w:rsid w:val="00DA0276"/>
    <w:rsid w:val="00DA02D1"/>
    <w:rsid w:val="00DA077A"/>
    <w:rsid w:val="00DA097F"/>
    <w:rsid w:val="00DA0E5F"/>
    <w:rsid w:val="00DA1023"/>
    <w:rsid w:val="00DA1BEF"/>
    <w:rsid w:val="00DA1E73"/>
    <w:rsid w:val="00DA1EA4"/>
    <w:rsid w:val="00DA1FD4"/>
    <w:rsid w:val="00DA246D"/>
    <w:rsid w:val="00DA251F"/>
    <w:rsid w:val="00DA27B6"/>
    <w:rsid w:val="00DA2E12"/>
    <w:rsid w:val="00DA3469"/>
    <w:rsid w:val="00DA34B0"/>
    <w:rsid w:val="00DA3700"/>
    <w:rsid w:val="00DA3C18"/>
    <w:rsid w:val="00DA41D3"/>
    <w:rsid w:val="00DA462C"/>
    <w:rsid w:val="00DA4801"/>
    <w:rsid w:val="00DA4A0D"/>
    <w:rsid w:val="00DA4C47"/>
    <w:rsid w:val="00DA4D02"/>
    <w:rsid w:val="00DA4E01"/>
    <w:rsid w:val="00DA5C82"/>
    <w:rsid w:val="00DA60C2"/>
    <w:rsid w:val="00DA78AE"/>
    <w:rsid w:val="00DA7C57"/>
    <w:rsid w:val="00DA7D85"/>
    <w:rsid w:val="00DA7E60"/>
    <w:rsid w:val="00DA7F6B"/>
    <w:rsid w:val="00DB01E6"/>
    <w:rsid w:val="00DB05B5"/>
    <w:rsid w:val="00DB0672"/>
    <w:rsid w:val="00DB08CE"/>
    <w:rsid w:val="00DB0BBE"/>
    <w:rsid w:val="00DB0E0B"/>
    <w:rsid w:val="00DB10C9"/>
    <w:rsid w:val="00DB1583"/>
    <w:rsid w:val="00DB1E53"/>
    <w:rsid w:val="00DB2111"/>
    <w:rsid w:val="00DB249A"/>
    <w:rsid w:val="00DB27D3"/>
    <w:rsid w:val="00DB2F5C"/>
    <w:rsid w:val="00DB3296"/>
    <w:rsid w:val="00DB3379"/>
    <w:rsid w:val="00DB34F7"/>
    <w:rsid w:val="00DB3608"/>
    <w:rsid w:val="00DB385F"/>
    <w:rsid w:val="00DB3869"/>
    <w:rsid w:val="00DB3D92"/>
    <w:rsid w:val="00DB3ED2"/>
    <w:rsid w:val="00DB466C"/>
    <w:rsid w:val="00DB468E"/>
    <w:rsid w:val="00DB46BD"/>
    <w:rsid w:val="00DB5120"/>
    <w:rsid w:val="00DB538B"/>
    <w:rsid w:val="00DB540C"/>
    <w:rsid w:val="00DB57B8"/>
    <w:rsid w:val="00DB5B09"/>
    <w:rsid w:val="00DB6B36"/>
    <w:rsid w:val="00DB769D"/>
    <w:rsid w:val="00DB776E"/>
    <w:rsid w:val="00DB77EE"/>
    <w:rsid w:val="00DC029B"/>
    <w:rsid w:val="00DC0A08"/>
    <w:rsid w:val="00DC0F09"/>
    <w:rsid w:val="00DC1126"/>
    <w:rsid w:val="00DC1B6E"/>
    <w:rsid w:val="00DC1B86"/>
    <w:rsid w:val="00DC1C65"/>
    <w:rsid w:val="00DC215E"/>
    <w:rsid w:val="00DC2161"/>
    <w:rsid w:val="00DC244B"/>
    <w:rsid w:val="00DC24B7"/>
    <w:rsid w:val="00DC2617"/>
    <w:rsid w:val="00DC26F7"/>
    <w:rsid w:val="00DC289B"/>
    <w:rsid w:val="00DC28DD"/>
    <w:rsid w:val="00DC3661"/>
    <w:rsid w:val="00DC3710"/>
    <w:rsid w:val="00DC38B7"/>
    <w:rsid w:val="00DC3B39"/>
    <w:rsid w:val="00DC3B5D"/>
    <w:rsid w:val="00DC3B67"/>
    <w:rsid w:val="00DC3CDB"/>
    <w:rsid w:val="00DC4BCE"/>
    <w:rsid w:val="00DC4D15"/>
    <w:rsid w:val="00DC53FB"/>
    <w:rsid w:val="00DC5769"/>
    <w:rsid w:val="00DC5B13"/>
    <w:rsid w:val="00DC5D65"/>
    <w:rsid w:val="00DC60F4"/>
    <w:rsid w:val="00DC63AF"/>
    <w:rsid w:val="00DC7745"/>
    <w:rsid w:val="00DC7A7D"/>
    <w:rsid w:val="00DC7AF1"/>
    <w:rsid w:val="00DC7AF6"/>
    <w:rsid w:val="00DC7B24"/>
    <w:rsid w:val="00DD01B0"/>
    <w:rsid w:val="00DD0394"/>
    <w:rsid w:val="00DD1471"/>
    <w:rsid w:val="00DD14AF"/>
    <w:rsid w:val="00DD1D02"/>
    <w:rsid w:val="00DD23A0"/>
    <w:rsid w:val="00DD288A"/>
    <w:rsid w:val="00DD2D1D"/>
    <w:rsid w:val="00DD39F4"/>
    <w:rsid w:val="00DD3B4B"/>
    <w:rsid w:val="00DD3EF4"/>
    <w:rsid w:val="00DD402D"/>
    <w:rsid w:val="00DD45AC"/>
    <w:rsid w:val="00DD4FE0"/>
    <w:rsid w:val="00DD51D5"/>
    <w:rsid w:val="00DD540E"/>
    <w:rsid w:val="00DD591B"/>
    <w:rsid w:val="00DD5ED3"/>
    <w:rsid w:val="00DD63CB"/>
    <w:rsid w:val="00DD6895"/>
    <w:rsid w:val="00DD692D"/>
    <w:rsid w:val="00DD707C"/>
    <w:rsid w:val="00DD70F3"/>
    <w:rsid w:val="00DD772B"/>
    <w:rsid w:val="00DE01EB"/>
    <w:rsid w:val="00DE04C9"/>
    <w:rsid w:val="00DE05C5"/>
    <w:rsid w:val="00DE066B"/>
    <w:rsid w:val="00DE08A0"/>
    <w:rsid w:val="00DE173A"/>
    <w:rsid w:val="00DE1769"/>
    <w:rsid w:val="00DE2124"/>
    <w:rsid w:val="00DE22A6"/>
    <w:rsid w:val="00DE2588"/>
    <w:rsid w:val="00DE259F"/>
    <w:rsid w:val="00DE2B80"/>
    <w:rsid w:val="00DE2F89"/>
    <w:rsid w:val="00DE2FE2"/>
    <w:rsid w:val="00DE33D5"/>
    <w:rsid w:val="00DE39A9"/>
    <w:rsid w:val="00DE3F99"/>
    <w:rsid w:val="00DE3FE5"/>
    <w:rsid w:val="00DE4847"/>
    <w:rsid w:val="00DE4BE5"/>
    <w:rsid w:val="00DE4E2E"/>
    <w:rsid w:val="00DE5D50"/>
    <w:rsid w:val="00DE5D79"/>
    <w:rsid w:val="00DE6156"/>
    <w:rsid w:val="00DE61D8"/>
    <w:rsid w:val="00DE63B3"/>
    <w:rsid w:val="00DE652E"/>
    <w:rsid w:val="00DE6642"/>
    <w:rsid w:val="00DE67F4"/>
    <w:rsid w:val="00DE698E"/>
    <w:rsid w:val="00DE6F0A"/>
    <w:rsid w:val="00DE77B1"/>
    <w:rsid w:val="00DE7E6A"/>
    <w:rsid w:val="00DF02DE"/>
    <w:rsid w:val="00DF064C"/>
    <w:rsid w:val="00DF0B6F"/>
    <w:rsid w:val="00DF1163"/>
    <w:rsid w:val="00DF11B1"/>
    <w:rsid w:val="00DF1AD8"/>
    <w:rsid w:val="00DF1B37"/>
    <w:rsid w:val="00DF1BC8"/>
    <w:rsid w:val="00DF2098"/>
    <w:rsid w:val="00DF20BD"/>
    <w:rsid w:val="00DF2B67"/>
    <w:rsid w:val="00DF2C2C"/>
    <w:rsid w:val="00DF3CE6"/>
    <w:rsid w:val="00DF3D53"/>
    <w:rsid w:val="00DF4102"/>
    <w:rsid w:val="00DF42F2"/>
    <w:rsid w:val="00DF4E71"/>
    <w:rsid w:val="00DF4EB5"/>
    <w:rsid w:val="00DF4F92"/>
    <w:rsid w:val="00DF5CE8"/>
    <w:rsid w:val="00DF5E03"/>
    <w:rsid w:val="00DF5F72"/>
    <w:rsid w:val="00DF66CB"/>
    <w:rsid w:val="00DF6775"/>
    <w:rsid w:val="00DF6890"/>
    <w:rsid w:val="00DF6D18"/>
    <w:rsid w:val="00DF6FC2"/>
    <w:rsid w:val="00DF725B"/>
    <w:rsid w:val="00DF7580"/>
    <w:rsid w:val="00DF77FE"/>
    <w:rsid w:val="00E003CC"/>
    <w:rsid w:val="00E00495"/>
    <w:rsid w:val="00E00E18"/>
    <w:rsid w:val="00E00E3C"/>
    <w:rsid w:val="00E00F14"/>
    <w:rsid w:val="00E014ED"/>
    <w:rsid w:val="00E0172C"/>
    <w:rsid w:val="00E0194E"/>
    <w:rsid w:val="00E02113"/>
    <w:rsid w:val="00E0229E"/>
    <w:rsid w:val="00E0235D"/>
    <w:rsid w:val="00E02824"/>
    <w:rsid w:val="00E02A62"/>
    <w:rsid w:val="00E02D5D"/>
    <w:rsid w:val="00E033EE"/>
    <w:rsid w:val="00E03721"/>
    <w:rsid w:val="00E037B5"/>
    <w:rsid w:val="00E03FC5"/>
    <w:rsid w:val="00E0486F"/>
    <w:rsid w:val="00E04B3D"/>
    <w:rsid w:val="00E0567E"/>
    <w:rsid w:val="00E05B95"/>
    <w:rsid w:val="00E05EAC"/>
    <w:rsid w:val="00E0641D"/>
    <w:rsid w:val="00E06607"/>
    <w:rsid w:val="00E06689"/>
    <w:rsid w:val="00E0668F"/>
    <w:rsid w:val="00E06ABD"/>
    <w:rsid w:val="00E06B3F"/>
    <w:rsid w:val="00E07184"/>
    <w:rsid w:val="00E0734E"/>
    <w:rsid w:val="00E076CB"/>
    <w:rsid w:val="00E10526"/>
    <w:rsid w:val="00E106E7"/>
    <w:rsid w:val="00E10887"/>
    <w:rsid w:val="00E109B7"/>
    <w:rsid w:val="00E10A8F"/>
    <w:rsid w:val="00E10D7A"/>
    <w:rsid w:val="00E10F90"/>
    <w:rsid w:val="00E1103C"/>
    <w:rsid w:val="00E11410"/>
    <w:rsid w:val="00E11491"/>
    <w:rsid w:val="00E11BA8"/>
    <w:rsid w:val="00E12134"/>
    <w:rsid w:val="00E126F4"/>
    <w:rsid w:val="00E12739"/>
    <w:rsid w:val="00E1296E"/>
    <w:rsid w:val="00E12CE9"/>
    <w:rsid w:val="00E13072"/>
    <w:rsid w:val="00E137A5"/>
    <w:rsid w:val="00E139D6"/>
    <w:rsid w:val="00E14CCB"/>
    <w:rsid w:val="00E153FA"/>
    <w:rsid w:val="00E156A0"/>
    <w:rsid w:val="00E15A51"/>
    <w:rsid w:val="00E1698F"/>
    <w:rsid w:val="00E16C0C"/>
    <w:rsid w:val="00E16D9F"/>
    <w:rsid w:val="00E17202"/>
    <w:rsid w:val="00E17424"/>
    <w:rsid w:val="00E17806"/>
    <w:rsid w:val="00E17D82"/>
    <w:rsid w:val="00E17FC5"/>
    <w:rsid w:val="00E201DC"/>
    <w:rsid w:val="00E2036A"/>
    <w:rsid w:val="00E20A3A"/>
    <w:rsid w:val="00E20AF1"/>
    <w:rsid w:val="00E20B88"/>
    <w:rsid w:val="00E210AF"/>
    <w:rsid w:val="00E211CC"/>
    <w:rsid w:val="00E213C7"/>
    <w:rsid w:val="00E22697"/>
    <w:rsid w:val="00E230F2"/>
    <w:rsid w:val="00E23FB4"/>
    <w:rsid w:val="00E24070"/>
    <w:rsid w:val="00E24443"/>
    <w:rsid w:val="00E24498"/>
    <w:rsid w:val="00E244B4"/>
    <w:rsid w:val="00E24801"/>
    <w:rsid w:val="00E24F7F"/>
    <w:rsid w:val="00E2509C"/>
    <w:rsid w:val="00E25888"/>
    <w:rsid w:val="00E25E91"/>
    <w:rsid w:val="00E25FAC"/>
    <w:rsid w:val="00E26D01"/>
    <w:rsid w:val="00E26F69"/>
    <w:rsid w:val="00E30673"/>
    <w:rsid w:val="00E309CF"/>
    <w:rsid w:val="00E30D63"/>
    <w:rsid w:val="00E30F5E"/>
    <w:rsid w:val="00E31018"/>
    <w:rsid w:val="00E31587"/>
    <w:rsid w:val="00E3178F"/>
    <w:rsid w:val="00E31B8C"/>
    <w:rsid w:val="00E31EDD"/>
    <w:rsid w:val="00E324C7"/>
    <w:rsid w:val="00E324E6"/>
    <w:rsid w:val="00E32BAE"/>
    <w:rsid w:val="00E32DD8"/>
    <w:rsid w:val="00E32E02"/>
    <w:rsid w:val="00E32ED5"/>
    <w:rsid w:val="00E333F9"/>
    <w:rsid w:val="00E3344E"/>
    <w:rsid w:val="00E33B62"/>
    <w:rsid w:val="00E33F28"/>
    <w:rsid w:val="00E34013"/>
    <w:rsid w:val="00E34233"/>
    <w:rsid w:val="00E34BD4"/>
    <w:rsid w:val="00E34D62"/>
    <w:rsid w:val="00E35D04"/>
    <w:rsid w:val="00E35D6F"/>
    <w:rsid w:val="00E36723"/>
    <w:rsid w:val="00E373C0"/>
    <w:rsid w:val="00E3758B"/>
    <w:rsid w:val="00E3772D"/>
    <w:rsid w:val="00E37850"/>
    <w:rsid w:val="00E37AB0"/>
    <w:rsid w:val="00E37EAB"/>
    <w:rsid w:val="00E400EA"/>
    <w:rsid w:val="00E408C6"/>
    <w:rsid w:val="00E4093B"/>
    <w:rsid w:val="00E40E02"/>
    <w:rsid w:val="00E4100D"/>
    <w:rsid w:val="00E41548"/>
    <w:rsid w:val="00E418F1"/>
    <w:rsid w:val="00E41F2D"/>
    <w:rsid w:val="00E42114"/>
    <w:rsid w:val="00E43274"/>
    <w:rsid w:val="00E432F8"/>
    <w:rsid w:val="00E43982"/>
    <w:rsid w:val="00E4436B"/>
    <w:rsid w:val="00E44EAD"/>
    <w:rsid w:val="00E44FE2"/>
    <w:rsid w:val="00E45974"/>
    <w:rsid w:val="00E45BD9"/>
    <w:rsid w:val="00E4686E"/>
    <w:rsid w:val="00E46F66"/>
    <w:rsid w:val="00E47020"/>
    <w:rsid w:val="00E470E3"/>
    <w:rsid w:val="00E47951"/>
    <w:rsid w:val="00E4797D"/>
    <w:rsid w:val="00E47B6C"/>
    <w:rsid w:val="00E501BC"/>
    <w:rsid w:val="00E5097F"/>
    <w:rsid w:val="00E50B40"/>
    <w:rsid w:val="00E50DB3"/>
    <w:rsid w:val="00E50E05"/>
    <w:rsid w:val="00E51A87"/>
    <w:rsid w:val="00E5209D"/>
    <w:rsid w:val="00E524A4"/>
    <w:rsid w:val="00E546FB"/>
    <w:rsid w:val="00E54787"/>
    <w:rsid w:val="00E549ED"/>
    <w:rsid w:val="00E555CE"/>
    <w:rsid w:val="00E55CE6"/>
    <w:rsid w:val="00E55EF2"/>
    <w:rsid w:val="00E56472"/>
    <w:rsid w:val="00E56A26"/>
    <w:rsid w:val="00E56BFF"/>
    <w:rsid w:val="00E56DB7"/>
    <w:rsid w:val="00E56DCA"/>
    <w:rsid w:val="00E56FA0"/>
    <w:rsid w:val="00E570D5"/>
    <w:rsid w:val="00E571EC"/>
    <w:rsid w:val="00E57668"/>
    <w:rsid w:val="00E6070A"/>
    <w:rsid w:val="00E60756"/>
    <w:rsid w:val="00E60860"/>
    <w:rsid w:val="00E60C14"/>
    <w:rsid w:val="00E60C1A"/>
    <w:rsid w:val="00E61018"/>
    <w:rsid w:val="00E611D2"/>
    <w:rsid w:val="00E6122A"/>
    <w:rsid w:val="00E61426"/>
    <w:rsid w:val="00E61F3E"/>
    <w:rsid w:val="00E628B6"/>
    <w:rsid w:val="00E62A82"/>
    <w:rsid w:val="00E62B29"/>
    <w:rsid w:val="00E6329E"/>
    <w:rsid w:val="00E633F9"/>
    <w:rsid w:val="00E6364A"/>
    <w:rsid w:val="00E637D2"/>
    <w:rsid w:val="00E64007"/>
    <w:rsid w:val="00E64045"/>
    <w:rsid w:val="00E64204"/>
    <w:rsid w:val="00E6426A"/>
    <w:rsid w:val="00E642C0"/>
    <w:rsid w:val="00E64343"/>
    <w:rsid w:val="00E6457D"/>
    <w:rsid w:val="00E646E2"/>
    <w:rsid w:val="00E64A52"/>
    <w:rsid w:val="00E64C6F"/>
    <w:rsid w:val="00E64E92"/>
    <w:rsid w:val="00E64F17"/>
    <w:rsid w:val="00E64FB8"/>
    <w:rsid w:val="00E6526A"/>
    <w:rsid w:val="00E655CB"/>
    <w:rsid w:val="00E65FB8"/>
    <w:rsid w:val="00E66183"/>
    <w:rsid w:val="00E66731"/>
    <w:rsid w:val="00E66E9E"/>
    <w:rsid w:val="00E702CC"/>
    <w:rsid w:val="00E7036F"/>
    <w:rsid w:val="00E70615"/>
    <w:rsid w:val="00E70929"/>
    <w:rsid w:val="00E70ACD"/>
    <w:rsid w:val="00E70E86"/>
    <w:rsid w:val="00E71833"/>
    <w:rsid w:val="00E71B8F"/>
    <w:rsid w:val="00E72001"/>
    <w:rsid w:val="00E7207E"/>
    <w:rsid w:val="00E72A93"/>
    <w:rsid w:val="00E73AD0"/>
    <w:rsid w:val="00E74354"/>
    <w:rsid w:val="00E7440A"/>
    <w:rsid w:val="00E74B55"/>
    <w:rsid w:val="00E74B6B"/>
    <w:rsid w:val="00E74DEE"/>
    <w:rsid w:val="00E7588A"/>
    <w:rsid w:val="00E75CB0"/>
    <w:rsid w:val="00E75E21"/>
    <w:rsid w:val="00E76282"/>
    <w:rsid w:val="00E763CB"/>
    <w:rsid w:val="00E76588"/>
    <w:rsid w:val="00E768AF"/>
    <w:rsid w:val="00E76FC8"/>
    <w:rsid w:val="00E77251"/>
    <w:rsid w:val="00E772C4"/>
    <w:rsid w:val="00E77502"/>
    <w:rsid w:val="00E77B60"/>
    <w:rsid w:val="00E77FDC"/>
    <w:rsid w:val="00E80AFC"/>
    <w:rsid w:val="00E80B8E"/>
    <w:rsid w:val="00E80CE7"/>
    <w:rsid w:val="00E8149F"/>
    <w:rsid w:val="00E81726"/>
    <w:rsid w:val="00E81A72"/>
    <w:rsid w:val="00E81F1D"/>
    <w:rsid w:val="00E823AD"/>
    <w:rsid w:val="00E823B7"/>
    <w:rsid w:val="00E82AD9"/>
    <w:rsid w:val="00E830C1"/>
    <w:rsid w:val="00E83428"/>
    <w:rsid w:val="00E8359B"/>
    <w:rsid w:val="00E8397C"/>
    <w:rsid w:val="00E8399D"/>
    <w:rsid w:val="00E8462C"/>
    <w:rsid w:val="00E84E66"/>
    <w:rsid w:val="00E84F71"/>
    <w:rsid w:val="00E8526D"/>
    <w:rsid w:val="00E85529"/>
    <w:rsid w:val="00E85A63"/>
    <w:rsid w:val="00E85AEC"/>
    <w:rsid w:val="00E85CEE"/>
    <w:rsid w:val="00E85EC0"/>
    <w:rsid w:val="00E862F3"/>
    <w:rsid w:val="00E86308"/>
    <w:rsid w:val="00E863AA"/>
    <w:rsid w:val="00E866D3"/>
    <w:rsid w:val="00E868D0"/>
    <w:rsid w:val="00E877F6"/>
    <w:rsid w:val="00E87922"/>
    <w:rsid w:val="00E87E86"/>
    <w:rsid w:val="00E900E9"/>
    <w:rsid w:val="00E900F9"/>
    <w:rsid w:val="00E905F6"/>
    <w:rsid w:val="00E90D14"/>
    <w:rsid w:val="00E91740"/>
    <w:rsid w:val="00E917B0"/>
    <w:rsid w:val="00E91AC4"/>
    <w:rsid w:val="00E91D2F"/>
    <w:rsid w:val="00E9277D"/>
    <w:rsid w:val="00E929B8"/>
    <w:rsid w:val="00E92D52"/>
    <w:rsid w:val="00E935DC"/>
    <w:rsid w:val="00E93684"/>
    <w:rsid w:val="00E93D8C"/>
    <w:rsid w:val="00E942E1"/>
    <w:rsid w:val="00E94DFD"/>
    <w:rsid w:val="00E952A1"/>
    <w:rsid w:val="00E9671D"/>
    <w:rsid w:val="00E97167"/>
    <w:rsid w:val="00E9738B"/>
    <w:rsid w:val="00E97661"/>
    <w:rsid w:val="00E977E8"/>
    <w:rsid w:val="00E97971"/>
    <w:rsid w:val="00E97AA4"/>
    <w:rsid w:val="00EA0587"/>
    <w:rsid w:val="00EA0603"/>
    <w:rsid w:val="00EA0D51"/>
    <w:rsid w:val="00EA1091"/>
    <w:rsid w:val="00EA1302"/>
    <w:rsid w:val="00EA17DE"/>
    <w:rsid w:val="00EA191F"/>
    <w:rsid w:val="00EA1C67"/>
    <w:rsid w:val="00EA209F"/>
    <w:rsid w:val="00EA2320"/>
    <w:rsid w:val="00EA2C74"/>
    <w:rsid w:val="00EA3595"/>
    <w:rsid w:val="00EA3F7E"/>
    <w:rsid w:val="00EA4CE4"/>
    <w:rsid w:val="00EA4CF1"/>
    <w:rsid w:val="00EA4D6C"/>
    <w:rsid w:val="00EA4DC9"/>
    <w:rsid w:val="00EA52A2"/>
    <w:rsid w:val="00EA589A"/>
    <w:rsid w:val="00EA5905"/>
    <w:rsid w:val="00EA60BA"/>
    <w:rsid w:val="00EA6115"/>
    <w:rsid w:val="00EA6298"/>
    <w:rsid w:val="00EA6429"/>
    <w:rsid w:val="00EA67BF"/>
    <w:rsid w:val="00EA6DDB"/>
    <w:rsid w:val="00EA6E5A"/>
    <w:rsid w:val="00EA72CD"/>
    <w:rsid w:val="00EA7A71"/>
    <w:rsid w:val="00EB0578"/>
    <w:rsid w:val="00EB067F"/>
    <w:rsid w:val="00EB0885"/>
    <w:rsid w:val="00EB08E9"/>
    <w:rsid w:val="00EB09A5"/>
    <w:rsid w:val="00EB1098"/>
    <w:rsid w:val="00EB2353"/>
    <w:rsid w:val="00EB2D05"/>
    <w:rsid w:val="00EB31A8"/>
    <w:rsid w:val="00EB33D8"/>
    <w:rsid w:val="00EB3CAF"/>
    <w:rsid w:val="00EB42A5"/>
    <w:rsid w:val="00EB42F7"/>
    <w:rsid w:val="00EB4335"/>
    <w:rsid w:val="00EB4577"/>
    <w:rsid w:val="00EB4B46"/>
    <w:rsid w:val="00EB4C85"/>
    <w:rsid w:val="00EB4E38"/>
    <w:rsid w:val="00EB52B2"/>
    <w:rsid w:val="00EB568C"/>
    <w:rsid w:val="00EB573D"/>
    <w:rsid w:val="00EB5AAF"/>
    <w:rsid w:val="00EB5F23"/>
    <w:rsid w:val="00EB6143"/>
    <w:rsid w:val="00EB656E"/>
    <w:rsid w:val="00EB69CC"/>
    <w:rsid w:val="00EB6A94"/>
    <w:rsid w:val="00EB7A4C"/>
    <w:rsid w:val="00EC043A"/>
    <w:rsid w:val="00EC0554"/>
    <w:rsid w:val="00EC1044"/>
    <w:rsid w:val="00EC104F"/>
    <w:rsid w:val="00EC1616"/>
    <w:rsid w:val="00EC16A4"/>
    <w:rsid w:val="00EC1785"/>
    <w:rsid w:val="00EC1E89"/>
    <w:rsid w:val="00EC203B"/>
    <w:rsid w:val="00EC2109"/>
    <w:rsid w:val="00EC215D"/>
    <w:rsid w:val="00EC263A"/>
    <w:rsid w:val="00EC2EA2"/>
    <w:rsid w:val="00EC3010"/>
    <w:rsid w:val="00EC3900"/>
    <w:rsid w:val="00EC3B9E"/>
    <w:rsid w:val="00EC441E"/>
    <w:rsid w:val="00EC486D"/>
    <w:rsid w:val="00EC49C1"/>
    <w:rsid w:val="00EC4A3A"/>
    <w:rsid w:val="00EC4BFE"/>
    <w:rsid w:val="00EC500D"/>
    <w:rsid w:val="00EC5583"/>
    <w:rsid w:val="00EC55C2"/>
    <w:rsid w:val="00EC5AD3"/>
    <w:rsid w:val="00EC5DF1"/>
    <w:rsid w:val="00EC5F17"/>
    <w:rsid w:val="00EC619A"/>
    <w:rsid w:val="00EC62AF"/>
    <w:rsid w:val="00EC63A2"/>
    <w:rsid w:val="00EC67B7"/>
    <w:rsid w:val="00EC67C5"/>
    <w:rsid w:val="00EC69B9"/>
    <w:rsid w:val="00EC6C55"/>
    <w:rsid w:val="00EC6D56"/>
    <w:rsid w:val="00EC7C64"/>
    <w:rsid w:val="00EC7F21"/>
    <w:rsid w:val="00ED0488"/>
    <w:rsid w:val="00ED0590"/>
    <w:rsid w:val="00ED0B67"/>
    <w:rsid w:val="00ED0CAA"/>
    <w:rsid w:val="00ED1631"/>
    <w:rsid w:val="00ED195C"/>
    <w:rsid w:val="00ED1C2A"/>
    <w:rsid w:val="00ED2049"/>
    <w:rsid w:val="00ED2509"/>
    <w:rsid w:val="00ED38E1"/>
    <w:rsid w:val="00ED4BA0"/>
    <w:rsid w:val="00ED526A"/>
    <w:rsid w:val="00ED548C"/>
    <w:rsid w:val="00ED54CD"/>
    <w:rsid w:val="00ED5A52"/>
    <w:rsid w:val="00ED5DF6"/>
    <w:rsid w:val="00ED6368"/>
    <w:rsid w:val="00ED663B"/>
    <w:rsid w:val="00ED6765"/>
    <w:rsid w:val="00ED6AEE"/>
    <w:rsid w:val="00ED6E16"/>
    <w:rsid w:val="00ED7772"/>
    <w:rsid w:val="00ED7971"/>
    <w:rsid w:val="00EE042D"/>
    <w:rsid w:val="00EE0437"/>
    <w:rsid w:val="00EE08C1"/>
    <w:rsid w:val="00EE0DD6"/>
    <w:rsid w:val="00EE1412"/>
    <w:rsid w:val="00EE181F"/>
    <w:rsid w:val="00EE1FD1"/>
    <w:rsid w:val="00EE26AC"/>
    <w:rsid w:val="00EE3997"/>
    <w:rsid w:val="00EE3C4E"/>
    <w:rsid w:val="00EE4083"/>
    <w:rsid w:val="00EE4A75"/>
    <w:rsid w:val="00EE4DBA"/>
    <w:rsid w:val="00EE4EDE"/>
    <w:rsid w:val="00EE4FBC"/>
    <w:rsid w:val="00EE5006"/>
    <w:rsid w:val="00EE51D2"/>
    <w:rsid w:val="00EE530C"/>
    <w:rsid w:val="00EE56A5"/>
    <w:rsid w:val="00EE5807"/>
    <w:rsid w:val="00EE5B5A"/>
    <w:rsid w:val="00EE5F4D"/>
    <w:rsid w:val="00EE6A4B"/>
    <w:rsid w:val="00EE6C2A"/>
    <w:rsid w:val="00EE7060"/>
    <w:rsid w:val="00EE764E"/>
    <w:rsid w:val="00EE7CB0"/>
    <w:rsid w:val="00EE7D0A"/>
    <w:rsid w:val="00EF0336"/>
    <w:rsid w:val="00EF0976"/>
    <w:rsid w:val="00EF0A9B"/>
    <w:rsid w:val="00EF0B6A"/>
    <w:rsid w:val="00EF0CF1"/>
    <w:rsid w:val="00EF0DCD"/>
    <w:rsid w:val="00EF1218"/>
    <w:rsid w:val="00EF1633"/>
    <w:rsid w:val="00EF1CF7"/>
    <w:rsid w:val="00EF225B"/>
    <w:rsid w:val="00EF27C0"/>
    <w:rsid w:val="00EF2AAC"/>
    <w:rsid w:val="00EF2C5A"/>
    <w:rsid w:val="00EF2F1E"/>
    <w:rsid w:val="00EF313A"/>
    <w:rsid w:val="00EF32A8"/>
    <w:rsid w:val="00EF3565"/>
    <w:rsid w:val="00EF3BD4"/>
    <w:rsid w:val="00EF4595"/>
    <w:rsid w:val="00EF465C"/>
    <w:rsid w:val="00EF475C"/>
    <w:rsid w:val="00EF4A0C"/>
    <w:rsid w:val="00EF4B88"/>
    <w:rsid w:val="00EF4D11"/>
    <w:rsid w:val="00EF5AFB"/>
    <w:rsid w:val="00EF5C00"/>
    <w:rsid w:val="00EF5D63"/>
    <w:rsid w:val="00EF6DDE"/>
    <w:rsid w:val="00EF6EFD"/>
    <w:rsid w:val="00EF6FB9"/>
    <w:rsid w:val="00EF7242"/>
    <w:rsid w:val="00EF74C5"/>
    <w:rsid w:val="00EF7805"/>
    <w:rsid w:val="00EF78EC"/>
    <w:rsid w:val="00EF7D8A"/>
    <w:rsid w:val="00F00140"/>
    <w:rsid w:val="00F0046C"/>
    <w:rsid w:val="00F00EAC"/>
    <w:rsid w:val="00F0120A"/>
    <w:rsid w:val="00F01432"/>
    <w:rsid w:val="00F01570"/>
    <w:rsid w:val="00F01B64"/>
    <w:rsid w:val="00F01B91"/>
    <w:rsid w:val="00F01CE7"/>
    <w:rsid w:val="00F02C11"/>
    <w:rsid w:val="00F02F28"/>
    <w:rsid w:val="00F0321D"/>
    <w:rsid w:val="00F0325A"/>
    <w:rsid w:val="00F0335C"/>
    <w:rsid w:val="00F03B55"/>
    <w:rsid w:val="00F04069"/>
    <w:rsid w:val="00F0424C"/>
    <w:rsid w:val="00F04B8A"/>
    <w:rsid w:val="00F04D4A"/>
    <w:rsid w:val="00F04DB1"/>
    <w:rsid w:val="00F04FAB"/>
    <w:rsid w:val="00F0564E"/>
    <w:rsid w:val="00F06148"/>
    <w:rsid w:val="00F06241"/>
    <w:rsid w:val="00F06E83"/>
    <w:rsid w:val="00F071E9"/>
    <w:rsid w:val="00F07540"/>
    <w:rsid w:val="00F077DA"/>
    <w:rsid w:val="00F078FB"/>
    <w:rsid w:val="00F07E04"/>
    <w:rsid w:val="00F07E61"/>
    <w:rsid w:val="00F1011D"/>
    <w:rsid w:val="00F1029B"/>
    <w:rsid w:val="00F105AE"/>
    <w:rsid w:val="00F10DC7"/>
    <w:rsid w:val="00F10F08"/>
    <w:rsid w:val="00F11063"/>
    <w:rsid w:val="00F1109C"/>
    <w:rsid w:val="00F11481"/>
    <w:rsid w:val="00F118C1"/>
    <w:rsid w:val="00F11E5F"/>
    <w:rsid w:val="00F11E80"/>
    <w:rsid w:val="00F11F4B"/>
    <w:rsid w:val="00F1209B"/>
    <w:rsid w:val="00F124CC"/>
    <w:rsid w:val="00F12E09"/>
    <w:rsid w:val="00F1304A"/>
    <w:rsid w:val="00F134CA"/>
    <w:rsid w:val="00F13B3C"/>
    <w:rsid w:val="00F13E73"/>
    <w:rsid w:val="00F151F9"/>
    <w:rsid w:val="00F154A1"/>
    <w:rsid w:val="00F159F1"/>
    <w:rsid w:val="00F15BFD"/>
    <w:rsid w:val="00F16529"/>
    <w:rsid w:val="00F165F9"/>
    <w:rsid w:val="00F166BD"/>
    <w:rsid w:val="00F16A39"/>
    <w:rsid w:val="00F1726A"/>
    <w:rsid w:val="00F172C0"/>
    <w:rsid w:val="00F17D12"/>
    <w:rsid w:val="00F17D35"/>
    <w:rsid w:val="00F17F0B"/>
    <w:rsid w:val="00F216EC"/>
    <w:rsid w:val="00F21D5A"/>
    <w:rsid w:val="00F221AE"/>
    <w:rsid w:val="00F22903"/>
    <w:rsid w:val="00F234B9"/>
    <w:rsid w:val="00F2353D"/>
    <w:rsid w:val="00F23842"/>
    <w:rsid w:val="00F23C93"/>
    <w:rsid w:val="00F25339"/>
    <w:rsid w:val="00F25375"/>
    <w:rsid w:val="00F25CBF"/>
    <w:rsid w:val="00F2666B"/>
    <w:rsid w:val="00F26A52"/>
    <w:rsid w:val="00F26A8A"/>
    <w:rsid w:val="00F26B7F"/>
    <w:rsid w:val="00F274F8"/>
    <w:rsid w:val="00F279EF"/>
    <w:rsid w:val="00F27C24"/>
    <w:rsid w:val="00F27C31"/>
    <w:rsid w:val="00F27E0D"/>
    <w:rsid w:val="00F306D4"/>
    <w:rsid w:val="00F30886"/>
    <w:rsid w:val="00F30BEC"/>
    <w:rsid w:val="00F31038"/>
    <w:rsid w:val="00F31B05"/>
    <w:rsid w:val="00F32287"/>
    <w:rsid w:val="00F322AD"/>
    <w:rsid w:val="00F324A7"/>
    <w:rsid w:val="00F329AC"/>
    <w:rsid w:val="00F32A8A"/>
    <w:rsid w:val="00F32BFF"/>
    <w:rsid w:val="00F32F91"/>
    <w:rsid w:val="00F33574"/>
    <w:rsid w:val="00F336FA"/>
    <w:rsid w:val="00F33C1A"/>
    <w:rsid w:val="00F33D67"/>
    <w:rsid w:val="00F33F68"/>
    <w:rsid w:val="00F3409F"/>
    <w:rsid w:val="00F3520F"/>
    <w:rsid w:val="00F35C25"/>
    <w:rsid w:val="00F3640B"/>
    <w:rsid w:val="00F36B05"/>
    <w:rsid w:val="00F36C3C"/>
    <w:rsid w:val="00F36CFC"/>
    <w:rsid w:val="00F3774A"/>
    <w:rsid w:val="00F37957"/>
    <w:rsid w:val="00F37A07"/>
    <w:rsid w:val="00F37D45"/>
    <w:rsid w:val="00F37FA7"/>
    <w:rsid w:val="00F40091"/>
    <w:rsid w:val="00F4011C"/>
    <w:rsid w:val="00F4053F"/>
    <w:rsid w:val="00F407B0"/>
    <w:rsid w:val="00F40A92"/>
    <w:rsid w:val="00F4116F"/>
    <w:rsid w:val="00F411DE"/>
    <w:rsid w:val="00F4128F"/>
    <w:rsid w:val="00F419AD"/>
    <w:rsid w:val="00F41CB5"/>
    <w:rsid w:val="00F421A0"/>
    <w:rsid w:val="00F428F2"/>
    <w:rsid w:val="00F42A20"/>
    <w:rsid w:val="00F42D51"/>
    <w:rsid w:val="00F43225"/>
    <w:rsid w:val="00F43A92"/>
    <w:rsid w:val="00F43C3C"/>
    <w:rsid w:val="00F43E4E"/>
    <w:rsid w:val="00F4429C"/>
    <w:rsid w:val="00F44477"/>
    <w:rsid w:val="00F444DF"/>
    <w:rsid w:val="00F444E8"/>
    <w:rsid w:val="00F445B5"/>
    <w:rsid w:val="00F44701"/>
    <w:rsid w:val="00F44723"/>
    <w:rsid w:val="00F45093"/>
    <w:rsid w:val="00F45487"/>
    <w:rsid w:val="00F459A6"/>
    <w:rsid w:val="00F45B68"/>
    <w:rsid w:val="00F46457"/>
    <w:rsid w:val="00F46C7D"/>
    <w:rsid w:val="00F47233"/>
    <w:rsid w:val="00F47393"/>
    <w:rsid w:val="00F473CA"/>
    <w:rsid w:val="00F479BC"/>
    <w:rsid w:val="00F501C1"/>
    <w:rsid w:val="00F502F8"/>
    <w:rsid w:val="00F5046F"/>
    <w:rsid w:val="00F51004"/>
    <w:rsid w:val="00F513AE"/>
    <w:rsid w:val="00F519F6"/>
    <w:rsid w:val="00F52604"/>
    <w:rsid w:val="00F526E1"/>
    <w:rsid w:val="00F52C4A"/>
    <w:rsid w:val="00F52D44"/>
    <w:rsid w:val="00F53802"/>
    <w:rsid w:val="00F54777"/>
    <w:rsid w:val="00F54FD2"/>
    <w:rsid w:val="00F5503F"/>
    <w:rsid w:val="00F55107"/>
    <w:rsid w:val="00F55635"/>
    <w:rsid w:val="00F556D9"/>
    <w:rsid w:val="00F558CB"/>
    <w:rsid w:val="00F55B37"/>
    <w:rsid w:val="00F55E6F"/>
    <w:rsid w:val="00F564EB"/>
    <w:rsid w:val="00F56C0B"/>
    <w:rsid w:val="00F56C88"/>
    <w:rsid w:val="00F56C9D"/>
    <w:rsid w:val="00F56EA2"/>
    <w:rsid w:val="00F57483"/>
    <w:rsid w:val="00F576F0"/>
    <w:rsid w:val="00F57907"/>
    <w:rsid w:val="00F60470"/>
    <w:rsid w:val="00F60956"/>
    <w:rsid w:val="00F60A4E"/>
    <w:rsid w:val="00F60AF3"/>
    <w:rsid w:val="00F60CA9"/>
    <w:rsid w:val="00F60F83"/>
    <w:rsid w:val="00F60FBC"/>
    <w:rsid w:val="00F6143D"/>
    <w:rsid w:val="00F6154B"/>
    <w:rsid w:val="00F61EA7"/>
    <w:rsid w:val="00F628DA"/>
    <w:rsid w:val="00F62C1A"/>
    <w:rsid w:val="00F62C85"/>
    <w:rsid w:val="00F641EA"/>
    <w:rsid w:val="00F64BCA"/>
    <w:rsid w:val="00F65111"/>
    <w:rsid w:val="00F654F6"/>
    <w:rsid w:val="00F65642"/>
    <w:rsid w:val="00F65D97"/>
    <w:rsid w:val="00F6604C"/>
    <w:rsid w:val="00F66325"/>
    <w:rsid w:val="00F6635B"/>
    <w:rsid w:val="00F664FC"/>
    <w:rsid w:val="00F6690A"/>
    <w:rsid w:val="00F66990"/>
    <w:rsid w:val="00F66D1F"/>
    <w:rsid w:val="00F66DDB"/>
    <w:rsid w:val="00F66E82"/>
    <w:rsid w:val="00F67E19"/>
    <w:rsid w:val="00F7026C"/>
    <w:rsid w:val="00F7039E"/>
    <w:rsid w:val="00F70ADD"/>
    <w:rsid w:val="00F70F7F"/>
    <w:rsid w:val="00F711C9"/>
    <w:rsid w:val="00F71E2C"/>
    <w:rsid w:val="00F72122"/>
    <w:rsid w:val="00F72352"/>
    <w:rsid w:val="00F72402"/>
    <w:rsid w:val="00F72435"/>
    <w:rsid w:val="00F72ABC"/>
    <w:rsid w:val="00F72D60"/>
    <w:rsid w:val="00F72FD1"/>
    <w:rsid w:val="00F73109"/>
    <w:rsid w:val="00F73894"/>
    <w:rsid w:val="00F738A2"/>
    <w:rsid w:val="00F73ACC"/>
    <w:rsid w:val="00F73FEF"/>
    <w:rsid w:val="00F74700"/>
    <w:rsid w:val="00F74DCF"/>
    <w:rsid w:val="00F74E72"/>
    <w:rsid w:val="00F75B21"/>
    <w:rsid w:val="00F75DD2"/>
    <w:rsid w:val="00F7613A"/>
    <w:rsid w:val="00F763BB"/>
    <w:rsid w:val="00F7647C"/>
    <w:rsid w:val="00F766FD"/>
    <w:rsid w:val="00F76906"/>
    <w:rsid w:val="00F76CF1"/>
    <w:rsid w:val="00F774D0"/>
    <w:rsid w:val="00F7785D"/>
    <w:rsid w:val="00F80104"/>
    <w:rsid w:val="00F80F76"/>
    <w:rsid w:val="00F81219"/>
    <w:rsid w:val="00F81372"/>
    <w:rsid w:val="00F813D2"/>
    <w:rsid w:val="00F818C7"/>
    <w:rsid w:val="00F81C1D"/>
    <w:rsid w:val="00F827E8"/>
    <w:rsid w:val="00F82B5F"/>
    <w:rsid w:val="00F82BEA"/>
    <w:rsid w:val="00F831D8"/>
    <w:rsid w:val="00F831E0"/>
    <w:rsid w:val="00F8323B"/>
    <w:rsid w:val="00F83891"/>
    <w:rsid w:val="00F8399C"/>
    <w:rsid w:val="00F83C61"/>
    <w:rsid w:val="00F83CD1"/>
    <w:rsid w:val="00F844DE"/>
    <w:rsid w:val="00F84600"/>
    <w:rsid w:val="00F846A6"/>
    <w:rsid w:val="00F8473C"/>
    <w:rsid w:val="00F84903"/>
    <w:rsid w:val="00F855DC"/>
    <w:rsid w:val="00F857A8"/>
    <w:rsid w:val="00F857F0"/>
    <w:rsid w:val="00F8590F"/>
    <w:rsid w:val="00F85DAA"/>
    <w:rsid w:val="00F8601E"/>
    <w:rsid w:val="00F86541"/>
    <w:rsid w:val="00F8659B"/>
    <w:rsid w:val="00F86ACA"/>
    <w:rsid w:val="00F87409"/>
    <w:rsid w:val="00F8753F"/>
    <w:rsid w:val="00F87563"/>
    <w:rsid w:val="00F87FCB"/>
    <w:rsid w:val="00F90238"/>
    <w:rsid w:val="00F902AA"/>
    <w:rsid w:val="00F908AB"/>
    <w:rsid w:val="00F90DD0"/>
    <w:rsid w:val="00F90E25"/>
    <w:rsid w:val="00F90E8A"/>
    <w:rsid w:val="00F90F54"/>
    <w:rsid w:val="00F91592"/>
    <w:rsid w:val="00F91D89"/>
    <w:rsid w:val="00F92240"/>
    <w:rsid w:val="00F92286"/>
    <w:rsid w:val="00F929D4"/>
    <w:rsid w:val="00F92B73"/>
    <w:rsid w:val="00F92FA4"/>
    <w:rsid w:val="00F92FAF"/>
    <w:rsid w:val="00F93D16"/>
    <w:rsid w:val="00F93ED4"/>
    <w:rsid w:val="00F9518C"/>
    <w:rsid w:val="00F9532D"/>
    <w:rsid w:val="00F953F6"/>
    <w:rsid w:val="00F956DC"/>
    <w:rsid w:val="00F95958"/>
    <w:rsid w:val="00F95C12"/>
    <w:rsid w:val="00F964F4"/>
    <w:rsid w:val="00F96B01"/>
    <w:rsid w:val="00F96D79"/>
    <w:rsid w:val="00F96F40"/>
    <w:rsid w:val="00F96F75"/>
    <w:rsid w:val="00F97242"/>
    <w:rsid w:val="00F97F26"/>
    <w:rsid w:val="00FA0E1D"/>
    <w:rsid w:val="00FA16EF"/>
    <w:rsid w:val="00FA1A49"/>
    <w:rsid w:val="00FA218E"/>
    <w:rsid w:val="00FA2238"/>
    <w:rsid w:val="00FA263F"/>
    <w:rsid w:val="00FA266E"/>
    <w:rsid w:val="00FA2A95"/>
    <w:rsid w:val="00FA3138"/>
    <w:rsid w:val="00FA337C"/>
    <w:rsid w:val="00FA3598"/>
    <w:rsid w:val="00FA370B"/>
    <w:rsid w:val="00FA3AFB"/>
    <w:rsid w:val="00FA3B77"/>
    <w:rsid w:val="00FA3BC1"/>
    <w:rsid w:val="00FA3FA1"/>
    <w:rsid w:val="00FA44CB"/>
    <w:rsid w:val="00FA523B"/>
    <w:rsid w:val="00FA52DD"/>
    <w:rsid w:val="00FA563E"/>
    <w:rsid w:val="00FA5A81"/>
    <w:rsid w:val="00FA5D9A"/>
    <w:rsid w:val="00FA65AB"/>
    <w:rsid w:val="00FA6737"/>
    <w:rsid w:val="00FA685A"/>
    <w:rsid w:val="00FA69E8"/>
    <w:rsid w:val="00FA6AA9"/>
    <w:rsid w:val="00FA6B2E"/>
    <w:rsid w:val="00FA6D0A"/>
    <w:rsid w:val="00FA7610"/>
    <w:rsid w:val="00FA7688"/>
    <w:rsid w:val="00FA7827"/>
    <w:rsid w:val="00FB0A15"/>
    <w:rsid w:val="00FB1160"/>
    <w:rsid w:val="00FB11A0"/>
    <w:rsid w:val="00FB128E"/>
    <w:rsid w:val="00FB1321"/>
    <w:rsid w:val="00FB14BC"/>
    <w:rsid w:val="00FB1544"/>
    <w:rsid w:val="00FB1815"/>
    <w:rsid w:val="00FB1F15"/>
    <w:rsid w:val="00FB29C2"/>
    <w:rsid w:val="00FB2AFF"/>
    <w:rsid w:val="00FB31C3"/>
    <w:rsid w:val="00FB3226"/>
    <w:rsid w:val="00FB33D4"/>
    <w:rsid w:val="00FB35AD"/>
    <w:rsid w:val="00FB396B"/>
    <w:rsid w:val="00FB4097"/>
    <w:rsid w:val="00FB4136"/>
    <w:rsid w:val="00FB44AE"/>
    <w:rsid w:val="00FB48AB"/>
    <w:rsid w:val="00FB4D78"/>
    <w:rsid w:val="00FB4D9B"/>
    <w:rsid w:val="00FB4FE2"/>
    <w:rsid w:val="00FB5182"/>
    <w:rsid w:val="00FB5498"/>
    <w:rsid w:val="00FB5667"/>
    <w:rsid w:val="00FB571F"/>
    <w:rsid w:val="00FB586B"/>
    <w:rsid w:val="00FB5993"/>
    <w:rsid w:val="00FB5D68"/>
    <w:rsid w:val="00FB60E2"/>
    <w:rsid w:val="00FB69B7"/>
    <w:rsid w:val="00FB6AAC"/>
    <w:rsid w:val="00FB74F4"/>
    <w:rsid w:val="00FB7DB2"/>
    <w:rsid w:val="00FC0267"/>
    <w:rsid w:val="00FC0DBF"/>
    <w:rsid w:val="00FC19E7"/>
    <w:rsid w:val="00FC2137"/>
    <w:rsid w:val="00FC3072"/>
    <w:rsid w:val="00FC3438"/>
    <w:rsid w:val="00FC374F"/>
    <w:rsid w:val="00FC3799"/>
    <w:rsid w:val="00FC3B38"/>
    <w:rsid w:val="00FC495F"/>
    <w:rsid w:val="00FC4C03"/>
    <w:rsid w:val="00FC4C04"/>
    <w:rsid w:val="00FC539B"/>
    <w:rsid w:val="00FC5A01"/>
    <w:rsid w:val="00FC5AA3"/>
    <w:rsid w:val="00FC5BD0"/>
    <w:rsid w:val="00FC6262"/>
    <w:rsid w:val="00FC693C"/>
    <w:rsid w:val="00FC6AEE"/>
    <w:rsid w:val="00FC6CA3"/>
    <w:rsid w:val="00FC6D9F"/>
    <w:rsid w:val="00FC6E0E"/>
    <w:rsid w:val="00FC7689"/>
    <w:rsid w:val="00FC7EC1"/>
    <w:rsid w:val="00FD0648"/>
    <w:rsid w:val="00FD06D1"/>
    <w:rsid w:val="00FD0719"/>
    <w:rsid w:val="00FD0A26"/>
    <w:rsid w:val="00FD0A4F"/>
    <w:rsid w:val="00FD0B9A"/>
    <w:rsid w:val="00FD12D5"/>
    <w:rsid w:val="00FD1AAF"/>
    <w:rsid w:val="00FD1E4D"/>
    <w:rsid w:val="00FD20D6"/>
    <w:rsid w:val="00FD23EF"/>
    <w:rsid w:val="00FD24FE"/>
    <w:rsid w:val="00FD29E4"/>
    <w:rsid w:val="00FD2A10"/>
    <w:rsid w:val="00FD2A22"/>
    <w:rsid w:val="00FD30E9"/>
    <w:rsid w:val="00FD3178"/>
    <w:rsid w:val="00FD3426"/>
    <w:rsid w:val="00FD34B4"/>
    <w:rsid w:val="00FD3548"/>
    <w:rsid w:val="00FD37CD"/>
    <w:rsid w:val="00FD3B7C"/>
    <w:rsid w:val="00FD3E0B"/>
    <w:rsid w:val="00FD406A"/>
    <w:rsid w:val="00FD4722"/>
    <w:rsid w:val="00FD51C4"/>
    <w:rsid w:val="00FD5287"/>
    <w:rsid w:val="00FD542E"/>
    <w:rsid w:val="00FD584C"/>
    <w:rsid w:val="00FD5D94"/>
    <w:rsid w:val="00FD5E9B"/>
    <w:rsid w:val="00FD63AE"/>
    <w:rsid w:val="00FD6630"/>
    <w:rsid w:val="00FD687B"/>
    <w:rsid w:val="00FD6D0F"/>
    <w:rsid w:val="00FD7338"/>
    <w:rsid w:val="00FE02A8"/>
    <w:rsid w:val="00FE03A8"/>
    <w:rsid w:val="00FE08C3"/>
    <w:rsid w:val="00FE128B"/>
    <w:rsid w:val="00FE1694"/>
    <w:rsid w:val="00FE18DD"/>
    <w:rsid w:val="00FE1917"/>
    <w:rsid w:val="00FE1D00"/>
    <w:rsid w:val="00FE1DBB"/>
    <w:rsid w:val="00FE26B5"/>
    <w:rsid w:val="00FE2FDF"/>
    <w:rsid w:val="00FE3902"/>
    <w:rsid w:val="00FE3E97"/>
    <w:rsid w:val="00FE4072"/>
    <w:rsid w:val="00FE41D6"/>
    <w:rsid w:val="00FE4DD8"/>
    <w:rsid w:val="00FE4EDD"/>
    <w:rsid w:val="00FE5035"/>
    <w:rsid w:val="00FE53A2"/>
    <w:rsid w:val="00FE54D0"/>
    <w:rsid w:val="00FE55EA"/>
    <w:rsid w:val="00FE5C87"/>
    <w:rsid w:val="00FE5F0A"/>
    <w:rsid w:val="00FE5F87"/>
    <w:rsid w:val="00FE640C"/>
    <w:rsid w:val="00FE6798"/>
    <w:rsid w:val="00FE6B89"/>
    <w:rsid w:val="00FE6CE1"/>
    <w:rsid w:val="00FE6E5A"/>
    <w:rsid w:val="00FE751B"/>
    <w:rsid w:val="00FE77B8"/>
    <w:rsid w:val="00FE79D5"/>
    <w:rsid w:val="00FE7CF0"/>
    <w:rsid w:val="00FE7EB3"/>
    <w:rsid w:val="00FE7EC2"/>
    <w:rsid w:val="00FF07C3"/>
    <w:rsid w:val="00FF116B"/>
    <w:rsid w:val="00FF1FB7"/>
    <w:rsid w:val="00FF2243"/>
    <w:rsid w:val="00FF251E"/>
    <w:rsid w:val="00FF2706"/>
    <w:rsid w:val="00FF2D6D"/>
    <w:rsid w:val="00FF2E3D"/>
    <w:rsid w:val="00FF3537"/>
    <w:rsid w:val="00FF3734"/>
    <w:rsid w:val="00FF3BA8"/>
    <w:rsid w:val="00FF400F"/>
    <w:rsid w:val="00FF434E"/>
    <w:rsid w:val="00FF44A5"/>
    <w:rsid w:val="00FF4640"/>
    <w:rsid w:val="00FF4895"/>
    <w:rsid w:val="00FF5154"/>
    <w:rsid w:val="00FF5506"/>
    <w:rsid w:val="00FF5686"/>
    <w:rsid w:val="00FF5E7C"/>
    <w:rsid w:val="00FF5EBD"/>
    <w:rsid w:val="00FF610E"/>
    <w:rsid w:val="00FF6515"/>
    <w:rsid w:val="00FF6921"/>
    <w:rsid w:val="00FF6C9B"/>
    <w:rsid w:val="00FF745A"/>
    <w:rsid w:val="00FF75A8"/>
    <w:rsid w:val="00FF7B91"/>
    <w:rsid w:val="02422E3C"/>
    <w:rsid w:val="02BB2E31"/>
    <w:rsid w:val="02C67B7D"/>
    <w:rsid w:val="038F391B"/>
    <w:rsid w:val="05275C98"/>
    <w:rsid w:val="07402ACD"/>
    <w:rsid w:val="08345FF5"/>
    <w:rsid w:val="083A51B0"/>
    <w:rsid w:val="08A77585"/>
    <w:rsid w:val="08E04B36"/>
    <w:rsid w:val="09A1314D"/>
    <w:rsid w:val="0A3A3F77"/>
    <w:rsid w:val="0A560D2F"/>
    <w:rsid w:val="0A571E72"/>
    <w:rsid w:val="0B875353"/>
    <w:rsid w:val="0D5035B6"/>
    <w:rsid w:val="0D6D128A"/>
    <w:rsid w:val="0FBD6FC9"/>
    <w:rsid w:val="100729BD"/>
    <w:rsid w:val="10192EC5"/>
    <w:rsid w:val="12777691"/>
    <w:rsid w:val="151C5656"/>
    <w:rsid w:val="15321CAF"/>
    <w:rsid w:val="15781A6A"/>
    <w:rsid w:val="165322D8"/>
    <w:rsid w:val="16545A4F"/>
    <w:rsid w:val="1AC303BD"/>
    <w:rsid w:val="1AE968D2"/>
    <w:rsid w:val="1C811B0F"/>
    <w:rsid w:val="1CA522C0"/>
    <w:rsid w:val="1CDB1E2E"/>
    <w:rsid w:val="1D8D218F"/>
    <w:rsid w:val="1DCC5F20"/>
    <w:rsid w:val="20244E58"/>
    <w:rsid w:val="22B01086"/>
    <w:rsid w:val="22B831B5"/>
    <w:rsid w:val="237920D6"/>
    <w:rsid w:val="24730DB4"/>
    <w:rsid w:val="24786F1A"/>
    <w:rsid w:val="258D0D80"/>
    <w:rsid w:val="259A0109"/>
    <w:rsid w:val="25BF7546"/>
    <w:rsid w:val="26056367"/>
    <w:rsid w:val="279B7DBD"/>
    <w:rsid w:val="284321AC"/>
    <w:rsid w:val="28CC39A8"/>
    <w:rsid w:val="290B77F3"/>
    <w:rsid w:val="291A4434"/>
    <w:rsid w:val="291A7D1A"/>
    <w:rsid w:val="296D6201"/>
    <w:rsid w:val="2A0D657B"/>
    <w:rsid w:val="2A2420C3"/>
    <w:rsid w:val="2B276439"/>
    <w:rsid w:val="2B6F18D5"/>
    <w:rsid w:val="2BF51305"/>
    <w:rsid w:val="2D4A51FD"/>
    <w:rsid w:val="2D7D3FBE"/>
    <w:rsid w:val="2E3436CC"/>
    <w:rsid w:val="2ECD4F05"/>
    <w:rsid w:val="2EE97857"/>
    <w:rsid w:val="2F2A6C72"/>
    <w:rsid w:val="2FE76665"/>
    <w:rsid w:val="301074AD"/>
    <w:rsid w:val="302A5A00"/>
    <w:rsid w:val="305A1D48"/>
    <w:rsid w:val="30CF0188"/>
    <w:rsid w:val="31692CF6"/>
    <w:rsid w:val="33660B60"/>
    <w:rsid w:val="345B294E"/>
    <w:rsid w:val="349C48BF"/>
    <w:rsid w:val="350A761F"/>
    <w:rsid w:val="36F23DEC"/>
    <w:rsid w:val="379E46E5"/>
    <w:rsid w:val="37D366CE"/>
    <w:rsid w:val="3813355C"/>
    <w:rsid w:val="386A1C32"/>
    <w:rsid w:val="392C4AB5"/>
    <w:rsid w:val="397C1C5A"/>
    <w:rsid w:val="39CC42E8"/>
    <w:rsid w:val="3A337E96"/>
    <w:rsid w:val="3A5C534F"/>
    <w:rsid w:val="3B042080"/>
    <w:rsid w:val="3B6A39B8"/>
    <w:rsid w:val="3BA71A45"/>
    <w:rsid w:val="3C260477"/>
    <w:rsid w:val="3D2D7451"/>
    <w:rsid w:val="3DCB1735"/>
    <w:rsid w:val="401B184F"/>
    <w:rsid w:val="40A6476D"/>
    <w:rsid w:val="41200C5E"/>
    <w:rsid w:val="424879BD"/>
    <w:rsid w:val="427261A5"/>
    <w:rsid w:val="42B27DAA"/>
    <w:rsid w:val="42B43694"/>
    <w:rsid w:val="434F35D7"/>
    <w:rsid w:val="43EF4B3E"/>
    <w:rsid w:val="465143D8"/>
    <w:rsid w:val="46F52E39"/>
    <w:rsid w:val="47846478"/>
    <w:rsid w:val="47BE388F"/>
    <w:rsid w:val="482F688A"/>
    <w:rsid w:val="49E705D6"/>
    <w:rsid w:val="4A2453AF"/>
    <w:rsid w:val="4AF54CB9"/>
    <w:rsid w:val="4B4E06F9"/>
    <w:rsid w:val="4C1A13A5"/>
    <w:rsid w:val="4C4A4BD4"/>
    <w:rsid w:val="4D23359C"/>
    <w:rsid w:val="4D8E03AE"/>
    <w:rsid w:val="4E8938D8"/>
    <w:rsid w:val="50311835"/>
    <w:rsid w:val="50A861EE"/>
    <w:rsid w:val="51C85281"/>
    <w:rsid w:val="528E426D"/>
    <w:rsid w:val="531401FE"/>
    <w:rsid w:val="53C1265B"/>
    <w:rsid w:val="53E528DA"/>
    <w:rsid w:val="53EB50C7"/>
    <w:rsid w:val="54112C0C"/>
    <w:rsid w:val="543555EC"/>
    <w:rsid w:val="54C76671"/>
    <w:rsid w:val="550270C7"/>
    <w:rsid w:val="560E03C2"/>
    <w:rsid w:val="570003CC"/>
    <w:rsid w:val="570738D6"/>
    <w:rsid w:val="57E411DB"/>
    <w:rsid w:val="588D45FF"/>
    <w:rsid w:val="58BD5BDC"/>
    <w:rsid w:val="5B942D4F"/>
    <w:rsid w:val="5BB61369"/>
    <w:rsid w:val="5CEE7E81"/>
    <w:rsid w:val="5DDD54D0"/>
    <w:rsid w:val="5E3C1C92"/>
    <w:rsid w:val="60E60B56"/>
    <w:rsid w:val="612D1C31"/>
    <w:rsid w:val="636D06F5"/>
    <w:rsid w:val="63790315"/>
    <w:rsid w:val="63A848C4"/>
    <w:rsid w:val="63DD6021"/>
    <w:rsid w:val="641F4158"/>
    <w:rsid w:val="64557741"/>
    <w:rsid w:val="646B26B9"/>
    <w:rsid w:val="64A60B9F"/>
    <w:rsid w:val="64A97E58"/>
    <w:rsid w:val="65470D3C"/>
    <w:rsid w:val="657F05BD"/>
    <w:rsid w:val="658832E0"/>
    <w:rsid w:val="66213C5D"/>
    <w:rsid w:val="669A1418"/>
    <w:rsid w:val="66E75C1B"/>
    <w:rsid w:val="67944AE4"/>
    <w:rsid w:val="67A11B51"/>
    <w:rsid w:val="682A79D5"/>
    <w:rsid w:val="683D1CDF"/>
    <w:rsid w:val="692C3B2F"/>
    <w:rsid w:val="696F474E"/>
    <w:rsid w:val="6A0D45D1"/>
    <w:rsid w:val="6A8E62F4"/>
    <w:rsid w:val="6AE723D6"/>
    <w:rsid w:val="6AF458A9"/>
    <w:rsid w:val="6B1031B7"/>
    <w:rsid w:val="6BAE7BA3"/>
    <w:rsid w:val="6C313E74"/>
    <w:rsid w:val="6C676C46"/>
    <w:rsid w:val="6CA7021A"/>
    <w:rsid w:val="6CE46DB3"/>
    <w:rsid w:val="6D6A5AEC"/>
    <w:rsid w:val="6E213A2A"/>
    <w:rsid w:val="6E3B3B2D"/>
    <w:rsid w:val="6E9F158A"/>
    <w:rsid w:val="6EEC6AC2"/>
    <w:rsid w:val="6F241583"/>
    <w:rsid w:val="6F923519"/>
    <w:rsid w:val="6F97125C"/>
    <w:rsid w:val="6FC6486F"/>
    <w:rsid w:val="70825BF9"/>
    <w:rsid w:val="70F745F5"/>
    <w:rsid w:val="71D92806"/>
    <w:rsid w:val="721C4A9F"/>
    <w:rsid w:val="723753FF"/>
    <w:rsid w:val="73595954"/>
    <w:rsid w:val="740551C4"/>
    <w:rsid w:val="740F250F"/>
    <w:rsid w:val="744C3F3F"/>
    <w:rsid w:val="74F3461E"/>
    <w:rsid w:val="75F20A95"/>
    <w:rsid w:val="76BD3590"/>
    <w:rsid w:val="77A16BAD"/>
    <w:rsid w:val="78C30E55"/>
    <w:rsid w:val="79134CB2"/>
    <w:rsid w:val="79224DC2"/>
    <w:rsid w:val="79843D42"/>
    <w:rsid w:val="79CB1296"/>
    <w:rsid w:val="7A00361B"/>
    <w:rsid w:val="7A0667FB"/>
    <w:rsid w:val="7B1D1075"/>
    <w:rsid w:val="7DE525EE"/>
    <w:rsid w:val="7E1F5A45"/>
    <w:rsid w:val="7E706900"/>
    <w:rsid w:val="7F0030C0"/>
    <w:rsid w:val="7F8067FF"/>
    <w:rsid w:val="7F9D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7"/>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link w:val="48"/>
    <w:qFormat/>
    <w:uiPriority w:val="0"/>
    <w:pPr>
      <w:keepNext/>
      <w:keepLines/>
      <w:spacing w:before="120" w:beforeLines="50" w:after="120" w:afterLines="50"/>
      <w:ind w:left="864" w:hanging="864"/>
      <w:jc w:val="left"/>
      <w:outlineLvl w:val="3"/>
    </w:pPr>
    <w:rPr>
      <w:rFonts w:ascii="黑体" w:hAnsi="黑体" w:eastAsia="黑体"/>
      <w:b/>
      <w:bCs/>
      <w:sz w:val="24"/>
    </w:rPr>
  </w:style>
  <w:style w:type="paragraph" w:styleId="7">
    <w:name w:val="heading 5"/>
    <w:basedOn w:val="1"/>
    <w:next w:val="8"/>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qFormat/>
    <w:uiPriority w:val="0"/>
    <w:pPr>
      <w:keepNext/>
      <w:keepLines/>
      <w:numPr>
        <w:ilvl w:val="8"/>
        <w:numId w:val="1"/>
      </w:numPr>
      <w:spacing w:before="240" w:after="64" w:line="320" w:lineRule="auto"/>
      <w:outlineLvl w:val="8"/>
    </w:pPr>
    <w:rPr>
      <w:rFonts w:ascii="Arial" w:hAnsi="Arial" w:eastAsia="黑体"/>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Normal Indent"/>
    <w:basedOn w:val="1"/>
    <w:link w:val="49"/>
    <w:qFormat/>
    <w:uiPriority w:val="0"/>
    <w:pPr>
      <w:ind w:firstLine="420"/>
    </w:pPr>
    <w:rPr>
      <w:szCs w:val="20"/>
    </w:rPr>
  </w:style>
  <w:style w:type="paragraph" w:styleId="13">
    <w:name w:val="index 8"/>
    <w:basedOn w:val="1"/>
    <w:next w:val="1"/>
    <w:qFormat/>
    <w:uiPriority w:val="0"/>
    <w:pPr>
      <w:ind w:left="2940"/>
    </w:pPr>
  </w:style>
  <w:style w:type="paragraph" w:styleId="14">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semiHidden/>
    <w:qFormat/>
    <w:uiPriority w:val="0"/>
    <w:pPr>
      <w:shd w:val="clear" w:color="auto" w:fill="000080"/>
    </w:pPr>
  </w:style>
  <w:style w:type="paragraph" w:styleId="17">
    <w:name w:val="annotation text"/>
    <w:basedOn w:val="1"/>
    <w:qFormat/>
    <w:uiPriority w:val="0"/>
    <w:pPr>
      <w:jc w:val="left"/>
    </w:pPr>
  </w:style>
  <w:style w:type="paragraph" w:styleId="18">
    <w:name w:val="Body Text 3"/>
    <w:basedOn w:val="1"/>
    <w:qFormat/>
    <w:uiPriority w:val="0"/>
    <w:pPr>
      <w:spacing w:line="500" w:lineRule="exact"/>
    </w:pPr>
    <w:rPr>
      <w:b/>
      <w:bCs/>
      <w:sz w:val="24"/>
    </w:rPr>
  </w:style>
  <w:style w:type="paragraph" w:styleId="19">
    <w:name w:val="Body Text"/>
    <w:basedOn w:val="1"/>
    <w:next w:val="20"/>
    <w:link w:val="50"/>
    <w:qFormat/>
    <w:uiPriority w:val="0"/>
    <w:pPr>
      <w:spacing w:line="380" w:lineRule="exact"/>
    </w:pPr>
    <w:rPr>
      <w:sz w:val="24"/>
    </w:rPr>
  </w:style>
  <w:style w:type="paragraph" w:styleId="20">
    <w:name w:val="Body Text First Indent"/>
    <w:basedOn w:val="19"/>
    <w:link w:val="55"/>
    <w:qFormat/>
    <w:uiPriority w:val="0"/>
    <w:pPr>
      <w:spacing w:after="120" w:line="240" w:lineRule="auto"/>
      <w:ind w:firstLine="420" w:firstLineChars="100"/>
    </w:pPr>
    <w:rPr>
      <w:sz w:val="21"/>
    </w:rPr>
  </w:style>
  <w:style w:type="paragraph" w:styleId="21">
    <w:name w:val="Body Text Indent"/>
    <w:basedOn w:val="1"/>
    <w:link w:val="51"/>
    <w:qFormat/>
    <w:uiPriority w:val="0"/>
    <w:pPr>
      <w:ind w:firstLine="830" w:firstLineChars="352"/>
    </w:pPr>
    <w:rPr>
      <w:rFonts w:ascii="仿宋_GB2312" w:eastAsia="仿宋_GB2312"/>
      <w:sz w:val="32"/>
      <w:szCs w:val="20"/>
    </w:rPr>
  </w:style>
  <w:style w:type="paragraph" w:styleId="22">
    <w:name w:val="List Number 3"/>
    <w:basedOn w:val="1"/>
    <w:qFormat/>
    <w:uiPriority w:val="0"/>
    <w:pPr>
      <w:numPr>
        <w:ilvl w:val="0"/>
        <w:numId w:val="1"/>
      </w:numPr>
      <w:tabs>
        <w:tab w:val="left" w:pos="1200"/>
        <w:tab w:val="clear" w:pos="360"/>
      </w:tabs>
    </w:pPr>
  </w:style>
  <w:style w:type="paragraph" w:styleId="23">
    <w:name w:val="List 2"/>
    <w:basedOn w:val="1"/>
    <w:qFormat/>
    <w:uiPriority w:val="0"/>
    <w:pPr>
      <w:ind w:left="100" w:leftChars="200" w:hanging="200" w:hangingChars="200"/>
    </w:pPr>
    <w:rPr>
      <w:sz w:val="28"/>
    </w:rPr>
  </w:style>
  <w:style w:type="paragraph" w:styleId="24">
    <w:name w:val="Plain Text"/>
    <w:basedOn w:val="1"/>
    <w:next w:val="1"/>
    <w:link w:val="52"/>
    <w:qFormat/>
    <w:uiPriority w:val="0"/>
    <w:rPr>
      <w:rFonts w:ascii="宋体" w:hAnsi="Courier New" w:cs="Courier New"/>
      <w:szCs w:val="21"/>
    </w:rPr>
  </w:style>
  <w:style w:type="paragraph" w:styleId="25">
    <w:name w:val="Date"/>
    <w:basedOn w:val="1"/>
    <w:next w:val="1"/>
    <w:qFormat/>
    <w:uiPriority w:val="0"/>
    <w:pPr>
      <w:ind w:left="100" w:leftChars="2500"/>
    </w:pPr>
    <w:rPr>
      <w:rFonts w:ascii="宋体" w:hAnsi="Courier New" w:cs="Courier New"/>
      <w:szCs w:val="21"/>
    </w:rPr>
  </w:style>
  <w:style w:type="paragraph" w:styleId="26">
    <w:name w:val="Body Text Indent 2"/>
    <w:basedOn w:val="1"/>
    <w:link w:val="53"/>
    <w:qFormat/>
    <w:uiPriority w:val="0"/>
    <w:pPr>
      <w:ind w:firstLine="630"/>
    </w:pPr>
    <w:rPr>
      <w:sz w:val="32"/>
      <w:szCs w:val="20"/>
    </w:rPr>
  </w:style>
  <w:style w:type="paragraph" w:styleId="27">
    <w:name w:val="Balloon Text"/>
    <w:basedOn w:val="1"/>
    <w:semiHidden/>
    <w:qFormat/>
    <w:uiPriority w:val="0"/>
    <w:rPr>
      <w:sz w:val="18"/>
      <w:szCs w:val="18"/>
    </w:rPr>
  </w:style>
  <w:style w:type="paragraph" w:styleId="28">
    <w:name w:val="footer"/>
    <w:basedOn w:val="1"/>
    <w:link w:val="54"/>
    <w:qFormat/>
    <w:uiPriority w:val="0"/>
    <w:pPr>
      <w:tabs>
        <w:tab w:val="center" w:pos="4153"/>
        <w:tab w:val="right" w:pos="8306"/>
      </w:tabs>
      <w:snapToGrid w:val="0"/>
      <w:jc w:val="left"/>
    </w:pPr>
    <w:rPr>
      <w:sz w:val="18"/>
      <w:szCs w:val="18"/>
    </w:rPr>
  </w:style>
  <w:style w:type="paragraph" w:styleId="2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style>
  <w:style w:type="paragraph" w:styleId="31">
    <w:name w:val="List"/>
    <w:basedOn w:val="1"/>
    <w:qFormat/>
    <w:uiPriority w:val="0"/>
    <w:pPr>
      <w:ind w:left="200" w:hanging="200" w:hangingChars="200"/>
    </w:pPr>
    <w:rPr>
      <w:sz w:val="28"/>
    </w:rPr>
  </w:style>
  <w:style w:type="paragraph" w:styleId="32">
    <w:name w:val="Body Text Indent 3"/>
    <w:basedOn w:val="1"/>
    <w:qFormat/>
    <w:uiPriority w:val="0"/>
    <w:pPr>
      <w:spacing w:after="120"/>
      <w:ind w:left="420" w:leftChars="200"/>
    </w:pPr>
    <w:rPr>
      <w:sz w:val="16"/>
      <w:szCs w:val="16"/>
    </w:rPr>
  </w:style>
  <w:style w:type="paragraph" w:styleId="33">
    <w:name w:val="toc 2"/>
    <w:basedOn w:val="1"/>
    <w:next w:val="1"/>
    <w:qFormat/>
    <w:uiPriority w:val="39"/>
    <w:pPr>
      <w:tabs>
        <w:tab w:val="right" w:leader="dot" w:pos="9360"/>
      </w:tabs>
      <w:ind w:left="420" w:leftChars="200"/>
    </w:pPr>
  </w:style>
  <w:style w:type="paragraph" w:styleId="34">
    <w:name w:val="Body Text 2"/>
    <w:basedOn w:val="1"/>
    <w:qFormat/>
    <w:uiPriority w:val="0"/>
    <w:pPr>
      <w:spacing w:after="120" w:line="480" w:lineRule="auto"/>
    </w:pPr>
  </w:style>
  <w:style w:type="paragraph" w:styleId="35">
    <w:name w:val="Normal (Web)"/>
    <w:basedOn w:val="1"/>
    <w:qFormat/>
    <w:uiPriority w:val="0"/>
    <w:pPr>
      <w:widowControl/>
      <w:spacing w:before="100" w:beforeAutospacing="1" w:after="100" w:afterAutospacing="1"/>
      <w:jc w:val="left"/>
    </w:pPr>
    <w:rPr>
      <w:rFonts w:ascii="宋体" w:hAnsi="宋体"/>
      <w:kern w:val="0"/>
      <w:sz w:val="24"/>
    </w:rPr>
  </w:style>
  <w:style w:type="paragraph" w:styleId="36">
    <w:name w:val="index 1"/>
    <w:basedOn w:val="1"/>
    <w:next w:val="1"/>
    <w:semiHidden/>
    <w:qFormat/>
    <w:uiPriority w:val="0"/>
    <w:pPr>
      <w:spacing w:line="400" w:lineRule="exact"/>
      <w:ind w:firstLine="420" w:firstLineChars="200"/>
    </w:pPr>
    <w:rPr>
      <w:rFonts w:ascii="宋体" w:hAnsi="Courier New"/>
      <w:b/>
      <w:szCs w:val="20"/>
    </w:rPr>
  </w:style>
  <w:style w:type="paragraph" w:styleId="37">
    <w:name w:val="Body Text First Indent 2"/>
    <w:basedOn w:val="21"/>
    <w:link w:val="56"/>
    <w:qFormat/>
    <w:uiPriority w:val="0"/>
    <w:pPr>
      <w:spacing w:after="120"/>
      <w:ind w:left="420" w:leftChars="200" w:firstLine="420" w:firstLineChars="200"/>
    </w:pPr>
    <w:rPr>
      <w:sz w:val="21"/>
      <w:szCs w:val="24"/>
    </w:r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Strong"/>
    <w:qFormat/>
    <w:uiPriority w:val="0"/>
    <w:rPr>
      <w:b/>
      <w:bCs/>
    </w:rPr>
  </w:style>
  <w:style w:type="character" w:styleId="42">
    <w:name w:val="page number"/>
    <w:qFormat/>
    <w:uiPriority w:val="0"/>
  </w:style>
  <w:style w:type="character" w:styleId="43">
    <w:name w:val="Hyperlink"/>
    <w:qFormat/>
    <w:uiPriority w:val="99"/>
    <w:rPr>
      <w:color w:val="0000FF"/>
      <w:u w:val="single"/>
    </w:rPr>
  </w:style>
  <w:style w:type="character" w:styleId="44">
    <w:name w:val="HTML Sample"/>
    <w:basedOn w:val="40"/>
    <w:qFormat/>
    <w:uiPriority w:val="0"/>
    <w:rPr>
      <w:rFonts w:ascii="Courier New" w:hAnsi="Courier New"/>
    </w:rPr>
  </w:style>
  <w:style w:type="character" w:customStyle="1" w:styleId="45">
    <w:name w:val="标题 1 Char"/>
    <w:link w:val="3"/>
    <w:qFormat/>
    <w:uiPriority w:val="0"/>
    <w:rPr>
      <w:rFonts w:eastAsia="宋体"/>
      <w:b/>
      <w:bCs/>
      <w:kern w:val="44"/>
      <w:sz w:val="44"/>
      <w:szCs w:val="44"/>
      <w:lang w:val="en-US" w:eastAsia="zh-CN" w:bidi="ar-SA"/>
    </w:rPr>
  </w:style>
  <w:style w:type="character" w:customStyle="1" w:styleId="46">
    <w:name w:val="标题 2 Char"/>
    <w:link w:val="4"/>
    <w:qFormat/>
    <w:uiPriority w:val="9"/>
    <w:rPr>
      <w:rFonts w:ascii="Arial" w:hAnsi="Arial" w:eastAsia="黑体"/>
      <w:b/>
      <w:bCs/>
      <w:kern w:val="2"/>
      <w:sz w:val="32"/>
      <w:szCs w:val="32"/>
    </w:rPr>
  </w:style>
  <w:style w:type="character" w:customStyle="1" w:styleId="47">
    <w:name w:val="标题 3 Char"/>
    <w:link w:val="5"/>
    <w:qFormat/>
    <w:uiPriority w:val="0"/>
    <w:rPr>
      <w:rFonts w:ascii="Calibri" w:hAnsi="Calibri" w:eastAsia="宋体"/>
      <w:b/>
      <w:bCs/>
      <w:kern w:val="2"/>
      <w:sz w:val="32"/>
      <w:szCs w:val="32"/>
      <w:lang w:val="en-US" w:eastAsia="zh-CN" w:bidi="ar-SA"/>
    </w:rPr>
  </w:style>
  <w:style w:type="character" w:customStyle="1" w:styleId="48">
    <w:name w:val="标题 4 Char"/>
    <w:link w:val="6"/>
    <w:qFormat/>
    <w:uiPriority w:val="0"/>
    <w:rPr>
      <w:rFonts w:ascii="黑体" w:hAnsi="黑体" w:eastAsia="黑体"/>
      <w:b/>
      <w:bCs/>
      <w:kern w:val="2"/>
      <w:sz w:val="24"/>
      <w:szCs w:val="24"/>
    </w:rPr>
  </w:style>
  <w:style w:type="character" w:customStyle="1" w:styleId="49">
    <w:name w:val="正文缩进 Char"/>
    <w:link w:val="8"/>
    <w:qFormat/>
    <w:locked/>
    <w:uiPriority w:val="0"/>
    <w:rPr>
      <w:kern w:val="2"/>
      <w:sz w:val="21"/>
    </w:rPr>
  </w:style>
  <w:style w:type="character" w:customStyle="1" w:styleId="50">
    <w:name w:val="正文文本 Char"/>
    <w:link w:val="19"/>
    <w:qFormat/>
    <w:uiPriority w:val="0"/>
    <w:rPr>
      <w:kern w:val="2"/>
      <w:sz w:val="24"/>
      <w:szCs w:val="24"/>
    </w:rPr>
  </w:style>
  <w:style w:type="character" w:customStyle="1" w:styleId="51">
    <w:name w:val="正文文本缩进 Char"/>
    <w:link w:val="21"/>
    <w:qFormat/>
    <w:uiPriority w:val="0"/>
    <w:rPr>
      <w:rFonts w:ascii="仿宋_GB2312" w:eastAsia="仿宋_GB2312"/>
      <w:kern w:val="2"/>
      <w:sz w:val="32"/>
    </w:rPr>
  </w:style>
  <w:style w:type="character" w:customStyle="1" w:styleId="52">
    <w:name w:val="纯文本 Char"/>
    <w:link w:val="24"/>
    <w:qFormat/>
    <w:uiPriority w:val="0"/>
    <w:rPr>
      <w:rFonts w:ascii="宋体" w:hAnsi="Courier New" w:eastAsia="宋体" w:cs="Courier New"/>
      <w:kern w:val="2"/>
      <w:sz w:val="21"/>
      <w:szCs w:val="21"/>
      <w:lang w:val="en-US" w:eastAsia="zh-CN" w:bidi="ar-SA"/>
    </w:rPr>
  </w:style>
  <w:style w:type="character" w:customStyle="1" w:styleId="53">
    <w:name w:val="正文文本缩进 2 Char"/>
    <w:link w:val="26"/>
    <w:qFormat/>
    <w:uiPriority w:val="0"/>
    <w:rPr>
      <w:kern w:val="2"/>
      <w:sz w:val="32"/>
    </w:rPr>
  </w:style>
  <w:style w:type="character" w:customStyle="1" w:styleId="54">
    <w:name w:val="页脚 Char"/>
    <w:link w:val="28"/>
    <w:qFormat/>
    <w:uiPriority w:val="0"/>
    <w:rPr>
      <w:kern w:val="2"/>
      <w:sz w:val="18"/>
      <w:szCs w:val="18"/>
    </w:rPr>
  </w:style>
  <w:style w:type="character" w:customStyle="1" w:styleId="55">
    <w:name w:val="正文首行缩进 Char"/>
    <w:link w:val="20"/>
    <w:qFormat/>
    <w:uiPriority w:val="0"/>
    <w:rPr>
      <w:kern w:val="2"/>
      <w:sz w:val="21"/>
      <w:szCs w:val="24"/>
    </w:rPr>
  </w:style>
  <w:style w:type="character" w:customStyle="1" w:styleId="56">
    <w:name w:val="正文首行缩进 2 Char"/>
    <w:link w:val="37"/>
    <w:qFormat/>
    <w:uiPriority w:val="0"/>
    <w:rPr>
      <w:rFonts w:ascii="仿宋_GB2312" w:eastAsia="仿宋_GB2312"/>
      <w:kern w:val="2"/>
      <w:sz w:val="21"/>
      <w:szCs w:val="24"/>
    </w:rPr>
  </w:style>
  <w:style w:type="character" w:customStyle="1" w:styleId="57">
    <w:name w:val="font21"/>
    <w:qFormat/>
    <w:uiPriority w:val="0"/>
    <w:rPr>
      <w:rFonts w:hint="default" w:ascii="仿宋_GB2312" w:eastAsia="仿宋_GB2312" w:cs="仿宋_GB2312"/>
      <w:b/>
      <w:color w:val="000000"/>
      <w:sz w:val="24"/>
      <w:szCs w:val="24"/>
      <w:u w:val="none"/>
    </w:rPr>
  </w:style>
  <w:style w:type="character" w:customStyle="1" w:styleId="58">
    <w:name w:val="纯文本 Char1"/>
    <w:qFormat/>
    <w:uiPriority w:val="0"/>
    <w:rPr>
      <w:rFonts w:ascii="宋体" w:hAnsi="Courier New" w:eastAsia="宋体" w:cs="Courier New"/>
      <w:szCs w:val="21"/>
    </w:rPr>
  </w:style>
  <w:style w:type="character" w:customStyle="1" w:styleId="59">
    <w:name w:val="param-name param-explain"/>
    <w:qFormat/>
    <w:uiPriority w:val="0"/>
  </w:style>
  <w:style w:type="character" w:customStyle="1" w:styleId="60">
    <w:name w:val="1ji Char"/>
    <w:link w:val="61"/>
    <w:qFormat/>
    <w:uiPriority w:val="0"/>
    <w:rPr>
      <w:rFonts w:ascii="宋体" w:hAnsi="宋体" w:eastAsia="宋体"/>
      <w:b/>
      <w:bCs/>
      <w:kern w:val="44"/>
      <w:sz w:val="36"/>
      <w:szCs w:val="44"/>
      <w:lang w:val="en-US" w:eastAsia="zh-CN" w:bidi="ar-SA"/>
    </w:rPr>
  </w:style>
  <w:style w:type="paragraph" w:customStyle="1" w:styleId="61">
    <w:name w:val="1ji"/>
    <w:basedOn w:val="3"/>
    <w:link w:val="60"/>
    <w:qFormat/>
    <w:uiPriority w:val="0"/>
    <w:pPr>
      <w:keepLines w:val="0"/>
      <w:widowControl/>
      <w:spacing w:before="0" w:after="0" w:line="240" w:lineRule="auto"/>
      <w:jc w:val="center"/>
    </w:pPr>
    <w:rPr>
      <w:rFonts w:ascii="宋体" w:hAnsi="宋体"/>
      <w:sz w:val="36"/>
    </w:rPr>
  </w:style>
  <w:style w:type="character" w:customStyle="1" w:styleId="62">
    <w:name w:val="普通文字 Char Char2"/>
    <w:qFormat/>
    <w:uiPriority w:val="0"/>
    <w:rPr>
      <w:rFonts w:ascii="宋体" w:hAnsi="Courier New" w:eastAsia="宋体"/>
      <w:kern w:val="2"/>
      <w:sz w:val="21"/>
      <w:lang w:val="en-US" w:eastAsia="zh-CN" w:bidi="ar-SA"/>
    </w:rPr>
  </w:style>
  <w:style w:type="character" w:customStyle="1" w:styleId="63">
    <w:name w:val="10"/>
    <w:qFormat/>
    <w:uiPriority w:val="0"/>
    <w:rPr>
      <w:rFonts w:hint="default" w:ascii="Times New Roman" w:hAnsi="Times New Roman" w:cs="Times New Roman"/>
    </w:rPr>
  </w:style>
  <w:style w:type="character" w:customStyle="1" w:styleId="64">
    <w:name w:val="font11"/>
    <w:qFormat/>
    <w:uiPriority w:val="0"/>
    <w:rPr>
      <w:rFonts w:hint="eastAsia" w:ascii="宋体" w:hAnsi="宋体" w:eastAsia="宋体" w:cs="宋体"/>
      <w:color w:val="000000"/>
      <w:sz w:val="20"/>
      <w:szCs w:val="20"/>
      <w:u w:val="none"/>
    </w:rPr>
  </w:style>
  <w:style w:type="character" w:customStyle="1" w:styleId="65">
    <w:name w:val="apple-converted-space"/>
    <w:qFormat/>
    <w:uiPriority w:val="0"/>
  </w:style>
  <w:style w:type="character" w:customStyle="1" w:styleId="66">
    <w:name w:val="mark"/>
    <w:qFormat/>
    <w:uiPriority w:val="0"/>
  </w:style>
  <w:style w:type="character" w:customStyle="1" w:styleId="67">
    <w:name w:val="15"/>
    <w:qFormat/>
    <w:uiPriority w:val="0"/>
    <w:rPr>
      <w:rFonts w:hint="default" w:ascii="Times New Roman" w:hAnsi="Times New Roman" w:cs="Times New Roman"/>
    </w:rPr>
  </w:style>
  <w:style w:type="paragraph" w:customStyle="1" w:styleId="68">
    <w:name w:val="默认段落字体 Para Char Char Char Char Char Char Char Char Char1 Char Char Char Char"/>
    <w:basedOn w:val="1"/>
    <w:qFormat/>
    <w:uiPriority w:val="0"/>
    <w:rPr>
      <w:rFonts w:ascii="Tahoma" w:hAnsi="Tahoma"/>
      <w:sz w:val="24"/>
      <w:szCs w:val="20"/>
    </w:rPr>
  </w:style>
  <w:style w:type="paragraph" w:customStyle="1" w:styleId="69">
    <w:name w:val="列出段落1"/>
    <w:basedOn w:val="1"/>
    <w:qFormat/>
    <w:uiPriority w:val="0"/>
    <w:pPr>
      <w:ind w:firstLine="420" w:firstLineChars="200"/>
    </w:pPr>
    <w:rPr>
      <w:szCs w:val="20"/>
    </w:rPr>
  </w:style>
  <w:style w:type="paragraph" w:customStyle="1" w:styleId="70">
    <w:name w:val="1"/>
    <w:basedOn w:val="1"/>
    <w:next w:val="24"/>
    <w:qFormat/>
    <w:uiPriority w:val="0"/>
    <w:rPr>
      <w:rFonts w:ascii="宋体" w:hAnsi="Courier New"/>
      <w:szCs w:val="20"/>
    </w:rPr>
  </w:style>
  <w:style w:type="paragraph" w:customStyle="1" w:styleId="71">
    <w:name w:val="列出段落11"/>
    <w:qFormat/>
    <w:uiPriority w:val="34"/>
    <w:pPr>
      <w:widowControl w:val="0"/>
      <w:ind w:firstLine="420"/>
      <w:jc w:val="both"/>
    </w:pPr>
    <w:rPr>
      <w:rFonts w:ascii="Calibri" w:hAnsi="Calibri" w:eastAsia="Calibri" w:cs="Calibri"/>
      <w:color w:val="000000"/>
      <w:kern w:val="2"/>
      <w:sz w:val="21"/>
      <w:szCs w:val="21"/>
      <w:lang w:val="en-US" w:eastAsia="zh-CN" w:bidi="ar-SA"/>
    </w:rPr>
  </w:style>
  <w:style w:type="paragraph" w:customStyle="1" w:styleId="72">
    <w:name w:val="正文段"/>
    <w:basedOn w:val="1"/>
    <w:qFormat/>
    <w:uiPriority w:val="0"/>
    <w:pPr>
      <w:widowControl/>
      <w:snapToGrid w:val="0"/>
      <w:spacing w:after="50" w:afterLines="50"/>
      <w:ind w:firstLine="200" w:firstLineChars="200"/>
    </w:pPr>
    <w:rPr>
      <w:kern w:val="0"/>
      <w:sz w:val="24"/>
      <w:szCs w:val="20"/>
    </w:rPr>
  </w:style>
  <w:style w:type="paragraph" w:customStyle="1" w:styleId="73">
    <w:name w:val="newp"/>
    <w:basedOn w:val="1"/>
    <w:qFormat/>
    <w:uiPriority w:val="99"/>
    <w:pPr>
      <w:widowControl/>
      <w:spacing w:before="100" w:beforeAutospacing="1" w:after="100" w:afterAutospacing="1"/>
      <w:jc w:val="left"/>
    </w:pPr>
    <w:rPr>
      <w:rFonts w:ascii="宋体" w:hAnsi="宋体" w:cs="宋体"/>
      <w:kern w:val="0"/>
      <w:sz w:val="24"/>
    </w:rPr>
  </w:style>
  <w:style w:type="paragraph" w:customStyle="1" w:styleId="74">
    <w:name w:val="_Style 34"/>
    <w:basedOn w:val="16"/>
    <w:qFormat/>
    <w:uiPriority w:val="0"/>
    <w:pPr>
      <w:widowControl/>
      <w:ind w:firstLine="454"/>
      <w:jc w:val="left"/>
    </w:pPr>
  </w:style>
  <w:style w:type="paragraph" w:customStyle="1" w:styleId="75">
    <w:name w:val="样式 加粗 段前: 7.8 磅 段后: 7.8 磅 行距: 固定值 20 磅"/>
    <w:basedOn w:val="1"/>
    <w:qFormat/>
    <w:uiPriority w:val="0"/>
    <w:pPr>
      <w:spacing w:before="60" w:after="60" w:line="360" w:lineRule="exact"/>
    </w:pPr>
    <w:rPr>
      <w:rFonts w:cs="宋体"/>
      <w:b/>
      <w:bCs/>
      <w:spacing w:val="-2"/>
      <w:sz w:val="24"/>
      <w:szCs w:val="20"/>
    </w:rPr>
  </w:style>
  <w:style w:type="paragraph" w:customStyle="1" w:styleId="76">
    <w:name w:val="_Style 5"/>
    <w:basedOn w:val="1"/>
    <w:qFormat/>
    <w:uiPriority w:val="0"/>
    <w:pPr>
      <w:spacing w:after="78" w:afterLines="25"/>
    </w:pPr>
    <w:rPr>
      <w:rFonts w:ascii="Arial" w:hAnsi="Arial"/>
    </w:rPr>
  </w:style>
  <w:style w:type="paragraph" w:customStyle="1" w:styleId="77">
    <w:name w:val="Char"/>
    <w:basedOn w:val="16"/>
    <w:qFormat/>
    <w:uiPriority w:val="0"/>
    <w:pPr>
      <w:widowControl/>
      <w:ind w:firstLine="454"/>
      <w:jc w:val="left"/>
    </w:pPr>
    <w:rPr>
      <w:rFonts w:ascii="Tahoma" w:hAnsi="Tahoma" w:cs="宋体"/>
      <w:kern w:val="0"/>
      <w:sz w:val="24"/>
      <w:szCs w:val="20"/>
    </w:rPr>
  </w:style>
  <w:style w:type="paragraph" w:customStyle="1" w:styleId="78">
    <w:name w:val="msolistparagraph"/>
    <w:basedOn w:val="1"/>
    <w:qFormat/>
    <w:uiPriority w:val="0"/>
    <w:pPr>
      <w:spacing w:line="360" w:lineRule="auto"/>
      <w:ind w:firstLine="420" w:firstLineChars="200"/>
    </w:pPr>
    <w:rPr>
      <w:sz w:val="28"/>
    </w:rPr>
  </w:style>
  <w:style w:type="paragraph" w:customStyle="1" w:styleId="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0">
    <w:name w:val="Char Char Char"/>
    <w:basedOn w:val="16"/>
    <w:qFormat/>
    <w:uiPriority w:val="0"/>
    <w:pPr>
      <w:snapToGrid w:val="0"/>
    </w:pPr>
    <w:rPr>
      <w:rFonts w:ascii="Calibri" w:hAnsi="Calibri"/>
      <w:sz w:val="28"/>
      <w:szCs w:val="20"/>
    </w:rPr>
  </w:style>
  <w:style w:type="paragraph" w:customStyle="1" w:styleId="81">
    <w:name w:val="_Style 341"/>
    <w:basedOn w:val="16"/>
    <w:qFormat/>
    <w:uiPriority w:val="0"/>
    <w:pPr>
      <w:widowControl/>
      <w:ind w:firstLine="454"/>
      <w:jc w:val="left"/>
    </w:pPr>
  </w:style>
  <w:style w:type="paragraph" w:customStyle="1" w:styleId="82">
    <w:name w:val="Char1"/>
    <w:basedOn w:val="16"/>
    <w:qFormat/>
    <w:uiPriority w:val="0"/>
    <w:pPr>
      <w:widowControl/>
      <w:ind w:firstLine="454"/>
      <w:jc w:val="left"/>
    </w:pPr>
    <w:rPr>
      <w:rFonts w:ascii="Tahoma" w:hAnsi="Tahoma" w:cs="宋体"/>
      <w:kern w:val="0"/>
      <w:sz w:val="24"/>
      <w:szCs w:val="20"/>
    </w:rPr>
  </w:style>
  <w:style w:type="paragraph" w:styleId="83">
    <w:name w:val="List Paragraph"/>
    <w:basedOn w:val="1"/>
    <w:qFormat/>
    <w:uiPriority w:val="34"/>
    <w:pPr>
      <w:ind w:firstLine="420" w:firstLineChars="200"/>
    </w:pPr>
    <w:rPr>
      <w:rFonts w:ascii="Book Antiqua" w:hAnsi="Book Antiqua" w:cs="Book Antiqua"/>
    </w:rPr>
  </w:style>
  <w:style w:type="paragraph" w:styleId="8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样式 标题 2 + 宋体"/>
    <w:basedOn w:val="4"/>
    <w:qFormat/>
    <w:uiPriority w:val="0"/>
    <w:pPr>
      <w:tabs>
        <w:tab w:val="left" w:pos="360"/>
      </w:tabs>
    </w:pPr>
    <w:rPr>
      <w:rFonts w:ascii="宋体" w:hAnsi="宋体" w:eastAsia="宋体"/>
      <w:sz w:val="30"/>
    </w:rPr>
  </w:style>
  <w:style w:type="paragraph" w:customStyle="1" w:styleId="86">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8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88">
    <w:name w:val="Table Normal"/>
    <w:unhideWhenUsed/>
    <w:qFormat/>
    <w:uiPriority w:val="0"/>
    <w:tblPr>
      <w:tblCellMar>
        <w:top w:w="0" w:type="dxa"/>
        <w:left w:w="0" w:type="dxa"/>
        <w:bottom w:w="0" w:type="dxa"/>
        <w:right w:w="0" w:type="dxa"/>
      </w:tblCellMar>
    </w:tblPr>
  </w:style>
  <w:style w:type="paragraph" w:customStyle="1" w:styleId="89">
    <w:name w:val="表格文字"/>
    <w:basedOn w:val="21"/>
    <w:next w:val="19"/>
    <w:qFormat/>
    <w:uiPriority w:val="99"/>
    <w:pPr>
      <w:spacing w:before="25" w:after="25"/>
    </w:pPr>
    <w:rPr>
      <w:rFonts w:ascii="Calibri" w:hAnsi="Calibri" w:eastAsia="Calibri"/>
      <w:bCs/>
      <w:spacing w:val="10"/>
      <w:kern w:val="0"/>
    </w:rPr>
  </w:style>
  <w:style w:type="paragraph" w:customStyle="1" w:styleId="90">
    <w:name w:val="正文2"/>
    <w:basedOn w:val="1"/>
    <w:link w:val="91"/>
    <w:qFormat/>
    <w:uiPriority w:val="0"/>
    <w:pPr>
      <w:adjustRightInd w:val="0"/>
      <w:spacing w:before="156" w:line="360" w:lineRule="auto"/>
      <w:ind w:firstLine="510" w:firstLineChars="200"/>
    </w:pPr>
    <w:rPr>
      <w:sz w:val="24"/>
      <w:szCs w:val="20"/>
    </w:rPr>
  </w:style>
  <w:style w:type="character" w:customStyle="1" w:styleId="91">
    <w:name w:val="正文2 Char Char"/>
    <w:link w:val="90"/>
    <w:qFormat/>
    <w:uiPriority w:val="0"/>
    <w:rPr>
      <w:kern w:val="2"/>
      <w:sz w:val="24"/>
    </w:rPr>
  </w:style>
  <w:style w:type="table" w:customStyle="1" w:styleId="92">
    <w:name w:val="网格型1"/>
    <w:basedOn w:val="3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3">
    <w:name w:val="网格型2"/>
    <w:basedOn w:val="38"/>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4">
    <w:name w:val="*正文 Char"/>
    <w:link w:val="95"/>
    <w:qFormat/>
    <w:locked/>
    <w:uiPriority w:val="0"/>
    <w:rPr>
      <w:rFonts w:ascii="宋体" w:hAnsi="宋体"/>
      <w:sz w:val="24"/>
    </w:rPr>
  </w:style>
  <w:style w:type="paragraph" w:customStyle="1" w:styleId="95">
    <w:name w:val="*正文"/>
    <w:basedOn w:val="1"/>
    <w:link w:val="94"/>
    <w:qFormat/>
    <w:uiPriority w:val="0"/>
    <w:pPr>
      <w:adjustRightInd w:val="0"/>
      <w:snapToGrid w:val="0"/>
      <w:spacing w:line="360" w:lineRule="auto"/>
      <w:ind w:firstLine="482"/>
      <w:jc w:val="left"/>
    </w:pPr>
    <w:rPr>
      <w:rFonts w:ascii="宋体" w:hAnsi="宋体"/>
      <w:kern w:val="0"/>
      <w:sz w:val="24"/>
      <w:szCs w:val="20"/>
    </w:rPr>
  </w:style>
  <w:style w:type="paragraph" w:customStyle="1" w:styleId="96">
    <w:name w:val="Normal_0"/>
    <w:qFormat/>
    <w:uiPriority w:val="0"/>
    <w:rPr>
      <w:rFonts w:ascii="Times New Roman" w:hAnsi="Times New Roman" w:eastAsia="Times New Roman" w:cs="Times New Roman"/>
      <w:sz w:val="24"/>
      <w:szCs w:val="24"/>
    </w:rPr>
  </w:style>
  <w:style w:type="paragraph" w:customStyle="1" w:styleId="97">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98">
    <w:name w:val="Table Text"/>
    <w:basedOn w:val="1"/>
    <w:semiHidden/>
    <w:qFormat/>
    <w:uiPriority w:val="0"/>
    <w:rPr>
      <w:rFonts w:ascii="Calibri" w:hAnsi="Calibri" w:eastAsia="Calibri" w:cs="Calibri"/>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9FE1FB-4655-4B35-BD7E-6AAB8BF4B5B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143</Pages>
  <Words>9441</Words>
  <Characters>10488</Characters>
  <Lines>163</Lines>
  <Paragraphs>142</Paragraphs>
  <TotalTime>19</TotalTime>
  <ScaleCrop>false</ScaleCrop>
  <LinksUpToDate>false</LinksUpToDate>
  <CharactersWithSpaces>10635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2024-10-30T08:15:00Z</dcterms:created>
  <dc:creator>北海市政府采购中心</dc:creator>
  <cp:lastModifiedBy>韦丽丹</cp:lastModifiedBy>
  <cp:lastPrinted>2025-10-30T08:22:00Z</cp:lastPrinted>
  <dcterms:modified xsi:type="dcterms:W3CDTF">2026-09-04T08:13:38Z</dcterms:modified>
  <dc:title>北海市政府采购中心;</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DD2ED1F51FE147979754EEB5B1EB2D52_13</vt:lpwstr>
  </property>
  <property fmtid="{D5CDD505-2E9C-101B-9397-08002B2CF9AE}" pid="4" name="KSOTemplateDocerSaveRecord">
    <vt:lpwstr>eyJoZGlkIjoiZGMwNmNjYmEwMzExMjc5NTlhZTNkZjJhNDBmMzM2MWMiLCJ1c2VySWQiOiI0OTg2OTAyMTMifQ==</vt:lpwstr>
  </property>
</Properties>
</file>