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FF101">
      <w:pPr>
        <w:spacing w:line="360" w:lineRule="auto"/>
        <w:jc w:val="center"/>
        <w:rPr>
          <w:rFonts w:hint="eastAsia" w:ascii="宋体" w:hAnsi="宋体" w:cs="仿宋_GB2312"/>
          <w:b/>
          <w:color w:val="auto"/>
          <w:sz w:val="44"/>
          <w:szCs w:val="44"/>
          <w:highlight w:val="none"/>
        </w:rPr>
      </w:pPr>
      <w:bookmarkStart w:id="0" w:name="OLE_LINK1"/>
    </w:p>
    <w:p w14:paraId="229E4BBE">
      <w:pPr>
        <w:spacing w:line="360" w:lineRule="auto"/>
        <w:jc w:val="center"/>
        <w:rPr>
          <w:rFonts w:hint="eastAsia" w:ascii="宋体" w:hAnsi="宋体" w:cs="仿宋_GB2312"/>
          <w:b/>
          <w:color w:val="auto"/>
          <w:sz w:val="44"/>
          <w:szCs w:val="44"/>
          <w:highlight w:val="none"/>
        </w:rPr>
      </w:pPr>
    </w:p>
    <w:p w14:paraId="5CDDAD2F">
      <w:pPr>
        <w:spacing w:line="360" w:lineRule="auto"/>
        <w:jc w:val="center"/>
        <w:rPr>
          <w:rFonts w:hint="eastAsia" w:ascii="宋体" w:hAnsi="宋体" w:cs="仿宋_GB2312"/>
          <w:b/>
          <w:bCs/>
          <w:color w:val="auto"/>
          <w:w w:val="95"/>
          <w:sz w:val="48"/>
          <w:szCs w:val="48"/>
          <w:highlight w:val="none"/>
          <w:lang w:val="zh-CN" w:eastAsia="zh-CN"/>
        </w:rPr>
      </w:pPr>
      <w:r>
        <w:rPr>
          <w:rFonts w:hint="eastAsia" w:ascii="宋体" w:hAnsi="宋体" w:cs="仿宋_GB2312"/>
          <w:b/>
          <w:bCs/>
          <w:color w:val="auto"/>
          <w:w w:val="95"/>
          <w:sz w:val="48"/>
          <w:szCs w:val="48"/>
          <w:highlight w:val="none"/>
          <w:lang w:val="zh-CN" w:eastAsia="zh-CN"/>
        </w:rPr>
        <w:t>北海市2025 年度高标准农田建设项目市级</w:t>
      </w:r>
    </w:p>
    <w:p w14:paraId="633764AB">
      <w:pPr>
        <w:spacing w:line="360" w:lineRule="auto"/>
        <w:jc w:val="center"/>
        <w:rPr>
          <w:rFonts w:hint="eastAsia" w:ascii="宋体" w:hAnsi="宋体" w:cs="仿宋_GB2312"/>
          <w:b/>
          <w:bCs/>
          <w:color w:val="auto"/>
          <w:w w:val="95"/>
          <w:sz w:val="48"/>
          <w:szCs w:val="48"/>
          <w:highlight w:val="none"/>
          <w:lang w:val="zh-CN" w:eastAsia="zh-CN"/>
        </w:rPr>
      </w:pPr>
      <w:r>
        <w:rPr>
          <w:rFonts w:hint="eastAsia" w:ascii="宋体" w:hAnsi="宋体" w:cs="仿宋_GB2312"/>
          <w:b/>
          <w:bCs/>
          <w:color w:val="auto"/>
          <w:w w:val="95"/>
          <w:sz w:val="48"/>
          <w:szCs w:val="48"/>
          <w:highlight w:val="none"/>
          <w:lang w:val="zh-CN" w:eastAsia="zh-CN"/>
        </w:rPr>
        <w:t>竣工验收</w:t>
      </w:r>
    </w:p>
    <w:p w14:paraId="32AF92D9">
      <w:pPr>
        <w:spacing w:line="360" w:lineRule="auto"/>
        <w:jc w:val="center"/>
        <w:rPr>
          <w:rFonts w:hint="eastAsia" w:ascii="宋体" w:hAnsi="宋体" w:cs="仿宋_GB2312"/>
          <w:b/>
          <w:bCs/>
          <w:color w:val="auto"/>
          <w:w w:val="95"/>
          <w:sz w:val="72"/>
          <w:szCs w:val="72"/>
          <w:highlight w:val="none"/>
          <w:lang w:val="zh-CN"/>
        </w:rPr>
      </w:pPr>
    </w:p>
    <w:p w14:paraId="4562366A">
      <w:pPr>
        <w:spacing w:line="360" w:lineRule="auto"/>
        <w:jc w:val="center"/>
        <w:rPr>
          <w:rFonts w:ascii="宋体" w:hAnsi="宋体" w:cs="仿宋_GB2312"/>
          <w:b/>
          <w:color w:val="auto"/>
          <w:sz w:val="72"/>
          <w:szCs w:val="72"/>
          <w:highlight w:val="none"/>
        </w:rPr>
      </w:pPr>
      <w:r>
        <w:rPr>
          <w:rFonts w:hint="eastAsia" w:ascii="宋体" w:hAnsi="宋体" w:cs="仿宋_GB2312"/>
          <w:b/>
          <w:bCs/>
          <w:color w:val="auto"/>
          <w:w w:val="95"/>
          <w:sz w:val="72"/>
          <w:szCs w:val="72"/>
          <w:highlight w:val="none"/>
          <w:lang w:val="zh-CN"/>
        </w:rPr>
        <w:t>竞争性磋商</w:t>
      </w:r>
      <w:r>
        <w:rPr>
          <w:rFonts w:hint="eastAsia" w:ascii="宋体" w:hAnsi="宋体" w:cs="仿宋_GB2312"/>
          <w:b/>
          <w:color w:val="auto"/>
          <w:sz w:val="72"/>
          <w:szCs w:val="72"/>
          <w:highlight w:val="none"/>
        </w:rPr>
        <w:t>文件</w:t>
      </w:r>
    </w:p>
    <w:p w14:paraId="0F45D9EE">
      <w:pPr>
        <w:spacing w:line="360" w:lineRule="auto"/>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（电子交易）</w:t>
      </w:r>
    </w:p>
    <w:p w14:paraId="65BC039A">
      <w:pPr>
        <w:adjustRightInd w:val="0"/>
        <w:snapToGrid w:val="0"/>
        <w:spacing w:line="360" w:lineRule="auto"/>
        <w:jc w:val="center"/>
        <w:rPr>
          <w:rFonts w:ascii="宋体" w:hAnsi="宋体" w:cs="仿宋_GB2312"/>
          <w:color w:val="auto"/>
          <w:sz w:val="30"/>
          <w:szCs w:val="30"/>
          <w:highlight w:val="none"/>
        </w:rPr>
      </w:pPr>
    </w:p>
    <w:p w14:paraId="434DB432">
      <w:pPr>
        <w:adjustRightInd w:val="0"/>
        <w:snapToGrid w:val="0"/>
        <w:spacing w:line="360" w:lineRule="auto"/>
        <w:jc w:val="center"/>
        <w:rPr>
          <w:rFonts w:ascii="宋体" w:hAnsi="宋体" w:cs="仿宋_GB2312"/>
          <w:color w:val="auto"/>
          <w:sz w:val="28"/>
          <w:szCs w:val="20"/>
          <w:highlight w:val="none"/>
        </w:rPr>
      </w:pPr>
      <w:r>
        <w:rPr>
          <w:rFonts w:hint="eastAsia" w:ascii="宋体" w:hAnsi="宋体" w:cs="仿宋_GB2312"/>
          <w:color w:val="auto"/>
          <w:sz w:val="30"/>
          <w:szCs w:val="30"/>
          <w:highlight w:val="none"/>
        </w:rPr>
        <w:t>项目编号:BHZC2026-C3-990306-BBWH</w:t>
      </w:r>
    </w:p>
    <w:p w14:paraId="3AC7E952">
      <w:pPr>
        <w:adjustRightInd w:val="0"/>
        <w:spacing w:line="360" w:lineRule="auto"/>
        <w:jc w:val="center"/>
        <w:rPr>
          <w:rFonts w:ascii="宋体" w:hAnsi="宋体" w:cs="仿宋_GB2312"/>
          <w:color w:val="auto"/>
          <w:sz w:val="24"/>
          <w:highlight w:val="none"/>
        </w:rPr>
      </w:pPr>
      <w:r>
        <w:rPr>
          <w:rFonts w:hint="eastAsia" w:ascii="宋体" w:hAnsi="宋体" w:eastAsia="宋体" w:cs="宋体"/>
          <w:color w:val="auto"/>
          <w:sz w:val="28"/>
          <w:highlight w:val="none"/>
        </w:rPr>
        <w:drawing>
          <wp:inline distT="0" distB="0" distL="114300" distR="114300">
            <wp:extent cx="2514600" cy="2271395"/>
            <wp:effectExtent l="0" t="0" r="0" b="14605"/>
            <wp:docPr id="20" name="图片 20" descr="宏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宏亚logo"/>
                    <pic:cNvPicPr>
                      <a:picLocks noChangeAspect="1"/>
                    </pic:cNvPicPr>
                  </pic:nvPicPr>
                  <pic:blipFill>
                    <a:blip r:embed="rId20"/>
                    <a:stretch>
                      <a:fillRect/>
                    </a:stretch>
                  </pic:blipFill>
                  <pic:spPr>
                    <a:xfrm>
                      <a:off x="0" y="0"/>
                      <a:ext cx="2514600" cy="2271395"/>
                    </a:xfrm>
                    <a:prstGeom prst="rect">
                      <a:avLst/>
                    </a:prstGeom>
                    <a:noFill/>
                    <a:ln>
                      <a:noFill/>
                    </a:ln>
                  </pic:spPr>
                </pic:pic>
              </a:graphicData>
            </a:graphic>
          </wp:inline>
        </w:drawing>
      </w:r>
    </w:p>
    <w:p w14:paraId="3120278A">
      <w:pPr>
        <w:adjustRightInd w:val="0"/>
        <w:spacing w:line="360" w:lineRule="auto"/>
        <w:rPr>
          <w:rFonts w:hint="eastAsia" w:ascii="宋体" w:hAnsi="宋体" w:cs="仿宋_GB2312"/>
          <w:color w:val="auto"/>
          <w:sz w:val="24"/>
          <w:highlight w:val="none"/>
        </w:rPr>
      </w:pPr>
    </w:p>
    <w:p w14:paraId="2F573108">
      <w:pPr>
        <w:adjustRightInd w:val="0"/>
        <w:spacing w:line="360" w:lineRule="auto"/>
        <w:rPr>
          <w:rFonts w:hint="eastAsia" w:ascii="宋体" w:hAnsi="宋体" w:cs="仿宋_GB2312"/>
          <w:color w:val="auto"/>
          <w:sz w:val="24"/>
          <w:highlight w:val="none"/>
        </w:rPr>
      </w:pPr>
    </w:p>
    <w:p w14:paraId="17159F16">
      <w:pPr>
        <w:adjustRightInd w:val="0"/>
        <w:spacing w:line="360" w:lineRule="auto"/>
        <w:ind w:firstLine="1980" w:firstLineChars="900"/>
        <w:rPr>
          <w:rFonts w:hint="default" w:ascii="宋体" w:hAnsi="宋体" w:eastAsia="宋体" w:cs="仿宋_GB2312"/>
          <w:b w:val="0"/>
          <w:bCs/>
          <w:color w:val="auto"/>
          <w:sz w:val="32"/>
          <w:szCs w:val="32"/>
          <w:highlight w:val="none"/>
          <w:lang w:val="en-US"/>
        </w:rPr>
      </w:pPr>
      <w:r>
        <w:rPr>
          <w:rFonts w:hint="eastAsia" w:ascii="宋体" w:hAnsi="宋体" w:cs="仿宋_GB2312"/>
          <w:color w:val="auto"/>
          <w:sz w:val="22"/>
          <w:szCs w:val="22"/>
          <w:highlight w:val="none"/>
        </w:rPr>
        <w:t xml:space="preserve"> </w:t>
      </w:r>
      <w:r>
        <w:rPr>
          <w:rFonts w:hint="eastAsia" w:ascii="宋体" w:hAnsi="宋体" w:eastAsia="宋体" w:cs="仿宋_GB2312"/>
          <w:b w:val="0"/>
          <w:bCs/>
          <w:color w:val="auto"/>
          <w:sz w:val="32"/>
          <w:szCs w:val="32"/>
          <w:highlight w:val="none"/>
          <w:lang w:val="en-US" w:eastAsia="zh-CN"/>
        </w:rPr>
        <w:t>采购人：</w:t>
      </w:r>
      <w:r>
        <w:rPr>
          <w:rFonts w:hint="eastAsia" w:ascii="宋体" w:hAnsi="宋体" w:cs="仿宋_GB2312"/>
          <w:b w:val="0"/>
          <w:bCs/>
          <w:color w:val="auto"/>
          <w:sz w:val="32"/>
          <w:szCs w:val="32"/>
          <w:highlight w:val="none"/>
          <w:lang w:val="en-US" w:eastAsia="zh-CN"/>
        </w:rPr>
        <w:t>北海市农业农村局</w:t>
      </w:r>
    </w:p>
    <w:p w14:paraId="1052E208">
      <w:pPr>
        <w:adjustRightInd w:val="0"/>
        <w:spacing w:line="360" w:lineRule="auto"/>
        <w:jc w:val="center"/>
        <w:rPr>
          <w:rFonts w:hint="eastAsia" w:ascii="宋体" w:hAnsi="宋体" w:eastAsia="宋体" w:cs="仿宋_GB2312"/>
          <w:b w:val="0"/>
          <w:bCs/>
          <w:color w:val="auto"/>
          <w:sz w:val="32"/>
          <w:szCs w:val="32"/>
          <w:highlight w:val="none"/>
        </w:rPr>
      </w:pPr>
      <w:r>
        <w:rPr>
          <w:rFonts w:hint="eastAsia" w:ascii="宋体" w:hAnsi="宋体" w:eastAsia="宋体" w:cs="仿宋_GB2312"/>
          <w:b w:val="0"/>
          <w:bCs/>
          <w:color w:val="auto"/>
          <w:sz w:val="32"/>
          <w:szCs w:val="32"/>
          <w:highlight w:val="none"/>
          <w:lang w:val="en-US" w:eastAsia="zh-CN"/>
        </w:rPr>
        <w:t>采购代理机构：</w:t>
      </w:r>
      <w:r>
        <w:rPr>
          <w:rFonts w:hint="eastAsia" w:ascii="宋体" w:hAnsi="宋体" w:eastAsia="宋体" w:cs="仿宋_GB2312"/>
          <w:b w:val="0"/>
          <w:bCs/>
          <w:color w:val="auto"/>
          <w:sz w:val="32"/>
          <w:szCs w:val="32"/>
          <w:highlight w:val="none"/>
        </w:rPr>
        <w:t>广西北部湾宏亚建设管理有限公司</w:t>
      </w:r>
    </w:p>
    <w:p w14:paraId="47CD2AC7">
      <w:pPr>
        <w:adjustRightInd w:val="0"/>
        <w:snapToGrid w:val="0"/>
        <w:spacing w:line="360" w:lineRule="auto"/>
        <w:jc w:val="center"/>
        <w:rPr>
          <w:rFonts w:hint="eastAsia" w:ascii="宋体" w:hAnsi="宋体" w:cs="仿宋_GB2312"/>
          <w:bCs/>
          <w:color w:val="auto"/>
          <w:sz w:val="32"/>
          <w:szCs w:val="32"/>
          <w:highlight w:val="none"/>
        </w:rPr>
      </w:pPr>
    </w:p>
    <w:p w14:paraId="378B8C86">
      <w:pPr>
        <w:adjustRightInd w:val="0"/>
        <w:snapToGrid w:val="0"/>
        <w:spacing w:line="360" w:lineRule="auto"/>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二</w:t>
      </w:r>
      <w:r>
        <w:rPr>
          <w:rFonts w:hint="eastAsia" w:ascii="宋体" w:hAnsi="宋体" w:cs="宋体"/>
          <w:bCs/>
          <w:color w:val="auto"/>
          <w:sz w:val="32"/>
          <w:szCs w:val="32"/>
          <w:highlight w:val="none"/>
        </w:rPr>
        <w:t>〇</w:t>
      </w:r>
      <w:r>
        <w:rPr>
          <w:rFonts w:hint="eastAsia" w:ascii="宋体" w:hAnsi="宋体" w:cs="仿宋_GB2312"/>
          <w:bCs/>
          <w:color w:val="auto"/>
          <w:sz w:val="32"/>
          <w:szCs w:val="32"/>
          <w:highlight w:val="none"/>
        </w:rPr>
        <w:t>二</w:t>
      </w:r>
      <w:r>
        <w:rPr>
          <w:rFonts w:hint="eastAsia" w:ascii="宋体" w:hAnsi="宋体" w:cs="仿宋_GB2312"/>
          <w:bCs/>
          <w:color w:val="auto"/>
          <w:sz w:val="32"/>
          <w:szCs w:val="32"/>
          <w:highlight w:val="none"/>
          <w:lang w:val="en-US" w:eastAsia="zh-CN"/>
        </w:rPr>
        <w:t>六</w:t>
      </w:r>
      <w:r>
        <w:rPr>
          <w:rFonts w:hint="eastAsia" w:ascii="宋体" w:hAnsi="宋体" w:cs="仿宋_GB2312"/>
          <w:bCs/>
          <w:color w:val="auto"/>
          <w:sz w:val="32"/>
          <w:szCs w:val="32"/>
          <w:highlight w:val="none"/>
        </w:rPr>
        <w:t>年</w:t>
      </w:r>
      <w:r>
        <w:rPr>
          <w:rFonts w:hint="eastAsia" w:ascii="宋体" w:hAnsi="宋体" w:cs="仿宋_GB2312"/>
          <w:bCs/>
          <w:color w:val="auto"/>
          <w:sz w:val="32"/>
          <w:szCs w:val="32"/>
          <w:highlight w:val="none"/>
          <w:lang w:val="en-US" w:eastAsia="zh-CN"/>
        </w:rPr>
        <w:t>九月</w:t>
      </w:r>
      <w:bookmarkEnd w:id="0"/>
    </w:p>
    <w:p w14:paraId="58D16C18">
      <w:pPr>
        <w:pStyle w:val="32"/>
        <w:adjustRightInd w:val="0"/>
        <w:snapToGrid w:val="0"/>
        <w:spacing w:line="360" w:lineRule="auto"/>
        <w:ind w:firstLine="15"/>
        <w:jc w:val="center"/>
        <w:rPr>
          <w:color w:val="auto"/>
          <w:sz w:val="32"/>
          <w:szCs w:val="32"/>
          <w:highlight w:val="none"/>
        </w:rPr>
        <w:sectPr>
          <w:headerReference r:id="rId4" w:type="first"/>
          <w:headerReference r:id="rId3" w:type="default"/>
          <w:pgSz w:w="11906" w:h="16838"/>
          <w:pgMar w:top="1417" w:right="1417" w:bottom="1417" w:left="1417" w:header="851" w:footer="992" w:gutter="0"/>
          <w:pgNumType w:fmt="decimal" w:start="1"/>
          <w:cols w:space="720" w:num="1"/>
          <w:rtlGutter w:val="0"/>
          <w:docGrid w:type="lines" w:linePitch="312" w:charSpace="0"/>
        </w:sectPr>
      </w:pPr>
    </w:p>
    <w:p w14:paraId="1375DE76">
      <w:pPr>
        <w:spacing w:line="360" w:lineRule="auto"/>
        <w:jc w:val="center"/>
        <w:rPr>
          <w:rFonts w:hint="eastAsia" w:cs="仿宋_GB2312" w:asciiTheme="minorEastAsia" w:hAnsiTheme="minorEastAsia" w:eastAsiaTheme="minorEastAsia"/>
          <w:b/>
          <w:color w:val="auto"/>
          <w:sz w:val="48"/>
          <w:szCs w:val="48"/>
          <w:highlight w:val="none"/>
        </w:rPr>
      </w:pPr>
      <w:bookmarkStart w:id="1" w:name="_Hlt67893495"/>
      <w:bookmarkEnd w:id="1"/>
      <w:r>
        <w:rPr>
          <w:rFonts w:hint="eastAsia" w:cs="仿宋_GB2312" w:asciiTheme="minorEastAsia" w:hAnsiTheme="minorEastAsia" w:eastAsiaTheme="minorEastAsia"/>
          <w:b/>
          <w:color w:val="auto"/>
          <w:sz w:val="48"/>
          <w:szCs w:val="48"/>
          <w:highlight w:val="none"/>
        </w:rPr>
        <w:t>目  录</w:t>
      </w:r>
    </w:p>
    <w:p w14:paraId="126BDA0B">
      <w:pPr>
        <w:spacing w:line="360" w:lineRule="auto"/>
        <w:rPr>
          <w:rFonts w:hint="eastAsia" w:cs="仿宋_GB2312" w:asciiTheme="minorEastAsia" w:hAnsiTheme="minorEastAsia" w:eastAsiaTheme="minorEastAsia"/>
          <w:color w:val="auto"/>
          <w:sz w:val="32"/>
          <w:szCs w:val="32"/>
          <w:highlight w:val="none"/>
        </w:rPr>
      </w:pPr>
    </w:p>
    <w:p w14:paraId="6F299A58">
      <w:pPr>
        <w:pStyle w:val="41"/>
        <w:tabs>
          <w:tab w:val="right" w:leader="dot" w:pos="9446"/>
        </w:tabs>
        <w:spacing w:line="360" w:lineRule="auto"/>
        <w:rPr>
          <w:color w:val="auto"/>
          <w:sz w:val="24"/>
          <w:szCs w:val="24"/>
          <w:highlight w:val="none"/>
        </w:rPr>
      </w:pPr>
      <w:bookmarkStart w:id="2" w:name="_Hlt91233176"/>
      <w:bookmarkEnd w:id="2"/>
      <w:bookmarkStart w:id="3" w:name="_Toc91899869"/>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w:instrText>
      </w:r>
      <w:r>
        <w:rPr>
          <w:rFonts w:hint="eastAsia" w:cs="仿宋_GB2312" w:asciiTheme="minorEastAsia" w:hAnsiTheme="minorEastAsia" w:eastAsiaTheme="minorEastAsia"/>
          <w:color w:val="auto"/>
          <w:sz w:val="24"/>
          <w:szCs w:val="24"/>
          <w:highlight w:val="none"/>
        </w:rPr>
        <w:instrText xml:space="preserve">TOC \o "1-1" \h \z \u</w:instrText>
      </w:r>
      <w:r>
        <w:rPr>
          <w:rFonts w:cs="仿宋_GB2312" w:asciiTheme="minorEastAsia" w:hAnsiTheme="minorEastAsia" w:eastAsiaTheme="minorEastAsia"/>
          <w:color w:val="auto"/>
          <w:sz w:val="24"/>
          <w:szCs w:val="24"/>
          <w:highlight w:val="none"/>
        </w:rPr>
        <w:instrText xml:space="preserve"> </w:instrText>
      </w:r>
      <w:r>
        <w:rPr>
          <w:rFonts w:cs="仿宋_GB2312" w:asciiTheme="minorEastAsia" w:hAnsiTheme="minorEastAsia" w:eastAsiaTheme="minorEastAsia"/>
          <w:color w:val="auto"/>
          <w:sz w:val="24"/>
          <w:szCs w:val="24"/>
          <w:highlight w:val="none"/>
        </w:rPr>
        <w:fldChar w:fldCharType="separate"/>
      </w: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_Toc14733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lang w:val="en-US" w:eastAsia="zh-CN"/>
        </w:rPr>
        <w:t>第一部分  邀请供应商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_Toc14733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70712113">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_Toc8027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第二部分  竞争性磋商流程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_Toc8027 \h </w:instrText>
      </w:r>
      <w:r>
        <w:rPr>
          <w:color w:val="auto"/>
          <w:sz w:val="24"/>
          <w:szCs w:val="24"/>
          <w:highlight w:val="none"/>
        </w:rPr>
        <w:fldChar w:fldCharType="separate"/>
      </w:r>
      <w:r>
        <w:rPr>
          <w:color w:val="auto"/>
          <w:sz w:val="24"/>
          <w:szCs w:val="24"/>
          <w:highlight w:val="none"/>
        </w:rPr>
        <w:t>7</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186D4948">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_Toc25086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第三部分  供应商须知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_Toc25086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704C1006">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_Toc21470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第四部分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_Toc21470 \h </w:instrText>
      </w:r>
      <w:r>
        <w:rPr>
          <w:color w:val="auto"/>
          <w:sz w:val="24"/>
          <w:szCs w:val="24"/>
          <w:highlight w:val="none"/>
        </w:rPr>
        <w:fldChar w:fldCharType="separate"/>
      </w:r>
      <w:r>
        <w:rPr>
          <w:color w:val="auto"/>
          <w:sz w:val="24"/>
          <w:szCs w:val="24"/>
          <w:highlight w:val="none"/>
        </w:rPr>
        <w:t>34</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0E25E512">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_Toc20242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第五部分  评审方法及评审标准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_Toc20242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2461EB61">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_Toc12398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第六部分  拟签订的合同文本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_Toc12398 \h </w:instrText>
      </w:r>
      <w:r>
        <w:rPr>
          <w:color w:val="auto"/>
          <w:sz w:val="24"/>
          <w:szCs w:val="24"/>
          <w:highlight w:val="none"/>
        </w:rPr>
        <w:fldChar w:fldCharType="separate"/>
      </w:r>
      <w:r>
        <w:rPr>
          <w:color w:val="auto"/>
          <w:sz w:val="24"/>
          <w:szCs w:val="24"/>
          <w:highlight w:val="none"/>
        </w:rPr>
        <w:t>57</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02666531">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_Toc802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第七部分  应提交的有关格式范例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_Toc802 \h </w:instrText>
      </w:r>
      <w:r>
        <w:rPr>
          <w:color w:val="auto"/>
          <w:sz w:val="24"/>
          <w:szCs w:val="24"/>
          <w:highlight w:val="none"/>
        </w:rPr>
        <w:fldChar w:fldCharType="separate"/>
      </w:r>
      <w:r>
        <w:rPr>
          <w:color w:val="auto"/>
          <w:sz w:val="24"/>
          <w:szCs w:val="24"/>
          <w:highlight w:val="none"/>
        </w:rPr>
        <w:t>69</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1A2765B0">
      <w:pPr>
        <w:pStyle w:val="41"/>
        <w:tabs>
          <w:tab w:val="right" w:leader="dot" w:pos="9446"/>
        </w:tabs>
        <w:spacing w:line="360" w:lineRule="auto"/>
        <w:rPr>
          <w:color w:val="auto"/>
          <w:sz w:val="24"/>
          <w:szCs w:val="24"/>
          <w:highlight w:val="none"/>
        </w:rPr>
      </w:pPr>
      <w:r>
        <w:rPr>
          <w:rFonts w:cs="仿宋_GB2312" w:asciiTheme="minorEastAsia" w:hAnsiTheme="minorEastAsia" w:eastAsiaTheme="minorEastAsia"/>
          <w:color w:val="auto"/>
          <w:sz w:val="24"/>
          <w:szCs w:val="24"/>
          <w:highlight w:val="none"/>
        </w:rPr>
        <w:fldChar w:fldCharType="begin"/>
      </w:r>
      <w:r>
        <w:rPr>
          <w:rFonts w:cs="仿宋_GB2312" w:asciiTheme="minorEastAsia" w:hAnsiTheme="minorEastAsia" w:eastAsiaTheme="minorEastAsia"/>
          <w:color w:val="auto"/>
          <w:sz w:val="24"/>
          <w:szCs w:val="24"/>
          <w:highlight w:val="none"/>
        </w:rPr>
        <w:instrText xml:space="preserve"> HYPERLINK \l _Toc6047 </w:instrText>
      </w:r>
      <w:r>
        <w:rPr>
          <w:rFonts w:cs="仿宋_GB2312" w:asciiTheme="minorEastAsia" w:hAnsiTheme="minorEastAsia" w:eastAsiaTheme="minorEastAsia"/>
          <w:color w:val="auto"/>
          <w:sz w:val="24"/>
          <w:szCs w:val="24"/>
          <w:highlight w:val="none"/>
        </w:rPr>
        <w:fldChar w:fldCharType="separate"/>
      </w:r>
      <w:r>
        <w:rPr>
          <w:rFonts w:hint="eastAsia" w:cs="仿宋_GB2312" w:asciiTheme="minorEastAsia" w:hAnsiTheme="minorEastAsia" w:eastAsiaTheme="minorEastAsia"/>
          <w:color w:val="auto"/>
          <w:sz w:val="24"/>
          <w:szCs w:val="24"/>
          <w:highlight w:val="none"/>
        </w:rPr>
        <w:t xml:space="preserve">第八部分  </w:t>
      </w:r>
      <w:r>
        <w:rPr>
          <w:rFonts w:hint="eastAsia" w:cs="仿宋_GB2312" w:asciiTheme="minorEastAsia" w:hAnsiTheme="minorEastAsia" w:eastAsiaTheme="minorEastAsia"/>
          <w:color w:val="auto"/>
          <w:sz w:val="24"/>
          <w:szCs w:val="24"/>
          <w:highlight w:val="none"/>
          <w:lang w:val="en-US" w:eastAsia="zh-CN"/>
        </w:rPr>
        <w:t>最后</w:t>
      </w:r>
      <w:r>
        <w:rPr>
          <w:rFonts w:hint="eastAsia" w:cs="仿宋_GB2312" w:asciiTheme="minorEastAsia" w:hAnsiTheme="minorEastAsia" w:eastAsiaTheme="minorEastAsia"/>
          <w:color w:val="auto"/>
          <w:sz w:val="24"/>
          <w:szCs w:val="24"/>
          <w:highlight w:val="none"/>
        </w:rPr>
        <w:t>报价格式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_Toc6047 \h </w:instrText>
      </w:r>
      <w:r>
        <w:rPr>
          <w:color w:val="auto"/>
          <w:sz w:val="24"/>
          <w:szCs w:val="24"/>
          <w:highlight w:val="none"/>
        </w:rPr>
        <w:fldChar w:fldCharType="separate"/>
      </w:r>
      <w:r>
        <w:rPr>
          <w:color w:val="auto"/>
          <w:sz w:val="24"/>
          <w:szCs w:val="24"/>
          <w:highlight w:val="none"/>
        </w:rPr>
        <w:t>91</w:t>
      </w:r>
      <w:r>
        <w:rPr>
          <w:color w:val="auto"/>
          <w:sz w:val="24"/>
          <w:szCs w:val="24"/>
          <w:highlight w:val="none"/>
        </w:rPr>
        <w:fldChar w:fldCharType="end"/>
      </w:r>
      <w:r>
        <w:rPr>
          <w:rFonts w:cs="仿宋_GB2312" w:asciiTheme="minorEastAsia" w:hAnsiTheme="minorEastAsia" w:eastAsiaTheme="minorEastAsia"/>
          <w:color w:val="auto"/>
          <w:sz w:val="24"/>
          <w:szCs w:val="24"/>
          <w:highlight w:val="none"/>
        </w:rPr>
        <w:fldChar w:fldCharType="end"/>
      </w:r>
    </w:p>
    <w:p w14:paraId="03DFD45F">
      <w:pPr>
        <w:spacing w:line="360" w:lineRule="auto"/>
        <w:ind w:firstLine="549" w:firstLineChars="229"/>
        <w:rPr>
          <w:rFonts w:hint="eastAsia" w:cs="仿宋_GB2312" w:asciiTheme="minorEastAsia" w:hAnsiTheme="minorEastAsia" w:eastAsiaTheme="minorEastAsia"/>
          <w:color w:val="auto"/>
          <w:sz w:val="24"/>
          <w:highlight w:val="none"/>
        </w:rPr>
      </w:pPr>
      <w:r>
        <w:rPr>
          <w:rFonts w:cs="仿宋_GB2312" w:asciiTheme="minorEastAsia" w:hAnsiTheme="minorEastAsia" w:eastAsiaTheme="minorEastAsia"/>
          <w:color w:val="auto"/>
          <w:sz w:val="24"/>
          <w:szCs w:val="24"/>
          <w:highlight w:val="none"/>
        </w:rPr>
        <w:fldChar w:fldCharType="end"/>
      </w:r>
    </w:p>
    <w:p w14:paraId="21B0C376">
      <w:pPr>
        <w:spacing w:line="360" w:lineRule="auto"/>
        <w:ind w:firstLine="549" w:firstLineChars="229"/>
        <w:rPr>
          <w:rFonts w:hint="eastAsia" w:cs="仿宋_GB2312" w:asciiTheme="minorEastAsia" w:hAnsiTheme="minorEastAsia" w:eastAsiaTheme="minorEastAsia"/>
          <w:color w:val="auto"/>
          <w:sz w:val="24"/>
          <w:highlight w:val="none"/>
        </w:rPr>
      </w:pPr>
    </w:p>
    <w:p w14:paraId="49314E73">
      <w:pPr>
        <w:spacing w:line="360" w:lineRule="auto"/>
        <w:ind w:firstLine="549" w:firstLineChars="229"/>
        <w:rPr>
          <w:rFonts w:hint="eastAsia" w:cs="仿宋_GB2312" w:asciiTheme="minorEastAsia" w:hAnsiTheme="minorEastAsia" w:eastAsiaTheme="minorEastAsia"/>
          <w:color w:val="auto"/>
          <w:sz w:val="24"/>
          <w:highlight w:val="none"/>
        </w:rPr>
      </w:pPr>
    </w:p>
    <w:p w14:paraId="7F9BB8B8">
      <w:pPr>
        <w:spacing w:line="360" w:lineRule="auto"/>
        <w:ind w:firstLine="549" w:firstLineChars="229"/>
        <w:rPr>
          <w:rFonts w:hint="eastAsia" w:cs="仿宋_GB2312" w:asciiTheme="minorEastAsia" w:hAnsiTheme="minorEastAsia" w:eastAsiaTheme="minorEastAsia"/>
          <w:color w:val="auto"/>
          <w:sz w:val="24"/>
          <w:highlight w:val="none"/>
        </w:rPr>
      </w:pPr>
    </w:p>
    <w:p w14:paraId="1FA5D426">
      <w:pPr>
        <w:spacing w:line="360" w:lineRule="auto"/>
        <w:ind w:firstLine="549" w:firstLineChars="229"/>
        <w:rPr>
          <w:rFonts w:hint="eastAsia" w:cs="仿宋_GB2312" w:asciiTheme="minorEastAsia" w:hAnsiTheme="minorEastAsia" w:eastAsiaTheme="minorEastAsia"/>
          <w:color w:val="auto"/>
          <w:sz w:val="24"/>
          <w:highlight w:val="none"/>
        </w:rPr>
      </w:pPr>
    </w:p>
    <w:p w14:paraId="1B5BC4EB">
      <w:pPr>
        <w:spacing w:line="360" w:lineRule="auto"/>
        <w:ind w:firstLine="549" w:firstLineChars="229"/>
        <w:rPr>
          <w:rFonts w:hint="eastAsia" w:cs="仿宋_GB2312" w:asciiTheme="minorEastAsia" w:hAnsiTheme="minorEastAsia" w:eastAsiaTheme="minorEastAsia"/>
          <w:color w:val="auto"/>
          <w:sz w:val="24"/>
          <w:highlight w:val="none"/>
        </w:rPr>
      </w:pPr>
    </w:p>
    <w:p w14:paraId="03EF4C89">
      <w:pPr>
        <w:spacing w:line="360" w:lineRule="auto"/>
        <w:ind w:firstLine="549" w:firstLineChars="229"/>
        <w:rPr>
          <w:rFonts w:hint="eastAsia" w:cs="仿宋_GB2312" w:asciiTheme="minorEastAsia" w:hAnsiTheme="minorEastAsia" w:eastAsiaTheme="minorEastAsia"/>
          <w:color w:val="auto"/>
          <w:sz w:val="24"/>
          <w:highlight w:val="none"/>
        </w:rPr>
      </w:pPr>
    </w:p>
    <w:p w14:paraId="0528D2C2">
      <w:pPr>
        <w:spacing w:line="360" w:lineRule="auto"/>
        <w:ind w:firstLine="549" w:firstLineChars="229"/>
        <w:rPr>
          <w:rFonts w:hint="eastAsia" w:cs="仿宋_GB2312" w:asciiTheme="minorEastAsia" w:hAnsiTheme="minorEastAsia" w:eastAsiaTheme="minorEastAsia"/>
          <w:color w:val="auto"/>
          <w:sz w:val="24"/>
          <w:highlight w:val="none"/>
        </w:rPr>
      </w:pPr>
    </w:p>
    <w:p w14:paraId="6E3CDF48">
      <w:pPr>
        <w:spacing w:line="360" w:lineRule="auto"/>
        <w:ind w:firstLine="549" w:firstLineChars="229"/>
        <w:rPr>
          <w:rFonts w:hint="eastAsia" w:cs="仿宋_GB2312" w:asciiTheme="minorEastAsia" w:hAnsiTheme="minorEastAsia" w:eastAsiaTheme="minorEastAsia"/>
          <w:color w:val="auto"/>
          <w:sz w:val="24"/>
          <w:highlight w:val="none"/>
        </w:rPr>
      </w:pPr>
    </w:p>
    <w:p w14:paraId="28CF2604">
      <w:pPr>
        <w:spacing w:line="360" w:lineRule="auto"/>
        <w:ind w:firstLine="549" w:firstLineChars="229"/>
        <w:rPr>
          <w:rFonts w:hint="eastAsia" w:cs="仿宋_GB2312" w:asciiTheme="minorEastAsia" w:hAnsiTheme="minorEastAsia" w:eastAsiaTheme="minorEastAsia"/>
          <w:color w:val="auto"/>
          <w:sz w:val="24"/>
          <w:highlight w:val="none"/>
        </w:rPr>
      </w:pPr>
    </w:p>
    <w:p w14:paraId="71051152">
      <w:pPr>
        <w:spacing w:line="360" w:lineRule="auto"/>
        <w:ind w:firstLine="549" w:firstLineChars="229"/>
        <w:rPr>
          <w:rFonts w:hint="eastAsia" w:cs="仿宋_GB2312" w:asciiTheme="minorEastAsia" w:hAnsiTheme="minorEastAsia" w:eastAsiaTheme="minorEastAsia"/>
          <w:color w:val="auto"/>
          <w:sz w:val="24"/>
          <w:highlight w:val="none"/>
        </w:rPr>
      </w:pPr>
    </w:p>
    <w:p w14:paraId="4CCA9E3C">
      <w:pPr>
        <w:spacing w:line="360" w:lineRule="auto"/>
        <w:ind w:firstLine="549" w:firstLineChars="229"/>
        <w:rPr>
          <w:rFonts w:hint="eastAsia" w:cs="仿宋_GB2312" w:asciiTheme="minorEastAsia" w:hAnsiTheme="minorEastAsia" w:eastAsiaTheme="minorEastAsia"/>
          <w:color w:val="auto"/>
          <w:sz w:val="24"/>
          <w:highlight w:val="none"/>
        </w:rPr>
      </w:pPr>
    </w:p>
    <w:p w14:paraId="5A5C962E">
      <w:pPr>
        <w:spacing w:line="360" w:lineRule="auto"/>
        <w:ind w:firstLine="549" w:firstLineChars="229"/>
        <w:rPr>
          <w:rFonts w:hint="eastAsia" w:cs="仿宋_GB2312" w:asciiTheme="minorEastAsia" w:hAnsiTheme="minorEastAsia" w:eastAsiaTheme="minorEastAsia"/>
          <w:color w:val="auto"/>
          <w:sz w:val="24"/>
          <w:highlight w:val="none"/>
        </w:rPr>
      </w:pPr>
    </w:p>
    <w:p w14:paraId="43FB0026">
      <w:pPr>
        <w:spacing w:line="360" w:lineRule="auto"/>
        <w:rPr>
          <w:rFonts w:hint="eastAsia" w:cs="仿宋_GB2312" w:asciiTheme="minorEastAsia" w:hAnsiTheme="minorEastAsia" w:eastAsiaTheme="minorEastAsia"/>
          <w:color w:val="auto"/>
          <w:sz w:val="24"/>
          <w:highlight w:val="none"/>
        </w:rPr>
      </w:pPr>
    </w:p>
    <w:bookmarkEnd w:id="3"/>
    <w:p w14:paraId="10D04EFC">
      <w:pPr>
        <w:adjustRightInd/>
        <w:jc w:val="center"/>
        <w:outlineLvl w:val="0"/>
        <w:rPr>
          <w:rFonts w:hint="eastAsia" w:cs="仿宋_GB2312" w:asciiTheme="minorEastAsia" w:hAnsiTheme="minorEastAsia" w:eastAsiaTheme="minorEastAsia"/>
          <w:b/>
          <w:color w:val="auto"/>
          <w:sz w:val="36"/>
          <w:szCs w:val="20"/>
          <w:highlight w:val="none"/>
          <w:lang w:eastAsia="zh-CN"/>
        </w:rPr>
        <w:sectPr>
          <w:pgSz w:w="11907" w:h="16839"/>
          <w:pgMar w:top="1417" w:right="1417" w:bottom="1417" w:left="1417" w:header="850" w:footer="850" w:gutter="0"/>
          <w:pgNumType w:fmt="decimal"/>
          <w:cols w:space="720" w:num="1"/>
          <w:rtlGutter w:val="0"/>
        </w:sectPr>
      </w:pPr>
      <w:bookmarkStart w:id="4" w:name="_Hlt74729822"/>
      <w:bookmarkEnd w:id="4"/>
      <w:bookmarkStart w:id="5" w:name="_Hlt74728647"/>
      <w:bookmarkEnd w:id="5"/>
      <w:bookmarkStart w:id="6" w:name="_Hlt74649545"/>
      <w:bookmarkEnd w:id="6"/>
      <w:bookmarkStart w:id="7" w:name="_Hlt74707423"/>
      <w:bookmarkEnd w:id="7"/>
      <w:bookmarkStart w:id="8" w:name="第二部分"/>
      <w:bookmarkStart w:id="9" w:name="_Toc91899870"/>
      <w:bookmarkStart w:id="10" w:name="_Toc91899871"/>
    </w:p>
    <w:p w14:paraId="4972EBE5">
      <w:pPr>
        <w:adjustRightInd/>
        <w:jc w:val="center"/>
        <w:outlineLvl w:val="0"/>
        <w:rPr>
          <w:rFonts w:hint="eastAsia" w:cs="仿宋_GB2312" w:asciiTheme="minorEastAsia" w:hAnsiTheme="minorEastAsia" w:eastAsiaTheme="minorEastAsia"/>
          <w:b/>
          <w:color w:val="auto"/>
          <w:sz w:val="36"/>
          <w:szCs w:val="20"/>
          <w:highlight w:val="none"/>
          <w:lang w:val="en-US" w:eastAsia="zh-CN"/>
        </w:rPr>
      </w:pPr>
      <w:bookmarkStart w:id="11" w:name="_Toc14733"/>
      <w:r>
        <w:rPr>
          <w:rFonts w:hint="eastAsia" w:cs="仿宋_GB2312" w:asciiTheme="minorEastAsia" w:hAnsiTheme="minorEastAsia" w:eastAsiaTheme="minorEastAsia"/>
          <w:b/>
          <w:color w:val="auto"/>
          <w:sz w:val="36"/>
          <w:szCs w:val="20"/>
          <w:highlight w:val="none"/>
          <w:lang w:val="en-US" w:eastAsia="zh-CN"/>
        </w:rPr>
        <w:t>第一部分 邀请供应商</w:t>
      </w:r>
      <w:bookmarkEnd w:id="11"/>
    </w:p>
    <w:p w14:paraId="06AD0F2A">
      <w:pPr>
        <w:adjustRightInd/>
        <w:jc w:val="center"/>
        <w:outlineLvl w:val="9"/>
        <w:rPr>
          <w:rFonts w:hint="eastAsia" w:cs="仿宋_GB2312" w:asciiTheme="minorEastAsia" w:hAnsiTheme="minorEastAsia" w:eastAsiaTheme="minorEastAsia"/>
          <w:b/>
          <w:color w:val="auto"/>
          <w:sz w:val="32"/>
          <w:szCs w:val="32"/>
          <w:highlight w:val="none"/>
          <w:lang w:eastAsia="zh-CN"/>
        </w:rPr>
      </w:pPr>
    </w:p>
    <w:p w14:paraId="34A441B6">
      <w:pPr>
        <w:adjustRightInd/>
        <w:jc w:val="center"/>
        <w:outlineLvl w:val="9"/>
        <w:rPr>
          <w:rFonts w:hint="eastAsia" w:cs="仿宋_GB2312" w:asciiTheme="minorEastAsia" w:hAnsiTheme="minorEastAsia" w:eastAsiaTheme="minorEastAsia"/>
          <w:b/>
          <w:color w:val="auto"/>
          <w:sz w:val="32"/>
          <w:szCs w:val="32"/>
          <w:highlight w:val="none"/>
          <w:lang w:eastAsia="zh-CN"/>
        </w:rPr>
      </w:pPr>
      <w:r>
        <w:rPr>
          <w:rFonts w:hint="eastAsia" w:cs="仿宋_GB2312" w:asciiTheme="minorEastAsia" w:hAnsiTheme="minorEastAsia" w:eastAsiaTheme="minorEastAsia"/>
          <w:b/>
          <w:color w:val="auto"/>
          <w:sz w:val="32"/>
          <w:szCs w:val="32"/>
          <w:highlight w:val="none"/>
          <w:lang w:eastAsia="zh-CN"/>
        </w:rPr>
        <w:t>广西北部湾宏亚建设管理有限公司</w:t>
      </w:r>
      <w:r>
        <w:rPr>
          <w:rFonts w:hint="eastAsia" w:cs="仿宋_GB2312" w:asciiTheme="minorEastAsia" w:hAnsiTheme="minorEastAsia" w:eastAsiaTheme="minorEastAsia"/>
          <w:b/>
          <w:color w:val="auto"/>
          <w:sz w:val="32"/>
          <w:szCs w:val="32"/>
          <w:highlight w:val="none"/>
        </w:rPr>
        <w:t>关于</w:t>
      </w:r>
      <w:r>
        <w:rPr>
          <w:rFonts w:hint="eastAsia" w:cs="仿宋_GB2312" w:asciiTheme="minorEastAsia" w:hAnsiTheme="minorEastAsia" w:eastAsiaTheme="minorEastAsia"/>
          <w:b/>
          <w:color w:val="auto"/>
          <w:sz w:val="32"/>
          <w:szCs w:val="32"/>
          <w:highlight w:val="none"/>
          <w:lang w:eastAsia="zh-CN"/>
        </w:rPr>
        <w:t>北海市2025 年度高标准农田建设项目市级竣工验收</w:t>
      </w:r>
      <w:r>
        <w:rPr>
          <w:rFonts w:hint="eastAsia" w:cs="仿宋_GB2312" w:asciiTheme="minorEastAsia" w:hAnsiTheme="minorEastAsia" w:eastAsiaTheme="minorEastAsia"/>
          <w:b/>
          <w:color w:val="auto"/>
          <w:sz w:val="32"/>
          <w:szCs w:val="32"/>
          <w:highlight w:val="none"/>
          <w:lang w:val="en-US" w:eastAsia="zh-CN"/>
        </w:rPr>
        <w:t>的</w:t>
      </w:r>
      <w:r>
        <w:rPr>
          <w:rFonts w:hint="eastAsia" w:cs="仿宋_GB2312" w:asciiTheme="minorEastAsia" w:hAnsiTheme="minorEastAsia" w:eastAsiaTheme="minorEastAsia"/>
          <w:b/>
          <w:color w:val="auto"/>
          <w:sz w:val="32"/>
          <w:szCs w:val="32"/>
          <w:highlight w:val="none"/>
        </w:rPr>
        <w:t>竞争性磋商公告</w:t>
      </w:r>
    </w:p>
    <w:p w14:paraId="5F269EC8">
      <w:pPr>
        <w:spacing w:line="360" w:lineRule="auto"/>
        <w:rPr>
          <w:rFonts w:hint="eastAsia" w:asciiTheme="minorEastAsia" w:hAnsiTheme="minorEastAsia" w:eastAsiaTheme="minorEastAsia"/>
          <w:color w:val="auto"/>
          <w:sz w:val="24"/>
          <w:szCs w:val="24"/>
          <w:highlight w:val="none"/>
        </w:rPr>
      </w:pPr>
    </w:p>
    <w:tbl>
      <w:tblPr>
        <w:tblStyle w:val="61"/>
        <w:tblpPr w:leftFromText="180" w:rightFromText="180" w:vertAnchor="text" w:horzAnchor="page" w:tblpX="1151" w:tblpY="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8"/>
      </w:tblGrid>
      <w:tr w14:paraId="4744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noWrap w:val="0"/>
            <w:vAlign w:val="top"/>
          </w:tcPr>
          <w:p w14:paraId="5FF6AAC3">
            <w:pPr>
              <w:spacing w:line="3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项目概况 </w:t>
            </w:r>
          </w:p>
          <w:p w14:paraId="61985EEF">
            <w:pPr>
              <w:spacing w:line="340" w:lineRule="exact"/>
              <w:ind w:firstLine="480" w:firstLineChars="200"/>
              <w:rPr>
                <w:rFonts w:hint="eastAsia" w:ascii="宋体" w:hAnsi="宋体" w:cs="宋体"/>
                <w:color w:val="auto"/>
                <w:sz w:val="24"/>
                <w:szCs w:val="24"/>
                <w:highlight w:val="none"/>
              </w:rPr>
            </w:pPr>
            <w:r>
              <w:rPr>
                <w:rFonts w:hint="eastAsia" w:ascii="宋体" w:hAnsi="宋体" w:cs="宋体"/>
                <w:b w:val="0"/>
                <w:color w:val="auto"/>
                <w:kern w:val="0"/>
                <w:sz w:val="24"/>
                <w:szCs w:val="24"/>
                <w:highlight w:val="none"/>
                <w:u w:val="single"/>
                <w:lang w:eastAsia="zh-CN"/>
              </w:rPr>
              <w:t>北海市2025 年度高标准农田建设项目市级竣工验收</w:t>
            </w:r>
            <w:r>
              <w:rPr>
                <w:rFonts w:hint="eastAsia" w:ascii="宋体" w:hAnsi="宋体" w:cs="宋体"/>
                <w:color w:val="auto"/>
                <w:sz w:val="24"/>
                <w:szCs w:val="24"/>
                <w:highlight w:val="none"/>
              </w:rPr>
              <w:t>项目的潜在供应商应在</w:t>
            </w:r>
            <w:r>
              <w:rPr>
                <w:rFonts w:hint="eastAsia" w:hAnsi="宋体"/>
                <w:color w:val="auto"/>
                <w:sz w:val="24"/>
                <w:szCs w:val="24"/>
                <w:highlight w:val="none"/>
              </w:rPr>
              <w:t>广西政府采购云平台（</w:t>
            </w:r>
            <w:r>
              <w:rPr>
                <w:rFonts w:hAnsi="宋体"/>
                <w:color w:val="auto"/>
                <w:sz w:val="24"/>
                <w:szCs w:val="24"/>
                <w:highlight w:val="none"/>
              </w:rPr>
              <w:t>https://www.zcygov.cn/</w:t>
            </w:r>
            <w:r>
              <w:rPr>
                <w:rFonts w:hint="eastAsia" w:hAnsi="宋体"/>
                <w:color w:val="auto"/>
                <w:sz w:val="24"/>
                <w:szCs w:val="24"/>
                <w:highlight w:val="none"/>
              </w:rPr>
              <w:t>）</w:t>
            </w:r>
            <w:r>
              <w:rPr>
                <w:rFonts w:hint="eastAsia" w:ascii="宋体" w:hAnsi="宋体" w:cs="宋体"/>
                <w:color w:val="auto"/>
                <w:sz w:val="24"/>
                <w:szCs w:val="24"/>
                <w:highlight w:val="none"/>
              </w:rPr>
              <w:t>获取采购文件，并于</w:t>
            </w:r>
            <w:r>
              <w:rPr>
                <w:rFonts w:hint="eastAsia" w:ascii="宋体" w:hAnsi="宋体" w:cs="宋体"/>
                <w:color w:val="auto"/>
                <w:sz w:val="24"/>
                <w:szCs w:val="24"/>
                <w:highlight w:val="none"/>
                <w:lang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15时00分</w:t>
            </w:r>
            <w:r>
              <w:rPr>
                <w:rFonts w:hint="eastAsia" w:ascii="宋体" w:hAnsi="宋体" w:cs="宋体"/>
                <w:color w:val="auto"/>
                <w:sz w:val="24"/>
                <w:szCs w:val="24"/>
                <w:highlight w:val="none"/>
              </w:rPr>
              <w:t xml:space="preserve">（北京时间）前提交响应文件。 </w:t>
            </w:r>
          </w:p>
        </w:tc>
      </w:tr>
    </w:tbl>
    <w:p w14:paraId="53E7FF3A">
      <w:pPr>
        <w:spacing w:line="360" w:lineRule="auto"/>
        <w:rPr>
          <w:rFonts w:hint="eastAsia" w:ascii="宋体" w:hAnsi="宋体" w:cs="宋体"/>
          <w:b/>
          <w:bCs/>
          <w:color w:val="auto"/>
          <w:sz w:val="24"/>
          <w:szCs w:val="24"/>
          <w:highlight w:val="none"/>
        </w:rPr>
      </w:pPr>
    </w:p>
    <w:p w14:paraId="198A5F99">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一、项目基本情况</w:t>
      </w:r>
    </w:p>
    <w:p w14:paraId="00BFB918">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项目编号</w:t>
      </w:r>
      <w:r>
        <w:rPr>
          <w:rFonts w:hint="eastAsia" w:ascii="宋体" w:hAnsi="宋体" w:eastAsia="宋体" w:cs="宋体"/>
          <w:color w:val="auto"/>
          <w:sz w:val="24"/>
          <w:szCs w:val="24"/>
          <w:highlight w:val="none"/>
        </w:rPr>
        <w:t>：BHZC2026-C3-990306-BBWH</w:t>
      </w:r>
    </w:p>
    <w:p w14:paraId="22460353">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项目名称：</w:t>
      </w:r>
      <w:r>
        <w:rPr>
          <w:rFonts w:hint="eastAsia" w:ascii="宋体" w:hAnsi="宋体" w:cs="宋体"/>
          <w:b w:val="0"/>
          <w:color w:val="auto"/>
          <w:kern w:val="0"/>
          <w:sz w:val="24"/>
          <w:szCs w:val="24"/>
          <w:highlight w:val="none"/>
          <w:u w:val="none"/>
          <w:lang w:eastAsia="zh-CN"/>
        </w:rPr>
        <w:t>北海市2025 年度高标准农田建设项目市级竣工验收</w:t>
      </w:r>
    </w:p>
    <w:p w14:paraId="32995E8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采购方式：竞争性磋商</w:t>
      </w:r>
    </w:p>
    <w:p w14:paraId="6749B381">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预算</w:t>
      </w:r>
      <w:r>
        <w:rPr>
          <w:rFonts w:hint="eastAsia" w:ascii="宋体" w:hAnsi="宋体" w:cs="宋体"/>
          <w:color w:val="auto"/>
          <w:sz w:val="24"/>
          <w:szCs w:val="24"/>
          <w:highlight w:val="none"/>
          <w:lang w:eastAsia="zh-CN"/>
        </w:rPr>
        <w:t>总</w:t>
      </w:r>
      <w:r>
        <w:rPr>
          <w:rFonts w:hint="eastAsia" w:ascii="宋体" w:hAnsi="宋体" w:cs="宋体"/>
          <w:color w:val="auto"/>
          <w:sz w:val="24"/>
          <w:szCs w:val="24"/>
          <w:highlight w:val="none"/>
        </w:rPr>
        <w:t>金额（元）：</w:t>
      </w:r>
      <w:r>
        <w:rPr>
          <w:rFonts w:hint="eastAsia" w:ascii="宋体" w:hAnsi="宋体" w:cs="宋体"/>
          <w:b w:val="0"/>
          <w:bCs w:val="0"/>
          <w:color w:val="auto"/>
          <w:sz w:val="24"/>
          <w:szCs w:val="24"/>
          <w:highlight w:val="none"/>
          <w:u w:val="none"/>
          <w:lang w:val="en-US" w:eastAsia="zh-CN"/>
        </w:rPr>
        <w:t>138</w:t>
      </w:r>
      <w:r>
        <w:rPr>
          <w:rFonts w:hint="eastAsia" w:ascii="宋体" w:hAnsi="宋体" w:eastAsia="宋体" w:cs="宋体"/>
          <w:b w:val="0"/>
          <w:bCs w:val="0"/>
          <w:color w:val="auto"/>
          <w:sz w:val="24"/>
          <w:szCs w:val="24"/>
          <w:highlight w:val="none"/>
          <w:u w:val="none"/>
          <w:lang w:val="en-US" w:eastAsia="zh-CN"/>
        </w:rPr>
        <w:t>0000.00</w:t>
      </w:r>
    </w:p>
    <w:p w14:paraId="59CD6441">
      <w:pPr>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采购需求：</w:t>
      </w:r>
      <w:r>
        <w:rPr>
          <w:rFonts w:hint="eastAsia" w:ascii="宋体" w:hAnsi="宋体" w:cs="宋体"/>
          <w:color w:val="auto"/>
          <w:sz w:val="24"/>
          <w:szCs w:val="24"/>
          <w:highlight w:val="none"/>
          <w:lang w:val="en-US" w:eastAsia="zh-CN"/>
        </w:rPr>
        <w:t>对</w:t>
      </w:r>
      <w:r>
        <w:rPr>
          <w:rFonts w:hint="eastAsia" w:ascii="宋体" w:hAnsi="宋体" w:cs="宋体"/>
          <w:color w:val="auto"/>
          <w:sz w:val="24"/>
          <w:szCs w:val="24"/>
          <w:highlight w:val="none"/>
        </w:rPr>
        <w:t>自治区下达北海市2025年度高标准农田建设任务</w:t>
      </w:r>
      <w:r>
        <w:rPr>
          <w:rFonts w:hint="eastAsia" w:ascii="宋体" w:hAnsi="宋体" w:cs="宋体"/>
          <w:color w:val="auto"/>
          <w:sz w:val="24"/>
          <w:szCs w:val="24"/>
          <w:highlight w:val="none"/>
          <w:lang w:val="en-US" w:eastAsia="zh-CN"/>
        </w:rPr>
        <w:t>进行竣工验收，</w:t>
      </w:r>
      <w:r>
        <w:rPr>
          <w:rFonts w:hint="eastAsia" w:ascii="宋体" w:hAnsi="宋体" w:cs="宋体"/>
          <w:color w:val="auto"/>
          <w:sz w:val="24"/>
          <w:szCs w:val="24"/>
          <w:highlight w:val="none"/>
        </w:rPr>
        <w:t>共</w:t>
      </w:r>
      <w:r>
        <w:rPr>
          <w:rFonts w:hint="eastAsia" w:ascii="宋体" w:hAnsi="宋体" w:cs="宋体"/>
          <w:color w:val="auto"/>
          <w:sz w:val="24"/>
          <w:szCs w:val="24"/>
          <w:highlight w:val="none"/>
          <w:lang w:val="en-US" w:eastAsia="zh-CN"/>
        </w:rPr>
        <w:t>计</w:t>
      </w:r>
      <w:r>
        <w:rPr>
          <w:rFonts w:hint="eastAsia" w:ascii="宋体" w:hAnsi="宋体" w:cs="宋体"/>
          <w:color w:val="auto"/>
          <w:sz w:val="24"/>
          <w:szCs w:val="24"/>
          <w:highlight w:val="none"/>
        </w:rPr>
        <w:t>11.1万亩， 其中新建2.4万亩，改造8.7万亩</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具体验收范围以实际建设面积为准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具体内容详见竞争性磋商采购文件。</w:t>
      </w:r>
    </w:p>
    <w:p w14:paraId="1687908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标项一：</w:t>
      </w:r>
    </w:p>
    <w:p w14:paraId="25DCEF0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eastAsia="宋体" w:cs="宋体"/>
          <w:b w:val="0"/>
          <w:color w:val="auto"/>
          <w:kern w:val="0"/>
          <w:sz w:val="24"/>
          <w:szCs w:val="24"/>
          <w:highlight w:val="none"/>
          <w:u w:val="none"/>
          <w:lang w:val="en-US" w:eastAsia="zh-CN"/>
        </w:rPr>
      </w:pPr>
      <w:r>
        <w:rPr>
          <w:rFonts w:hint="eastAsia" w:ascii="宋体" w:hAnsi="宋体" w:cs="宋体"/>
          <w:color w:val="auto"/>
          <w:sz w:val="24"/>
          <w:szCs w:val="24"/>
          <w:highlight w:val="none"/>
        </w:rPr>
        <w:t>标项名称：</w:t>
      </w:r>
      <w:r>
        <w:rPr>
          <w:rFonts w:hint="eastAsia" w:ascii="宋体" w:hAnsi="宋体" w:cs="宋体"/>
          <w:b w:val="0"/>
          <w:color w:val="auto"/>
          <w:kern w:val="0"/>
          <w:sz w:val="24"/>
          <w:szCs w:val="24"/>
          <w:highlight w:val="none"/>
          <w:u w:val="none"/>
          <w:lang w:eastAsia="zh-CN"/>
        </w:rPr>
        <w:t>北海市2025 年度高标准农田建设项目市级竣工验收</w:t>
      </w:r>
      <w:r>
        <w:rPr>
          <w:rFonts w:hint="eastAsia" w:ascii="宋体" w:hAnsi="宋体" w:cs="宋体"/>
          <w:color w:val="auto"/>
          <w:sz w:val="24"/>
          <w:szCs w:val="24"/>
          <w:highlight w:val="none"/>
          <w:lang w:val="en-US" w:eastAsia="zh-CN"/>
        </w:rPr>
        <w:t>标项一</w:t>
      </w:r>
    </w:p>
    <w:p w14:paraId="11B828A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数量：1项</w:t>
      </w:r>
    </w:p>
    <w:p w14:paraId="5C392B3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预算金额（元）：</w:t>
      </w:r>
      <w:r>
        <w:rPr>
          <w:rFonts w:hint="eastAsia" w:ascii="宋体" w:hAnsi="宋体" w:cs="宋体"/>
          <w:b w:val="0"/>
          <w:bCs w:val="0"/>
          <w:color w:val="auto"/>
          <w:sz w:val="24"/>
          <w:szCs w:val="24"/>
          <w:highlight w:val="none"/>
          <w:u w:val="none"/>
          <w:lang w:val="en-US" w:eastAsia="zh-CN"/>
        </w:rPr>
        <w:t>68</w:t>
      </w:r>
      <w:r>
        <w:rPr>
          <w:rFonts w:hint="eastAsia" w:ascii="宋体" w:hAnsi="宋体" w:eastAsia="宋体" w:cs="宋体"/>
          <w:b w:val="0"/>
          <w:bCs w:val="0"/>
          <w:color w:val="auto"/>
          <w:sz w:val="24"/>
          <w:szCs w:val="24"/>
          <w:highlight w:val="none"/>
          <w:u w:val="none"/>
          <w:lang w:val="en-US" w:eastAsia="zh-CN"/>
        </w:rPr>
        <w:t>0000.00</w:t>
      </w:r>
    </w:p>
    <w:p w14:paraId="463F972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宋体" w:hAnsi="宋体" w:cs="宋体"/>
          <w:color w:val="auto"/>
          <w:sz w:val="24"/>
          <w:szCs w:val="24"/>
          <w:highlight w:val="none"/>
        </w:rPr>
      </w:pPr>
      <w:r>
        <w:rPr>
          <w:rFonts w:ascii="仿宋" w:hAnsi="仿宋"/>
          <w:color w:val="auto"/>
          <w:sz w:val="24"/>
          <w:szCs w:val="24"/>
          <w:highlight w:val="none"/>
        </w:rPr>
        <w:t>简要规格描述或项目基本概况介绍、用途：</w:t>
      </w:r>
      <w:r>
        <w:rPr>
          <w:rFonts w:hint="eastAsia" w:ascii="宋体" w:hAnsi="宋体" w:cs="宋体"/>
          <w:color w:val="auto"/>
          <w:sz w:val="24"/>
          <w:szCs w:val="24"/>
          <w:highlight w:val="none"/>
          <w:lang w:val="en-US" w:eastAsia="zh-CN"/>
        </w:rPr>
        <w:t>对</w:t>
      </w:r>
      <w:r>
        <w:rPr>
          <w:rFonts w:hint="eastAsia" w:ascii="宋体" w:hAnsi="宋体" w:cs="宋体"/>
          <w:color w:val="auto"/>
          <w:sz w:val="24"/>
          <w:szCs w:val="24"/>
          <w:highlight w:val="none"/>
        </w:rPr>
        <w:t>自治区下达北海市2025年度高标准农田建设任务</w:t>
      </w:r>
      <w:r>
        <w:rPr>
          <w:rFonts w:hint="eastAsia" w:ascii="宋体" w:hAnsi="宋体" w:cs="宋体"/>
          <w:color w:val="auto"/>
          <w:sz w:val="24"/>
          <w:szCs w:val="24"/>
          <w:highlight w:val="none"/>
          <w:lang w:val="en-US" w:eastAsia="zh-CN"/>
        </w:rPr>
        <w:t>的5个项目进行竣工验收</w:t>
      </w:r>
      <w:r>
        <w:rPr>
          <w:rFonts w:hint="eastAsia" w:ascii="仿宋" w:hAnsi="仿宋"/>
          <w:color w:val="auto"/>
          <w:sz w:val="24"/>
          <w:szCs w:val="24"/>
          <w:highlight w:val="none"/>
          <w:lang w:eastAsia="zh-CN"/>
        </w:rPr>
        <w:t>，</w:t>
      </w:r>
      <w:r>
        <w:rPr>
          <w:rFonts w:hint="eastAsia" w:cs="Times New Roman"/>
          <w:b w:val="0"/>
          <w:bCs/>
          <w:color w:val="auto"/>
          <w:kern w:val="2"/>
          <w:sz w:val="24"/>
          <w:szCs w:val="24"/>
          <w:highlight w:val="none"/>
          <w:lang w:val="en-US" w:eastAsia="zh-CN" w:bidi="ar-SA"/>
        </w:rPr>
        <w:t>分别是：2025年合浦县高标准农田新建和改造项目（石康镇片区）、2025年合浦县高标准农田新建和改造项目（石湾镇片区）、2025年合浦县高标准农田新建和改造项目（廉州镇片区）、2025年合浦县高标准农田新建和改造项目（沙岗镇片区）、2025年合浦县高标准农田新建和改造项目（西场镇片区）,</w:t>
      </w:r>
      <w:r>
        <w:rPr>
          <w:rFonts w:hint="eastAsia" w:ascii="仿宋" w:hAnsi="仿宋"/>
          <w:color w:val="auto"/>
          <w:sz w:val="24"/>
          <w:szCs w:val="24"/>
          <w:highlight w:val="none"/>
          <w:lang w:val="en-US" w:eastAsia="zh-CN"/>
        </w:rPr>
        <w:t>具体内容</w:t>
      </w:r>
      <w:r>
        <w:rPr>
          <w:rFonts w:hint="eastAsia" w:ascii="仿宋" w:hAnsi="仿宋"/>
          <w:color w:val="auto"/>
          <w:sz w:val="24"/>
          <w:szCs w:val="24"/>
          <w:highlight w:val="none"/>
        </w:rPr>
        <w:t>详见</w:t>
      </w:r>
      <w:r>
        <w:rPr>
          <w:rFonts w:hint="eastAsia" w:ascii="仿宋" w:hAnsi="仿宋"/>
          <w:color w:val="auto"/>
          <w:sz w:val="24"/>
          <w:szCs w:val="24"/>
          <w:highlight w:val="none"/>
          <w:lang w:val="en-US" w:eastAsia="zh-CN"/>
        </w:rPr>
        <w:t>竞争性</w:t>
      </w:r>
      <w:r>
        <w:rPr>
          <w:rFonts w:hint="eastAsia" w:ascii="仿宋" w:hAnsi="仿宋"/>
          <w:color w:val="auto"/>
          <w:sz w:val="24"/>
          <w:szCs w:val="24"/>
          <w:highlight w:val="none"/>
        </w:rPr>
        <w:t>磋商</w:t>
      </w:r>
      <w:r>
        <w:rPr>
          <w:rFonts w:hint="eastAsia" w:ascii="仿宋" w:hAnsi="仿宋"/>
          <w:color w:val="auto"/>
          <w:sz w:val="24"/>
          <w:szCs w:val="24"/>
          <w:highlight w:val="none"/>
          <w:lang w:val="en-US" w:eastAsia="zh-CN"/>
        </w:rPr>
        <w:t>采购</w:t>
      </w:r>
      <w:r>
        <w:rPr>
          <w:rFonts w:hint="eastAsia" w:ascii="仿宋" w:hAnsi="仿宋"/>
          <w:color w:val="auto"/>
          <w:sz w:val="24"/>
          <w:szCs w:val="24"/>
          <w:highlight w:val="none"/>
        </w:rPr>
        <w:t>文件</w:t>
      </w:r>
      <w:r>
        <w:rPr>
          <w:rFonts w:hint="eastAsia"/>
          <w:color w:val="auto"/>
          <w:sz w:val="24"/>
          <w:szCs w:val="24"/>
          <w:highlight w:val="none"/>
        </w:rPr>
        <w:t>。</w:t>
      </w:r>
    </w:p>
    <w:p w14:paraId="764E8B8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cs="宋体"/>
          <w:color w:val="auto"/>
          <w:sz w:val="24"/>
          <w:szCs w:val="24"/>
          <w:highlight w:val="none"/>
          <w:lang w:val="en-US"/>
        </w:rPr>
      </w:pPr>
      <w:r>
        <w:rPr>
          <w:rFonts w:ascii="宋体" w:hAnsi="宋体" w:cs="宋体"/>
          <w:color w:val="auto"/>
          <w:sz w:val="24"/>
          <w:szCs w:val="24"/>
          <w:highlight w:val="none"/>
        </w:rPr>
        <w:t>最高限价（如有）：</w:t>
      </w:r>
      <w:r>
        <w:rPr>
          <w:rFonts w:hint="eastAsia" w:ascii="宋体" w:hAnsi="宋体" w:cs="宋体"/>
          <w:b w:val="0"/>
          <w:bCs w:val="0"/>
          <w:color w:val="auto"/>
          <w:sz w:val="24"/>
          <w:szCs w:val="24"/>
          <w:highlight w:val="none"/>
          <w:u w:val="none"/>
          <w:lang w:val="en-US" w:eastAsia="zh-CN"/>
        </w:rPr>
        <w:t>68</w:t>
      </w:r>
      <w:r>
        <w:rPr>
          <w:rFonts w:hint="eastAsia" w:ascii="宋体" w:hAnsi="宋体" w:eastAsia="宋体" w:cs="宋体"/>
          <w:b w:val="0"/>
          <w:bCs w:val="0"/>
          <w:color w:val="auto"/>
          <w:sz w:val="24"/>
          <w:szCs w:val="24"/>
          <w:highlight w:val="none"/>
          <w:u w:val="none"/>
          <w:lang w:val="en-US" w:eastAsia="zh-CN"/>
        </w:rPr>
        <w:t>0000.00</w:t>
      </w:r>
      <w:r>
        <w:rPr>
          <w:rFonts w:hint="eastAsia" w:ascii="宋体" w:hAnsi="宋体" w:cs="宋体"/>
          <w:b w:val="0"/>
          <w:bCs w:val="0"/>
          <w:color w:val="auto"/>
          <w:sz w:val="24"/>
          <w:szCs w:val="24"/>
          <w:highlight w:val="none"/>
          <w:u w:val="none"/>
          <w:lang w:val="en-US" w:eastAsia="zh-CN"/>
        </w:rPr>
        <w:t>元</w:t>
      </w:r>
    </w:p>
    <w:p w14:paraId="0FEBD3E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仿宋" w:hAnsi="仿宋"/>
          <w:color w:val="auto"/>
          <w:sz w:val="24"/>
          <w:szCs w:val="24"/>
          <w:highlight w:val="none"/>
          <w:lang w:val="en-US" w:eastAsia="zh-CN"/>
        </w:rPr>
      </w:pPr>
      <w:r>
        <w:rPr>
          <w:rFonts w:hint="eastAsia" w:ascii="仿宋" w:hAnsi="仿宋"/>
          <w:color w:val="auto"/>
          <w:sz w:val="24"/>
          <w:szCs w:val="24"/>
          <w:highlight w:val="none"/>
        </w:rPr>
        <w:t>合同履约期限：从合同签订之日起，北海市辖县区农业农村部门向采购人申报</w:t>
      </w:r>
      <w:r>
        <w:rPr>
          <w:rFonts w:hint="eastAsia" w:ascii="仿宋" w:hAnsi="仿宋"/>
          <w:color w:val="auto"/>
          <w:sz w:val="24"/>
          <w:szCs w:val="24"/>
          <w:highlight w:val="none"/>
          <w:lang w:eastAsia="zh-CN"/>
        </w:rPr>
        <w:t>2025 年度高标准农田建设项目市级竣工验收</w:t>
      </w:r>
      <w:r>
        <w:rPr>
          <w:rFonts w:hint="eastAsia" w:ascii="仿宋" w:hAnsi="仿宋"/>
          <w:color w:val="auto"/>
          <w:sz w:val="24"/>
          <w:szCs w:val="24"/>
          <w:highlight w:val="none"/>
        </w:rPr>
        <w:t>后，</w:t>
      </w:r>
      <w:r>
        <w:rPr>
          <w:rFonts w:hint="eastAsia" w:ascii="仿宋" w:hAnsi="仿宋"/>
          <w:color w:val="auto"/>
          <w:sz w:val="24"/>
          <w:szCs w:val="24"/>
          <w:highlight w:val="none"/>
          <w:lang w:val="en-US" w:eastAsia="zh-CN"/>
        </w:rPr>
        <w:t>成交供应商</w:t>
      </w:r>
      <w:r>
        <w:rPr>
          <w:rFonts w:hint="eastAsia" w:ascii="仿宋" w:hAnsi="仿宋"/>
          <w:color w:val="auto"/>
          <w:sz w:val="24"/>
          <w:szCs w:val="24"/>
          <w:highlight w:val="none"/>
        </w:rPr>
        <w:t>应在</w:t>
      </w:r>
      <w:r>
        <w:rPr>
          <w:rFonts w:hint="eastAsia" w:ascii="仿宋" w:hAnsi="仿宋"/>
          <w:color w:val="auto"/>
          <w:sz w:val="24"/>
          <w:szCs w:val="24"/>
          <w:highlight w:val="none"/>
          <w:lang w:val="en-US" w:eastAsia="zh-CN"/>
        </w:rPr>
        <w:t>6个月</w:t>
      </w:r>
      <w:r>
        <w:rPr>
          <w:rFonts w:hint="eastAsia" w:ascii="仿宋" w:hAnsi="仿宋"/>
          <w:color w:val="auto"/>
          <w:sz w:val="24"/>
          <w:szCs w:val="24"/>
          <w:highlight w:val="none"/>
        </w:rPr>
        <w:t>内完成全部验收工作并出具竣工验收报告。</w:t>
      </w:r>
    </w:p>
    <w:p w14:paraId="1CBE992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 w:hAnsi="仿宋" w:eastAsia="宋体" w:cs="Times New Roman"/>
          <w:color w:val="auto"/>
          <w:sz w:val="24"/>
          <w:szCs w:val="24"/>
          <w:highlight w:val="none"/>
        </w:rPr>
      </w:pPr>
      <w:r>
        <w:rPr>
          <w:rFonts w:ascii="仿宋" w:hAnsi="仿宋" w:eastAsia="宋体" w:cs="Times New Roman"/>
          <w:color w:val="auto"/>
          <w:sz w:val="24"/>
          <w:szCs w:val="24"/>
          <w:highlight w:val="none"/>
        </w:rPr>
        <w:t>本标项</w:t>
      </w:r>
      <w:r>
        <w:rPr>
          <w:rFonts w:hint="default" w:ascii="仿宋" w:hAnsi="仿宋" w:eastAsia="宋体" w:cs="Times New Roman"/>
          <w:color w:val="auto"/>
          <w:sz w:val="24"/>
          <w:szCs w:val="24"/>
          <w:highlight w:val="none"/>
          <w:lang w:eastAsia="zh-CN"/>
        </w:rPr>
        <w:t>（</w:t>
      </w:r>
      <w:r>
        <w:rPr>
          <w:rFonts w:hint="eastAsia" w:ascii="仿宋" w:hAnsi="仿宋" w:cs="Times New Roman"/>
          <w:color w:val="auto"/>
          <w:sz w:val="24"/>
          <w:szCs w:val="24"/>
          <w:highlight w:val="none"/>
          <w:lang w:val="en-US" w:eastAsia="zh-CN"/>
        </w:rPr>
        <w:t>是</w:t>
      </w:r>
      <w:r>
        <w:rPr>
          <w:rFonts w:hint="default" w:ascii="仿宋" w:hAnsi="仿宋" w:eastAsia="宋体" w:cs="Times New Roman"/>
          <w:color w:val="auto"/>
          <w:sz w:val="24"/>
          <w:szCs w:val="24"/>
          <w:highlight w:val="none"/>
          <w:lang w:eastAsia="zh-CN"/>
        </w:rPr>
        <w:t>）接受</w:t>
      </w:r>
      <w:r>
        <w:rPr>
          <w:rFonts w:ascii="仿宋" w:hAnsi="仿宋" w:eastAsia="宋体" w:cs="Times New Roman"/>
          <w:color w:val="auto"/>
          <w:sz w:val="24"/>
          <w:szCs w:val="24"/>
          <w:highlight w:val="none"/>
        </w:rPr>
        <w:t>联合体</w:t>
      </w:r>
      <w:r>
        <w:rPr>
          <w:rFonts w:hint="default" w:ascii="仿宋" w:hAnsi="仿宋" w:eastAsia="宋体" w:cs="Times New Roman"/>
          <w:color w:val="auto"/>
          <w:sz w:val="24"/>
          <w:szCs w:val="24"/>
          <w:highlight w:val="none"/>
          <w:lang w:eastAsia="zh-CN"/>
        </w:rPr>
        <w:t>投标</w:t>
      </w:r>
      <w:r>
        <w:rPr>
          <w:rFonts w:hint="default" w:ascii="仿宋" w:hAnsi="仿宋" w:eastAsia="宋体" w:cs="Times New Roman"/>
          <w:color w:val="auto"/>
          <w:sz w:val="24"/>
          <w:szCs w:val="24"/>
          <w:highlight w:val="none"/>
        </w:rPr>
        <w:t>。</w:t>
      </w:r>
    </w:p>
    <w:p w14:paraId="49083A3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仿宋" w:hAnsi="仿宋" w:eastAsia="宋体" w:cs="Times New Roman"/>
          <w:color w:val="auto"/>
          <w:kern w:val="0"/>
          <w:sz w:val="24"/>
          <w:szCs w:val="24"/>
          <w:highlight w:val="none"/>
        </w:rPr>
      </w:pPr>
      <w:r>
        <w:rPr>
          <w:rFonts w:ascii="仿宋" w:hAnsi="仿宋" w:eastAsia="宋体" w:cs="Times New Roman"/>
          <w:i w:val="0"/>
          <w:iCs w:val="0"/>
          <w:caps w:val="0"/>
          <w:color w:val="auto"/>
          <w:spacing w:val="0"/>
          <w:kern w:val="0"/>
          <w:sz w:val="24"/>
          <w:szCs w:val="24"/>
          <w:highlight w:val="none"/>
          <w:shd w:val="clear" w:color="auto" w:fill="auto"/>
        </w:rPr>
        <w:t>备注：</w:t>
      </w:r>
      <w:r>
        <w:rPr>
          <w:rFonts w:hint="default" w:ascii="仿宋" w:hAnsi="仿宋" w:eastAsia="宋体" w:cs="Times New Roman"/>
          <w:i w:val="0"/>
          <w:iCs w:val="0"/>
          <w:caps w:val="0"/>
          <w:color w:val="auto"/>
          <w:spacing w:val="0"/>
          <w:kern w:val="0"/>
          <w:sz w:val="24"/>
          <w:szCs w:val="24"/>
          <w:highlight w:val="none"/>
          <w:shd w:val="clear" w:color="auto" w:fill="auto"/>
        </w:rPr>
        <w:t>/</w:t>
      </w:r>
    </w:p>
    <w:p w14:paraId="1AA07357">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标项二：</w:t>
      </w:r>
    </w:p>
    <w:p w14:paraId="187BE9A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eastAsia="宋体" w:cs="宋体"/>
          <w:b w:val="0"/>
          <w:color w:val="auto"/>
          <w:kern w:val="0"/>
          <w:sz w:val="24"/>
          <w:szCs w:val="24"/>
          <w:highlight w:val="none"/>
          <w:u w:val="none"/>
          <w:lang w:val="en-US" w:eastAsia="zh-CN"/>
        </w:rPr>
      </w:pPr>
      <w:r>
        <w:rPr>
          <w:rFonts w:hint="eastAsia" w:ascii="宋体" w:hAnsi="宋体" w:cs="宋体"/>
          <w:color w:val="auto"/>
          <w:sz w:val="24"/>
          <w:szCs w:val="24"/>
          <w:highlight w:val="none"/>
        </w:rPr>
        <w:t>标项名称：</w:t>
      </w:r>
      <w:r>
        <w:rPr>
          <w:rFonts w:hint="eastAsia" w:ascii="宋体" w:hAnsi="宋体" w:cs="宋体"/>
          <w:b w:val="0"/>
          <w:color w:val="auto"/>
          <w:kern w:val="0"/>
          <w:sz w:val="24"/>
          <w:szCs w:val="24"/>
          <w:highlight w:val="none"/>
          <w:u w:val="none"/>
          <w:lang w:eastAsia="zh-CN"/>
        </w:rPr>
        <w:t>北海市2025 年度高标准农田建设项目市级竣工验收</w:t>
      </w:r>
      <w:r>
        <w:rPr>
          <w:rFonts w:hint="eastAsia" w:ascii="宋体" w:hAnsi="宋体" w:cs="宋体"/>
          <w:b w:val="0"/>
          <w:color w:val="auto"/>
          <w:kern w:val="0"/>
          <w:sz w:val="24"/>
          <w:szCs w:val="24"/>
          <w:highlight w:val="none"/>
          <w:u w:val="none"/>
          <w:lang w:val="en-US" w:eastAsia="zh-CN"/>
        </w:rPr>
        <w:t>标</w:t>
      </w:r>
      <w:r>
        <w:rPr>
          <w:rFonts w:hint="eastAsia" w:ascii="宋体" w:hAnsi="宋体" w:cs="宋体"/>
          <w:color w:val="auto"/>
          <w:sz w:val="24"/>
          <w:szCs w:val="24"/>
          <w:highlight w:val="none"/>
          <w:lang w:val="en-US" w:eastAsia="zh-CN"/>
        </w:rPr>
        <w:t>项</w:t>
      </w:r>
      <w:r>
        <w:rPr>
          <w:rFonts w:hint="eastAsia" w:ascii="宋体" w:hAnsi="宋体" w:cs="宋体"/>
          <w:b w:val="0"/>
          <w:color w:val="auto"/>
          <w:kern w:val="0"/>
          <w:sz w:val="24"/>
          <w:szCs w:val="24"/>
          <w:highlight w:val="none"/>
          <w:u w:val="none"/>
          <w:lang w:val="en-US" w:eastAsia="zh-CN"/>
        </w:rPr>
        <w:t>二</w:t>
      </w:r>
    </w:p>
    <w:p w14:paraId="0298F15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数量：1项</w:t>
      </w:r>
    </w:p>
    <w:p w14:paraId="1D863383">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预算金额（元）：</w:t>
      </w:r>
      <w:r>
        <w:rPr>
          <w:rFonts w:hint="eastAsia" w:ascii="宋体" w:hAnsi="宋体" w:cs="宋体"/>
          <w:b w:val="0"/>
          <w:bCs w:val="0"/>
          <w:color w:val="auto"/>
          <w:sz w:val="24"/>
          <w:szCs w:val="24"/>
          <w:highlight w:val="none"/>
          <w:u w:val="none"/>
          <w:lang w:val="en-US" w:eastAsia="zh-CN"/>
        </w:rPr>
        <w:t>70</w:t>
      </w:r>
      <w:r>
        <w:rPr>
          <w:rFonts w:hint="eastAsia" w:ascii="宋体" w:hAnsi="宋体" w:eastAsia="宋体" w:cs="宋体"/>
          <w:b w:val="0"/>
          <w:bCs w:val="0"/>
          <w:color w:val="auto"/>
          <w:sz w:val="24"/>
          <w:szCs w:val="24"/>
          <w:highlight w:val="none"/>
          <w:u w:val="none"/>
          <w:lang w:val="en-US" w:eastAsia="zh-CN"/>
        </w:rPr>
        <w:t>0000.00</w:t>
      </w:r>
    </w:p>
    <w:p w14:paraId="74D5C36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color w:val="auto"/>
          <w:sz w:val="24"/>
          <w:szCs w:val="24"/>
          <w:highlight w:val="none"/>
        </w:rPr>
      </w:pPr>
      <w:r>
        <w:rPr>
          <w:rFonts w:ascii="仿宋" w:hAnsi="仿宋"/>
          <w:color w:val="auto"/>
          <w:sz w:val="24"/>
          <w:szCs w:val="24"/>
          <w:highlight w:val="none"/>
        </w:rPr>
        <w:t>简要规格描述或项目基本概况介绍、用途：</w:t>
      </w:r>
      <w:r>
        <w:rPr>
          <w:rFonts w:hint="eastAsia" w:ascii="宋体" w:hAnsi="宋体" w:cs="宋体"/>
          <w:color w:val="auto"/>
          <w:sz w:val="24"/>
          <w:szCs w:val="24"/>
          <w:highlight w:val="none"/>
          <w:lang w:val="en-US" w:eastAsia="zh-CN"/>
        </w:rPr>
        <w:t>对</w:t>
      </w:r>
      <w:r>
        <w:rPr>
          <w:rFonts w:hint="eastAsia" w:ascii="宋体" w:hAnsi="宋体" w:cs="宋体"/>
          <w:color w:val="auto"/>
          <w:sz w:val="24"/>
          <w:szCs w:val="24"/>
          <w:highlight w:val="none"/>
        </w:rPr>
        <w:t>自治区下达北海市2025年度高标准农田建设任务</w:t>
      </w:r>
      <w:r>
        <w:rPr>
          <w:rFonts w:hint="eastAsia" w:ascii="宋体" w:hAnsi="宋体" w:cs="宋体"/>
          <w:color w:val="auto"/>
          <w:sz w:val="24"/>
          <w:szCs w:val="24"/>
          <w:highlight w:val="none"/>
          <w:lang w:val="en-US" w:eastAsia="zh-CN"/>
        </w:rPr>
        <w:t>的6个项目进行竣工验收</w:t>
      </w:r>
      <w:r>
        <w:rPr>
          <w:rFonts w:hint="eastAsia" w:ascii="仿宋" w:hAnsi="仿宋"/>
          <w:color w:val="auto"/>
          <w:sz w:val="24"/>
          <w:szCs w:val="24"/>
          <w:highlight w:val="none"/>
          <w:lang w:eastAsia="zh-CN"/>
        </w:rPr>
        <w:t>，</w:t>
      </w:r>
      <w:r>
        <w:rPr>
          <w:rFonts w:hint="eastAsia" w:cs="Times New Roman"/>
          <w:b w:val="0"/>
          <w:bCs/>
          <w:color w:val="auto"/>
          <w:kern w:val="2"/>
          <w:sz w:val="24"/>
          <w:szCs w:val="24"/>
          <w:highlight w:val="none"/>
          <w:lang w:val="en-US" w:eastAsia="zh-CN" w:bidi="ar-SA"/>
        </w:rPr>
        <w:t>分别是：2025年合浦县高标准农田新建和改造项目（常乐镇片区）、2025年合浦县高标准农田新建和改造项目（闸口镇片区）、2025年合浦县高标准农田新建和改造项目（白沙镇片区）、2025年合浦县高标准农田新建和改造项目（公馆镇片区）、银海区2025年高标准农田新建和改造项目（福成镇门头村、松明村、花铺村）铁山港区2025年高标准农田新建和改造项目（营盘镇塘仔村、南康镇火甲村、莲塘村）</w:t>
      </w:r>
      <w:r>
        <w:rPr>
          <w:rFonts w:hint="eastAsia" w:ascii="Times New Roman" w:hAnsi="Times New Roman" w:eastAsia="宋体" w:cs="Times New Roman"/>
          <w:b w:val="0"/>
          <w:bCs/>
          <w:color w:val="auto"/>
          <w:kern w:val="2"/>
          <w:sz w:val="24"/>
          <w:szCs w:val="24"/>
          <w:highlight w:val="none"/>
          <w:lang w:val="en-US" w:eastAsia="zh-CN" w:bidi="ar-SA"/>
        </w:rPr>
        <w:t>，</w:t>
      </w:r>
      <w:r>
        <w:rPr>
          <w:rFonts w:hint="eastAsia" w:ascii="仿宋" w:hAnsi="仿宋"/>
          <w:color w:val="auto"/>
          <w:sz w:val="24"/>
          <w:szCs w:val="24"/>
          <w:highlight w:val="none"/>
          <w:lang w:val="en-US" w:eastAsia="zh-CN"/>
        </w:rPr>
        <w:t>具体内容</w:t>
      </w:r>
      <w:r>
        <w:rPr>
          <w:rFonts w:hint="eastAsia" w:ascii="仿宋" w:hAnsi="仿宋"/>
          <w:color w:val="auto"/>
          <w:sz w:val="24"/>
          <w:szCs w:val="24"/>
          <w:highlight w:val="none"/>
        </w:rPr>
        <w:t>详见</w:t>
      </w:r>
      <w:r>
        <w:rPr>
          <w:rFonts w:hint="eastAsia" w:ascii="仿宋" w:hAnsi="仿宋"/>
          <w:color w:val="auto"/>
          <w:sz w:val="24"/>
          <w:szCs w:val="24"/>
          <w:highlight w:val="none"/>
          <w:lang w:val="en-US" w:eastAsia="zh-CN"/>
        </w:rPr>
        <w:t>竞争性</w:t>
      </w:r>
      <w:r>
        <w:rPr>
          <w:rFonts w:hint="eastAsia" w:ascii="仿宋" w:hAnsi="仿宋"/>
          <w:color w:val="auto"/>
          <w:sz w:val="24"/>
          <w:szCs w:val="24"/>
          <w:highlight w:val="none"/>
        </w:rPr>
        <w:t>磋商</w:t>
      </w:r>
      <w:r>
        <w:rPr>
          <w:rFonts w:hint="eastAsia" w:ascii="仿宋" w:hAnsi="仿宋"/>
          <w:color w:val="auto"/>
          <w:sz w:val="24"/>
          <w:szCs w:val="24"/>
          <w:highlight w:val="none"/>
          <w:lang w:val="en-US" w:eastAsia="zh-CN"/>
        </w:rPr>
        <w:t>采购</w:t>
      </w:r>
      <w:r>
        <w:rPr>
          <w:rFonts w:hint="eastAsia" w:ascii="仿宋" w:hAnsi="仿宋"/>
          <w:color w:val="auto"/>
          <w:sz w:val="24"/>
          <w:szCs w:val="24"/>
          <w:highlight w:val="none"/>
        </w:rPr>
        <w:t>文件</w:t>
      </w:r>
      <w:r>
        <w:rPr>
          <w:rFonts w:hint="eastAsia"/>
          <w:color w:val="auto"/>
          <w:sz w:val="24"/>
          <w:szCs w:val="24"/>
          <w:highlight w:val="none"/>
        </w:rPr>
        <w:t>。</w:t>
      </w:r>
    </w:p>
    <w:p w14:paraId="2640159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宋体" w:hAnsi="宋体" w:cs="宋体"/>
          <w:color w:val="auto"/>
          <w:sz w:val="24"/>
          <w:szCs w:val="24"/>
          <w:highlight w:val="none"/>
          <w:lang w:val="en-US"/>
        </w:rPr>
      </w:pPr>
      <w:r>
        <w:rPr>
          <w:rFonts w:ascii="宋体" w:hAnsi="宋体" w:cs="宋体"/>
          <w:color w:val="auto"/>
          <w:sz w:val="24"/>
          <w:szCs w:val="24"/>
          <w:highlight w:val="none"/>
        </w:rPr>
        <w:t>最高限价（如有）：</w:t>
      </w:r>
      <w:r>
        <w:rPr>
          <w:rFonts w:hint="eastAsia" w:ascii="宋体" w:hAnsi="宋体" w:cs="宋体"/>
          <w:b w:val="0"/>
          <w:bCs w:val="0"/>
          <w:color w:val="auto"/>
          <w:sz w:val="24"/>
          <w:szCs w:val="24"/>
          <w:highlight w:val="none"/>
          <w:u w:val="none"/>
          <w:lang w:val="en-US" w:eastAsia="zh-CN"/>
        </w:rPr>
        <w:t>70</w:t>
      </w:r>
      <w:r>
        <w:rPr>
          <w:rFonts w:hint="eastAsia" w:ascii="宋体" w:hAnsi="宋体" w:eastAsia="宋体" w:cs="宋体"/>
          <w:b w:val="0"/>
          <w:bCs w:val="0"/>
          <w:color w:val="auto"/>
          <w:sz w:val="24"/>
          <w:szCs w:val="24"/>
          <w:highlight w:val="none"/>
          <w:u w:val="none"/>
          <w:lang w:val="en-US" w:eastAsia="zh-CN"/>
        </w:rPr>
        <w:t>0000.00</w:t>
      </w:r>
      <w:r>
        <w:rPr>
          <w:rFonts w:hint="eastAsia" w:ascii="宋体" w:hAnsi="宋体" w:cs="宋体"/>
          <w:b w:val="0"/>
          <w:bCs w:val="0"/>
          <w:color w:val="auto"/>
          <w:sz w:val="24"/>
          <w:szCs w:val="24"/>
          <w:highlight w:val="none"/>
          <w:u w:val="none"/>
          <w:lang w:val="en-US" w:eastAsia="zh-CN"/>
        </w:rPr>
        <w:t>元</w:t>
      </w:r>
    </w:p>
    <w:p w14:paraId="0D35F7F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仿宋" w:hAnsi="仿宋"/>
          <w:color w:val="auto"/>
          <w:sz w:val="24"/>
          <w:szCs w:val="24"/>
          <w:highlight w:val="none"/>
          <w:lang w:val="en-US" w:eastAsia="zh-CN"/>
        </w:rPr>
      </w:pPr>
      <w:r>
        <w:rPr>
          <w:rFonts w:hint="eastAsia" w:ascii="仿宋" w:hAnsi="仿宋"/>
          <w:color w:val="auto"/>
          <w:sz w:val="24"/>
          <w:szCs w:val="24"/>
          <w:highlight w:val="none"/>
        </w:rPr>
        <w:t>合同履约期限：从合同签订之日起，北海市辖县区农业农村部门向采购人申报</w:t>
      </w:r>
      <w:r>
        <w:rPr>
          <w:rFonts w:hint="eastAsia" w:ascii="仿宋" w:hAnsi="仿宋"/>
          <w:color w:val="auto"/>
          <w:sz w:val="24"/>
          <w:szCs w:val="24"/>
          <w:highlight w:val="none"/>
          <w:lang w:eastAsia="zh-CN"/>
        </w:rPr>
        <w:t>2025 年度高标准农田建设项目市级竣工验收</w:t>
      </w:r>
      <w:r>
        <w:rPr>
          <w:rFonts w:hint="eastAsia" w:ascii="仿宋" w:hAnsi="仿宋"/>
          <w:color w:val="auto"/>
          <w:sz w:val="24"/>
          <w:szCs w:val="24"/>
          <w:highlight w:val="none"/>
        </w:rPr>
        <w:t>后，</w:t>
      </w:r>
      <w:r>
        <w:rPr>
          <w:rFonts w:hint="eastAsia" w:ascii="仿宋" w:hAnsi="仿宋"/>
          <w:color w:val="auto"/>
          <w:sz w:val="24"/>
          <w:szCs w:val="24"/>
          <w:highlight w:val="none"/>
          <w:lang w:val="en-US" w:eastAsia="zh-CN"/>
        </w:rPr>
        <w:t>成交供应商</w:t>
      </w:r>
      <w:r>
        <w:rPr>
          <w:rFonts w:hint="eastAsia" w:ascii="仿宋" w:hAnsi="仿宋"/>
          <w:color w:val="auto"/>
          <w:sz w:val="24"/>
          <w:szCs w:val="24"/>
          <w:highlight w:val="none"/>
        </w:rPr>
        <w:t>应在</w:t>
      </w:r>
      <w:r>
        <w:rPr>
          <w:rFonts w:hint="eastAsia" w:ascii="仿宋" w:hAnsi="仿宋"/>
          <w:color w:val="auto"/>
          <w:sz w:val="24"/>
          <w:szCs w:val="24"/>
          <w:highlight w:val="none"/>
          <w:lang w:val="en-US" w:eastAsia="zh-CN"/>
        </w:rPr>
        <w:t>6个月</w:t>
      </w:r>
      <w:r>
        <w:rPr>
          <w:rFonts w:hint="eastAsia" w:ascii="仿宋" w:hAnsi="仿宋"/>
          <w:color w:val="auto"/>
          <w:sz w:val="24"/>
          <w:szCs w:val="24"/>
          <w:highlight w:val="none"/>
        </w:rPr>
        <w:t>内完成全部验收工作并出具竣工验收报告。</w:t>
      </w:r>
    </w:p>
    <w:p w14:paraId="184AEC1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 w:hAnsi="仿宋" w:eastAsia="宋体" w:cs="Times New Roman"/>
          <w:color w:val="auto"/>
          <w:sz w:val="24"/>
          <w:szCs w:val="24"/>
          <w:highlight w:val="none"/>
        </w:rPr>
      </w:pPr>
      <w:r>
        <w:rPr>
          <w:rFonts w:ascii="仿宋" w:hAnsi="仿宋" w:eastAsia="宋体" w:cs="Times New Roman"/>
          <w:color w:val="auto"/>
          <w:sz w:val="24"/>
          <w:szCs w:val="24"/>
          <w:highlight w:val="none"/>
        </w:rPr>
        <w:t>本标项</w:t>
      </w:r>
      <w:r>
        <w:rPr>
          <w:rFonts w:hint="default" w:ascii="仿宋" w:hAnsi="仿宋" w:eastAsia="宋体" w:cs="Times New Roman"/>
          <w:color w:val="auto"/>
          <w:sz w:val="24"/>
          <w:szCs w:val="24"/>
          <w:highlight w:val="none"/>
          <w:lang w:eastAsia="zh-CN"/>
        </w:rPr>
        <w:t>（</w:t>
      </w:r>
      <w:r>
        <w:rPr>
          <w:rFonts w:hint="eastAsia" w:ascii="仿宋" w:hAnsi="仿宋" w:cs="Times New Roman"/>
          <w:color w:val="auto"/>
          <w:sz w:val="24"/>
          <w:szCs w:val="24"/>
          <w:highlight w:val="none"/>
          <w:lang w:val="en-US" w:eastAsia="zh-CN"/>
        </w:rPr>
        <w:t>是</w:t>
      </w:r>
      <w:r>
        <w:rPr>
          <w:rFonts w:hint="default" w:ascii="仿宋" w:hAnsi="仿宋" w:eastAsia="宋体" w:cs="Times New Roman"/>
          <w:color w:val="auto"/>
          <w:sz w:val="24"/>
          <w:szCs w:val="24"/>
          <w:highlight w:val="none"/>
          <w:lang w:eastAsia="zh-CN"/>
        </w:rPr>
        <w:t>）接受</w:t>
      </w:r>
      <w:r>
        <w:rPr>
          <w:rFonts w:ascii="仿宋" w:hAnsi="仿宋" w:eastAsia="宋体" w:cs="Times New Roman"/>
          <w:color w:val="auto"/>
          <w:sz w:val="24"/>
          <w:szCs w:val="24"/>
          <w:highlight w:val="none"/>
        </w:rPr>
        <w:t>联合体</w:t>
      </w:r>
      <w:r>
        <w:rPr>
          <w:rFonts w:hint="default" w:ascii="仿宋" w:hAnsi="仿宋" w:eastAsia="宋体" w:cs="Times New Roman"/>
          <w:color w:val="auto"/>
          <w:sz w:val="24"/>
          <w:szCs w:val="24"/>
          <w:highlight w:val="none"/>
          <w:lang w:eastAsia="zh-CN"/>
        </w:rPr>
        <w:t>投标</w:t>
      </w:r>
      <w:r>
        <w:rPr>
          <w:rFonts w:hint="default" w:ascii="仿宋" w:hAnsi="仿宋" w:eastAsia="宋体" w:cs="Times New Roman"/>
          <w:color w:val="auto"/>
          <w:sz w:val="24"/>
          <w:szCs w:val="24"/>
          <w:highlight w:val="none"/>
        </w:rPr>
        <w:t>。</w:t>
      </w:r>
    </w:p>
    <w:p w14:paraId="11B0BBD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ascii="仿宋" w:hAnsi="仿宋" w:eastAsia="宋体" w:cs="Times New Roman"/>
          <w:color w:val="auto"/>
          <w:kern w:val="0"/>
          <w:sz w:val="24"/>
          <w:szCs w:val="24"/>
          <w:highlight w:val="none"/>
        </w:rPr>
      </w:pPr>
      <w:r>
        <w:rPr>
          <w:rFonts w:ascii="仿宋" w:hAnsi="仿宋" w:eastAsia="宋体" w:cs="Times New Roman"/>
          <w:i w:val="0"/>
          <w:iCs w:val="0"/>
          <w:caps w:val="0"/>
          <w:color w:val="auto"/>
          <w:spacing w:val="0"/>
          <w:kern w:val="0"/>
          <w:sz w:val="24"/>
          <w:szCs w:val="24"/>
          <w:highlight w:val="none"/>
          <w:shd w:val="clear" w:color="auto" w:fill="auto"/>
        </w:rPr>
        <w:t>备注：</w:t>
      </w:r>
      <w:r>
        <w:rPr>
          <w:rFonts w:hint="default" w:ascii="仿宋" w:hAnsi="仿宋" w:eastAsia="宋体" w:cs="Times New Roman"/>
          <w:i w:val="0"/>
          <w:iCs w:val="0"/>
          <w:caps w:val="0"/>
          <w:color w:val="auto"/>
          <w:spacing w:val="0"/>
          <w:kern w:val="0"/>
          <w:sz w:val="24"/>
          <w:szCs w:val="24"/>
          <w:highlight w:val="none"/>
          <w:shd w:val="clear" w:color="auto" w:fill="auto"/>
        </w:rPr>
        <w:t>/</w:t>
      </w:r>
    </w:p>
    <w:p w14:paraId="387E6348">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二、申请人的资格要求：</w:t>
      </w:r>
    </w:p>
    <w:p w14:paraId="4B563A82">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1.满足《中华人民共和国政府采购法》第二十二条规定；</w:t>
      </w:r>
    </w:p>
    <w:p w14:paraId="4FF95C5D">
      <w:pPr>
        <w:spacing w:line="360" w:lineRule="auto"/>
        <w:ind w:firstLine="420"/>
        <w:jc w:val="left"/>
        <w:rPr>
          <w:rFonts w:hint="eastAsia" w:ascii="宋体" w:hAnsi="宋体" w:eastAsia="宋体" w:cs="宋体"/>
          <w:color w:val="auto"/>
          <w:kern w:val="1"/>
          <w:sz w:val="24"/>
          <w:szCs w:val="24"/>
          <w:highlight w:val="none"/>
          <w:lang w:eastAsia="zh-CN"/>
        </w:rPr>
      </w:pPr>
      <w:r>
        <w:rPr>
          <w:rFonts w:hint="eastAsia" w:ascii="宋体" w:hAnsi="宋体" w:cs="宋体"/>
          <w:color w:val="auto"/>
          <w:kern w:val="1"/>
          <w:sz w:val="24"/>
          <w:szCs w:val="24"/>
          <w:highlight w:val="none"/>
        </w:rPr>
        <w:t>2.落实政府采购政策需满足的资格要求：</w:t>
      </w:r>
      <w:r>
        <w:rPr>
          <w:rFonts w:hint="eastAsia" w:ascii="宋体" w:hAnsi="宋体" w:cs="宋体"/>
          <w:color w:val="auto"/>
          <w:kern w:val="1"/>
          <w:sz w:val="24"/>
          <w:szCs w:val="24"/>
          <w:highlight w:val="none"/>
          <w:lang w:val="en-US" w:eastAsia="zh-CN"/>
        </w:rPr>
        <w:t>无</w:t>
      </w:r>
      <w:r>
        <w:rPr>
          <w:rFonts w:hint="eastAsia" w:ascii="宋体" w:hAnsi="宋体" w:cs="宋体"/>
          <w:color w:val="auto"/>
          <w:kern w:val="1"/>
          <w:sz w:val="24"/>
          <w:szCs w:val="24"/>
          <w:highlight w:val="none"/>
          <w:lang w:eastAsia="zh-CN"/>
        </w:rPr>
        <w:t>；</w:t>
      </w:r>
    </w:p>
    <w:p w14:paraId="77B57E06">
      <w:pPr>
        <w:spacing w:line="360" w:lineRule="auto"/>
        <w:ind w:firstLine="420"/>
        <w:rPr>
          <w:rFonts w:hint="eastAsia" w:eastAsia="宋体"/>
          <w:color w:val="auto"/>
          <w:kern w:val="2"/>
          <w:sz w:val="24"/>
          <w:szCs w:val="24"/>
          <w:highlight w:val="none"/>
          <w:lang w:eastAsia="zh-CN"/>
        </w:rPr>
      </w:pPr>
      <w:r>
        <w:rPr>
          <w:rFonts w:hint="eastAsia" w:cs="宋体"/>
          <w:color w:val="auto"/>
          <w:kern w:val="1"/>
          <w:sz w:val="24"/>
          <w:szCs w:val="24"/>
          <w:highlight w:val="none"/>
        </w:rPr>
        <w:t>3.本项目的特定资格要求：</w:t>
      </w:r>
      <w:r>
        <w:rPr>
          <w:rFonts w:hint="eastAsia" w:ascii="宋体" w:hAnsi="宋体" w:eastAsia="宋体" w:cs="宋体"/>
          <w:color w:val="auto"/>
          <w:kern w:val="1"/>
          <w:sz w:val="24"/>
          <w:szCs w:val="24"/>
          <w:highlight w:val="none"/>
          <w:lang w:eastAsia="zh-CN"/>
        </w:rPr>
        <w:t>供应商须具备国家行政主管部门颁发的有效期内的测绘乙级及以上资质证书（专业范围须包含工程测量）；具备市场监督管理部门颁发的有效期内的检验检测机构资质认定证书（CMA），证书附表载明土壤检测相关指标，最终检测能力以证书附表列明的检测参数及方法标准为准；具备</w:t>
      </w:r>
      <w:r>
        <w:rPr>
          <w:rFonts w:hint="eastAsia" w:ascii="宋体" w:hAnsi="宋体" w:cs="宋体"/>
          <w:color w:val="auto"/>
          <w:kern w:val="1"/>
          <w:sz w:val="24"/>
          <w:szCs w:val="24"/>
          <w:highlight w:val="none"/>
          <w:lang w:val="en-US" w:eastAsia="zh-CN"/>
        </w:rPr>
        <w:t>行业</w:t>
      </w:r>
      <w:r>
        <w:rPr>
          <w:rFonts w:hint="eastAsia" w:ascii="宋体" w:hAnsi="宋体" w:eastAsia="宋体" w:cs="宋体"/>
          <w:color w:val="auto"/>
          <w:kern w:val="1"/>
          <w:sz w:val="24"/>
          <w:szCs w:val="24"/>
          <w:highlight w:val="none"/>
          <w:lang w:eastAsia="zh-CN"/>
        </w:rPr>
        <w:t>主管部门颁发的</w:t>
      </w:r>
      <w:r>
        <w:rPr>
          <w:rFonts w:hint="eastAsia" w:hAnsi="宋体" w:cs="宋体"/>
          <w:color w:val="auto"/>
          <w:kern w:val="1"/>
          <w:sz w:val="24"/>
          <w:szCs w:val="24"/>
          <w:highlight w:val="none"/>
          <w:lang w:val="en-US" w:eastAsia="zh-CN"/>
        </w:rPr>
        <w:t>有效期内</w:t>
      </w:r>
      <w:r>
        <w:rPr>
          <w:rFonts w:hint="eastAsia" w:ascii="宋体" w:hAnsi="宋体" w:eastAsia="宋体" w:cs="宋体"/>
          <w:color w:val="auto"/>
          <w:kern w:val="1"/>
          <w:sz w:val="24"/>
          <w:szCs w:val="24"/>
          <w:highlight w:val="none"/>
          <w:lang w:eastAsia="zh-CN"/>
        </w:rPr>
        <w:t>的《建设工程质量检测机构资质证书》或《水利工程质量检测单位资质等级证书》</w:t>
      </w:r>
      <w:r>
        <w:rPr>
          <w:rFonts w:hint="eastAsia" w:ascii="宋体" w:hAnsi="宋体" w:cs="宋体"/>
          <w:color w:val="auto"/>
          <w:kern w:val="1"/>
          <w:sz w:val="24"/>
          <w:szCs w:val="24"/>
          <w:highlight w:val="none"/>
          <w:lang w:val="en-US" w:eastAsia="zh-CN"/>
        </w:rPr>
        <w:t>；</w:t>
      </w:r>
      <w:r>
        <w:rPr>
          <w:rFonts w:hint="eastAsia" w:ascii="宋体" w:hAnsi="宋体" w:eastAsia="宋体" w:cs="宋体"/>
          <w:color w:val="auto"/>
          <w:kern w:val="1"/>
          <w:sz w:val="24"/>
          <w:szCs w:val="24"/>
          <w:highlight w:val="none"/>
          <w:lang w:eastAsia="zh-CN"/>
        </w:rPr>
        <w:t>项目负责人具备</w:t>
      </w:r>
      <w:r>
        <w:rPr>
          <w:rFonts w:hint="eastAsia" w:ascii="宋体" w:hAnsi="宋体" w:cs="宋体"/>
          <w:color w:val="auto"/>
          <w:kern w:val="1"/>
          <w:sz w:val="24"/>
          <w:szCs w:val="24"/>
          <w:highlight w:val="none"/>
          <w:lang w:val="en-US" w:eastAsia="zh-CN"/>
        </w:rPr>
        <w:t>工程类</w:t>
      </w:r>
      <w:r>
        <w:rPr>
          <w:rFonts w:hint="eastAsia" w:ascii="宋体" w:hAnsi="宋体" w:eastAsia="宋体" w:cs="宋体"/>
          <w:color w:val="auto"/>
          <w:kern w:val="1"/>
          <w:sz w:val="24"/>
          <w:szCs w:val="24"/>
          <w:highlight w:val="none"/>
          <w:lang w:eastAsia="zh-CN"/>
        </w:rPr>
        <w:t>关专业</w:t>
      </w:r>
      <w:r>
        <w:rPr>
          <w:rFonts w:hint="eastAsia" w:ascii="宋体" w:hAnsi="宋体" w:cs="宋体"/>
          <w:color w:val="auto"/>
          <w:kern w:val="1"/>
          <w:sz w:val="24"/>
          <w:szCs w:val="24"/>
          <w:highlight w:val="none"/>
          <w:lang w:eastAsia="zh-CN"/>
        </w:rPr>
        <w:t>中级及以上职称</w:t>
      </w:r>
      <w:r>
        <w:rPr>
          <w:rFonts w:hint="eastAsia" w:ascii="宋体" w:hAnsi="宋体" w:eastAsia="宋体" w:cs="宋体"/>
          <w:color w:val="auto"/>
          <w:kern w:val="1"/>
          <w:sz w:val="24"/>
          <w:szCs w:val="24"/>
          <w:highlight w:val="none"/>
          <w:lang w:eastAsia="zh-CN"/>
        </w:rPr>
        <w:t>。</w:t>
      </w:r>
    </w:p>
    <w:p w14:paraId="0702D166">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三、获取采购文件</w:t>
      </w:r>
    </w:p>
    <w:p w14:paraId="14E0A6F7">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时间：</w:t>
      </w:r>
      <w:r>
        <w:rPr>
          <w:rFonts w:hint="eastAsia" w:ascii="宋体" w:hAnsi="宋体" w:cs="宋体"/>
          <w:color w:val="auto"/>
          <w:kern w:val="1"/>
          <w:sz w:val="24"/>
          <w:szCs w:val="24"/>
          <w:highlight w:val="none"/>
          <w:lang w:eastAsia="zh-CN"/>
        </w:rPr>
        <w:t>2026</w:t>
      </w:r>
      <w:r>
        <w:rPr>
          <w:rFonts w:hint="eastAsia" w:ascii="宋体" w:hAnsi="宋体" w:cs="宋体"/>
          <w:color w:val="auto"/>
          <w:kern w:val="1"/>
          <w:sz w:val="24"/>
          <w:szCs w:val="24"/>
          <w:highlight w:val="none"/>
        </w:rPr>
        <w:t>年</w:t>
      </w:r>
      <w:r>
        <w:rPr>
          <w:rFonts w:hint="eastAsia" w:ascii="宋体" w:hAnsi="宋体" w:cs="宋体"/>
          <w:color w:val="auto"/>
          <w:kern w:val="1"/>
          <w:sz w:val="24"/>
          <w:szCs w:val="24"/>
          <w:highlight w:val="none"/>
          <w:lang w:val="en-US" w:eastAsia="zh-CN"/>
        </w:rPr>
        <w:t>09</w:t>
      </w:r>
      <w:r>
        <w:rPr>
          <w:rFonts w:hint="eastAsia" w:ascii="宋体" w:hAnsi="宋体" w:cs="宋体"/>
          <w:color w:val="auto"/>
          <w:kern w:val="1"/>
          <w:sz w:val="24"/>
          <w:szCs w:val="24"/>
          <w:highlight w:val="none"/>
        </w:rPr>
        <w:t>月</w:t>
      </w:r>
      <w:r>
        <w:rPr>
          <w:rFonts w:hint="eastAsia" w:ascii="宋体" w:hAnsi="宋体" w:cs="宋体"/>
          <w:color w:val="auto"/>
          <w:kern w:val="1"/>
          <w:sz w:val="24"/>
          <w:szCs w:val="24"/>
          <w:highlight w:val="none"/>
          <w:lang w:val="en-US" w:eastAsia="zh-CN"/>
        </w:rPr>
        <w:t>17</w:t>
      </w:r>
      <w:r>
        <w:rPr>
          <w:rFonts w:hint="eastAsia" w:ascii="宋体" w:hAnsi="宋体" w:cs="宋体"/>
          <w:color w:val="auto"/>
          <w:kern w:val="1"/>
          <w:sz w:val="24"/>
          <w:szCs w:val="24"/>
          <w:highlight w:val="none"/>
        </w:rPr>
        <w:t>日至</w:t>
      </w:r>
      <w:r>
        <w:rPr>
          <w:rFonts w:hint="eastAsia" w:ascii="宋体" w:hAnsi="宋体" w:cs="宋体"/>
          <w:color w:val="auto"/>
          <w:kern w:val="1"/>
          <w:sz w:val="24"/>
          <w:szCs w:val="24"/>
          <w:highlight w:val="none"/>
          <w:lang w:eastAsia="zh-CN"/>
        </w:rPr>
        <w:t>2026</w:t>
      </w:r>
      <w:r>
        <w:rPr>
          <w:rFonts w:hint="eastAsia" w:ascii="宋体" w:hAnsi="宋体" w:cs="宋体"/>
          <w:color w:val="auto"/>
          <w:kern w:val="1"/>
          <w:sz w:val="24"/>
          <w:szCs w:val="24"/>
          <w:highlight w:val="none"/>
        </w:rPr>
        <w:t>年</w:t>
      </w:r>
      <w:r>
        <w:rPr>
          <w:rFonts w:hint="eastAsia" w:ascii="宋体" w:hAnsi="宋体" w:cs="宋体"/>
          <w:color w:val="auto"/>
          <w:kern w:val="1"/>
          <w:sz w:val="24"/>
          <w:szCs w:val="24"/>
          <w:highlight w:val="none"/>
          <w:lang w:val="en-US" w:eastAsia="zh-CN"/>
        </w:rPr>
        <w:t>09</w:t>
      </w:r>
      <w:r>
        <w:rPr>
          <w:rFonts w:hint="eastAsia" w:ascii="宋体" w:hAnsi="宋体" w:cs="宋体"/>
          <w:color w:val="auto"/>
          <w:kern w:val="1"/>
          <w:sz w:val="24"/>
          <w:szCs w:val="24"/>
          <w:highlight w:val="none"/>
        </w:rPr>
        <w:t>月</w:t>
      </w:r>
      <w:r>
        <w:rPr>
          <w:rFonts w:hint="eastAsia" w:ascii="宋体" w:hAnsi="宋体" w:cs="宋体"/>
          <w:color w:val="auto"/>
          <w:kern w:val="1"/>
          <w:sz w:val="24"/>
          <w:szCs w:val="24"/>
          <w:highlight w:val="none"/>
          <w:lang w:val="en-US" w:eastAsia="zh-CN"/>
        </w:rPr>
        <w:t>24</w:t>
      </w:r>
      <w:r>
        <w:rPr>
          <w:rFonts w:hint="eastAsia" w:ascii="宋体" w:hAnsi="宋体" w:cs="宋体"/>
          <w:color w:val="auto"/>
          <w:kern w:val="1"/>
          <w:sz w:val="24"/>
          <w:szCs w:val="24"/>
          <w:highlight w:val="none"/>
        </w:rPr>
        <w:t>日，每天上午00:00至12:00，下午12:00至23:59（北京时间，法定节假日除外）</w:t>
      </w:r>
    </w:p>
    <w:p w14:paraId="330DDE31">
      <w:pPr>
        <w:spacing w:line="360" w:lineRule="auto"/>
        <w:ind w:firstLine="420"/>
        <w:rPr>
          <w:rFonts w:ascii="宋体" w:hAnsi="宋体" w:cs="宋体"/>
          <w:color w:val="auto"/>
          <w:kern w:val="1"/>
          <w:sz w:val="24"/>
          <w:szCs w:val="24"/>
          <w:highlight w:val="none"/>
        </w:rPr>
      </w:pPr>
      <w:r>
        <w:rPr>
          <w:rFonts w:hint="eastAsia" w:ascii="宋体" w:hAnsi="宋体" w:eastAsia="宋体" w:cs="宋体"/>
          <w:color w:val="auto"/>
          <w:kern w:val="1"/>
          <w:sz w:val="24"/>
          <w:szCs w:val="24"/>
          <w:highlight w:val="none"/>
        </w:rPr>
        <w:t>地</w:t>
      </w:r>
      <w:r>
        <w:rPr>
          <w:rFonts w:hint="eastAsia" w:ascii="宋体" w:hAnsi="宋体" w:eastAsia="宋体" w:cs="宋体"/>
          <w:color w:val="auto"/>
          <w:kern w:val="1"/>
          <w:sz w:val="24"/>
          <w:szCs w:val="24"/>
          <w:highlight w:val="none"/>
          <w:lang w:val="en-US" w:eastAsia="zh-CN"/>
        </w:rPr>
        <w:t>址</w:t>
      </w:r>
      <w:r>
        <w:rPr>
          <w:rFonts w:hint="eastAsia" w:ascii="宋体" w:hAnsi="宋体" w:eastAsia="宋体" w:cs="宋体"/>
          <w:i w:val="0"/>
          <w:iCs w:val="0"/>
          <w:caps w:val="0"/>
          <w:color w:val="auto"/>
          <w:spacing w:val="0"/>
          <w:kern w:val="1"/>
          <w:sz w:val="24"/>
          <w:szCs w:val="24"/>
          <w:highlight w:val="none"/>
        </w:rPr>
        <w:t>（网址）</w:t>
      </w:r>
      <w:r>
        <w:rPr>
          <w:rFonts w:hint="eastAsia" w:ascii="宋体" w:hAnsi="宋体" w:eastAsia="宋体" w:cs="宋体"/>
          <w:color w:val="auto"/>
          <w:kern w:val="1"/>
          <w:sz w:val="24"/>
          <w:szCs w:val="24"/>
          <w:highlight w:val="none"/>
        </w:rPr>
        <w:t>：广西政府采购云平台</w:t>
      </w:r>
      <w:r>
        <w:rPr>
          <w:rFonts w:hint="eastAsia" w:ascii="宋体" w:hAnsi="宋体" w:eastAsia="宋体" w:cs="宋体"/>
          <w:i w:val="0"/>
          <w:iCs w:val="0"/>
          <w:caps w:val="0"/>
          <w:color w:val="auto"/>
          <w:spacing w:val="0"/>
          <w:kern w:val="1"/>
          <w:sz w:val="24"/>
          <w:szCs w:val="24"/>
          <w:highlight w:val="none"/>
        </w:rPr>
        <w:t>线上获取</w:t>
      </w:r>
      <w:r>
        <w:rPr>
          <w:rFonts w:hint="eastAsia" w:ascii="宋体" w:hAnsi="宋体" w:eastAsia="宋体" w:cs="宋体"/>
          <w:color w:val="auto"/>
          <w:kern w:val="1"/>
          <w:sz w:val="24"/>
          <w:szCs w:val="24"/>
          <w:highlight w:val="none"/>
        </w:rPr>
        <w:t>（https://www.gcy.zfcg.gxzf.gov.cn/）</w:t>
      </w:r>
    </w:p>
    <w:p w14:paraId="01A7B8CE">
      <w:pPr>
        <w:spacing w:line="360" w:lineRule="auto"/>
        <w:ind w:firstLine="420"/>
        <w:rPr>
          <w:rFonts w:hint="eastAsia" w:ascii="宋体" w:hAnsi="宋体" w:eastAsia="宋体" w:cs="宋体"/>
          <w:i w:val="0"/>
          <w:iCs w:val="0"/>
          <w:caps w:val="0"/>
          <w:color w:val="auto"/>
          <w:spacing w:val="0"/>
          <w:kern w:val="1"/>
          <w:sz w:val="24"/>
          <w:szCs w:val="24"/>
          <w:highlight w:val="none"/>
          <w:lang w:eastAsia="zh-CN"/>
        </w:rPr>
      </w:pPr>
      <w:r>
        <w:rPr>
          <w:rFonts w:hint="eastAsia" w:ascii="宋体" w:hAnsi="宋体" w:eastAsia="宋体" w:cs="宋体"/>
          <w:i w:val="0"/>
          <w:iCs w:val="0"/>
          <w:caps w:val="0"/>
          <w:color w:val="auto"/>
          <w:spacing w:val="0"/>
          <w:kern w:val="1"/>
          <w:sz w:val="24"/>
          <w:szCs w:val="24"/>
          <w:highlight w:val="none"/>
        </w:rPr>
        <w:t>方式：潜在</w:t>
      </w:r>
      <w:r>
        <w:rPr>
          <w:rFonts w:hint="eastAsia" w:ascii="宋体" w:hAnsi="宋体" w:cs="宋体"/>
          <w:i w:val="0"/>
          <w:iCs w:val="0"/>
          <w:caps w:val="0"/>
          <w:color w:val="auto"/>
          <w:spacing w:val="0"/>
          <w:kern w:val="1"/>
          <w:sz w:val="24"/>
          <w:szCs w:val="24"/>
          <w:highlight w:val="none"/>
          <w:lang w:eastAsia="zh-CN"/>
        </w:rPr>
        <w:t>供应商</w:t>
      </w:r>
      <w:r>
        <w:rPr>
          <w:rFonts w:hint="eastAsia" w:ascii="宋体" w:hAnsi="宋体" w:eastAsia="宋体" w:cs="宋体"/>
          <w:i w:val="0"/>
          <w:iCs w:val="0"/>
          <w:caps w:val="0"/>
          <w:color w:val="auto"/>
          <w:spacing w:val="0"/>
          <w:kern w:val="1"/>
          <w:sz w:val="24"/>
          <w:szCs w:val="24"/>
          <w:highlight w:val="none"/>
        </w:rPr>
        <w:t>登陆广西政府采购云平台（https://www.gcy.zfcg.gxzf.gov.cn/），在线自行下载竞争性磋商文件电子版</w:t>
      </w:r>
      <w:r>
        <w:rPr>
          <w:rFonts w:hint="eastAsia" w:ascii="宋体" w:hAnsi="宋体" w:eastAsia="宋体" w:cs="宋体"/>
          <w:i w:val="0"/>
          <w:iCs w:val="0"/>
          <w:caps w:val="0"/>
          <w:color w:val="auto"/>
          <w:spacing w:val="0"/>
          <w:kern w:val="1"/>
          <w:sz w:val="24"/>
          <w:szCs w:val="24"/>
          <w:highlight w:val="none"/>
          <w:lang w:eastAsia="zh-CN"/>
        </w:rPr>
        <w:t>。</w:t>
      </w:r>
    </w:p>
    <w:p w14:paraId="0498F252">
      <w:pPr>
        <w:spacing w:line="360" w:lineRule="auto"/>
        <w:ind w:firstLine="480" w:firstLineChars="200"/>
        <w:rPr>
          <w:rFonts w:ascii="宋体" w:hAnsi="宋体" w:cs="宋体"/>
          <w:color w:val="auto"/>
          <w:kern w:val="1"/>
          <w:sz w:val="24"/>
          <w:szCs w:val="24"/>
          <w:highlight w:val="none"/>
        </w:rPr>
      </w:pPr>
      <w:r>
        <w:rPr>
          <w:rFonts w:hint="eastAsia" w:ascii="宋体" w:hAnsi="宋体" w:cs="宋体"/>
          <w:color w:val="auto"/>
          <w:kern w:val="1"/>
          <w:sz w:val="24"/>
          <w:szCs w:val="24"/>
          <w:highlight w:val="none"/>
        </w:rPr>
        <w:t>售价（元）：0</w:t>
      </w:r>
    </w:p>
    <w:p w14:paraId="65C4C41A">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四、响应文件提交</w:t>
      </w:r>
    </w:p>
    <w:p w14:paraId="65D0DCAF">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截止时间：</w:t>
      </w:r>
      <w:r>
        <w:rPr>
          <w:rFonts w:hint="eastAsia" w:ascii="宋体" w:hAnsi="宋体" w:cs="宋体"/>
          <w:color w:val="auto"/>
          <w:sz w:val="24"/>
          <w:szCs w:val="24"/>
          <w:highlight w:val="none"/>
          <w:lang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15时00分</w:t>
      </w:r>
      <w:r>
        <w:rPr>
          <w:rFonts w:hint="eastAsia" w:ascii="宋体" w:hAnsi="宋体" w:cs="宋体"/>
          <w:color w:val="auto"/>
          <w:kern w:val="1"/>
          <w:sz w:val="24"/>
          <w:szCs w:val="24"/>
          <w:highlight w:val="none"/>
        </w:rPr>
        <w:t>（北京时间）</w:t>
      </w:r>
    </w:p>
    <w:p w14:paraId="118EEE06">
      <w:pPr>
        <w:spacing w:line="360" w:lineRule="auto"/>
        <w:ind w:firstLine="420"/>
        <w:rPr>
          <w:rFonts w:hint="eastAsia" w:ascii="宋体" w:hAnsi="宋体" w:eastAsia="宋体" w:cs="宋体"/>
          <w:color w:val="auto"/>
          <w:kern w:val="1"/>
          <w:sz w:val="24"/>
          <w:szCs w:val="24"/>
          <w:highlight w:val="none"/>
          <w:lang w:eastAsia="zh-CN"/>
        </w:rPr>
      </w:pPr>
      <w:r>
        <w:rPr>
          <w:rFonts w:hint="eastAsia" w:ascii="宋体" w:hAnsi="宋体" w:cs="宋体"/>
          <w:color w:val="auto"/>
          <w:kern w:val="1"/>
          <w:sz w:val="24"/>
          <w:szCs w:val="24"/>
          <w:highlight w:val="none"/>
        </w:rPr>
        <w:t>地点：</w:t>
      </w:r>
      <w:r>
        <w:rPr>
          <w:rFonts w:hint="eastAsia" w:ascii="宋体" w:hAnsi="宋体" w:eastAsia="宋体" w:cs="宋体"/>
          <w:i w:val="0"/>
          <w:iCs w:val="0"/>
          <w:caps w:val="0"/>
          <w:color w:val="auto"/>
          <w:spacing w:val="0"/>
          <w:kern w:val="1"/>
          <w:sz w:val="24"/>
          <w:szCs w:val="24"/>
          <w:highlight w:val="none"/>
        </w:rPr>
        <w:t>通过广西政府采购云平台实行在线投标响应</w:t>
      </w:r>
      <w:r>
        <w:rPr>
          <w:rFonts w:hint="eastAsia" w:ascii="宋体" w:hAnsi="宋体" w:eastAsia="宋体" w:cs="宋体"/>
          <w:color w:val="auto"/>
          <w:kern w:val="1"/>
          <w:sz w:val="24"/>
          <w:szCs w:val="24"/>
          <w:highlight w:val="none"/>
          <w:lang w:eastAsia="zh-CN"/>
        </w:rPr>
        <w:t>。</w:t>
      </w:r>
    </w:p>
    <w:p w14:paraId="66869A42">
      <w:pPr>
        <w:spacing w:line="360" w:lineRule="auto"/>
        <w:rPr>
          <w:rFonts w:ascii="宋体" w:hAnsi="宋体" w:cs="宋体"/>
          <w:color w:val="auto"/>
          <w:kern w:val="1"/>
          <w:sz w:val="24"/>
          <w:szCs w:val="24"/>
          <w:highlight w:val="none"/>
        </w:rPr>
      </w:pPr>
      <w:r>
        <w:rPr>
          <w:rFonts w:hint="eastAsia" w:ascii="宋体" w:hAnsi="宋体" w:cs="宋体"/>
          <w:b/>
          <w:bCs/>
          <w:color w:val="auto"/>
          <w:kern w:val="1"/>
          <w:sz w:val="24"/>
          <w:szCs w:val="24"/>
          <w:highlight w:val="none"/>
        </w:rPr>
        <w:t>五、响应文件开启</w:t>
      </w:r>
    </w:p>
    <w:p w14:paraId="427BB81B">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开启时间：</w:t>
      </w:r>
      <w:r>
        <w:rPr>
          <w:rFonts w:hint="eastAsia" w:ascii="宋体" w:hAnsi="宋体" w:cs="宋体"/>
          <w:color w:val="auto"/>
          <w:sz w:val="24"/>
          <w:szCs w:val="24"/>
          <w:highlight w:val="none"/>
          <w:lang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15时00分</w:t>
      </w:r>
      <w:r>
        <w:rPr>
          <w:rFonts w:hint="eastAsia" w:ascii="宋体" w:hAnsi="宋体" w:cs="宋体"/>
          <w:color w:val="auto"/>
          <w:kern w:val="1"/>
          <w:sz w:val="24"/>
          <w:szCs w:val="24"/>
          <w:highlight w:val="none"/>
        </w:rPr>
        <w:t>（北京时间）</w:t>
      </w:r>
    </w:p>
    <w:p w14:paraId="6C262CDE">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地点：</w:t>
      </w:r>
      <w:r>
        <w:rPr>
          <w:rFonts w:hint="eastAsia" w:cs="宋体"/>
          <w:color w:val="auto"/>
          <w:kern w:val="1"/>
          <w:sz w:val="24"/>
          <w:szCs w:val="24"/>
          <w:highlight w:val="none"/>
        </w:rPr>
        <w:t>通过广西政府采购云平台实行在线解密开启</w:t>
      </w:r>
    </w:p>
    <w:p w14:paraId="46D35553">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六、公告期限</w:t>
      </w:r>
    </w:p>
    <w:p w14:paraId="4B50EDE7">
      <w:pPr>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自本公告发布之日起</w:t>
      </w:r>
      <w:r>
        <w:rPr>
          <w:rFonts w:hint="eastAsia" w:ascii="宋体" w:hAnsi="宋体" w:cs="宋体"/>
          <w:color w:val="auto"/>
          <w:kern w:val="1"/>
          <w:sz w:val="24"/>
          <w:szCs w:val="24"/>
          <w:highlight w:val="none"/>
          <w:lang w:val="en-US" w:eastAsia="zh-CN"/>
        </w:rPr>
        <w:t>3</w:t>
      </w:r>
      <w:r>
        <w:rPr>
          <w:rFonts w:hint="eastAsia" w:ascii="宋体" w:hAnsi="宋体" w:cs="宋体"/>
          <w:color w:val="auto"/>
          <w:kern w:val="1"/>
          <w:sz w:val="24"/>
          <w:szCs w:val="24"/>
          <w:highlight w:val="none"/>
        </w:rPr>
        <w:t>个工作日。</w:t>
      </w:r>
    </w:p>
    <w:p w14:paraId="44022DD3">
      <w:pPr>
        <w:spacing w:line="360" w:lineRule="auto"/>
        <w:rPr>
          <w:rFonts w:ascii="宋体" w:hAnsi="宋体" w:cs="宋体"/>
          <w:color w:val="auto"/>
          <w:kern w:val="1"/>
          <w:sz w:val="24"/>
          <w:szCs w:val="24"/>
          <w:highlight w:val="none"/>
        </w:rPr>
      </w:pPr>
      <w:r>
        <w:rPr>
          <w:rFonts w:hint="eastAsia" w:ascii="宋体" w:hAnsi="宋体" w:cs="宋体"/>
          <w:b/>
          <w:bCs/>
          <w:color w:val="auto"/>
          <w:kern w:val="1"/>
          <w:sz w:val="24"/>
          <w:szCs w:val="24"/>
          <w:highlight w:val="none"/>
        </w:rPr>
        <w:t>七、其他补充事宜</w:t>
      </w:r>
    </w:p>
    <w:p w14:paraId="5944C94C">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1.磋商保证金：</w:t>
      </w:r>
      <w:r>
        <w:rPr>
          <w:rFonts w:hint="eastAsia" w:ascii="宋体" w:hAnsi="宋体" w:cs="宋体"/>
          <w:color w:val="auto"/>
          <w:sz w:val="24"/>
          <w:szCs w:val="24"/>
          <w:highlight w:val="none"/>
          <w:lang w:val="en-US" w:eastAsia="zh-CN"/>
        </w:rPr>
        <w:t>本项目不收取磋商保证金</w:t>
      </w:r>
      <w:r>
        <w:rPr>
          <w:rFonts w:hint="eastAsia" w:ascii="宋体" w:hAnsi="宋体" w:cs="宋体"/>
          <w:color w:val="auto"/>
          <w:sz w:val="24"/>
          <w:szCs w:val="24"/>
          <w:highlight w:val="none"/>
        </w:rPr>
        <w:t>。</w:t>
      </w:r>
    </w:p>
    <w:p w14:paraId="0F95737C">
      <w:pPr>
        <w:spacing w:line="360"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联合体参与磋商要求：（1）本项目接受联合体参与磋商，但联合体成员单位数量不得超过3家。两个自然人、法人或者其他组织可以组成一个联合体，以一个供应商的身份共同参加本政府采购活动。（2）以联合体形式参与政府采购活动的，组成联合体的各方均应当具备《中华人民共和国政府采购法》第二十二条规定的条件，并应当向采购人提交联合协议（《联合协议》格式见附件），载明联合体各方承担的工作和义务。联合体各方应当共同与采购人签订采购合同，就采购合同约定的事项对采购人承担连带责任。（3）</w:t>
      </w:r>
      <w:r>
        <w:rPr>
          <w:rFonts w:hint="eastAsia" w:ascii="宋体" w:hAnsi="宋体" w:eastAsia="宋体" w:cs="宋体"/>
          <w:color w:val="auto"/>
          <w:sz w:val="24"/>
          <w:szCs w:val="24"/>
          <w:highlight w:val="none"/>
          <w:lang w:val="en-US" w:eastAsia="zh-CN"/>
        </w:rPr>
        <w:t>以联合体形式参与磋商的</w:t>
      </w:r>
      <w:r>
        <w:rPr>
          <w:rFonts w:hint="eastAsia" w:ascii="宋体" w:hAnsi="宋体" w:cs="宋体"/>
          <w:color w:val="auto"/>
          <w:sz w:val="24"/>
          <w:szCs w:val="24"/>
          <w:highlight w:val="none"/>
          <w:lang w:val="en-US" w:eastAsia="zh-CN"/>
        </w:rPr>
        <w:t>，</w:t>
      </w:r>
      <w:r>
        <w:rPr>
          <w:rFonts w:hint="eastAsia" w:ascii="宋体" w:hAnsi="宋体" w:cs="宋体"/>
          <w:color w:val="auto"/>
          <w:sz w:val="24"/>
          <w:highlight w:val="none"/>
          <w:lang w:val="en-US" w:eastAsia="zh-CN"/>
        </w:rPr>
        <w:t>按照联合体分工，承担测绘任务的供应商须具备相应的测绘资质，承担土壤检测任务的供应商须具备</w:t>
      </w:r>
      <w:r>
        <w:rPr>
          <w:rFonts w:hint="eastAsia" w:ascii="宋体" w:hAnsi="宋体" w:cs="宋体"/>
          <w:color w:val="auto"/>
          <w:kern w:val="1"/>
          <w:sz w:val="24"/>
          <w:szCs w:val="24"/>
          <w:highlight w:val="none"/>
          <w:lang w:val="en-US" w:eastAsia="zh-CN"/>
        </w:rPr>
        <w:t>检验检测机构资质认定证书（CMA）</w:t>
      </w:r>
      <w:r>
        <w:rPr>
          <w:rFonts w:hint="eastAsia" w:ascii="宋体" w:hAnsi="宋体" w:cs="宋体"/>
          <w:color w:val="auto"/>
          <w:sz w:val="24"/>
          <w:szCs w:val="24"/>
          <w:highlight w:val="none"/>
          <w:lang w:val="en-US" w:eastAsia="zh-CN"/>
        </w:rPr>
        <w:t>，承担工程质量检测任务的需</w:t>
      </w:r>
      <w:r>
        <w:rPr>
          <w:rFonts w:hint="eastAsia" w:ascii="宋体" w:hAnsi="宋体" w:eastAsia="宋体" w:cs="宋体"/>
          <w:color w:val="auto"/>
          <w:kern w:val="1"/>
          <w:sz w:val="24"/>
          <w:szCs w:val="24"/>
          <w:highlight w:val="none"/>
          <w:lang w:eastAsia="zh-CN"/>
        </w:rPr>
        <w:t>具备</w:t>
      </w:r>
      <w:r>
        <w:rPr>
          <w:rFonts w:hint="eastAsia" w:ascii="宋体" w:hAnsi="宋体" w:cs="宋体"/>
          <w:color w:val="auto"/>
          <w:kern w:val="1"/>
          <w:sz w:val="24"/>
          <w:szCs w:val="24"/>
          <w:highlight w:val="none"/>
          <w:lang w:val="en-US" w:eastAsia="zh-CN"/>
        </w:rPr>
        <w:t>行业</w:t>
      </w:r>
      <w:r>
        <w:rPr>
          <w:rFonts w:hint="eastAsia" w:ascii="宋体" w:hAnsi="宋体" w:eastAsia="宋体" w:cs="宋体"/>
          <w:color w:val="auto"/>
          <w:kern w:val="1"/>
          <w:sz w:val="24"/>
          <w:szCs w:val="24"/>
          <w:highlight w:val="none"/>
          <w:lang w:eastAsia="zh-CN"/>
        </w:rPr>
        <w:t>主管部门颁发的</w:t>
      </w:r>
      <w:r>
        <w:rPr>
          <w:rFonts w:hint="eastAsia" w:hAnsi="宋体" w:cs="宋体"/>
          <w:color w:val="auto"/>
          <w:kern w:val="1"/>
          <w:sz w:val="24"/>
          <w:szCs w:val="24"/>
          <w:highlight w:val="none"/>
          <w:lang w:val="en-US" w:eastAsia="zh-CN"/>
        </w:rPr>
        <w:t>有效期内</w:t>
      </w:r>
      <w:r>
        <w:rPr>
          <w:rFonts w:hint="eastAsia" w:ascii="宋体" w:hAnsi="宋体" w:eastAsia="宋体" w:cs="宋体"/>
          <w:color w:val="auto"/>
          <w:kern w:val="1"/>
          <w:sz w:val="24"/>
          <w:szCs w:val="24"/>
          <w:highlight w:val="none"/>
          <w:lang w:eastAsia="zh-CN"/>
        </w:rPr>
        <w:t>的《建设工程质量检测机构资质证书》或《水利工程质量检测单位资质等级证书》</w:t>
      </w:r>
      <w:r>
        <w:rPr>
          <w:rFonts w:hint="eastAsia" w:ascii="宋体" w:hAnsi="宋体" w:cs="宋体"/>
          <w:color w:val="auto"/>
          <w:kern w:val="1"/>
          <w:sz w:val="24"/>
          <w:szCs w:val="24"/>
          <w:highlight w:val="none"/>
          <w:lang w:eastAsia="zh-CN"/>
        </w:rPr>
        <w:t>，</w:t>
      </w:r>
      <w:r>
        <w:rPr>
          <w:rFonts w:hint="eastAsia" w:ascii="宋体" w:hAnsi="宋体" w:cs="宋体"/>
          <w:color w:val="auto"/>
          <w:sz w:val="24"/>
          <w:szCs w:val="24"/>
          <w:highlight w:val="none"/>
          <w:lang w:val="en-US" w:eastAsia="zh-CN"/>
        </w:rPr>
        <w:t>若</w:t>
      </w:r>
      <w:r>
        <w:rPr>
          <w:rFonts w:hint="eastAsia" w:ascii="宋体" w:hAnsi="宋体" w:cs="宋体"/>
          <w:color w:val="auto"/>
          <w:sz w:val="24"/>
          <w:highlight w:val="none"/>
          <w:lang w:val="en-US" w:eastAsia="zh-CN"/>
        </w:rPr>
        <w:t>联合体中存在同类资质的供应商按联合体分工承担相同工作的，应当按照资质等级较低的供应商确定联合体资质等级。（4）以联合体形式参加政府采购活动的，联合体各方不得再单独参加或者与其他供应商另外组成联合体参加同一合同项下的政府采购活动。（5）联合体业绩、人员、履约能力联合体各方提供均可计算。（6）联合体各方均应按照采购文件的规定提交资格证明文件。（7）响应文件中联合体牵头人盖章行为视为联合体共同意思表示。</w:t>
      </w:r>
    </w:p>
    <w:p w14:paraId="33346CE7">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本项目需要落实的政府采购政策：（1）支持采用本国产品：政府采购应当采购本国产品，确需采购进口产品的，实行审核管理。优先采购向我国企业转让技术、与我国企业签订消化吸收再创新方案的供应商的进口产品。（2）支持绿色发展：落实强制采购节能产品、鼓励节能政策；鼓励环保政策；推广使用绿色包装；采购绿色建材等。（3）支持中小企业发展：采购限额标准以上，200 万元以下的货物和服务采购项目、400万元以下的工程采购项目，适宜由中小企业提供的，采购人应当专门面向中小企业采购。超过 200万元的货物和服务采购项目、超过400 万元的工程采购项目中适宜由中小企业提供的，预留该部分采购项目预算总额的 30%以上专门面向中小企业采购，其中预留给小微企业的比例不低于60%。对于未预留份额专门面向中小企业采购的政府采购工程项目，以及预留份额政府采购工程项目中的非预留部分标项，对小型和微型企业的磋商报价给予3%-5%的扣除，用扣除后的价格参与评审。（4）支持监狱企业、残疾人福利性单位发展：监狱企业、残疾人福利性单位视同小型和微型企业。（5）支持创新发展：优先采购被认定为首台</w:t>
      </w:r>
      <w:r>
        <w:rPr>
          <w:rFonts w:hint="eastAsia" w:ascii="宋体" w:hAnsi="宋体" w:cs="宋体"/>
          <w:color w:val="auto"/>
          <w:sz w:val="24"/>
          <w:szCs w:val="24"/>
          <w:highlight w:val="none"/>
          <w:lang w:val="en-US" w:eastAsia="zh-CN"/>
        </w:rPr>
        <w:t>首</w:t>
      </w:r>
      <w:r>
        <w:rPr>
          <w:rFonts w:hint="eastAsia" w:ascii="宋体" w:hAnsi="宋体" w:cs="宋体"/>
          <w:color w:val="auto"/>
          <w:sz w:val="24"/>
          <w:szCs w:val="24"/>
          <w:highlight w:val="none"/>
        </w:rPr>
        <w:t>套产品和“制造精品”的自主创新产品。（6）平等对待内外资企业和符合条件的破产重整企业。</w:t>
      </w:r>
    </w:p>
    <w:p w14:paraId="1B27B48D">
      <w:pPr>
        <w:adjustRightInd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其他要求：（1）</w:t>
      </w:r>
      <w:r>
        <w:rPr>
          <w:rFonts w:hint="eastAsia" w:ascii="宋体" w:hAnsi="宋体" w:cs="宋体"/>
          <w:color w:val="auto"/>
          <w:sz w:val="24"/>
          <w:szCs w:val="24"/>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5D903883">
      <w:pPr>
        <w:adjustRightInd w:val="0"/>
        <w:spacing w:line="360" w:lineRule="auto"/>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未被“信用中国”（www.creditchina.gov.cn)、中国政府采购网（www.ccgp.gov.cn）列入失信被执行人、</w:t>
      </w:r>
      <w:r>
        <w:rPr>
          <w:rFonts w:hint="eastAsia" w:ascii="宋体" w:hAnsi="宋体" w:cs="宋体"/>
          <w:color w:val="auto"/>
          <w:sz w:val="24"/>
          <w:szCs w:val="24"/>
          <w:highlight w:val="none"/>
          <w:lang w:eastAsia="zh-CN"/>
        </w:rPr>
        <w:t>重大税收违法失信主体名单</w:t>
      </w:r>
      <w:r>
        <w:rPr>
          <w:rFonts w:hint="eastAsia" w:ascii="宋体" w:hAnsi="宋体" w:cs="宋体"/>
          <w:color w:val="auto"/>
          <w:sz w:val="24"/>
          <w:szCs w:val="24"/>
          <w:highlight w:val="none"/>
        </w:rPr>
        <w:t>、政府采购严重违法失信行为记录名单</w:t>
      </w:r>
      <w:r>
        <w:rPr>
          <w:rFonts w:hint="eastAsia" w:ascii="宋体" w:hAnsi="宋体" w:cs="宋体"/>
          <w:color w:val="auto"/>
          <w:sz w:val="24"/>
          <w:szCs w:val="24"/>
          <w:highlight w:val="none"/>
          <w:lang w:eastAsia="zh-CN"/>
        </w:rPr>
        <w:t>。</w:t>
      </w:r>
    </w:p>
    <w:p w14:paraId="3F431A1C">
      <w:pPr>
        <w:adjustRightInd w:val="0"/>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磋商供应商可对多个标段提交磋商响应文件，但仅可成为其中一个标段的成交候选供应商；若供应商在多个标段均排名第一，需按标项一、标项二的先后顺序确定成交候选供应商；如若供应商被推荐为标项一的成交候选供应商，则在后续标项的符合性评审时，直接否决该供应商，不进入后续标项的综合评分。</w:t>
      </w:r>
    </w:p>
    <w:p w14:paraId="269FB966">
      <w:pPr>
        <w:adjustRightInd w:val="0"/>
        <w:spacing w:line="360" w:lineRule="auto"/>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不得</w:t>
      </w:r>
      <w:r>
        <w:rPr>
          <w:rFonts w:hint="eastAsia" w:ascii="宋体" w:hAnsi="宋体" w:eastAsia="宋体" w:cs="宋体"/>
          <w:color w:val="auto"/>
          <w:sz w:val="24"/>
          <w:szCs w:val="24"/>
          <w:highlight w:val="none"/>
          <w:lang w:val="en-US" w:eastAsia="zh-CN"/>
        </w:rPr>
        <w:t>为</w:t>
      </w:r>
      <w:r>
        <w:rPr>
          <w:rFonts w:hint="eastAsia" w:ascii="宋体" w:hAnsi="宋体" w:cs="宋体"/>
          <w:color w:val="auto"/>
          <w:sz w:val="24"/>
          <w:szCs w:val="24"/>
          <w:highlight w:val="none"/>
          <w:lang w:val="en-US" w:eastAsia="zh-CN"/>
        </w:rPr>
        <w:t>所</w:t>
      </w:r>
      <w:r>
        <w:rPr>
          <w:rFonts w:ascii="宋体" w:hAnsi="宋体" w:eastAsia="宋体" w:cs="宋体"/>
          <w:color w:val="auto"/>
          <w:sz w:val="24"/>
          <w:szCs w:val="24"/>
          <w:highlight w:val="none"/>
        </w:rPr>
        <w:t>参与</w:t>
      </w:r>
      <w:r>
        <w:rPr>
          <w:rFonts w:hint="eastAsia" w:ascii="宋体" w:hAnsi="宋体" w:cs="宋体"/>
          <w:color w:val="auto"/>
          <w:sz w:val="24"/>
          <w:szCs w:val="24"/>
          <w:highlight w:val="none"/>
          <w:lang w:val="en-US" w:eastAsia="zh-CN"/>
        </w:rPr>
        <w:t>标项</w:t>
      </w:r>
      <w:r>
        <w:rPr>
          <w:rFonts w:ascii="宋体" w:hAnsi="宋体" w:eastAsia="宋体" w:cs="宋体"/>
          <w:color w:val="auto"/>
          <w:sz w:val="24"/>
          <w:szCs w:val="24"/>
          <w:highlight w:val="none"/>
        </w:rPr>
        <w:t>本年度</w:t>
      </w:r>
      <w:r>
        <w:rPr>
          <w:rFonts w:hint="eastAsia" w:ascii="宋体" w:hAnsi="宋体" w:cs="宋体"/>
          <w:color w:val="auto"/>
          <w:sz w:val="24"/>
          <w:szCs w:val="24"/>
          <w:highlight w:val="none"/>
          <w:lang w:val="en-US" w:eastAsia="zh-CN"/>
        </w:rPr>
        <w:t>的</w:t>
      </w:r>
      <w:r>
        <w:rPr>
          <w:rFonts w:ascii="宋体" w:hAnsi="宋体" w:eastAsia="宋体" w:cs="宋体"/>
          <w:color w:val="auto"/>
          <w:sz w:val="24"/>
          <w:szCs w:val="24"/>
          <w:highlight w:val="none"/>
        </w:rPr>
        <w:t>北海高标准农田</w:t>
      </w:r>
      <w:r>
        <w:rPr>
          <w:rFonts w:hint="eastAsia" w:ascii="宋体" w:hAnsi="宋体" w:cs="宋体"/>
          <w:color w:val="auto"/>
          <w:sz w:val="24"/>
          <w:szCs w:val="24"/>
          <w:highlight w:val="none"/>
          <w:lang w:val="en-US" w:eastAsia="zh-CN"/>
        </w:rPr>
        <w:t>项目</w:t>
      </w:r>
      <w:r>
        <w:rPr>
          <w:rFonts w:ascii="宋体" w:hAnsi="宋体" w:eastAsia="宋体" w:cs="宋体"/>
          <w:color w:val="auto"/>
          <w:sz w:val="24"/>
          <w:szCs w:val="24"/>
          <w:highlight w:val="none"/>
        </w:rPr>
        <w:t>设计、施工、监理、县级初验等前期建设工作</w:t>
      </w:r>
      <w:r>
        <w:rPr>
          <w:rFonts w:hint="eastAsia" w:ascii="宋体" w:hAnsi="宋体" w:eastAsia="宋体" w:cs="宋体"/>
          <w:color w:val="auto"/>
          <w:sz w:val="24"/>
          <w:szCs w:val="24"/>
          <w:highlight w:val="none"/>
          <w:lang w:val="en-US" w:eastAsia="zh-CN"/>
        </w:rPr>
        <w:t>的服务单位</w:t>
      </w:r>
      <w:r>
        <w:rPr>
          <w:rFonts w:hint="eastAsia" w:ascii="宋体" w:hAnsi="宋体" w:cs="宋体"/>
          <w:color w:val="auto"/>
          <w:sz w:val="24"/>
          <w:szCs w:val="24"/>
          <w:highlight w:val="none"/>
          <w:lang w:val="en-US" w:eastAsia="zh-CN"/>
        </w:rPr>
        <w:t>，</w:t>
      </w:r>
      <w:r>
        <w:rPr>
          <w:rFonts w:hint="eastAsia" w:ascii="宋体" w:hAnsi="宋体" w:cs="宋体"/>
          <w:b w:val="0"/>
          <w:bCs/>
          <w:color w:val="auto"/>
          <w:kern w:val="0"/>
          <w:sz w:val="24"/>
          <w:szCs w:val="24"/>
          <w:highlight w:val="none"/>
          <w:lang w:val="en-US" w:eastAsia="zh-CN" w:bidi="ar"/>
        </w:rPr>
        <w:t>若供应商存在上述情形仍参与本次磋商，其响应文件将按无效处理。</w:t>
      </w:r>
    </w:p>
    <w:p w14:paraId="57993A0E">
      <w:pPr>
        <w:adjustRightInd w:val="0"/>
        <w:spacing w:line="360" w:lineRule="auto"/>
        <w:ind w:firstLine="480" w:firstLineChars="200"/>
        <w:rPr>
          <w:color w:val="auto"/>
          <w:sz w:val="24"/>
          <w:szCs w:val="24"/>
          <w:highlight w:val="none"/>
        </w:rPr>
      </w:pPr>
      <w:r>
        <w:rPr>
          <w:rFonts w:hint="eastAsia" w:ascii="宋体" w:hAnsi="宋体" w:cs="宋体"/>
          <w:snapToGrid w:val="0"/>
          <w:color w:val="auto"/>
          <w:kern w:val="28"/>
          <w:sz w:val="24"/>
          <w:szCs w:val="24"/>
          <w:highlight w:val="none"/>
          <w:lang w:val="en-US" w:eastAsia="zh-CN"/>
        </w:rPr>
        <w:t>5.</w:t>
      </w:r>
      <w:r>
        <w:rPr>
          <w:rFonts w:hint="eastAsia" w:ascii="宋体" w:hAnsi="宋体" w:cs="宋体"/>
          <w:snapToGrid w:val="0"/>
          <w:color w:val="auto"/>
          <w:kern w:val="28"/>
          <w:sz w:val="24"/>
          <w:szCs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13FA33E0">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.网上公告媒体查询：</w:t>
      </w:r>
      <w:r>
        <w:rPr>
          <w:rFonts w:hint="eastAsia" w:ascii="宋体" w:hAnsi="宋体" w:cs="宋体"/>
          <w:color w:val="auto"/>
          <w:sz w:val="24"/>
          <w:szCs w:val="24"/>
          <w:highlight w:val="none"/>
          <w:lang w:val="en-US" w:eastAsia="zh-CN"/>
        </w:rPr>
        <w:t>中国政府采购网(www.ccgp.gov.cn)、广西壮族自治区政府采购网（http://zfcg.gxzf.gov.cn/）</w:t>
      </w:r>
      <w:r>
        <w:rPr>
          <w:rFonts w:hint="eastAsia" w:ascii="宋体" w:hAnsi="宋体" w:cs="宋体"/>
          <w:color w:val="auto"/>
          <w:sz w:val="24"/>
          <w:szCs w:val="24"/>
          <w:highlight w:val="none"/>
        </w:rPr>
        <w:t>。</w:t>
      </w:r>
    </w:p>
    <w:p w14:paraId="08E98ACD">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67E498A0">
      <w:pPr>
        <w:adjustRightIn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2742B77C">
      <w:pPr>
        <w:adjustRightInd w:val="0"/>
        <w:spacing w:line="360" w:lineRule="auto"/>
        <w:ind w:firstLine="480" w:firstLineChars="200"/>
        <w:rPr>
          <w:rFonts w:ascii="宋体" w:hAnsi="宋体"/>
          <w:color w:val="auto"/>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.本项目采用远程异地评标。</w:t>
      </w:r>
    </w:p>
    <w:p w14:paraId="354A169B">
      <w:pPr>
        <w:spacing w:line="360" w:lineRule="auto"/>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八、凡对本次招标提出询问，请按以下方式联系</w:t>
      </w:r>
    </w:p>
    <w:p w14:paraId="4F126337">
      <w:pPr>
        <w:spacing w:line="360" w:lineRule="auto"/>
        <w:ind w:firstLine="648" w:firstLineChars="270"/>
        <w:jc w:val="left"/>
        <w:rPr>
          <w:rFonts w:ascii="宋体" w:hAnsi="宋体" w:cs="宋体"/>
          <w:color w:val="auto"/>
          <w:sz w:val="24"/>
          <w:szCs w:val="24"/>
          <w:highlight w:val="none"/>
        </w:rPr>
      </w:pPr>
      <w:r>
        <w:rPr>
          <w:rFonts w:hint="eastAsia" w:ascii="宋体" w:hAnsi="宋体" w:cs="宋体"/>
          <w:color w:val="auto"/>
          <w:sz w:val="24"/>
          <w:szCs w:val="24"/>
          <w:highlight w:val="none"/>
        </w:rPr>
        <w:t>1.采购人信息</w:t>
      </w:r>
    </w:p>
    <w:p w14:paraId="1B6CED11">
      <w:pPr>
        <w:spacing w:line="360" w:lineRule="auto"/>
        <w:ind w:firstLine="648" w:firstLineChars="270"/>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名 称：</w:t>
      </w:r>
      <w:r>
        <w:rPr>
          <w:rFonts w:hint="eastAsia" w:ascii="宋体" w:hAnsi="宋体"/>
          <w:color w:val="auto"/>
          <w:sz w:val="24"/>
          <w:szCs w:val="24"/>
          <w:highlight w:val="none"/>
          <w:lang w:eastAsia="zh-CN"/>
        </w:rPr>
        <w:t>北海市农业农村局</w:t>
      </w:r>
    </w:p>
    <w:p w14:paraId="310E9E15">
      <w:pPr>
        <w:spacing w:line="360" w:lineRule="auto"/>
        <w:ind w:firstLine="648" w:firstLineChars="270"/>
        <w:jc w:val="left"/>
        <w:rPr>
          <w:rFonts w:hint="eastAsia" w:ascii="宋体" w:hAnsi="宋体" w:eastAsia="宋体" w:cs="Times New Roman"/>
          <w:color w:val="auto"/>
          <w:sz w:val="24"/>
          <w:szCs w:val="24"/>
          <w:highlight w:val="none"/>
          <w:shd w:val="clear" w:color="auto" w:fill="auto"/>
        </w:rPr>
      </w:pPr>
      <w:r>
        <w:rPr>
          <w:rFonts w:hint="eastAsia" w:ascii="宋体" w:hAnsi="宋体"/>
          <w:color w:val="auto"/>
          <w:sz w:val="24"/>
          <w:szCs w:val="24"/>
          <w:highlight w:val="none"/>
        </w:rPr>
        <w:t>地址：</w:t>
      </w:r>
      <w:bookmarkStart w:id="12" w:name="_Toc28359009"/>
      <w:bookmarkStart w:id="13" w:name="_Toc28359086"/>
      <w:r>
        <w:rPr>
          <w:rFonts w:hint="eastAsia" w:ascii="宋体" w:hAnsi="宋体" w:eastAsia="宋体" w:cs="Times New Roman"/>
          <w:color w:val="auto"/>
          <w:kern w:val="0"/>
          <w:sz w:val="24"/>
          <w:szCs w:val="24"/>
          <w:highlight w:val="none"/>
          <w:shd w:val="clear" w:color="auto" w:fill="auto"/>
          <w:lang w:eastAsia="zh-CN"/>
        </w:rPr>
        <w:t>广西北海市海城区广东路85号</w:t>
      </w:r>
    </w:p>
    <w:p w14:paraId="0EA22458">
      <w:pPr>
        <w:spacing w:line="360" w:lineRule="auto"/>
        <w:ind w:firstLine="648" w:firstLineChars="270"/>
        <w:jc w:val="left"/>
        <w:rPr>
          <w:rFonts w:hint="default" w:ascii="宋体" w:hAnsi="宋体" w:eastAsia="宋体" w:cs="Times New Roman"/>
          <w:color w:val="auto"/>
          <w:sz w:val="24"/>
          <w:szCs w:val="24"/>
          <w:highlight w:val="none"/>
          <w:shd w:val="clear" w:color="auto" w:fill="auto"/>
          <w:lang w:val="en-US"/>
        </w:rPr>
      </w:pPr>
      <w:r>
        <w:rPr>
          <w:rFonts w:hint="eastAsia" w:ascii="宋体" w:hAnsi="宋体" w:eastAsia="宋体" w:cs="Times New Roman"/>
          <w:color w:val="auto"/>
          <w:sz w:val="24"/>
          <w:szCs w:val="24"/>
          <w:highlight w:val="none"/>
          <w:shd w:val="clear" w:color="auto" w:fill="auto"/>
        </w:rPr>
        <w:t>项目联系人：</w:t>
      </w:r>
      <w:r>
        <w:rPr>
          <w:rFonts w:hint="eastAsia" w:ascii="宋体" w:hAnsi="宋体" w:cs="Times New Roman"/>
          <w:color w:val="auto"/>
          <w:sz w:val="24"/>
          <w:szCs w:val="24"/>
          <w:highlight w:val="none"/>
          <w:shd w:val="clear" w:color="auto" w:fill="auto"/>
          <w:lang w:val="en-US" w:eastAsia="zh-CN"/>
        </w:rPr>
        <w:t>庞翔云</w:t>
      </w:r>
    </w:p>
    <w:p w14:paraId="1DCD7B94">
      <w:pPr>
        <w:spacing w:line="360" w:lineRule="auto"/>
        <w:ind w:firstLine="648" w:firstLineChars="270"/>
        <w:jc w:val="left"/>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项目联系方式：0779-2032305</w:t>
      </w:r>
    </w:p>
    <w:p w14:paraId="4681B3AC">
      <w:pPr>
        <w:spacing w:line="360" w:lineRule="auto"/>
        <w:ind w:firstLine="648" w:firstLineChars="270"/>
        <w:jc w:val="left"/>
        <w:rPr>
          <w:rFonts w:ascii="宋体" w:hAnsi="宋体"/>
          <w:color w:val="auto"/>
          <w:sz w:val="24"/>
          <w:szCs w:val="24"/>
          <w:highlight w:val="none"/>
        </w:rPr>
      </w:pPr>
      <w:r>
        <w:rPr>
          <w:rFonts w:hint="eastAsia" w:ascii="宋体" w:hAnsi="宋体" w:cs="宋体"/>
          <w:color w:val="auto"/>
          <w:sz w:val="24"/>
          <w:szCs w:val="24"/>
          <w:highlight w:val="none"/>
        </w:rPr>
        <w:t>2.采购代理机构信息</w:t>
      </w:r>
      <w:bookmarkEnd w:id="12"/>
      <w:bookmarkEnd w:id="13"/>
    </w:p>
    <w:p w14:paraId="36269D3F">
      <w:pPr>
        <w:spacing w:line="360" w:lineRule="auto"/>
        <w:ind w:firstLine="648" w:firstLineChars="270"/>
        <w:rPr>
          <w:rFonts w:ascii="宋体" w:hAnsi="宋体" w:cs="Arial"/>
          <w:color w:val="auto"/>
          <w:sz w:val="24"/>
          <w:szCs w:val="24"/>
          <w:highlight w:val="none"/>
        </w:rPr>
      </w:pPr>
      <w:r>
        <w:rPr>
          <w:rFonts w:hint="eastAsia" w:ascii="宋体" w:hAnsi="宋体"/>
          <w:color w:val="auto"/>
          <w:sz w:val="24"/>
          <w:szCs w:val="24"/>
          <w:highlight w:val="none"/>
        </w:rPr>
        <w:t>名 称：</w:t>
      </w:r>
      <w:r>
        <w:rPr>
          <w:rFonts w:hint="eastAsia" w:ascii="宋体" w:hAnsi="宋体"/>
          <w:color w:val="auto"/>
          <w:sz w:val="24"/>
          <w:szCs w:val="24"/>
          <w:highlight w:val="none"/>
          <w:lang w:eastAsia="zh-CN"/>
        </w:rPr>
        <w:t>广西北部湾宏亚建设管理有限公司</w:t>
      </w:r>
    </w:p>
    <w:p w14:paraId="498E7CDE">
      <w:pPr>
        <w:spacing w:line="360" w:lineRule="auto"/>
        <w:ind w:firstLine="648" w:firstLineChars="27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地址：</w:t>
      </w:r>
      <w:r>
        <w:rPr>
          <w:rFonts w:hint="eastAsia" w:ascii="宋体" w:hAnsi="宋体"/>
          <w:color w:val="auto"/>
          <w:sz w:val="24"/>
          <w:szCs w:val="24"/>
          <w:highlight w:val="none"/>
          <w:lang w:eastAsia="zh-CN"/>
        </w:rPr>
        <w:t>广西北海市海城区银河城市科技产业城2栋0101号</w:t>
      </w:r>
    </w:p>
    <w:p w14:paraId="41297F77">
      <w:pPr>
        <w:spacing w:line="360" w:lineRule="auto"/>
        <w:ind w:firstLine="648" w:firstLineChars="270"/>
        <w:rPr>
          <w:rFonts w:ascii="宋体" w:hAnsi="宋体"/>
          <w:color w:val="auto"/>
          <w:sz w:val="24"/>
          <w:szCs w:val="24"/>
          <w:highlight w:val="none"/>
        </w:rPr>
      </w:pPr>
      <w:r>
        <w:rPr>
          <w:rFonts w:hint="eastAsia" w:ascii="宋体" w:hAnsi="宋体"/>
          <w:color w:val="auto"/>
          <w:sz w:val="24"/>
          <w:szCs w:val="24"/>
          <w:highlight w:val="none"/>
        </w:rPr>
        <w:t>联系方式：</w:t>
      </w:r>
      <w:bookmarkStart w:id="14" w:name="_Toc28359010"/>
      <w:bookmarkStart w:id="15" w:name="_Toc28359087"/>
      <w:r>
        <w:rPr>
          <w:rFonts w:hint="eastAsia" w:ascii="宋体" w:hAnsi="宋体"/>
          <w:color w:val="auto"/>
          <w:sz w:val="24"/>
          <w:szCs w:val="24"/>
          <w:highlight w:val="none"/>
          <w:lang w:eastAsia="zh-CN"/>
        </w:rPr>
        <w:t>0779-</w:t>
      </w:r>
      <w:r>
        <w:rPr>
          <w:rFonts w:hint="eastAsia" w:ascii="宋体" w:hAnsi="宋体"/>
          <w:color w:val="auto"/>
          <w:sz w:val="24"/>
          <w:szCs w:val="24"/>
          <w:highlight w:val="none"/>
          <w:lang w:val="en-US" w:eastAsia="zh-CN"/>
        </w:rPr>
        <w:t>3928925</w:t>
      </w:r>
    </w:p>
    <w:p w14:paraId="5A6E511D">
      <w:pPr>
        <w:spacing w:line="360" w:lineRule="auto"/>
        <w:ind w:firstLine="648" w:firstLineChars="270"/>
        <w:rPr>
          <w:rFonts w:ascii="宋体" w:hAnsi="宋体"/>
          <w:color w:val="auto"/>
          <w:sz w:val="24"/>
          <w:szCs w:val="24"/>
          <w:highlight w:val="none"/>
        </w:rPr>
      </w:pPr>
      <w:r>
        <w:rPr>
          <w:rFonts w:hint="eastAsia" w:ascii="宋体" w:hAnsi="宋体" w:cs="宋体"/>
          <w:color w:val="auto"/>
          <w:sz w:val="24"/>
          <w:szCs w:val="24"/>
          <w:highlight w:val="none"/>
        </w:rPr>
        <w:t>3.项目</w:t>
      </w:r>
      <w:r>
        <w:rPr>
          <w:rFonts w:ascii="宋体" w:hAnsi="宋体" w:cs="宋体"/>
          <w:color w:val="auto"/>
          <w:sz w:val="24"/>
          <w:szCs w:val="24"/>
          <w:highlight w:val="none"/>
        </w:rPr>
        <w:t>联系方式</w:t>
      </w:r>
      <w:bookmarkEnd w:id="14"/>
      <w:bookmarkEnd w:id="15"/>
    </w:p>
    <w:p w14:paraId="12F53984">
      <w:pPr>
        <w:pStyle w:val="32"/>
        <w:spacing w:line="360" w:lineRule="auto"/>
        <w:ind w:firstLine="648" w:firstLineChars="270"/>
        <w:rPr>
          <w:rFonts w:hint="default" w:hAnsi="宋体" w:eastAsia="宋体"/>
          <w:color w:val="auto"/>
          <w:sz w:val="24"/>
          <w:szCs w:val="24"/>
          <w:highlight w:val="none"/>
          <w:lang w:val="en-US" w:eastAsia="zh-CN"/>
        </w:rPr>
      </w:pPr>
      <w:r>
        <w:rPr>
          <w:rFonts w:hint="eastAsia" w:hAnsi="宋体"/>
          <w:color w:val="auto"/>
          <w:sz w:val="24"/>
          <w:szCs w:val="24"/>
          <w:highlight w:val="none"/>
        </w:rPr>
        <w:t>项目联系人：</w:t>
      </w:r>
      <w:r>
        <w:rPr>
          <w:rFonts w:hint="eastAsia" w:hAnsi="宋体"/>
          <w:color w:val="auto"/>
          <w:sz w:val="24"/>
          <w:szCs w:val="24"/>
          <w:highlight w:val="none"/>
          <w:lang w:val="en-US" w:eastAsia="zh-CN"/>
        </w:rPr>
        <w:t>韦丽丹</w:t>
      </w:r>
    </w:p>
    <w:p w14:paraId="3F0A6E51">
      <w:pPr>
        <w:spacing w:line="360" w:lineRule="auto"/>
        <w:ind w:firstLine="648" w:firstLineChars="270"/>
        <w:rPr>
          <w:rFonts w:ascii="宋体" w:hAnsi="宋体"/>
          <w:color w:val="auto"/>
          <w:sz w:val="24"/>
          <w:szCs w:val="24"/>
          <w:highlight w:val="none"/>
        </w:rPr>
      </w:pPr>
      <w:r>
        <w:rPr>
          <w:rFonts w:hint="eastAsia" w:ascii="宋体" w:hAnsi="宋体"/>
          <w:color w:val="auto"/>
          <w:sz w:val="24"/>
          <w:szCs w:val="24"/>
          <w:highlight w:val="none"/>
        </w:rPr>
        <w:t>电话：</w:t>
      </w:r>
      <w:r>
        <w:rPr>
          <w:rFonts w:hint="eastAsia" w:ascii="宋体" w:hAnsi="宋体"/>
          <w:color w:val="auto"/>
          <w:sz w:val="24"/>
          <w:szCs w:val="24"/>
          <w:highlight w:val="none"/>
          <w:lang w:eastAsia="zh-CN"/>
        </w:rPr>
        <w:t>0779-</w:t>
      </w:r>
      <w:r>
        <w:rPr>
          <w:rFonts w:hint="eastAsia" w:ascii="宋体" w:hAnsi="宋体"/>
          <w:color w:val="auto"/>
          <w:sz w:val="24"/>
          <w:szCs w:val="24"/>
          <w:highlight w:val="none"/>
          <w:lang w:val="en-US" w:eastAsia="zh-CN"/>
        </w:rPr>
        <w:t>3928925</w:t>
      </w:r>
    </w:p>
    <w:p w14:paraId="0304544F">
      <w:pPr>
        <w:rPr>
          <w:rFonts w:hint="eastAsia"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br w:type="page"/>
      </w:r>
    </w:p>
    <w:p w14:paraId="762BD3DE">
      <w:pPr>
        <w:adjustRightInd/>
        <w:spacing w:line="360" w:lineRule="auto"/>
        <w:jc w:val="center"/>
        <w:outlineLvl w:val="0"/>
        <w:rPr>
          <w:rFonts w:hint="eastAsia" w:cs="仿宋_GB2312" w:asciiTheme="minorEastAsia" w:hAnsiTheme="minorEastAsia" w:eastAsiaTheme="minorEastAsia"/>
          <w:b/>
          <w:color w:val="auto"/>
          <w:sz w:val="32"/>
          <w:szCs w:val="20"/>
          <w:highlight w:val="none"/>
        </w:rPr>
      </w:pPr>
      <w:bookmarkStart w:id="16" w:name="_Toc8027"/>
      <w:r>
        <w:rPr>
          <w:rFonts w:hint="eastAsia" w:cs="仿宋_GB2312" w:asciiTheme="minorEastAsia" w:hAnsiTheme="minorEastAsia" w:eastAsiaTheme="minorEastAsia"/>
          <w:b/>
          <w:color w:val="auto"/>
          <w:sz w:val="36"/>
          <w:szCs w:val="20"/>
          <w:highlight w:val="none"/>
        </w:rPr>
        <w:t>第二部分  竞争性磋商流程</w:t>
      </w:r>
      <w:bookmarkEnd w:id="16"/>
    </w:p>
    <w:p w14:paraId="06FDFB6E">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szCs w:val="24"/>
          <w:highlight w:val="none"/>
        </w:rPr>
        <w:t>1.征集供应商</w:t>
      </w:r>
    </w:p>
    <w:p w14:paraId="387CCDB5">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1.1邀请供应商。</w:t>
      </w:r>
    </w:p>
    <w:p w14:paraId="667B8F1D">
      <w:pPr>
        <w:pStyle w:val="393"/>
        <w:spacing w:before="0"/>
        <w:ind w:firstLine="480"/>
        <w:rPr>
          <w:rFonts w:hint="eastAsia" w:asciiTheme="minorEastAsia" w:hAnsiTheme="minorEastAsia" w:eastAsiaTheme="minorEastAsia"/>
          <w:color w:val="auto"/>
          <w:szCs w:val="24"/>
          <w:highlight w:val="none"/>
        </w:rPr>
      </w:pPr>
      <w:r>
        <w:rPr>
          <w:rFonts w:hint="eastAsia" w:ascii="宋体" w:hAnsi="宋体" w:cs="宋体"/>
          <w:color w:val="auto"/>
          <w:kern w:val="0"/>
          <w:highlight w:val="none"/>
        </w:rPr>
        <w:sym w:font="Wingdings" w:char="F0FE"/>
      </w:r>
      <w:r>
        <w:rPr>
          <w:rFonts w:hint="eastAsia" w:asciiTheme="minorEastAsia" w:hAnsiTheme="minorEastAsia" w:eastAsiaTheme="minorEastAsia"/>
          <w:b/>
          <w:color w:val="auto"/>
          <w:szCs w:val="24"/>
          <w:highlight w:val="none"/>
        </w:rPr>
        <w:t>采用公告方式邀请供应商的，</w:t>
      </w:r>
      <w:r>
        <w:rPr>
          <w:rFonts w:hint="eastAsia" w:asciiTheme="minorEastAsia" w:hAnsiTheme="minorEastAsia" w:eastAsiaTheme="minorEastAsia"/>
          <w:color w:val="auto"/>
          <w:szCs w:val="24"/>
          <w:highlight w:val="none"/>
        </w:rPr>
        <w:t>由采购人、采购代理机构在省级以上人民政府财政部门指定的政府采购信息发布媒体上发布磋商公告，邀请符合相应资格条件的供应商参与竞争性磋商采购活动。</w:t>
      </w:r>
    </w:p>
    <w:p w14:paraId="3C156B72">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1.2供应商获取磋商文件。</w:t>
      </w:r>
    </w:p>
    <w:p w14:paraId="181227EE">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1.3组织现场考察或召开答疑会（如果有）。</w:t>
      </w:r>
    </w:p>
    <w:p w14:paraId="0A711FFE">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1.4发布更正（延期）公告，澄清或修改磋商文件（如果有）。</w:t>
      </w:r>
    </w:p>
    <w:p w14:paraId="6ECB8B71">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1.5供应商按磋商文件要求编制响应文件。</w:t>
      </w:r>
    </w:p>
    <w:p w14:paraId="2A5AF00B">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2.响应文件开启与信用信息查询</w:t>
      </w:r>
    </w:p>
    <w:p w14:paraId="2BDE5858">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2.1供应商依据“提交响应文件的截止时间与地点”通过广西政府采购云平台在线提交响应文件。供应商在提交响应文件的截止时间前，可以补充、修改或撤回响应文件。</w:t>
      </w:r>
    </w:p>
    <w:p w14:paraId="541CBFE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2.2</w:t>
      </w:r>
      <w:r>
        <w:rPr>
          <w:rFonts w:hint="eastAsia" w:cs="Arial" w:asciiTheme="minorEastAsia" w:hAnsiTheme="minorEastAsia" w:eastAsiaTheme="minorEastAsia"/>
          <w:color w:val="auto"/>
          <w:kern w:val="0"/>
          <w:szCs w:val="24"/>
          <w:highlight w:val="none"/>
        </w:rPr>
        <w:t>采购人或者采购代理机构将通过“信用中国”网站(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69"/>
          <w:rFonts w:hint="eastAsia" w:asciiTheme="minorEastAsia" w:hAnsiTheme="minorEastAsia" w:eastAsiaTheme="minorEastAsia"/>
          <w:snapToGrid/>
          <w:color w:val="auto"/>
          <w:sz w:val="24"/>
          <w:szCs w:val="24"/>
          <w:highlight w:val="none"/>
        </w:rPr>
        <w:t>www.creditchina.gov.cn</w:t>
      </w:r>
      <w:r>
        <w:rPr>
          <w:rStyle w:val="69"/>
          <w:rFonts w:hint="eastAsia" w:asciiTheme="minorEastAsia" w:hAnsiTheme="minorEastAsia" w:eastAsiaTheme="minorEastAsia"/>
          <w:snapToGrid/>
          <w:color w:val="auto"/>
          <w:sz w:val="24"/>
          <w:szCs w:val="24"/>
          <w:highlight w:val="none"/>
        </w:rPr>
        <w:fldChar w:fldCharType="end"/>
      </w:r>
      <w:r>
        <w:rPr>
          <w:rFonts w:hint="eastAsia" w:cs="Arial" w:asciiTheme="minorEastAsia" w:hAnsiTheme="minorEastAsia" w:eastAsiaTheme="minorEastAsia"/>
          <w:color w:val="auto"/>
          <w:kern w:val="0"/>
          <w:szCs w:val="24"/>
          <w:highlight w:val="none"/>
        </w:rPr>
        <w:t>)和中国政府采购网(www.ccgp.gov.cn)渠道查询供应商响应截止时间当日的信用记录。</w:t>
      </w:r>
    </w:p>
    <w:p w14:paraId="4C274791">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3.磋商与评审</w:t>
      </w:r>
    </w:p>
    <w:p w14:paraId="102531CC">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3.1磋商小组签到。</w:t>
      </w:r>
    </w:p>
    <w:p w14:paraId="0824AB60">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3.2采购代理机构宣布有关纪律以及磋商、评审工作程序。</w:t>
      </w:r>
    </w:p>
    <w:p w14:paraId="331A7DBF">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3.3磋商小组审查确认磋商文件。磋商文件内容违反国家有关强制性规定的，磋商小组应当停止评审并向采购代理机构说明情况。</w:t>
      </w:r>
    </w:p>
    <w:p w14:paraId="256C5831">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3.4磋商小组对供应商的资格进行审查。</w:t>
      </w:r>
    </w:p>
    <w:p w14:paraId="7C5EA7C0">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3.5磋商小组审查响应文件。</w:t>
      </w:r>
    </w:p>
    <w:p w14:paraId="54E75EC2">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3.6对于未实质性响应磋商文件的响应文件由磋商小组认定响应无效，并告知该供应商。</w:t>
      </w:r>
    </w:p>
    <w:p w14:paraId="2225C2E7">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3.7供应商根据磋商小组要求对响应文件中含义不明确、同类问题表述不一致或者有明显文字和计算错误的内容等作出必要的澄清、说明或者更正。磋商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更正不得超出响应文件的范围或者改变响应文件的实质性内容。</w:t>
      </w:r>
    </w:p>
    <w:p w14:paraId="1D4A4CCD">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3.8磋商小组与符合要求的供应商进行磋商。磋商小组所有成员按照响应文件解密次序集中与单一供应商分别进行磋商，并给予所有参加磋商的供应商平等的磋商机会。磋商过程中，磋商小组可以根据磋商情况调整轮次。磋商时由采购代理机构或磋商小组利用广西政府采购云平台发起磋商邀请，供应商通过广西政府采购云平台“在线评审室”进行远程视频磋商。供应商使用CA数字证书登录广西政府采购云平台——收到视频评审邀请——点击“视频评审”进入“视频评审系统”——开始远程磋商活动。</w:t>
      </w:r>
    </w:p>
    <w:p w14:paraId="797A462A">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3.9经磋商确定磋商文件的变动情况。对磋商文件作出的实质性变动是磋商文件的有效组成部分，磋商小组应当及时以书面形式同时通知所有参加磋商的供应商。</w:t>
      </w:r>
    </w:p>
    <w:p w14:paraId="7CAE73BC">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3.10 供应商应当按照磋商文件的变动情况及磋商小组的要求通过电子交易平台重新提交响应文件和最后报价，并使用电子签名（如果有）。已提交响应文件的供应商，在提交最后报价之前，可以根据磋商情况退出磋商。如供应商未按磋商小组的要求在规定的时间内提交最后报价的，视为退出磋商。</w:t>
      </w:r>
    </w:p>
    <w:p w14:paraId="07F9B9DF">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3.11磋商小组按照下列方式确定提交最后报价的供应商，有特殊规定的从其规定：</w:t>
      </w:r>
    </w:p>
    <w:p w14:paraId="7A5A12C1">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磋商文件能够详细列明采购标的的技术、服务要求的，磋商结束后，磋商小组应当要求所有实质性响应的供应商在规定时间内在电子交易平台提交最后报价，提交最后报价的供应商不得少于3家。符合财政部门规定情形的，提交最后报价的供应商可以为2家。</w:t>
      </w:r>
    </w:p>
    <w:p w14:paraId="390CAAEA">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磋商文件不能详细列明采购标的的技术、服务要求，需经磋商由供应商提供最终设计方案或解决方案的，磋商结束后，磋商小组应当按照少数服从多数的原则投票推荐3家及以上供应商的设计方案或者解决方案，并要求其在规定时间内在电子交易平台提交最后报价。</w:t>
      </w:r>
    </w:p>
    <w:p w14:paraId="2F40DC79">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3.12确定进入最后报价的供应商在规定时间内提交最后报价。</w:t>
      </w:r>
    </w:p>
    <w:p w14:paraId="0BB4F5E3">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3.13由磋商小组根据磋商文件确定的评审办法及评审标准对提交最后报价的供应商的响应文件和最后报价进行综合评分。磋商小组各成员应当独立对每个有效响应的文件进行评价、打分，然后汇总每个供应商每项评分因素的得分。</w:t>
      </w:r>
    </w:p>
    <w:p w14:paraId="4DCA1CA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3.14磋商小组应当根据综合评分情况，按照评审得分由高到低顺序推荐3名以上成交候选供应商，并编写评审报告。</w:t>
      </w:r>
    </w:p>
    <w:p w14:paraId="6674A9FF">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4. 成交</w:t>
      </w:r>
    </w:p>
    <w:p w14:paraId="72D92A56">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4.1</w:t>
      </w:r>
      <w:r>
        <w:rPr>
          <w:rFonts w:hint="eastAsia" w:ascii="宋体" w:hAnsi="宋体" w:cs="宋体"/>
          <w:color w:val="auto"/>
          <w:szCs w:val="24"/>
          <w:highlight w:val="none"/>
        </w:rPr>
        <w:t>政府采购项目实行全流程电子化，评审报告送交、采购结果确定和结果公告均在线完成。</w:t>
      </w:r>
      <w:r>
        <w:rPr>
          <w:rFonts w:hint="eastAsia" w:asciiTheme="minorEastAsia" w:hAnsiTheme="minorEastAsia" w:eastAsiaTheme="minorEastAsia"/>
          <w:color w:val="auto"/>
          <w:szCs w:val="24"/>
          <w:highlight w:val="none"/>
        </w:rPr>
        <w:t>采购代理机构应当</w:t>
      </w:r>
      <w:r>
        <w:rPr>
          <w:rFonts w:hint="eastAsia" w:ascii="宋体" w:hAnsi="宋体" w:cs="宋体"/>
          <w:color w:val="auto"/>
          <w:szCs w:val="24"/>
          <w:highlight w:val="none"/>
        </w:rPr>
        <w:t>依法及时</w:t>
      </w:r>
      <w:r>
        <w:rPr>
          <w:rFonts w:hint="eastAsia" w:asciiTheme="minorEastAsia" w:hAnsiTheme="minorEastAsia" w:eastAsiaTheme="minorEastAsia"/>
          <w:color w:val="auto"/>
          <w:szCs w:val="24"/>
          <w:highlight w:val="none"/>
        </w:rPr>
        <w:t>将评审报告在线送交采购人确认。采购人应当在收到评审报告后2个工作日内，从评审报告提出的成交候选供应商中，按照排序由高到低的原则确定成交供应商，采购人也可以书面授权磋商小组直接确定成交供应商。</w:t>
      </w:r>
    </w:p>
    <w:p w14:paraId="024467B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4.2采购代理机构在收到采购人对评审报告的确认意见和对成交供应商的确定结果后，应当在2个工作日内，在</w:t>
      </w:r>
      <w:r>
        <w:rPr>
          <w:rFonts w:hint="eastAsia" w:ascii="宋体" w:hAnsi="宋体" w:cs="宋体"/>
          <w:color w:val="auto"/>
          <w:sz w:val="24"/>
          <w:szCs w:val="24"/>
          <w:highlight w:val="none"/>
          <w:lang w:val="en-US" w:eastAsia="zh-CN"/>
        </w:rPr>
        <w:t>中国政府采购网(www.ccgp.gov.cn)、广西壮族自治区政府采购网（http://zfcg.gxzf.gov.cn/）</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全国公共资源交易平台（广西.北海）(http://ggzy.jgswj.gxzf.gov.cn/bhggzy/)</w:t>
      </w:r>
      <w:r>
        <w:rPr>
          <w:rFonts w:hint="eastAsia" w:asciiTheme="minorEastAsia" w:hAnsiTheme="minorEastAsia" w:eastAsiaTheme="minorEastAsia"/>
          <w:color w:val="auto"/>
          <w:szCs w:val="24"/>
          <w:highlight w:val="none"/>
        </w:rPr>
        <w:t>上公告成交结果，同时向成交供应商发出成交通知书，并将磋商文件随成交结果同时公告。</w:t>
      </w:r>
    </w:p>
    <w:p w14:paraId="2ED94262">
      <w:pPr>
        <w:pStyle w:val="393"/>
        <w:spacing w:before="0"/>
        <w:ind w:firstLine="0" w:firstLineChars="0"/>
        <w:rPr>
          <w:rFonts w:hint="eastAsia" w:cs="宋体" w:asciiTheme="minorEastAsia" w:hAnsiTheme="minorEastAsia" w:eastAsiaTheme="minorEastAsia"/>
          <w:color w:val="auto"/>
          <w:kern w:val="0"/>
          <w:szCs w:val="21"/>
          <w:highlight w:val="none"/>
        </w:rPr>
      </w:pPr>
      <w:r>
        <w:rPr>
          <w:rFonts w:hint="eastAsia" w:asciiTheme="minorEastAsia" w:hAnsiTheme="minorEastAsia" w:eastAsiaTheme="minorEastAsia"/>
          <w:b/>
          <w:color w:val="auto"/>
          <w:highlight w:val="none"/>
        </w:rPr>
        <w:t>5.合同及履约验收</w:t>
      </w:r>
    </w:p>
    <w:p w14:paraId="3BF366E8">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5.1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0893387D">
      <w:pPr>
        <w:tabs>
          <w:tab w:val="left" w:pos="0"/>
        </w:tabs>
        <w:spacing w:line="360" w:lineRule="auto"/>
        <w:ind w:firstLine="48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5.2成交供应商按照政策要求及合同约定缴纳履约保证金（如有）。</w:t>
      </w:r>
    </w:p>
    <w:p w14:paraId="1C0DBFBB">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5.3合同履约。</w:t>
      </w:r>
    </w:p>
    <w:p w14:paraId="2835BAF5">
      <w:pPr>
        <w:pStyle w:val="393"/>
        <w:spacing w:before="0"/>
        <w:ind w:firstLine="480"/>
        <w:rPr>
          <w:rFonts w:hint="eastAsia" w:asciiTheme="minorEastAsia" w:hAnsiTheme="minorEastAsia" w:eastAsiaTheme="minorEastAsia"/>
          <w:color w:val="auto"/>
          <w:szCs w:val="24"/>
          <w:highlight w:val="none"/>
        </w:rPr>
      </w:pPr>
      <w:r>
        <w:rPr>
          <w:rFonts w:hint="eastAsia" w:asciiTheme="minorEastAsia" w:hAnsiTheme="minorEastAsia" w:eastAsiaTheme="minorEastAsia"/>
          <w:color w:val="auto"/>
          <w:szCs w:val="24"/>
          <w:highlight w:val="none"/>
        </w:rPr>
        <w:t>5.4采购人组织验收。</w:t>
      </w:r>
    </w:p>
    <w:p w14:paraId="4B24D0DC">
      <w:pPr>
        <w:widowControl/>
        <w:adjustRightInd/>
        <w:jc w:val="left"/>
        <w:rPr>
          <w:rFonts w:hint="eastAsia" w:asciiTheme="minorEastAsia" w:hAnsiTheme="minorEastAsia" w:eastAsiaTheme="minorEastAsia"/>
          <w:b/>
          <w:color w:val="auto"/>
          <w:sz w:val="24"/>
          <w:szCs w:val="20"/>
          <w:highlight w:val="none"/>
        </w:rPr>
      </w:pPr>
      <w:r>
        <w:rPr>
          <w:rFonts w:hint="eastAsia" w:asciiTheme="minorEastAsia" w:hAnsiTheme="minorEastAsia" w:eastAsiaTheme="minorEastAsia"/>
          <w:b/>
          <w:color w:val="auto"/>
          <w:highlight w:val="none"/>
        </w:rPr>
        <w:br w:type="page"/>
      </w:r>
    </w:p>
    <w:p w14:paraId="67E87D6F">
      <w:pPr>
        <w:pStyle w:val="393"/>
        <w:spacing w:before="0"/>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6.竞争性磋商流程图</w:t>
      </w:r>
    </w:p>
    <w:p w14:paraId="731F8FF5">
      <w:pPr>
        <w:pStyle w:val="393"/>
        <w:spacing w:before="0"/>
        <w:ind w:firstLine="0" w:firstLineChars="0"/>
        <w:rPr>
          <w:rFonts w:hint="eastAsia" w:asciiTheme="minorEastAsia" w:hAnsiTheme="minorEastAsia" w:eastAsiaTheme="minorEastAsia"/>
          <w:b/>
          <w:color w:val="auto"/>
          <w:highlight w:val="none"/>
        </w:rPr>
      </w:pPr>
    </w:p>
    <w:p w14:paraId="392AD448">
      <w:pPr>
        <w:widowControl/>
        <w:adjustRightInd/>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  </w:t>
      </w:r>
    </w:p>
    <w:p w14:paraId="55DB9570">
      <w:pPr>
        <w:widowControl/>
        <w:adjustRightInd/>
        <w:jc w:val="left"/>
        <w:rPr>
          <w:rFonts w:hint="eastAsia" w:cs="仿宋_GB2312" w:asciiTheme="minorEastAsia" w:hAnsiTheme="minorEastAsia" w:eastAsiaTheme="minorEastAsia"/>
          <w:b/>
          <w:color w:val="auto"/>
          <w:sz w:val="36"/>
          <w:szCs w:val="20"/>
          <w:highlight w:val="none"/>
        </w:rPr>
      </w:pP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2336" behindDoc="0" locked="0" layoutInCell="1" allowOverlap="1">
                <wp:simplePos x="0" y="0"/>
                <wp:positionH relativeFrom="column">
                  <wp:posOffset>1665605</wp:posOffset>
                </wp:positionH>
                <wp:positionV relativeFrom="paragraph">
                  <wp:posOffset>5859145</wp:posOffset>
                </wp:positionV>
                <wp:extent cx="492125" cy="261620"/>
                <wp:effectExtent l="0" t="0" r="22225" b="24130"/>
                <wp:wrapNone/>
                <wp:docPr id="2" name="文本框 2"/>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6DA086">
                            <w:pPr>
                              <w:rPr>
                                <w:rFonts w:hint="eastAsia" w:asciiTheme="minorEastAsia" w:hAnsiTheme="minorEastAsia" w:eastAsiaTheme="minorEastAsia"/>
                              </w:rPr>
                            </w:pPr>
                            <w:r>
                              <w:rPr>
                                <w:rFonts w:hint="eastAsia" w:asciiTheme="minorEastAsia" w:hAnsiTheme="minorEastAsia" w:eastAsiaTheme="minorEastAsia"/>
                              </w:rPr>
                              <w:t>验收</w:t>
                            </w:r>
                          </w:p>
                          <w:p w14:paraId="63ECB043">
                            <w:pPr>
                              <w:rPr>
                                <w:rFonts w:ascii="仿宋_GB2312" w:eastAsia="仿宋_GB2312"/>
                              </w:rPr>
                            </w:pPr>
                            <w:r>
                              <w:rPr>
                                <w:rFonts w:hint="eastAsia" w:ascii="仿宋_GB2312" w:eastAsia="仿宋_GB2312"/>
                              </w:rPr>
                              <w:t>立项</w:t>
                            </w:r>
                          </w:p>
                          <w:p w14:paraId="7D79CB27">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15pt;margin-top:461.35pt;height:20.6pt;width:38.75pt;z-index:251662336;mso-width-relative:page;mso-height-relative:page;" fillcolor="#DBEEF4 [664]" filled="t" stroked="t" coordsize="21600,21600" o:gfxdata="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4xobDZAAAACwEAAA8AAAAAAAAAAQAg&#10;AAAAIgAAAGRycy9kb3ducmV2LnhtbFBLAQIUABQAAAAIAIdO4kAWe3M4fwIAAP0EAAAOAAAAAAAA&#10;AAEAIAAAACgBAABkcnMvZTJvRG9jLnhtbFBLBQYAAAAABgAGAFkBAAAZBgAAAAA=&#10;">
                <v:fill on="t" focussize="0,0"/>
                <v:stroke weight="0.5pt" color="#000000 [3204]" joinstyle="round"/>
                <v:imagedata o:title=""/>
                <o:lock v:ext="edit" aspectratio="f"/>
                <v:textbox>
                  <w:txbxContent>
                    <w:p w14:paraId="6D6DA086">
                      <w:pPr>
                        <w:rPr>
                          <w:rFonts w:hint="eastAsia" w:asciiTheme="minorEastAsia" w:hAnsiTheme="minorEastAsia" w:eastAsiaTheme="minorEastAsia"/>
                        </w:rPr>
                      </w:pPr>
                      <w:r>
                        <w:rPr>
                          <w:rFonts w:hint="eastAsia" w:asciiTheme="minorEastAsia" w:hAnsiTheme="minorEastAsia" w:eastAsiaTheme="minorEastAsia"/>
                        </w:rPr>
                        <w:t>验收</w:t>
                      </w:r>
                    </w:p>
                    <w:p w14:paraId="63ECB043">
                      <w:pPr>
                        <w:rPr>
                          <w:rFonts w:ascii="仿宋_GB2312" w:eastAsia="仿宋_GB2312"/>
                        </w:rPr>
                      </w:pPr>
                      <w:r>
                        <w:rPr>
                          <w:rFonts w:hint="eastAsia" w:ascii="仿宋_GB2312" w:eastAsia="仿宋_GB2312"/>
                        </w:rPr>
                        <w:t>立项</w:t>
                      </w:r>
                    </w:p>
                    <w:p w14:paraId="7D79CB27">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82816" behindDoc="0" locked="0" layoutInCell="1" allowOverlap="1">
                <wp:simplePos x="0" y="0"/>
                <wp:positionH relativeFrom="column">
                  <wp:posOffset>1898650</wp:posOffset>
                </wp:positionH>
                <wp:positionV relativeFrom="paragraph">
                  <wp:posOffset>5595620</wp:posOffset>
                </wp:positionV>
                <wp:extent cx="0" cy="262255"/>
                <wp:effectExtent l="95250" t="0" r="57150" b="61595"/>
                <wp:wrapNone/>
                <wp:docPr id="3" name="直接箭头连接符 3"/>
                <wp:cNvGraphicFramePr/>
                <a:graphic xmlns:a="http://schemas.openxmlformats.org/drawingml/2006/main">
                  <a:graphicData uri="http://schemas.microsoft.com/office/word/2010/wordprocessingShape">
                    <wps:wsp>
                      <wps:cNvCnPr/>
                      <wps:spPr>
                        <a:xfrm>
                          <a:off x="0" y="0"/>
                          <a:ext cx="0" cy="2622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49.5pt;margin-top:440.6pt;height:20.65pt;width:0pt;z-index:251682816;mso-width-relative:page;mso-height-relative:page;" filled="f" stroked="t" coordsize="21600,21600" o:gfxdata="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pzJv2gAAAAsBAAAPAAAA&#10;AAAAAAEAIAAAACIAAABkcnMvZG93bnJldi54bWxQSwECFAAUAAAACACHTuJAKkv3thMCAAD/AwAA&#10;DgAAAAAAAAABACAAAAAp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3360" behindDoc="0" locked="0" layoutInCell="1" allowOverlap="1">
                <wp:simplePos x="0" y="0"/>
                <wp:positionH relativeFrom="column">
                  <wp:posOffset>1663700</wp:posOffset>
                </wp:positionH>
                <wp:positionV relativeFrom="paragraph">
                  <wp:posOffset>5332095</wp:posOffset>
                </wp:positionV>
                <wp:extent cx="492125" cy="261620"/>
                <wp:effectExtent l="0" t="0" r="22225" b="24130"/>
                <wp:wrapNone/>
                <wp:docPr id="9" name="文本框 9"/>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97232A5">
                            <w:pPr>
                              <w:rPr>
                                <w:rFonts w:hint="eastAsia" w:asciiTheme="minorEastAsia" w:hAnsiTheme="minorEastAsia" w:eastAsiaTheme="minorEastAsia"/>
                              </w:rPr>
                            </w:pPr>
                            <w:r>
                              <w:rPr>
                                <w:rFonts w:hint="eastAsia" w:asciiTheme="minorEastAsia" w:hAnsiTheme="minorEastAsia" w:eastAsiaTheme="minorEastAsia"/>
                              </w:rPr>
                              <w:t>履约</w:t>
                            </w:r>
                          </w:p>
                          <w:p w14:paraId="762335CD">
                            <w:pPr>
                              <w:rPr>
                                <w:rFonts w:ascii="仿宋_GB2312" w:eastAsia="仿宋_GB2312"/>
                              </w:rPr>
                            </w:pPr>
                            <w:r>
                              <w:rPr>
                                <w:rFonts w:hint="eastAsia" w:ascii="仿宋_GB2312" w:eastAsia="仿宋_GB2312"/>
                              </w:rPr>
                              <w:t>立项</w:t>
                            </w:r>
                          </w:p>
                          <w:p w14:paraId="48381A32">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pt;margin-top:419.85pt;height:20.6pt;width:38.75pt;z-index:251663360;mso-width-relative:page;mso-height-relative:page;" fillcolor="#DBEEF4 [664]" filled="t" stroked="t" coordsize="21600,21600" o:gfxdata="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Hzo8StsAAAALAQAADwAAAAAAAAAB&#10;ACAAAAAiAAAAZHJzL2Rvd25yZXYueG1sUEsBAhQAFAAAAAgAh07iQNGfTY9/AgAA/QQAAA4AAAAA&#10;AAAAAQAgAAAAKgEAAGRycy9lMm9Eb2MueG1sUEsFBgAAAAAGAAYAWQEAABsGAAAAAA==&#10;">
                <v:fill on="t" focussize="0,0"/>
                <v:stroke weight="0.5pt" color="#000000 [3204]" joinstyle="round"/>
                <v:imagedata o:title=""/>
                <o:lock v:ext="edit" aspectratio="f"/>
                <v:textbox>
                  <w:txbxContent>
                    <w:p w14:paraId="697232A5">
                      <w:pPr>
                        <w:rPr>
                          <w:rFonts w:hint="eastAsia" w:asciiTheme="minorEastAsia" w:hAnsiTheme="minorEastAsia" w:eastAsiaTheme="minorEastAsia"/>
                        </w:rPr>
                      </w:pPr>
                      <w:r>
                        <w:rPr>
                          <w:rFonts w:hint="eastAsia" w:asciiTheme="minorEastAsia" w:hAnsiTheme="minorEastAsia" w:eastAsiaTheme="minorEastAsia"/>
                        </w:rPr>
                        <w:t>履约</w:t>
                      </w:r>
                    </w:p>
                    <w:p w14:paraId="762335CD">
                      <w:pPr>
                        <w:rPr>
                          <w:rFonts w:ascii="仿宋_GB2312" w:eastAsia="仿宋_GB2312"/>
                        </w:rPr>
                      </w:pPr>
                      <w:r>
                        <w:rPr>
                          <w:rFonts w:hint="eastAsia" w:ascii="仿宋_GB2312" w:eastAsia="仿宋_GB2312"/>
                        </w:rPr>
                        <w:t>立项</w:t>
                      </w:r>
                    </w:p>
                    <w:p w14:paraId="48381A32">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9744" behindDoc="0" locked="0" layoutInCell="1" allowOverlap="1">
                <wp:simplePos x="0" y="0"/>
                <wp:positionH relativeFrom="column">
                  <wp:posOffset>1380490</wp:posOffset>
                </wp:positionH>
                <wp:positionV relativeFrom="paragraph">
                  <wp:posOffset>4802505</wp:posOffset>
                </wp:positionV>
                <wp:extent cx="1072515" cy="262255"/>
                <wp:effectExtent l="0" t="0" r="13335" b="23495"/>
                <wp:wrapNone/>
                <wp:docPr id="10" name="文本框 10"/>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5509C3">
                            <w:pPr>
                              <w:jc w:val="center"/>
                              <w:rPr>
                                <w:rFonts w:hint="eastAsia" w:asciiTheme="minorEastAsia" w:hAnsiTheme="minorEastAsia" w:eastAsiaTheme="minorEastAsia"/>
                              </w:rPr>
                            </w:pPr>
                            <w:r>
                              <w:rPr>
                                <w:rFonts w:hint="eastAsia" w:asciiTheme="minorEastAsia" w:hAnsiTheme="minorEastAsia" w:eastAsiaTheme="minorEastAsia"/>
                              </w:rPr>
                              <w:t>签订合同</w:t>
                            </w:r>
                          </w:p>
                          <w:p w14:paraId="028AD8A7">
                            <w:pPr>
                              <w:rPr>
                                <w:rFonts w:ascii="仿宋_GB2312" w:eastAsia="仿宋_GB2312"/>
                              </w:rPr>
                            </w:pPr>
                            <w:r>
                              <w:rPr>
                                <w:rFonts w:hint="eastAsia" w:ascii="仿宋_GB2312" w:eastAsia="仿宋_GB2312"/>
                              </w:rPr>
                              <w:t>立项</w:t>
                            </w:r>
                          </w:p>
                          <w:p w14:paraId="219BECE3">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7pt;margin-top:378.15pt;height:20.65pt;width:84.45pt;z-index:251679744;mso-width-relative:page;mso-height-relative:page;" fillcolor="#DBEEF4 [664]" filled="t" stroked="t" coordsize="21600,21600" o:gfxdata="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nurs+2QAAAAsBAAAPAAAAAAAAAAEAIAAA&#10;ACIAAABkcnMvZG93bnJldi54bWxQSwECFAAUAAAACACHTuJAH18gOn0CAAAABQAADgAAAAAAAAAB&#10;ACAAAAAoAQAAZHJzL2Uyb0RvYy54bWxQSwUGAAAAAAYABgBZAQAAFwYAAAAA&#10;">
                <v:fill on="t" focussize="0,0"/>
                <v:stroke weight="0.5pt" color="#000000 [3204]" joinstyle="round"/>
                <v:imagedata o:title=""/>
                <o:lock v:ext="edit" aspectratio="f"/>
                <v:textbox>
                  <w:txbxContent>
                    <w:p w14:paraId="395509C3">
                      <w:pPr>
                        <w:jc w:val="center"/>
                        <w:rPr>
                          <w:rFonts w:hint="eastAsia" w:asciiTheme="minorEastAsia" w:hAnsiTheme="minorEastAsia" w:eastAsiaTheme="minorEastAsia"/>
                        </w:rPr>
                      </w:pPr>
                      <w:r>
                        <w:rPr>
                          <w:rFonts w:hint="eastAsia" w:asciiTheme="minorEastAsia" w:hAnsiTheme="minorEastAsia" w:eastAsiaTheme="minorEastAsia"/>
                        </w:rPr>
                        <w:t>签订合同</w:t>
                      </w:r>
                    </w:p>
                    <w:p w14:paraId="028AD8A7">
                      <w:pPr>
                        <w:rPr>
                          <w:rFonts w:ascii="仿宋_GB2312" w:eastAsia="仿宋_GB2312"/>
                        </w:rPr>
                      </w:pPr>
                      <w:r>
                        <w:rPr>
                          <w:rFonts w:hint="eastAsia" w:ascii="仿宋_GB2312" w:eastAsia="仿宋_GB2312"/>
                        </w:rPr>
                        <w:t>立项</w:t>
                      </w:r>
                    </w:p>
                    <w:p w14:paraId="219BECE3">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6672" behindDoc="0" locked="0" layoutInCell="1" allowOverlap="1">
                <wp:simplePos x="0" y="0"/>
                <wp:positionH relativeFrom="column">
                  <wp:posOffset>1159510</wp:posOffset>
                </wp:positionH>
                <wp:positionV relativeFrom="paragraph">
                  <wp:posOffset>4292600</wp:posOffset>
                </wp:positionV>
                <wp:extent cx="1581785" cy="261620"/>
                <wp:effectExtent l="0" t="0" r="18415" b="24130"/>
                <wp:wrapNone/>
                <wp:docPr id="11" name="文本框 11"/>
                <wp:cNvGraphicFramePr/>
                <a:graphic xmlns:a="http://schemas.openxmlformats.org/drawingml/2006/main">
                  <a:graphicData uri="http://schemas.microsoft.com/office/word/2010/wordprocessingShape">
                    <wps:wsp>
                      <wps:cNvSpPr txBox="1"/>
                      <wps:spPr>
                        <a:xfrm>
                          <a:off x="0" y="0"/>
                          <a:ext cx="158178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F5D885">
                            <w:pPr>
                              <w:rPr>
                                <w:rFonts w:hint="eastAsia" w:asciiTheme="minorEastAsia" w:hAnsiTheme="minorEastAsia" w:eastAsiaTheme="minorEastAsia"/>
                              </w:rPr>
                            </w:pPr>
                            <w:r>
                              <w:rPr>
                                <w:rFonts w:hint="eastAsia" w:asciiTheme="minorEastAsia" w:hAnsiTheme="minorEastAsia" w:eastAsiaTheme="minorEastAsia"/>
                              </w:rPr>
                              <w:t>成交公告；成交通知书</w:t>
                            </w:r>
                          </w:p>
                          <w:p w14:paraId="1CE89B38">
                            <w:pPr>
                              <w:rPr>
                                <w:rFonts w:ascii="仿宋_GB2312" w:eastAsia="仿宋_GB2312"/>
                              </w:rPr>
                            </w:pPr>
                            <w:r>
                              <w:rPr>
                                <w:rFonts w:hint="eastAsia" w:ascii="仿宋_GB2312" w:eastAsia="仿宋_GB2312"/>
                              </w:rPr>
                              <w:t>立项</w:t>
                            </w:r>
                          </w:p>
                          <w:p w14:paraId="06AA06FD">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1.3pt;margin-top:338pt;height:20.6pt;width:124.55pt;z-index:251676672;mso-width-relative:page;mso-height-relative:page;" fillcolor="#DBEEF4 [664]" filled="t" stroked="t" coordsize="21600,21600" o:gfxdata="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tG6T2AAAAAsBAAAPAAAAAAAAAAEAIAAA&#10;ACIAAABkcnMvZG93bnJldi54bWxQSwECFAAUAAAACACHTuJAHcvk534CAAAABQAADgAAAAAAAAAB&#10;ACAAAAAnAQAAZHJzL2Uyb0RvYy54bWxQSwUGAAAAAAYABgBZAQAAFwYAAAAA&#10;">
                <v:fill on="t" focussize="0,0"/>
                <v:stroke weight="0.5pt" color="#000000 [3204]" joinstyle="round"/>
                <v:imagedata o:title=""/>
                <o:lock v:ext="edit" aspectratio="f"/>
                <v:textbox>
                  <w:txbxContent>
                    <w:p w14:paraId="4EF5D885">
                      <w:pPr>
                        <w:rPr>
                          <w:rFonts w:hint="eastAsia" w:asciiTheme="minorEastAsia" w:hAnsiTheme="minorEastAsia" w:eastAsiaTheme="minorEastAsia"/>
                        </w:rPr>
                      </w:pPr>
                      <w:r>
                        <w:rPr>
                          <w:rFonts w:hint="eastAsia" w:asciiTheme="minorEastAsia" w:hAnsiTheme="minorEastAsia" w:eastAsiaTheme="minorEastAsia"/>
                        </w:rPr>
                        <w:t>成交公告；成交通知书</w:t>
                      </w:r>
                    </w:p>
                    <w:p w14:paraId="1CE89B38">
                      <w:pPr>
                        <w:rPr>
                          <w:rFonts w:ascii="仿宋_GB2312" w:eastAsia="仿宋_GB2312"/>
                        </w:rPr>
                      </w:pPr>
                      <w:r>
                        <w:rPr>
                          <w:rFonts w:hint="eastAsia" w:ascii="仿宋_GB2312" w:eastAsia="仿宋_GB2312"/>
                        </w:rPr>
                        <w:t>立项</w:t>
                      </w:r>
                    </w:p>
                    <w:p w14:paraId="06AA06FD">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7696" behindDoc="0" locked="0" layoutInCell="1" allowOverlap="1">
                <wp:simplePos x="0" y="0"/>
                <wp:positionH relativeFrom="column">
                  <wp:posOffset>1383665</wp:posOffset>
                </wp:positionH>
                <wp:positionV relativeFrom="paragraph">
                  <wp:posOffset>3750310</wp:posOffset>
                </wp:positionV>
                <wp:extent cx="1072515" cy="262255"/>
                <wp:effectExtent l="0" t="0" r="13335" b="23495"/>
                <wp:wrapNone/>
                <wp:docPr id="12" name="文本框 12"/>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7DA154">
                            <w:pPr>
                              <w:ind w:firstLine="105" w:firstLineChars="50"/>
                              <w:rPr>
                                <w:rFonts w:hint="eastAsia" w:asciiTheme="minorEastAsia" w:hAnsiTheme="minorEastAsia" w:eastAsiaTheme="minorEastAsia"/>
                              </w:rPr>
                            </w:pPr>
                            <w:r>
                              <w:rPr>
                                <w:rFonts w:hint="eastAsia" w:asciiTheme="minorEastAsia" w:hAnsiTheme="minorEastAsia" w:eastAsiaTheme="minorEastAsia"/>
                              </w:rPr>
                              <w:t>编写评审报告</w:t>
                            </w:r>
                          </w:p>
                          <w:p w14:paraId="4ED67767">
                            <w:pPr>
                              <w:rPr>
                                <w:rFonts w:ascii="仿宋_GB2312" w:eastAsia="仿宋_GB2312"/>
                              </w:rPr>
                            </w:pPr>
                            <w:r>
                              <w:rPr>
                                <w:rFonts w:hint="eastAsia" w:ascii="仿宋_GB2312" w:eastAsia="仿宋_GB2312"/>
                              </w:rPr>
                              <w:t>立项</w:t>
                            </w:r>
                          </w:p>
                          <w:p w14:paraId="116CF4C4">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5pt;margin-top:295.3pt;height:20.65pt;width:84.45pt;z-index:251677696;mso-width-relative:page;mso-height-relative:page;" fillcolor="#DBEEF4 [664]" filled="t" stroked="t" coordsize="21600,21600" o:gfxdata="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MNXTvaAAAACwEAAA8AAAAAAAAAAQAg&#10;AAAAIgAAAGRycy9kb3ducmV2LnhtbFBLAQIUABQAAAAIAIdO4kB1NyxVfgIAAAAFAAAOAAAAAAAA&#10;AAEAIAAAACkBAABkcnMvZTJvRG9jLnhtbFBLBQYAAAAABgAGAFkBAAAZBgAAAAA=&#10;">
                <v:fill on="t" focussize="0,0"/>
                <v:stroke weight="0.5pt" color="#000000 [3204]" joinstyle="round"/>
                <v:imagedata o:title=""/>
                <o:lock v:ext="edit" aspectratio="f"/>
                <v:textbox>
                  <w:txbxContent>
                    <w:p w14:paraId="787DA154">
                      <w:pPr>
                        <w:ind w:firstLine="105" w:firstLineChars="50"/>
                        <w:rPr>
                          <w:rFonts w:hint="eastAsia" w:asciiTheme="minorEastAsia" w:hAnsiTheme="minorEastAsia" w:eastAsiaTheme="minorEastAsia"/>
                        </w:rPr>
                      </w:pPr>
                      <w:r>
                        <w:rPr>
                          <w:rFonts w:hint="eastAsia" w:asciiTheme="minorEastAsia" w:hAnsiTheme="minorEastAsia" w:eastAsiaTheme="minorEastAsia"/>
                        </w:rPr>
                        <w:t>编写评审报告</w:t>
                      </w:r>
                    </w:p>
                    <w:p w14:paraId="4ED67767">
                      <w:pPr>
                        <w:rPr>
                          <w:rFonts w:ascii="仿宋_GB2312" w:eastAsia="仿宋_GB2312"/>
                        </w:rPr>
                      </w:pPr>
                      <w:r>
                        <w:rPr>
                          <w:rFonts w:hint="eastAsia" w:ascii="仿宋_GB2312" w:eastAsia="仿宋_GB2312"/>
                        </w:rPr>
                        <w:t>立项</w:t>
                      </w:r>
                    </w:p>
                    <w:p w14:paraId="116CF4C4">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4384" behindDoc="0" locked="0" layoutInCell="1" allowOverlap="1">
                <wp:simplePos x="0" y="0"/>
                <wp:positionH relativeFrom="column">
                  <wp:posOffset>1398905</wp:posOffset>
                </wp:positionH>
                <wp:positionV relativeFrom="paragraph">
                  <wp:posOffset>3225800</wp:posOffset>
                </wp:positionV>
                <wp:extent cx="1073150" cy="262255"/>
                <wp:effectExtent l="0" t="0" r="12700" b="23495"/>
                <wp:wrapNone/>
                <wp:docPr id="13" name="文本框 13"/>
                <wp:cNvGraphicFramePr/>
                <a:graphic xmlns:a="http://schemas.openxmlformats.org/drawingml/2006/main">
                  <a:graphicData uri="http://schemas.microsoft.com/office/word/2010/wordprocessingShape">
                    <wps:wsp>
                      <wps:cNvSpPr txBox="1"/>
                      <wps:spPr>
                        <a:xfrm>
                          <a:off x="0" y="0"/>
                          <a:ext cx="107315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CFAC49">
                            <w:pPr>
                              <w:jc w:val="center"/>
                              <w:rPr>
                                <w:rFonts w:hint="eastAsia" w:asciiTheme="minorEastAsia" w:hAnsiTheme="minorEastAsia" w:eastAsiaTheme="minorEastAsia"/>
                              </w:rPr>
                            </w:pPr>
                            <w:r>
                              <w:rPr>
                                <w:rFonts w:hint="eastAsia" w:asciiTheme="minorEastAsia" w:hAnsiTheme="minorEastAsia" w:eastAsiaTheme="minorEastAsia"/>
                              </w:rPr>
                              <w:t>评审打分</w:t>
                            </w:r>
                          </w:p>
                          <w:p w14:paraId="491D72A0">
                            <w:pPr>
                              <w:rPr>
                                <w:rFonts w:ascii="仿宋_GB2312" w:eastAsia="仿宋_GB2312"/>
                              </w:rPr>
                            </w:pPr>
                            <w:r>
                              <w:rPr>
                                <w:rFonts w:hint="eastAsia" w:ascii="仿宋_GB2312" w:eastAsia="仿宋_GB2312"/>
                              </w:rPr>
                              <w:t>立项</w:t>
                            </w:r>
                          </w:p>
                          <w:p w14:paraId="3E8BED7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15pt;margin-top:254pt;height:20.65pt;width:84.5pt;z-index:251664384;mso-width-relative:page;mso-height-relative:page;" fillcolor="#DBEEF4 [664]" filled="t" stroked="t" coordsize="21600,21600" o:gfxdata="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a/THuNkAAAALAQAADwAAAAAAAAABACAAAAAi&#10;AAAAZHJzL2Rvd25yZXYueG1sUEsBAhQAFAAAAAgAh07iQERa8L57AgAAAAUAAA4AAAAAAAAAAQAg&#10;AAAAKAEAAGRycy9lMm9Eb2MueG1sUEsFBgAAAAAGAAYAWQEAABUGAAAAAA==&#10;">
                <v:fill on="t" focussize="0,0"/>
                <v:stroke weight="0.5pt" color="#000000 [3204]" joinstyle="round"/>
                <v:imagedata o:title=""/>
                <o:lock v:ext="edit" aspectratio="f"/>
                <v:textbox>
                  <w:txbxContent>
                    <w:p w14:paraId="73CFAC49">
                      <w:pPr>
                        <w:jc w:val="center"/>
                        <w:rPr>
                          <w:rFonts w:hint="eastAsia" w:asciiTheme="minorEastAsia" w:hAnsiTheme="minorEastAsia" w:eastAsiaTheme="minorEastAsia"/>
                        </w:rPr>
                      </w:pPr>
                      <w:r>
                        <w:rPr>
                          <w:rFonts w:hint="eastAsia" w:asciiTheme="minorEastAsia" w:hAnsiTheme="minorEastAsia" w:eastAsiaTheme="minorEastAsia"/>
                        </w:rPr>
                        <w:t>评审打分</w:t>
                      </w:r>
                    </w:p>
                    <w:p w14:paraId="491D72A0">
                      <w:pPr>
                        <w:rPr>
                          <w:rFonts w:ascii="仿宋_GB2312" w:eastAsia="仿宋_GB2312"/>
                        </w:rPr>
                      </w:pPr>
                      <w:r>
                        <w:rPr>
                          <w:rFonts w:hint="eastAsia" w:ascii="仿宋_GB2312" w:eastAsia="仿宋_GB2312"/>
                        </w:rPr>
                        <w:t>立项</w:t>
                      </w:r>
                    </w:p>
                    <w:p w14:paraId="3E8BED75">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3600" behindDoc="0" locked="0" layoutInCell="1" allowOverlap="1">
                <wp:simplePos x="0" y="0"/>
                <wp:positionH relativeFrom="column">
                  <wp:posOffset>1247140</wp:posOffset>
                </wp:positionH>
                <wp:positionV relativeFrom="paragraph">
                  <wp:posOffset>2703830</wp:posOffset>
                </wp:positionV>
                <wp:extent cx="1453515" cy="261620"/>
                <wp:effectExtent l="0" t="0" r="13335" b="24130"/>
                <wp:wrapNone/>
                <wp:docPr id="14" name="文本框 14"/>
                <wp:cNvGraphicFramePr/>
                <a:graphic xmlns:a="http://schemas.openxmlformats.org/drawingml/2006/main">
                  <a:graphicData uri="http://schemas.microsoft.com/office/word/2010/wordprocessingShape">
                    <wps:wsp>
                      <wps:cNvSpPr txBox="1"/>
                      <wps:spPr>
                        <a:xfrm>
                          <a:off x="0" y="0"/>
                          <a:ext cx="145351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5B2EFC">
                            <w:pPr>
                              <w:jc w:val="center"/>
                              <w:rPr>
                                <w:rFonts w:hint="eastAsia" w:asciiTheme="minorEastAsia" w:hAnsiTheme="minorEastAsia" w:eastAsiaTheme="minorEastAsia"/>
                              </w:rPr>
                            </w:pPr>
                            <w:r>
                              <w:rPr>
                                <w:rFonts w:hint="eastAsia" w:asciiTheme="minorEastAsia" w:hAnsiTheme="minorEastAsia" w:eastAsiaTheme="minorEastAsia"/>
                              </w:rPr>
                              <w:t>供应商提交最后报价</w:t>
                            </w:r>
                          </w:p>
                          <w:p w14:paraId="35543B1F">
                            <w:pPr>
                              <w:rPr>
                                <w:rFonts w:ascii="仿宋_GB2312" w:eastAsia="仿宋_GB2312"/>
                              </w:rPr>
                            </w:pPr>
                            <w:r>
                              <w:rPr>
                                <w:rFonts w:hint="eastAsia" w:ascii="仿宋_GB2312" w:eastAsia="仿宋_GB2312"/>
                              </w:rPr>
                              <w:t>立项</w:t>
                            </w:r>
                          </w:p>
                          <w:p w14:paraId="124228CE">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2pt;margin-top:212.9pt;height:20.6pt;width:114.45pt;z-index:251673600;mso-width-relative:page;mso-height-relative:page;" fillcolor="#DBEEF4 [664]" filled="t" stroked="t" coordsize="21600,21600" o:gfxdata="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D7BB3dgAAAALAQAADwAAAAAAAAABACAA&#10;AAAiAAAAZHJzL2Rvd25yZXYueG1sUEsBAhQAFAAAAAgAh07iQNnk1bJ/AgAAAAUAAA4AAAAAAAAA&#10;AQAgAAAAJwEAAGRycy9lMm9Eb2MueG1sUEsFBgAAAAAGAAYAWQEAABgGAAAAAA==&#10;">
                <v:fill on="t" focussize="0,0"/>
                <v:stroke weight="0.5pt" color="#000000 [3204]" joinstyle="round"/>
                <v:imagedata o:title=""/>
                <o:lock v:ext="edit" aspectratio="f"/>
                <v:textbox>
                  <w:txbxContent>
                    <w:p w14:paraId="785B2EFC">
                      <w:pPr>
                        <w:jc w:val="center"/>
                        <w:rPr>
                          <w:rFonts w:hint="eastAsia" w:asciiTheme="minorEastAsia" w:hAnsiTheme="minorEastAsia" w:eastAsiaTheme="minorEastAsia"/>
                        </w:rPr>
                      </w:pPr>
                      <w:r>
                        <w:rPr>
                          <w:rFonts w:hint="eastAsia" w:asciiTheme="minorEastAsia" w:hAnsiTheme="minorEastAsia" w:eastAsiaTheme="minorEastAsia"/>
                        </w:rPr>
                        <w:t>供应商提交最后报价</w:t>
                      </w:r>
                    </w:p>
                    <w:p w14:paraId="35543B1F">
                      <w:pPr>
                        <w:rPr>
                          <w:rFonts w:ascii="仿宋_GB2312" w:eastAsia="仿宋_GB2312"/>
                        </w:rPr>
                      </w:pPr>
                      <w:r>
                        <w:rPr>
                          <w:rFonts w:hint="eastAsia" w:ascii="仿宋_GB2312" w:eastAsia="仿宋_GB2312"/>
                        </w:rPr>
                        <w:t>立项</w:t>
                      </w:r>
                    </w:p>
                    <w:p w14:paraId="124228CE">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2576" behindDoc="0" locked="0" layoutInCell="1" allowOverlap="1">
                <wp:simplePos x="0" y="0"/>
                <wp:positionH relativeFrom="column">
                  <wp:posOffset>1383030</wp:posOffset>
                </wp:positionH>
                <wp:positionV relativeFrom="paragraph">
                  <wp:posOffset>2178685</wp:posOffset>
                </wp:positionV>
                <wp:extent cx="1089025" cy="262255"/>
                <wp:effectExtent l="0" t="0" r="15875" b="23495"/>
                <wp:wrapNone/>
                <wp:docPr id="15" name="文本框 15"/>
                <wp:cNvGraphicFramePr/>
                <a:graphic xmlns:a="http://schemas.openxmlformats.org/drawingml/2006/main">
                  <a:graphicData uri="http://schemas.microsoft.com/office/word/2010/wordprocessingShape">
                    <wps:wsp>
                      <wps:cNvSpPr txBox="1"/>
                      <wps:spPr>
                        <a:xfrm>
                          <a:off x="0" y="0"/>
                          <a:ext cx="108902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71CC88">
                            <w:pPr>
                              <w:jc w:val="center"/>
                              <w:rPr>
                                <w:rFonts w:hint="eastAsia" w:asciiTheme="minorEastAsia" w:hAnsiTheme="minorEastAsia" w:eastAsiaTheme="minorEastAsia"/>
                              </w:rPr>
                            </w:pPr>
                            <w:r>
                              <w:rPr>
                                <w:rFonts w:hint="eastAsia" w:asciiTheme="minorEastAsia" w:hAnsiTheme="minorEastAsia" w:eastAsiaTheme="minorEastAsia"/>
                              </w:rPr>
                              <w:t>磋商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pt;margin-top:171.55pt;height:20.65pt;width:85.75pt;z-index:251672576;mso-width-relative:page;mso-height-relative:page;" fillcolor="#DBEEF4 [664]" filled="t" stroked="t" coordsize="21600,21600" o:gfxdata="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avU/hNkAAAALAQAADwAAAAAAAAABACAA&#10;AAAiAAAAZHJzL2Rvd25yZXYueG1sUEsBAhQAFAAAAAgAh07iQAHru3p+AgAAAAUAAA4AAAAAAAAA&#10;AQAgAAAAKAEAAGRycy9lMm9Eb2MueG1sUEsFBgAAAAAGAAYAWQEAABgGAAAAAA==&#10;">
                <v:fill on="t" focussize="0,0"/>
                <v:stroke weight="0.5pt" color="#000000 [3204]" joinstyle="round"/>
                <v:imagedata o:title=""/>
                <o:lock v:ext="edit" aspectratio="f"/>
                <v:textbox>
                  <w:txbxContent>
                    <w:p w14:paraId="0471CC88">
                      <w:pPr>
                        <w:jc w:val="center"/>
                        <w:rPr>
                          <w:rFonts w:hint="eastAsia" w:asciiTheme="minorEastAsia" w:hAnsiTheme="minorEastAsia" w:eastAsiaTheme="minorEastAsia"/>
                        </w:rPr>
                      </w:pPr>
                      <w:r>
                        <w:rPr>
                          <w:rFonts w:hint="eastAsia" w:asciiTheme="minorEastAsia" w:hAnsiTheme="minorEastAsia" w:eastAsiaTheme="minorEastAsia"/>
                        </w:rPr>
                        <w:t>磋商</w:t>
                      </w: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81792" behindDoc="0" locked="0" layoutInCell="1" allowOverlap="1">
                <wp:simplePos x="0" y="0"/>
                <wp:positionH relativeFrom="column">
                  <wp:posOffset>1395095</wp:posOffset>
                </wp:positionH>
                <wp:positionV relativeFrom="paragraph">
                  <wp:posOffset>1667510</wp:posOffset>
                </wp:positionV>
                <wp:extent cx="1088390" cy="262255"/>
                <wp:effectExtent l="0" t="0" r="16510" b="23495"/>
                <wp:wrapNone/>
                <wp:docPr id="16" name="文本框 16"/>
                <wp:cNvGraphicFramePr/>
                <a:graphic xmlns:a="http://schemas.openxmlformats.org/drawingml/2006/main">
                  <a:graphicData uri="http://schemas.microsoft.com/office/word/2010/wordprocessingShape">
                    <wps:wsp>
                      <wps:cNvSpPr txBox="1"/>
                      <wps:spPr>
                        <a:xfrm>
                          <a:off x="0" y="0"/>
                          <a:ext cx="108839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BE453B">
                            <w:pPr>
                              <w:jc w:val="center"/>
                              <w:rPr>
                                <w:rFonts w:hint="eastAsia" w:asciiTheme="minorEastAsia" w:hAnsiTheme="minorEastAsia" w:eastAsiaTheme="minorEastAsia"/>
                              </w:rPr>
                            </w:pPr>
                            <w:r>
                              <w:rPr>
                                <w:rFonts w:hint="eastAsia" w:asciiTheme="minorEastAsia" w:hAnsiTheme="minorEastAsia" w:eastAsiaTheme="minorEastAsia"/>
                              </w:rPr>
                              <w:t>资格审查</w:t>
                            </w:r>
                          </w:p>
                          <w:p w14:paraId="41E794C3">
                            <w:pPr>
                              <w:jc w:val="center"/>
                              <w:rPr>
                                <w:rFonts w:ascii="仿宋_GB2312" w:eastAsia="仿宋_GB2312"/>
                              </w:rPr>
                            </w:pPr>
                          </w:p>
                          <w:p w14:paraId="745CA727">
                            <w:pPr>
                              <w:rPr>
                                <w:rFonts w:ascii="仿宋_GB2312" w:eastAsia="仿宋_GB2312"/>
                              </w:rPr>
                            </w:pPr>
                            <w:r>
                              <w:rPr>
                                <w:rFonts w:hint="eastAsia" w:ascii="仿宋_GB2312" w:eastAsia="仿宋_GB2312"/>
                              </w:rPr>
                              <w:t>立项</w:t>
                            </w:r>
                          </w:p>
                          <w:p w14:paraId="5F78D69F">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9.85pt;margin-top:131.3pt;height:20.65pt;width:85.7pt;z-index:251681792;mso-width-relative:page;mso-height-relative:page;" fillcolor="#DBEEF4 [664]" filled="t" stroked="t" coordsize="21600,21600" o:gfxdata="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3l30NkAAAALAQAADwAAAAAAAAABACAA&#10;AAAiAAAAZHJzL2Rvd25yZXYueG1sUEsBAhQAFAAAAAgAh07iQIa9T/5+AgAAAAUAAA4AAAAAAAAA&#10;AQAgAAAAKAEAAGRycy9lMm9Eb2MueG1sUEsFBgAAAAAGAAYAWQEAABgGAAAAAA==&#10;">
                <v:fill on="t" focussize="0,0"/>
                <v:stroke weight="0.5pt" color="#000000 [3204]" joinstyle="round"/>
                <v:imagedata o:title=""/>
                <o:lock v:ext="edit" aspectratio="f"/>
                <v:textbox>
                  <w:txbxContent>
                    <w:p w14:paraId="0BBE453B">
                      <w:pPr>
                        <w:jc w:val="center"/>
                        <w:rPr>
                          <w:rFonts w:hint="eastAsia" w:asciiTheme="minorEastAsia" w:hAnsiTheme="minorEastAsia" w:eastAsiaTheme="minorEastAsia"/>
                        </w:rPr>
                      </w:pPr>
                      <w:r>
                        <w:rPr>
                          <w:rFonts w:hint="eastAsia" w:asciiTheme="minorEastAsia" w:hAnsiTheme="minorEastAsia" w:eastAsiaTheme="minorEastAsia"/>
                        </w:rPr>
                        <w:t>资格审查</w:t>
                      </w:r>
                    </w:p>
                    <w:p w14:paraId="41E794C3">
                      <w:pPr>
                        <w:jc w:val="center"/>
                        <w:rPr>
                          <w:rFonts w:ascii="仿宋_GB2312" w:eastAsia="仿宋_GB2312"/>
                        </w:rPr>
                      </w:pPr>
                    </w:p>
                    <w:p w14:paraId="745CA727">
                      <w:pPr>
                        <w:rPr>
                          <w:rFonts w:ascii="仿宋_GB2312" w:eastAsia="仿宋_GB2312"/>
                        </w:rPr>
                      </w:pPr>
                      <w:r>
                        <w:rPr>
                          <w:rFonts w:hint="eastAsia" w:ascii="仿宋_GB2312" w:eastAsia="仿宋_GB2312"/>
                        </w:rPr>
                        <w:t>立项</w:t>
                      </w:r>
                    </w:p>
                    <w:p w14:paraId="5F78D69F">
                      <w:pPr>
                        <w:rPr>
                          <w:rFonts w:ascii="仿宋_GB2312" w:eastAsia="仿宋_GB2312"/>
                        </w:rPr>
                      </w:pPr>
                    </w:p>
                  </w:txbxContent>
                </v:textbox>
              </v:shape>
            </w:pict>
          </mc:Fallback>
        </mc:AlternateContent>
      </w:r>
      <w:r>
        <w:rPr>
          <w:rFonts w:asciiTheme="minorEastAsia" w:hAnsiTheme="minorEastAsia" w:eastAsiaTheme="minorEastAsia"/>
          <w:color w:val="auto"/>
          <w:sz w:val="24"/>
          <w:highlight w:val="none"/>
        </w:rPr>
        <mc:AlternateContent>
          <mc:Choice Requires="wps">
            <w:drawing>
              <wp:anchor distT="0" distB="0" distL="114300" distR="114300" simplePos="0" relativeHeight="251680768" behindDoc="0" locked="0" layoutInCell="1" allowOverlap="1">
                <wp:simplePos x="0" y="0"/>
                <wp:positionH relativeFrom="column">
                  <wp:posOffset>1906270</wp:posOffset>
                </wp:positionH>
                <wp:positionV relativeFrom="paragraph">
                  <wp:posOffset>5068570</wp:posOffset>
                </wp:positionV>
                <wp:extent cx="0" cy="261620"/>
                <wp:effectExtent l="95250" t="0" r="57150" b="62230"/>
                <wp:wrapNone/>
                <wp:docPr id="17" name="直接箭头连接符 17"/>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99.1pt;height:20.6pt;width:0pt;z-index:251680768;mso-width-relative:page;mso-height-relative:page;" filled="f" stroked="t" coordsize="21600,21600" o:gfxdata="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Hujd2gAAAAsBAAAP&#10;AAAAAAAAAAEAIAAAACIAAABkcnMvZG93bnJldi54bWxQSwECFAAUAAAACACHTuJAfOofuBYCAAAB&#10;BAAADgAAAAAAAAABACAAAAApAQAAZHJzL2Uyb0RvYy54bWxQSwUGAAAAAAYABgBZAQAAsQUAAAAA&#10;">
                <v:fill on="f" focussize="0,0"/>
                <v:stroke color="#4A7EBB [3204]" joinstyle="round" endarrow="open"/>
                <v:imagedata o:title=""/>
                <o:lock v:ext="edit" aspectratio="f"/>
              </v:shape>
            </w:pict>
          </mc:Fallback>
        </mc:AlternateContent>
      </w:r>
      <w:r>
        <w:rPr>
          <w:rFonts w:asciiTheme="minorEastAsia" w:hAnsiTheme="minorEastAsia" w:eastAsiaTheme="minorEastAsia"/>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1905000</wp:posOffset>
                </wp:positionH>
                <wp:positionV relativeFrom="paragraph">
                  <wp:posOffset>4542155</wp:posOffset>
                </wp:positionV>
                <wp:extent cx="0" cy="261620"/>
                <wp:effectExtent l="95250" t="0" r="57150" b="62230"/>
                <wp:wrapNone/>
                <wp:docPr id="19" name="直接箭头连接符 19"/>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pt;margin-top:357.65pt;height:20.6pt;width:0pt;z-index:251661312;mso-width-relative:page;mso-height-relative:page;" filled="f" stroked="t" coordsize="21600,21600" o:gfxdata="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WEuFjZAAAACwEAAA8A&#10;AAAAAAAAAQAgAAAAIgAAAGRycy9kb3ducmV2LnhtbFBLAQIUABQAAAAIAIdO4kCE52acFgIAAAEE&#10;AAAOAAAAAAAAAAEAIAAAACgBAABkcnMvZTJvRG9jLnhtbFBLBQYAAAAABgAGAFkBAACw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0288" behindDoc="0" locked="0" layoutInCell="1" allowOverlap="1">
                <wp:simplePos x="0" y="0"/>
                <wp:positionH relativeFrom="column">
                  <wp:posOffset>1405255</wp:posOffset>
                </wp:positionH>
                <wp:positionV relativeFrom="paragraph">
                  <wp:posOffset>84455</wp:posOffset>
                </wp:positionV>
                <wp:extent cx="1089025" cy="262255"/>
                <wp:effectExtent l="0" t="0" r="15875" b="23495"/>
                <wp:wrapNone/>
                <wp:docPr id="21" name="文本框 21"/>
                <wp:cNvGraphicFramePr/>
                <a:graphic xmlns:a="http://schemas.openxmlformats.org/drawingml/2006/main">
                  <a:graphicData uri="http://schemas.microsoft.com/office/word/2010/wordprocessingShape">
                    <wps:wsp>
                      <wps:cNvSpPr txBox="1"/>
                      <wps:spPr>
                        <a:xfrm>
                          <a:off x="0" y="0"/>
                          <a:ext cx="1089271"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280C8A">
                            <w:pPr>
                              <w:jc w:val="center"/>
                              <w:rPr>
                                <w:rFonts w:hint="eastAsia" w:asciiTheme="minorEastAsia" w:hAnsiTheme="minorEastAsia" w:eastAsiaTheme="minorEastAsia"/>
                              </w:rPr>
                            </w:pPr>
                            <w:r>
                              <w:rPr>
                                <w:rFonts w:hint="eastAsia" w:asciiTheme="minorEastAsia" w:hAnsiTheme="minorEastAsia" w:eastAsiaTheme="minorEastAsia"/>
                              </w:rPr>
                              <w:t>编制磋商文件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6.65pt;height:20.65pt;width:85.75pt;z-index:251660288;mso-width-relative:page;mso-height-relative:page;" fillcolor="#DBEEF4 [664]" filled="t" stroked="t" coordsize="21600,21600" o:gfxdata="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Go9qSnXAAAACQEAAA8AAAAAAAAAAQAgAAAA&#10;IgAAAGRycy9kb3ducmV2LnhtbFBLAQIUABQAAAAIAIdO4kASw+0yfgIAAAAFAAAOAAAAAAAAAAEA&#10;IAAAACYBAABkcnMvZTJvRG9jLnhtbFBLBQYAAAAABgAGAFkBAAAWBgAAAAA=&#10;">
                <v:fill on="t" focussize="0,0"/>
                <v:stroke weight="0.5pt" color="#000000 [3204]" joinstyle="round"/>
                <v:imagedata o:title=""/>
                <o:lock v:ext="edit" aspectratio="f"/>
                <v:textbox>
                  <w:txbxContent>
                    <w:p w14:paraId="1F280C8A">
                      <w:pPr>
                        <w:jc w:val="center"/>
                        <w:rPr>
                          <w:rFonts w:hint="eastAsia" w:asciiTheme="minorEastAsia" w:hAnsiTheme="minorEastAsia" w:eastAsiaTheme="minorEastAsia"/>
                        </w:rPr>
                      </w:pPr>
                      <w:r>
                        <w:rPr>
                          <w:rFonts w:hint="eastAsia" w:asciiTheme="minorEastAsia" w:hAnsiTheme="minorEastAsia" w:eastAsiaTheme="minorEastAsia"/>
                        </w:rPr>
                        <w:t>编制磋商文件</w:t>
                      </w: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5408" behindDoc="0" locked="0" layoutInCell="1" allowOverlap="1">
                <wp:simplePos x="0" y="0"/>
                <wp:positionH relativeFrom="column">
                  <wp:posOffset>1405255</wp:posOffset>
                </wp:positionH>
                <wp:positionV relativeFrom="paragraph">
                  <wp:posOffset>1134110</wp:posOffset>
                </wp:positionV>
                <wp:extent cx="1088390" cy="262255"/>
                <wp:effectExtent l="0" t="0" r="16510" b="23495"/>
                <wp:wrapNone/>
                <wp:docPr id="40" name="文本框 40"/>
                <wp:cNvGraphicFramePr/>
                <a:graphic xmlns:a="http://schemas.openxmlformats.org/drawingml/2006/main">
                  <a:graphicData uri="http://schemas.microsoft.com/office/word/2010/wordprocessingShape">
                    <wps:wsp>
                      <wps:cNvSpPr txBox="1"/>
                      <wps:spPr>
                        <a:xfrm>
                          <a:off x="0" y="0"/>
                          <a:ext cx="1088359"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DEC401">
                            <w:pPr>
                              <w:jc w:val="center"/>
                              <w:rPr>
                                <w:rFonts w:hint="eastAsia" w:asciiTheme="minorEastAsia" w:hAnsiTheme="minorEastAsia" w:eastAsiaTheme="minorEastAsia"/>
                              </w:rPr>
                            </w:pPr>
                            <w:r>
                              <w:rPr>
                                <w:rFonts w:hint="eastAsia" w:asciiTheme="minorEastAsia" w:hAnsiTheme="minorEastAsia" w:eastAsiaTheme="minorEastAsia"/>
                              </w:rPr>
                              <w:t>开启响应文件</w:t>
                            </w:r>
                          </w:p>
                          <w:p w14:paraId="01C8A897">
                            <w:pPr>
                              <w:rPr>
                                <w:rFonts w:ascii="仿宋_GB2312" w:eastAsia="仿宋_GB2312"/>
                              </w:rPr>
                            </w:pPr>
                            <w:r>
                              <w:rPr>
                                <w:rFonts w:hint="eastAsia" w:ascii="仿宋_GB2312" w:eastAsia="仿宋_GB2312"/>
                              </w:rPr>
                              <w:t>立项</w:t>
                            </w:r>
                          </w:p>
                          <w:p w14:paraId="06355332">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89.3pt;height:20.65pt;width:85.7pt;z-index:251665408;mso-width-relative:page;mso-height-relative:page;" fillcolor="#DBEEF4 [664]" filled="t" stroked="t" coordsize="21600,21600" o:gfxdata="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O2/I9kAAAALAQAADwAAAAAAAAABACAA&#10;AAAiAAAAZHJzL2Rvd25yZXYueG1sUEsBAhQAFAAAAAgAh07iQHxGMX1+AgAAAAUAAA4AAAAAAAAA&#10;AQAgAAAAKAEAAGRycy9lMm9Eb2MueG1sUEsFBgAAAAAGAAYAWQEAABgGAAAAAA==&#10;">
                <v:fill on="t" focussize="0,0"/>
                <v:stroke weight="0.5pt" color="#000000 [3204]" joinstyle="round"/>
                <v:imagedata o:title=""/>
                <o:lock v:ext="edit" aspectratio="f"/>
                <v:textbox>
                  <w:txbxContent>
                    <w:p w14:paraId="11DEC401">
                      <w:pPr>
                        <w:jc w:val="center"/>
                        <w:rPr>
                          <w:rFonts w:hint="eastAsia" w:asciiTheme="minorEastAsia" w:hAnsiTheme="minorEastAsia" w:eastAsiaTheme="minorEastAsia"/>
                        </w:rPr>
                      </w:pPr>
                      <w:r>
                        <w:rPr>
                          <w:rFonts w:hint="eastAsia" w:asciiTheme="minorEastAsia" w:hAnsiTheme="minorEastAsia" w:eastAsiaTheme="minorEastAsia"/>
                        </w:rPr>
                        <w:t>开启响应文件</w:t>
                      </w:r>
                    </w:p>
                    <w:p w14:paraId="01C8A897">
                      <w:pPr>
                        <w:rPr>
                          <w:rFonts w:ascii="仿宋_GB2312" w:eastAsia="仿宋_GB2312"/>
                        </w:rPr>
                      </w:pPr>
                      <w:r>
                        <w:rPr>
                          <w:rFonts w:hint="eastAsia" w:ascii="仿宋_GB2312" w:eastAsia="仿宋_GB2312"/>
                        </w:rPr>
                        <w:t>立项</w:t>
                      </w:r>
                    </w:p>
                    <w:p w14:paraId="06355332">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6432" behindDoc="0" locked="0" layoutInCell="1" allowOverlap="1">
                <wp:simplePos x="0" y="0"/>
                <wp:positionH relativeFrom="column">
                  <wp:posOffset>1421130</wp:posOffset>
                </wp:positionH>
                <wp:positionV relativeFrom="paragraph">
                  <wp:posOffset>609600</wp:posOffset>
                </wp:positionV>
                <wp:extent cx="1073150" cy="262255"/>
                <wp:effectExtent l="0" t="0" r="12700" b="23495"/>
                <wp:wrapNone/>
                <wp:docPr id="41" name="文本框 41"/>
                <wp:cNvGraphicFramePr/>
                <a:graphic xmlns:a="http://schemas.openxmlformats.org/drawingml/2006/main">
                  <a:graphicData uri="http://schemas.microsoft.com/office/word/2010/wordprocessingShape">
                    <wps:wsp>
                      <wps:cNvSpPr txBox="1"/>
                      <wps:spPr>
                        <a:xfrm>
                          <a:off x="0" y="0"/>
                          <a:ext cx="1073066"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C6CB3E">
                            <w:pPr>
                              <w:jc w:val="center"/>
                              <w:rPr>
                                <w:rFonts w:hint="eastAsia" w:asciiTheme="minorEastAsia" w:hAnsiTheme="minorEastAsia" w:eastAsiaTheme="minorEastAsia"/>
                              </w:rPr>
                            </w:pPr>
                            <w:r>
                              <w:rPr>
                                <w:rFonts w:hint="eastAsia" w:asciiTheme="minorEastAsia" w:hAnsiTheme="minorEastAsia" w:eastAsiaTheme="minorEastAsia"/>
                              </w:rPr>
                              <w:t>邀请供应商</w:t>
                            </w:r>
                          </w:p>
                          <w:p w14:paraId="639DC0DA">
                            <w:pPr>
                              <w:rPr>
                                <w:rFonts w:ascii="仿宋_GB2312" w:eastAsia="仿宋_GB2312"/>
                              </w:rPr>
                            </w:pPr>
                            <w:r>
                              <w:rPr>
                                <w:rFonts w:hint="eastAsia" w:ascii="仿宋_GB2312" w:eastAsia="仿宋_GB2312"/>
                              </w:rPr>
                              <w:t>立项</w:t>
                            </w:r>
                          </w:p>
                          <w:p w14:paraId="6701AA5D">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9pt;margin-top:48pt;height:20.65pt;width:84.5pt;z-index:251666432;mso-width-relative:page;mso-height-relative:page;" fillcolor="#DBEEF4 [664]" filled="t" stroked="t" coordsize="21600,21600" o:gfxdata="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YC1oP2AAAAAoBAAAPAAAAAAAAAAEAIAAA&#10;ACIAAABkcnMvZG93bnJldi54bWxQSwECFAAUAAAACACHTuJAXCaksn4CAAAABQAADgAAAAAAAAAB&#10;ACAAAAAnAQAAZHJzL2Uyb0RvYy54bWxQSwUGAAAAAAYABgBZAQAAFwYAAAAA&#10;">
                <v:fill on="t" focussize="0,0"/>
                <v:stroke weight="0.5pt" color="#000000 [3204]" joinstyle="round"/>
                <v:imagedata o:title=""/>
                <o:lock v:ext="edit" aspectratio="f"/>
                <v:textbox>
                  <w:txbxContent>
                    <w:p w14:paraId="38C6CB3E">
                      <w:pPr>
                        <w:jc w:val="center"/>
                        <w:rPr>
                          <w:rFonts w:hint="eastAsia" w:asciiTheme="minorEastAsia" w:hAnsiTheme="minorEastAsia" w:eastAsiaTheme="minorEastAsia"/>
                        </w:rPr>
                      </w:pPr>
                      <w:r>
                        <w:rPr>
                          <w:rFonts w:hint="eastAsia" w:asciiTheme="minorEastAsia" w:hAnsiTheme="minorEastAsia" w:eastAsiaTheme="minorEastAsia"/>
                        </w:rPr>
                        <w:t>邀请供应商</w:t>
                      </w:r>
                    </w:p>
                    <w:p w14:paraId="639DC0DA">
                      <w:pPr>
                        <w:rPr>
                          <w:rFonts w:ascii="仿宋_GB2312" w:eastAsia="仿宋_GB2312"/>
                        </w:rPr>
                      </w:pPr>
                      <w:r>
                        <w:rPr>
                          <w:rFonts w:hint="eastAsia" w:ascii="仿宋_GB2312" w:eastAsia="仿宋_GB2312"/>
                        </w:rPr>
                        <w:t>立项</w:t>
                      </w:r>
                    </w:p>
                    <w:p w14:paraId="6701AA5D">
                      <w:pPr>
                        <w:rPr>
                          <w:rFonts w:ascii="仿宋_GB2312" w:eastAsia="仿宋_GB2312"/>
                        </w:rPr>
                      </w:pPr>
                    </w:p>
                  </w:txbxContent>
                </v:textbox>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7456" behindDoc="0" locked="0" layoutInCell="1" allowOverlap="1">
                <wp:simplePos x="0" y="0"/>
                <wp:positionH relativeFrom="column">
                  <wp:posOffset>1929765</wp:posOffset>
                </wp:positionH>
                <wp:positionV relativeFrom="paragraph">
                  <wp:posOffset>346710</wp:posOffset>
                </wp:positionV>
                <wp:extent cx="0" cy="262255"/>
                <wp:effectExtent l="95250" t="0" r="57150" b="62230"/>
                <wp:wrapNone/>
                <wp:docPr id="42" name="直接箭头连接符 42"/>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27.3pt;height:20.65pt;width:0pt;z-index:251667456;mso-width-relative:page;mso-height-relative:page;" filled="f" stroked="t" coordsize="21600,21600" o:gfxdata="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RbH+2QAAAAkBAAAPAAAA&#10;AAAAAAEAIAAAACIAAABkcnMvZG93bnJldi54bWxQSwECFAAUAAAACACHTuJAme7FIh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8480" behindDoc="0" locked="0" layoutInCell="1" allowOverlap="1">
                <wp:simplePos x="0" y="0"/>
                <wp:positionH relativeFrom="column">
                  <wp:posOffset>1929765</wp:posOffset>
                </wp:positionH>
                <wp:positionV relativeFrom="paragraph">
                  <wp:posOffset>871855</wp:posOffset>
                </wp:positionV>
                <wp:extent cx="0" cy="262255"/>
                <wp:effectExtent l="95250" t="0" r="57150" b="62230"/>
                <wp:wrapNone/>
                <wp:docPr id="43" name="直接箭头连接符 43"/>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68.65pt;height:20.65pt;width:0pt;z-index:251668480;mso-width-relative:page;mso-height-relative:page;" filled="f" stroked="t" coordsize="21600,21600" o:gfxdata="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rHWWdkAAAALAQAADwAA&#10;AAAAAAABACAAAAAiAAAAZHJzL2Rvd25yZXYueG1sUEsBAhQAFAAAAAgAh07iQJDa/OsVAgAAAQQA&#10;AA4AAAAAAAAAAQAgAAAAKAEAAGRycy9lMm9Eb2MueG1sUEsFBgAAAAAGAAYAWQEAAK8FA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69504" behindDoc="0" locked="0" layoutInCell="1" allowOverlap="1">
                <wp:simplePos x="0" y="0"/>
                <wp:positionH relativeFrom="column">
                  <wp:posOffset>1906270</wp:posOffset>
                </wp:positionH>
                <wp:positionV relativeFrom="paragraph">
                  <wp:posOffset>2437765</wp:posOffset>
                </wp:positionV>
                <wp:extent cx="0" cy="262255"/>
                <wp:effectExtent l="95250" t="0" r="57150" b="62230"/>
                <wp:wrapNone/>
                <wp:docPr id="44" name="直接箭头连接符 44"/>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91.95pt;height:20.65pt;width:0pt;z-index:251669504;mso-width-relative:page;mso-height-relative:page;" filled="f" stroked="t" coordsize="21600,21600" o:gfxdata="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yPnwL2QAAAAsBAAAPAAAA&#10;AAAAAAEAIAAAACIAAABkcnMvZG93bnJldi54bWxQSwECFAAUAAAACACHTuJAbFzA+R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0528" behindDoc="0" locked="0" layoutInCell="1" allowOverlap="1">
                <wp:simplePos x="0" y="0"/>
                <wp:positionH relativeFrom="column">
                  <wp:posOffset>1906270</wp:posOffset>
                </wp:positionH>
                <wp:positionV relativeFrom="paragraph">
                  <wp:posOffset>1921510</wp:posOffset>
                </wp:positionV>
                <wp:extent cx="0" cy="262255"/>
                <wp:effectExtent l="95250" t="0" r="57150" b="62230"/>
                <wp:wrapNone/>
                <wp:docPr id="45" name="直接箭头连接符 45"/>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51.3pt;height:20.65pt;width:0pt;z-index:251670528;mso-width-relative:page;mso-height-relative:page;" filled="f" stroked="t" coordsize="21600,21600" o:gfxdata="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Vti8rYAAAACwEAAA8AAAAA&#10;AAAAAQAgAAAAIgAAAGRycy9kb3ducmV2LnhtbFBLAQIUABQAAAAIAIdO4kBlaPkwFAIAAAEEAAAO&#10;AAAAAAAAAAEAIAAAACcBAABkcnMvZTJvRG9jLnhtbFBLBQYAAAAABgAGAFkBAACt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1552" behindDoc="0" locked="0" layoutInCell="1" allowOverlap="1">
                <wp:simplePos x="0" y="0"/>
                <wp:positionH relativeFrom="column">
                  <wp:posOffset>1906270</wp:posOffset>
                </wp:positionH>
                <wp:positionV relativeFrom="paragraph">
                  <wp:posOffset>1396365</wp:posOffset>
                </wp:positionV>
                <wp:extent cx="0" cy="262255"/>
                <wp:effectExtent l="95250" t="0" r="57150" b="62230"/>
                <wp:wrapNone/>
                <wp:docPr id="46" name="直接箭头连接符 46"/>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09.95pt;height:20.65pt;width:0pt;z-index:251671552;mso-width-relative:page;mso-height-relative:page;" filled="f" stroked="t" coordsize="21600,21600" o:gfxdata="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ZCjqrYAAAACwEAAA8AAAAA&#10;AAAAAQAgAAAAIgAAAGRycy9kb3ducmV2LnhtbFBLAQIUABQAAAAIAIdO4kA/MsOwFAIAAAEEAAAO&#10;AAAAAAAAAAEAIAAAACcBAABkcnMvZTJvRG9jLnhtbFBLBQYAAAAABgAGAFkBAACtBQ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4624" behindDoc="0" locked="0" layoutInCell="1" allowOverlap="1">
                <wp:simplePos x="0" y="0"/>
                <wp:positionH relativeFrom="column">
                  <wp:posOffset>1906270</wp:posOffset>
                </wp:positionH>
                <wp:positionV relativeFrom="paragraph">
                  <wp:posOffset>3487420</wp:posOffset>
                </wp:positionV>
                <wp:extent cx="0" cy="262255"/>
                <wp:effectExtent l="95250" t="0" r="57150" b="62230"/>
                <wp:wrapNone/>
                <wp:docPr id="47" name="直接箭头连接符 47"/>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74.6pt;height:20.65pt;width:0pt;z-index:251674624;mso-width-relative:page;mso-height-relative:page;" filled="f" stroked="t" coordsize="21600,21600" o:gfxdata="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AE9f9kAAAALAQAADwAA&#10;AAAAAAABACAAAAAiAAAAZHJzL2Rvd25yZXYueG1sUEsBAhQAFAAAAAgAh07iQDYG+nkVAgAAAQQA&#10;AA4AAAAAAAAAAQAgAAAAKAEAAGRycy9lMm9Eb2MueG1sUEsFBgAAAAAGAAYAWQEAAK8FA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5648" behindDoc="0" locked="0" layoutInCell="1" allowOverlap="1">
                <wp:simplePos x="0" y="0"/>
                <wp:positionH relativeFrom="column">
                  <wp:posOffset>1906270</wp:posOffset>
                </wp:positionH>
                <wp:positionV relativeFrom="paragraph">
                  <wp:posOffset>2962910</wp:posOffset>
                </wp:positionV>
                <wp:extent cx="0" cy="262255"/>
                <wp:effectExtent l="95250" t="0" r="57150" b="62230"/>
                <wp:wrapNone/>
                <wp:docPr id="48" name="直接箭头连接符 48"/>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33.3pt;height:20.65pt;width:0pt;z-index:251675648;mso-width-relative:page;mso-height-relative:page;" filled="f" stroked="t" coordsize="21600,21600" o:gfxdata="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Ip&#10;3rsGhTd+/f7q57tP19++/vh49ev7hxh/+UywjmJ11hfYs9IbN5y83bjIfF87Fd/IieyTwIejwHwf&#10;COuTDLOTk8lkOo9w2W2fdT4840aRGJTUBweiacPKaI23aNw46Qu75z70jTcNcag2F0JKzEMhNelK&#10;Op9NZpQwQIPWaAwMlUWSXjeUgGzQ+Sy4hOiNFFXsjs3eNduVdGQH6Jfp08fnZ2f9Ry1UvM/OZ3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M6aQ52QAAAAsBAAAPAAAA&#10;AAAAAAEAIAAAACIAAABkcnMvZG93bnJldi54bWxQSwECFAAUAAAACACHTuJAxz+6lBQCAAABBAAA&#10;DgAAAAAAAAABACAAAAAoAQAAZHJzL2Uyb0RvYy54bWxQSwUGAAAAAAYABgBZAQAArgUAAAAA&#10;">
                <v:fill on="f" focussize="0,0"/>
                <v:stroke color="#4A7EBB [3204]" joinstyle="round" endarrow="open"/>
                <v:imagedata o:title=""/>
                <o:lock v:ext="edit" aspectratio="f"/>
              </v:shape>
            </w:pict>
          </mc:Fallback>
        </mc:AlternateContent>
      </w:r>
      <w:r>
        <w:rPr>
          <w:rFonts w:cs="仿宋_GB2312" w:asciiTheme="minorEastAsia" w:hAnsiTheme="minorEastAsia" w:eastAsiaTheme="minorEastAsia"/>
          <w:b/>
          <w:color w:val="auto"/>
          <w:sz w:val="36"/>
          <w:szCs w:val="20"/>
          <w:highlight w:val="none"/>
        </w:rPr>
        <mc:AlternateContent>
          <mc:Choice Requires="wps">
            <w:drawing>
              <wp:anchor distT="0" distB="0" distL="114300" distR="114300" simplePos="0" relativeHeight="251678720" behindDoc="0" locked="0" layoutInCell="1" allowOverlap="1">
                <wp:simplePos x="0" y="0"/>
                <wp:positionH relativeFrom="column">
                  <wp:posOffset>1906270</wp:posOffset>
                </wp:positionH>
                <wp:positionV relativeFrom="paragraph">
                  <wp:posOffset>4012565</wp:posOffset>
                </wp:positionV>
                <wp:extent cx="0" cy="262255"/>
                <wp:effectExtent l="95250" t="0" r="57150" b="62230"/>
                <wp:wrapNone/>
                <wp:docPr id="49" name="直接箭头连接符 49"/>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15.95pt;height:20.65pt;width:0pt;z-index:251678720;mso-width-relative:page;mso-height-relative:page;" filled="f" stroked="t" coordsize="21600,21600" o:gfxdata="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4rJWdkAAAALAQAADwAA&#10;AAAAAAABACAAAAAiAAAAZHJzL2Rvd25yZXYueG1sUEsBAhQAFAAAAAgAh07iQM4Lg10VAgAAAQQA&#10;AA4AAAAAAAAAAQAgAAAAKAEAAGRycy9lMm9Eb2MueG1sUEsFBgAAAAAGAAYAWQEAAK8FAAAAAA==&#10;">
                <v:fill on="f" focussize="0,0"/>
                <v:stroke color="#4A7EBB [3204]" joinstyle="round" endarrow="open"/>
                <v:imagedata o:title=""/>
                <o:lock v:ext="edit" aspectratio="f"/>
              </v:shape>
            </w:pict>
          </mc:Fallback>
        </mc:AlternateContent>
      </w:r>
      <w:r>
        <w:rPr>
          <w:rFonts w:hint="eastAsia" w:cs="仿宋_GB2312" w:asciiTheme="minorEastAsia" w:hAnsiTheme="minorEastAsia" w:eastAsiaTheme="minorEastAsia"/>
          <w:b/>
          <w:color w:val="auto"/>
          <w:sz w:val="36"/>
          <w:szCs w:val="20"/>
          <w:highlight w:val="none"/>
        </w:rPr>
        <w:br w:type="page"/>
      </w:r>
    </w:p>
    <w:p w14:paraId="0C930ACA">
      <w:pPr>
        <w:adjustRightInd/>
        <w:spacing w:line="360" w:lineRule="auto"/>
        <w:jc w:val="center"/>
        <w:outlineLvl w:val="0"/>
        <w:rPr>
          <w:rFonts w:hint="eastAsia" w:cs="仿宋_GB2312" w:asciiTheme="minorEastAsia" w:hAnsiTheme="minorEastAsia" w:eastAsiaTheme="minorEastAsia"/>
          <w:b/>
          <w:color w:val="auto"/>
          <w:sz w:val="36"/>
          <w:szCs w:val="20"/>
          <w:highlight w:val="none"/>
        </w:rPr>
      </w:pPr>
      <w:bookmarkStart w:id="17" w:name="_Toc25086"/>
      <w:r>
        <w:rPr>
          <w:rFonts w:hint="eastAsia" w:cs="仿宋_GB2312" w:asciiTheme="minorEastAsia" w:hAnsiTheme="minorEastAsia" w:eastAsiaTheme="minorEastAsia"/>
          <w:b/>
          <w:color w:val="auto"/>
          <w:sz w:val="36"/>
          <w:szCs w:val="20"/>
          <w:highlight w:val="none"/>
        </w:rPr>
        <w:t>第三部分</w:t>
      </w:r>
      <w:bookmarkEnd w:id="8"/>
      <w:r>
        <w:rPr>
          <w:rFonts w:hint="eastAsia" w:cs="仿宋_GB2312" w:asciiTheme="minorEastAsia" w:hAnsiTheme="minorEastAsia" w:eastAsiaTheme="minorEastAsia"/>
          <w:b/>
          <w:color w:val="auto"/>
          <w:sz w:val="36"/>
          <w:szCs w:val="20"/>
          <w:highlight w:val="none"/>
        </w:rPr>
        <w:t xml:space="preserve">  供应商须知</w:t>
      </w:r>
      <w:bookmarkEnd w:id="9"/>
      <w:bookmarkEnd w:id="17"/>
    </w:p>
    <w:p w14:paraId="49BEBC0E">
      <w:pPr>
        <w:adjustRightInd/>
        <w:spacing w:line="360" w:lineRule="auto"/>
        <w:jc w:val="center"/>
        <w:outlineLvl w:val="1"/>
        <w:rPr>
          <w:rFonts w:hint="eastAsia" w:cs="仿宋_GB2312" w:asciiTheme="minorEastAsia" w:hAnsiTheme="minorEastAsia" w:eastAsiaTheme="minorEastAsia"/>
          <w:b/>
          <w:color w:val="auto"/>
          <w:sz w:val="36"/>
          <w:szCs w:val="20"/>
          <w:highlight w:val="none"/>
        </w:rPr>
      </w:pPr>
      <w:r>
        <w:rPr>
          <w:rFonts w:hint="eastAsia" w:cs="仿宋_GB2312" w:asciiTheme="minorEastAsia" w:hAnsiTheme="minorEastAsia" w:eastAsiaTheme="minorEastAsia"/>
          <w:b/>
          <w:color w:val="auto"/>
          <w:sz w:val="36"/>
          <w:szCs w:val="20"/>
          <w:highlight w:val="none"/>
        </w:rPr>
        <w:t>一、前附表</w:t>
      </w:r>
    </w:p>
    <w:tbl>
      <w:tblPr>
        <w:tblStyle w:val="61"/>
        <w:tblW w:w="966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28" w:type="dxa"/>
          <w:bottom w:w="0" w:type="dxa"/>
          <w:right w:w="28" w:type="dxa"/>
        </w:tblCellMar>
      </w:tblPr>
      <w:tblGrid>
        <w:gridCol w:w="769"/>
        <w:gridCol w:w="1437"/>
        <w:gridCol w:w="7456"/>
      </w:tblGrid>
      <w:tr w14:paraId="367F19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rPr>
        <w:tc>
          <w:tcPr>
            <w:tcW w:w="769" w:type="dxa"/>
            <w:tcBorders>
              <w:top w:val="single" w:color="auto" w:sz="4" w:space="0"/>
              <w:left w:val="single" w:color="auto" w:sz="4" w:space="0"/>
              <w:bottom w:val="single" w:color="auto" w:sz="4" w:space="0"/>
              <w:right w:val="single" w:color="auto" w:sz="4" w:space="0"/>
            </w:tcBorders>
            <w:vAlign w:val="center"/>
          </w:tcPr>
          <w:p w14:paraId="4859D03B">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序号</w:t>
            </w:r>
          </w:p>
        </w:tc>
        <w:tc>
          <w:tcPr>
            <w:tcW w:w="1437" w:type="dxa"/>
            <w:tcBorders>
              <w:top w:val="single" w:color="000000" w:sz="8" w:space="0"/>
              <w:left w:val="single" w:color="auto" w:sz="4" w:space="0"/>
              <w:bottom w:val="single" w:color="000000" w:sz="8" w:space="0"/>
              <w:right w:val="single" w:color="000000" w:sz="8" w:space="0"/>
            </w:tcBorders>
            <w:vAlign w:val="center"/>
          </w:tcPr>
          <w:p w14:paraId="616459A8">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事项</w:t>
            </w:r>
          </w:p>
        </w:tc>
        <w:tc>
          <w:tcPr>
            <w:tcW w:w="7456" w:type="dxa"/>
            <w:tcBorders>
              <w:top w:val="single" w:color="000000" w:sz="8" w:space="0"/>
              <w:left w:val="single" w:color="000000" w:sz="2" w:space="0"/>
              <w:bottom w:val="single" w:color="000000" w:sz="8" w:space="0"/>
              <w:right w:val="single" w:color="000000" w:sz="8" w:space="0"/>
            </w:tcBorders>
            <w:vAlign w:val="center"/>
          </w:tcPr>
          <w:p w14:paraId="12C10C30">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本项目的特别规定</w:t>
            </w:r>
          </w:p>
        </w:tc>
      </w:tr>
      <w:tr w14:paraId="78EEFA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587" w:hRule="atLeast"/>
        </w:trPr>
        <w:tc>
          <w:tcPr>
            <w:tcW w:w="769" w:type="dxa"/>
            <w:tcBorders>
              <w:top w:val="single" w:color="auto" w:sz="4" w:space="0"/>
              <w:left w:val="single" w:color="auto" w:sz="4" w:space="0"/>
              <w:bottom w:val="single" w:color="auto" w:sz="4" w:space="0"/>
              <w:right w:val="single" w:color="auto" w:sz="4" w:space="0"/>
            </w:tcBorders>
            <w:vAlign w:val="center"/>
          </w:tcPr>
          <w:p w14:paraId="11E25A2C">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w:t>
            </w:r>
          </w:p>
        </w:tc>
        <w:tc>
          <w:tcPr>
            <w:tcW w:w="1437" w:type="dxa"/>
            <w:tcBorders>
              <w:top w:val="single" w:color="000000" w:sz="8" w:space="0"/>
              <w:left w:val="single" w:color="auto" w:sz="4" w:space="0"/>
              <w:bottom w:val="single" w:color="000000" w:sz="8" w:space="0"/>
              <w:right w:val="single" w:color="000000" w:sz="8" w:space="0"/>
            </w:tcBorders>
            <w:vAlign w:val="center"/>
          </w:tcPr>
          <w:p w14:paraId="3BD2E1EF">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项目属性</w:t>
            </w:r>
          </w:p>
        </w:tc>
        <w:tc>
          <w:tcPr>
            <w:tcW w:w="7456" w:type="dxa"/>
            <w:tcBorders>
              <w:top w:val="single" w:color="000000" w:sz="8" w:space="0"/>
              <w:left w:val="single" w:color="000000" w:sz="2" w:space="0"/>
              <w:bottom w:val="single" w:color="000000" w:sz="8" w:space="0"/>
              <w:right w:val="single" w:color="000000" w:sz="8" w:space="0"/>
            </w:tcBorders>
            <w:vAlign w:val="center"/>
          </w:tcPr>
          <w:p w14:paraId="183CB180">
            <w:pPr>
              <w:spacing w:line="360" w:lineRule="auto"/>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服务类。</w:t>
            </w:r>
          </w:p>
        </w:tc>
      </w:tr>
      <w:tr w14:paraId="02EAEF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685" w:hRule="atLeast"/>
        </w:trPr>
        <w:tc>
          <w:tcPr>
            <w:tcW w:w="769" w:type="dxa"/>
            <w:tcBorders>
              <w:top w:val="single" w:color="auto" w:sz="4" w:space="0"/>
              <w:left w:val="single" w:color="auto" w:sz="4" w:space="0"/>
              <w:bottom w:val="single" w:color="auto" w:sz="4" w:space="0"/>
              <w:right w:val="single" w:color="auto" w:sz="4" w:space="0"/>
            </w:tcBorders>
            <w:vAlign w:val="center"/>
          </w:tcPr>
          <w:p w14:paraId="0CC21F15">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2</w:t>
            </w:r>
          </w:p>
        </w:tc>
        <w:tc>
          <w:tcPr>
            <w:tcW w:w="1437" w:type="dxa"/>
            <w:tcBorders>
              <w:top w:val="single" w:color="000000" w:sz="8" w:space="0"/>
              <w:left w:val="single" w:color="auto" w:sz="4" w:space="0"/>
              <w:bottom w:val="single" w:color="000000" w:sz="8" w:space="0"/>
              <w:right w:val="single" w:color="000000" w:sz="8" w:space="0"/>
            </w:tcBorders>
            <w:vAlign w:val="center"/>
          </w:tcPr>
          <w:p w14:paraId="440163F7">
            <w:pPr>
              <w:snapToGrid w:val="0"/>
              <w:spacing w:line="360" w:lineRule="auto"/>
              <w:rPr>
                <w:rFonts w:cs="宋体" w:asciiTheme="minorEastAsia" w:hAnsiTheme="minorEastAsia" w:eastAsiaTheme="minorEastAsia"/>
                <w:b/>
                <w:color w:val="auto"/>
                <w:kern w:val="0"/>
                <w:sz w:val="24"/>
                <w:highlight w:val="none"/>
              </w:rPr>
            </w:pPr>
            <w:r>
              <w:rPr>
                <w:rFonts w:hint="eastAsia" w:cs="宋体" w:asciiTheme="minorEastAsia" w:hAnsiTheme="minorEastAsia" w:eastAsiaTheme="minorEastAsia"/>
                <w:b/>
                <w:color w:val="auto"/>
                <w:kern w:val="0"/>
                <w:sz w:val="24"/>
                <w:highlight w:val="none"/>
              </w:rPr>
              <w:t>采购标的及其对应的中小企业划分标准所属行业</w:t>
            </w:r>
          </w:p>
        </w:tc>
        <w:tc>
          <w:tcPr>
            <w:tcW w:w="7456" w:type="dxa"/>
            <w:tcBorders>
              <w:top w:val="single" w:color="000000" w:sz="8" w:space="0"/>
              <w:left w:val="single" w:color="000000" w:sz="2" w:space="0"/>
              <w:bottom w:val="single" w:color="000000" w:sz="8" w:space="0"/>
              <w:right w:val="single" w:color="000000" w:sz="8" w:space="0"/>
            </w:tcBorders>
            <w:vAlign w:val="center"/>
          </w:tcPr>
          <w:p w14:paraId="6760D70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cs="Times New Roman" w:asciiTheme="minorEastAsia" w:hAnsiTheme="minorEastAsia" w:eastAsiaTheme="minorEastAsia"/>
                <w:color w:val="auto"/>
                <w:sz w:val="24"/>
                <w:highlight w:val="none"/>
                <w:u w:val="none"/>
                <w:lang w:val="en-US" w:eastAsia="zh-CN"/>
              </w:rPr>
            </w:pPr>
            <w:r>
              <w:rPr>
                <w:rFonts w:hint="eastAsia" w:cs="宋体" w:asciiTheme="minorEastAsia" w:hAnsiTheme="minorEastAsia" w:eastAsiaTheme="minorEastAsia"/>
                <w:color w:val="auto"/>
                <w:kern w:val="0"/>
                <w:sz w:val="24"/>
                <w:highlight w:val="none"/>
                <w:lang w:val="en-US" w:eastAsia="zh-CN"/>
              </w:rPr>
              <w:t>标项一：</w:t>
            </w:r>
            <w:r>
              <w:rPr>
                <w:rFonts w:hint="eastAsia" w:cs="宋体" w:asciiTheme="minorEastAsia" w:hAnsiTheme="minorEastAsia" w:eastAsiaTheme="minorEastAsia"/>
                <w:color w:val="auto"/>
                <w:kern w:val="0"/>
                <w:sz w:val="24"/>
                <w:highlight w:val="none"/>
              </w:rPr>
              <w:t>标的：</w:t>
            </w:r>
            <w:r>
              <w:rPr>
                <w:rFonts w:hint="eastAsia" w:cs="宋体" w:asciiTheme="minorEastAsia" w:hAnsiTheme="minorEastAsia" w:eastAsiaTheme="minorEastAsia"/>
                <w:color w:val="auto"/>
                <w:kern w:val="0"/>
                <w:sz w:val="24"/>
                <w:highlight w:val="none"/>
                <w:u w:val="single"/>
                <w:lang w:eastAsia="zh-CN"/>
              </w:rPr>
              <w:t>北海市2025 年度高标准农田建设项目市级竣工验收</w:t>
            </w:r>
            <w:r>
              <w:rPr>
                <w:rFonts w:hint="eastAsia" w:cs="宋体" w:asciiTheme="minorEastAsia" w:hAnsiTheme="minorEastAsia" w:eastAsiaTheme="minorEastAsia"/>
                <w:color w:val="auto"/>
                <w:kern w:val="0"/>
                <w:sz w:val="24"/>
                <w:highlight w:val="none"/>
                <w:u w:val="single"/>
                <w:lang w:val="en-US" w:eastAsia="zh-CN"/>
              </w:rPr>
              <w:t>标项一</w:t>
            </w:r>
            <w:r>
              <w:rPr>
                <w:rFonts w:hint="eastAsia" w:cs="Times New Roman" w:asciiTheme="minorEastAsia" w:hAnsiTheme="minorEastAsia" w:eastAsiaTheme="minorEastAsia"/>
                <w:color w:val="auto"/>
                <w:sz w:val="24"/>
                <w:highlight w:val="none"/>
                <w:u w:val="single"/>
                <w:lang w:val="en-US" w:eastAsia="zh-CN"/>
              </w:rPr>
              <w:t xml:space="preserve"> </w:t>
            </w:r>
            <w:r>
              <w:rPr>
                <w:rFonts w:hint="eastAsia" w:cs="Times New Roman" w:asciiTheme="minorEastAsia" w:hAnsiTheme="minorEastAsia" w:eastAsiaTheme="minorEastAsia"/>
                <w:color w:val="auto"/>
                <w:sz w:val="24"/>
                <w:highlight w:val="none"/>
                <w:u w:val="none"/>
                <w:lang w:val="en-US" w:eastAsia="zh-CN"/>
              </w:rPr>
              <w:t>，</w:t>
            </w:r>
            <w:r>
              <w:rPr>
                <w:rFonts w:hint="eastAsia" w:cs="Times New Roman" w:asciiTheme="minorEastAsia" w:hAnsiTheme="minorEastAsia" w:eastAsiaTheme="minorEastAsia"/>
                <w:color w:val="auto"/>
                <w:sz w:val="24"/>
                <w:highlight w:val="none"/>
                <w:u w:val="single"/>
                <w:lang w:val="en-US" w:eastAsia="zh-CN"/>
              </w:rPr>
              <w:t xml:space="preserve">属于 其他未列明行业 </w:t>
            </w:r>
            <w:r>
              <w:rPr>
                <w:rFonts w:hint="eastAsia" w:cs="Times New Roman" w:asciiTheme="minorEastAsia" w:hAnsiTheme="minorEastAsia" w:eastAsiaTheme="minorEastAsia"/>
                <w:color w:val="auto"/>
                <w:sz w:val="24"/>
                <w:highlight w:val="none"/>
                <w:u w:val="none"/>
                <w:lang w:val="en-US" w:eastAsia="zh-CN"/>
              </w:rPr>
              <w:t>行业</w:t>
            </w:r>
          </w:p>
          <w:p w14:paraId="76C2E868">
            <w:pPr>
              <w:pStyle w:val="2"/>
              <w:rPr>
                <w:rFonts w:hint="default"/>
                <w:color w:val="auto"/>
                <w:highlight w:val="none"/>
                <w:lang w:val="en-US" w:eastAsia="zh-CN"/>
              </w:rPr>
            </w:pPr>
            <w:r>
              <w:rPr>
                <w:rFonts w:hint="eastAsia" w:cs="Times New Roman" w:asciiTheme="minorEastAsia" w:hAnsiTheme="minorEastAsia" w:eastAsiaTheme="minorEastAsia"/>
                <w:color w:val="auto"/>
                <w:sz w:val="24"/>
                <w:highlight w:val="none"/>
                <w:u w:val="none"/>
                <w:lang w:val="en-US" w:eastAsia="zh-CN"/>
              </w:rPr>
              <w:t>标项二：标的：</w:t>
            </w:r>
            <w:r>
              <w:rPr>
                <w:rFonts w:hint="eastAsia" w:ascii="宋体" w:hAnsi="宋体" w:cs="宋体"/>
                <w:b w:val="0"/>
                <w:color w:val="auto"/>
                <w:kern w:val="0"/>
                <w:sz w:val="24"/>
                <w:szCs w:val="24"/>
                <w:highlight w:val="none"/>
                <w:u w:val="single"/>
                <w:lang w:eastAsia="zh-CN"/>
              </w:rPr>
              <w:t>北海市2025 年度高标准农田建设项目市级竣工验收</w:t>
            </w:r>
            <w:r>
              <w:rPr>
                <w:rFonts w:hint="eastAsia" w:ascii="宋体" w:hAnsi="宋体" w:cs="宋体"/>
                <w:color w:val="auto"/>
                <w:sz w:val="24"/>
                <w:szCs w:val="24"/>
                <w:highlight w:val="none"/>
                <w:u w:val="single"/>
                <w:lang w:val="en-US" w:eastAsia="zh-CN"/>
              </w:rPr>
              <w:t>标项</w:t>
            </w:r>
            <w:r>
              <w:rPr>
                <w:rFonts w:hint="eastAsia" w:hAnsi="宋体" w:cs="宋体"/>
                <w:color w:val="auto"/>
                <w:sz w:val="24"/>
                <w:szCs w:val="24"/>
                <w:highlight w:val="none"/>
                <w:u w:val="single"/>
                <w:lang w:val="en-US" w:eastAsia="zh-CN"/>
              </w:rPr>
              <w:t>二</w:t>
            </w:r>
            <w:r>
              <w:rPr>
                <w:rFonts w:hint="eastAsia" w:hAnsi="宋体" w:cs="宋体"/>
                <w:color w:val="auto"/>
                <w:sz w:val="24"/>
                <w:szCs w:val="24"/>
                <w:highlight w:val="none"/>
                <w:lang w:val="en-US" w:eastAsia="zh-CN"/>
              </w:rPr>
              <w:t>，</w:t>
            </w:r>
            <w:r>
              <w:rPr>
                <w:rFonts w:hint="eastAsia" w:cs="Times New Roman" w:asciiTheme="minorEastAsia" w:hAnsiTheme="minorEastAsia" w:eastAsiaTheme="minorEastAsia"/>
                <w:color w:val="auto"/>
                <w:sz w:val="24"/>
                <w:highlight w:val="none"/>
                <w:u w:val="single"/>
                <w:lang w:val="en-US" w:eastAsia="zh-CN"/>
              </w:rPr>
              <w:t xml:space="preserve">属于 其他未列明行业 </w:t>
            </w:r>
            <w:r>
              <w:rPr>
                <w:rFonts w:hint="eastAsia" w:cs="Times New Roman" w:asciiTheme="minorEastAsia" w:hAnsiTheme="minorEastAsia" w:eastAsiaTheme="minorEastAsia"/>
                <w:color w:val="auto"/>
                <w:sz w:val="24"/>
                <w:highlight w:val="none"/>
                <w:u w:val="none"/>
                <w:lang w:val="en-US" w:eastAsia="zh-CN"/>
              </w:rPr>
              <w:t>行业</w:t>
            </w:r>
          </w:p>
        </w:tc>
      </w:tr>
      <w:tr w14:paraId="3177F5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23" w:hRule="atLeast"/>
        </w:trPr>
        <w:tc>
          <w:tcPr>
            <w:tcW w:w="769" w:type="dxa"/>
            <w:tcBorders>
              <w:top w:val="single" w:color="auto" w:sz="4" w:space="0"/>
              <w:left w:val="single" w:color="auto" w:sz="4" w:space="0"/>
              <w:bottom w:val="single" w:color="auto" w:sz="4" w:space="0"/>
              <w:right w:val="single" w:color="auto" w:sz="4" w:space="0"/>
            </w:tcBorders>
            <w:vAlign w:val="center"/>
          </w:tcPr>
          <w:p w14:paraId="68E4AAB7">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3</w:t>
            </w:r>
          </w:p>
        </w:tc>
        <w:tc>
          <w:tcPr>
            <w:tcW w:w="1437" w:type="dxa"/>
            <w:tcBorders>
              <w:top w:val="single" w:color="000000" w:sz="8" w:space="0"/>
              <w:left w:val="single" w:color="auto" w:sz="4" w:space="0"/>
              <w:bottom w:val="single" w:color="000000" w:sz="8" w:space="0"/>
              <w:right w:val="single" w:color="000000" w:sz="8" w:space="0"/>
            </w:tcBorders>
            <w:vAlign w:val="center"/>
          </w:tcPr>
          <w:p w14:paraId="352C32C2">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是否允许采购进口产品</w:t>
            </w:r>
          </w:p>
        </w:tc>
        <w:tc>
          <w:tcPr>
            <w:tcW w:w="7456" w:type="dxa"/>
            <w:tcBorders>
              <w:top w:val="single" w:color="000000" w:sz="8" w:space="0"/>
              <w:left w:val="single" w:color="000000" w:sz="2" w:space="0"/>
              <w:bottom w:val="single" w:color="000000" w:sz="8" w:space="0"/>
              <w:right w:val="single" w:color="000000" w:sz="8" w:space="0"/>
            </w:tcBorders>
            <w:vAlign w:val="center"/>
          </w:tcPr>
          <w:p w14:paraId="17E1D3FC">
            <w:pPr>
              <w:pageBreakBefore w:val="0"/>
              <w:widowControl w:val="0"/>
              <w:kinsoku/>
              <w:wordWrap/>
              <w:overflowPunct/>
              <w:topLinePunct w:val="0"/>
              <w:autoSpaceDE/>
              <w:autoSpaceDN/>
              <w:bidi w:val="0"/>
              <w:snapToGrid/>
              <w:spacing w:line="360" w:lineRule="auto"/>
              <w:textAlignment w:val="auto"/>
              <w:rPr>
                <w:rFonts w:hint="eastAsia" w:cs="宋体" w:asciiTheme="minorEastAsia" w:hAnsiTheme="minorEastAsia" w:eastAsiaTheme="minorEastAsia"/>
                <w:color w:val="auto"/>
                <w:kern w:val="0"/>
                <w:sz w:val="24"/>
                <w:highlight w:val="none"/>
              </w:rPr>
            </w:pPr>
            <w:sdt>
              <w:sdtPr>
                <w:rPr>
                  <w:rFonts w:hint="eastAsia" w:cs="宋体" w:asciiTheme="minorEastAsia" w:hAnsiTheme="minorEastAsia" w:eastAsiaTheme="minorEastAsia"/>
                  <w:color w:val="auto"/>
                  <w:kern w:val="0"/>
                  <w:sz w:val="24"/>
                  <w:highlight w:val="none"/>
                </w:rPr>
                <w:id w:val="-1828425707"/>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bookmarkStart w:id="148" w:name="_GoBack"/>
                <w:r>
                  <w:rPr>
                    <w:rFonts w:hint="eastAsia" w:cs="宋体" w:asciiTheme="minorEastAsia" w:hAnsiTheme="minorEastAsia" w:eastAsiaTheme="minorEastAsia"/>
                    <w:color w:val="auto"/>
                    <w:kern w:val="0"/>
                    <w:sz w:val="24"/>
                    <w:highlight w:val="none"/>
                  </w:rPr>
                  <w:sym w:font="Wingdings" w:char="F0FE"/>
                </w:r>
                <w:bookmarkEnd w:id="148"/>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kern w:val="0"/>
                <w:sz w:val="24"/>
                <w:highlight w:val="none"/>
              </w:rPr>
              <w:t>本项目不允许采购进口产品。</w:t>
            </w:r>
          </w:p>
          <w:p w14:paraId="6D32E9AB">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ascii="仿宋_GB2312" w:hAnsi="仿宋" w:eastAsia="仿宋_GB2312" w:cs="Times New Roman"/>
                <w:b/>
                <w:bCs/>
                <w:color w:val="auto"/>
                <w:kern w:val="2"/>
                <w:sz w:val="32"/>
                <w:szCs w:val="32"/>
                <w:highlight w:val="none"/>
                <w:lang w:val="zh-CN" w:eastAsia="zh-CN" w:bidi="ar-SA"/>
              </w:rPr>
            </w:pPr>
            <w:sdt>
              <w:sdtPr>
                <w:rPr>
                  <w:rFonts w:hint="eastAsia" w:ascii="宋体" w:eastAsia="宋体" w:cs="宋体" w:hAnsiTheme="minorEastAsia"/>
                  <w:b/>
                  <w:bCs/>
                  <w:color w:val="auto"/>
                  <w:kern w:val="0"/>
                  <w:sz w:val="24"/>
                  <w:szCs w:val="32"/>
                  <w:highlight w:val="none"/>
                  <w:lang w:val="zh-CN" w:eastAsia="zh-CN" w:bidi="ar-SA"/>
                </w:rPr>
                <w:id w:val="147455008"/>
                <w14:checkbox>
                  <w14:checked w14:val="0"/>
                  <w14:checkedState w14:val="00FE" w14:font="Wingdings"/>
                  <w14:uncheckedState w14:val="2610" w14:font="MS Gothic"/>
                </w14:checkbox>
              </w:sdtPr>
              <w:sdtEndPr>
                <w:rPr>
                  <w:rFonts w:hint="eastAsia" w:ascii="宋体" w:eastAsia="宋体" w:cs="宋体" w:hAnsiTheme="minorEastAsia"/>
                  <w:b w:val="0"/>
                  <w:bCs w:val="0"/>
                  <w:color w:val="auto"/>
                  <w:kern w:val="0"/>
                  <w:sz w:val="24"/>
                  <w:szCs w:val="32"/>
                  <w:highlight w:val="none"/>
                  <w:lang w:val="zh-CN" w:eastAsia="zh-CN" w:bidi="ar-SA"/>
                </w:rPr>
              </w:sdtEndPr>
              <w:sdtContent>
                <w:r>
                  <w:rPr>
                    <w:rFonts w:hint="eastAsia" w:ascii="宋体" w:hAnsi="MS Mincho" w:eastAsia="宋体" w:cs="MS Mincho"/>
                    <w:b w:val="0"/>
                    <w:bCs w:val="0"/>
                    <w:color w:val="auto"/>
                    <w:kern w:val="0"/>
                    <w:sz w:val="24"/>
                    <w:szCs w:val="32"/>
                    <w:highlight w:val="none"/>
                    <w:lang w:val="zh-CN" w:eastAsia="zh-CN" w:bidi="ar-SA"/>
                  </w:rPr>
                  <w:t>☐</w:t>
                </w:r>
              </w:sdtContent>
            </w:sdt>
            <w:r>
              <w:rPr>
                <w:rFonts w:hint="eastAsia" w:ascii="宋体" w:eastAsia="宋体" w:cs="宋体" w:hAnsiTheme="minorEastAsia"/>
                <w:b w:val="0"/>
                <w:bCs w:val="0"/>
                <w:color w:val="auto"/>
                <w:kern w:val="0"/>
                <w:sz w:val="24"/>
                <w:szCs w:val="32"/>
                <w:highlight w:val="none"/>
                <w:lang w:val="en-US" w:eastAsia="zh-CN" w:bidi="ar-SA"/>
              </w:rPr>
              <w:t>B</w:t>
            </w:r>
            <w:r>
              <w:rPr>
                <w:rFonts w:hint="eastAsia" w:ascii="宋体" w:eastAsia="宋体" w:cs="宋体" w:hAnsiTheme="minorEastAsia"/>
                <w:b w:val="0"/>
                <w:bCs w:val="0"/>
                <w:color w:val="auto"/>
                <w:kern w:val="0"/>
                <w:sz w:val="24"/>
                <w:szCs w:val="32"/>
                <w:highlight w:val="none"/>
                <w:lang w:val="zh-CN" w:eastAsia="zh-CN" w:bidi="ar-SA"/>
              </w:rPr>
              <w:t>可以就</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0"/>
                <w:sz w:val="24"/>
                <w:szCs w:val="32"/>
                <w:highlight w:val="none"/>
                <w:lang w:val="zh-CN" w:eastAsia="zh-CN" w:bidi="ar-SA"/>
              </w:rPr>
              <w:t>采购进口产品。</w:t>
            </w:r>
          </w:p>
        </w:tc>
      </w:tr>
      <w:tr w14:paraId="27D71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579" w:hRule="atLeast"/>
        </w:trPr>
        <w:tc>
          <w:tcPr>
            <w:tcW w:w="769" w:type="dxa"/>
            <w:tcBorders>
              <w:top w:val="single" w:color="auto" w:sz="4" w:space="0"/>
              <w:left w:val="single" w:color="auto" w:sz="4" w:space="0"/>
              <w:bottom w:val="single" w:color="auto" w:sz="4" w:space="0"/>
              <w:right w:val="single" w:color="auto" w:sz="4" w:space="0"/>
            </w:tcBorders>
            <w:vAlign w:val="center"/>
          </w:tcPr>
          <w:p w14:paraId="4B75F64A">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4</w:t>
            </w:r>
          </w:p>
        </w:tc>
        <w:tc>
          <w:tcPr>
            <w:tcW w:w="1437" w:type="dxa"/>
            <w:tcBorders>
              <w:top w:val="single" w:color="000000" w:sz="8" w:space="0"/>
              <w:left w:val="single" w:color="auto" w:sz="4" w:space="0"/>
              <w:bottom w:val="single" w:color="000000" w:sz="8" w:space="0"/>
              <w:right w:val="single" w:color="000000" w:sz="8" w:space="0"/>
            </w:tcBorders>
            <w:vAlign w:val="center"/>
          </w:tcPr>
          <w:p w14:paraId="2138333E">
            <w:pPr>
              <w:snapToGrid w:val="0"/>
              <w:spacing w:line="360" w:lineRule="auto"/>
              <w:ind w:firstLine="482" w:firstLineChars="200"/>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分包</w:t>
            </w:r>
          </w:p>
        </w:tc>
        <w:tc>
          <w:tcPr>
            <w:tcW w:w="7456" w:type="dxa"/>
            <w:tcBorders>
              <w:top w:val="single" w:color="000000" w:sz="8" w:space="0"/>
              <w:left w:val="single" w:color="000000" w:sz="2" w:space="0"/>
              <w:bottom w:val="single" w:color="000000" w:sz="8" w:space="0"/>
              <w:right w:val="single" w:color="000000" w:sz="8" w:space="0"/>
            </w:tcBorders>
            <w:vAlign w:val="center"/>
          </w:tcPr>
          <w:p w14:paraId="632AAEC4">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hint="eastAsia" w:cs="宋体" w:asciiTheme="minorEastAsia" w:hAnsiTheme="minorEastAsia" w:eastAsiaTheme="minorEastAsia"/>
                <w:b w:val="0"/>
                <w:bCs w:val="0"/>
                <w:color w:val="auto"/>
                <w:kern w:val="0"/>
                <w:sz w:val="24"/>
                <w:szCs w:val="32"/>
                <w:highlight w:val="none"/>
                <w:lang w:val="zh-CN" w:eastAsia="zh-CN" w:bidi="ar-SA"/>
              </w:rPr>
            </w:pPr>
            <w:r>
              <w:rPr>
                <w:rFonts w:hint="eastAsia" w:cs="宋体" w:asciiTheme="minorEastAsia" w:hAnsiTheme="minorEastAsia" w:eastAsiaTheme="minorEastAsia"/>
                <w:b w:val="0"/>
                <w:bCs w:val="0"/>
                <w:color w:val="auto"/>
                <w:kern w:val="0"/>
                <w:sz w:val="24"/>
                <w:szCs w:val="32"/>
                <w:highlight w:val="none"/>
                <w:lang w:val="zh-CN" w:eastAsia="zh-CN" w:bidi="ar-SA"/>
              </w:rPr>
              <w:t>☐A同意将非主体、非关键性的</w:t>
            </w:r>
            <w:r>
              <w:rPr>
                <w:rFonts w:hint="eastAsia" w:cs="宋体" w:asciiTheme="minorEastAsia" w:hAnsiTheme="minorEastAsia" w:eastAsiaTheme="minorEastAsia"/>
                <w:b w:val="0"/>
                <w:bCs w:val="0"/>
                <w:color w:val="auto"/>
                <w:kern w:val="0"/>
                <w:sz w:val="24"/>
                <w:szCs w:val="32"/>
                <w:highlight w:val="none"/>
                <w:u w:val="single"/>
                <w:lang w:val="zh-CN" w:eastAsia="zh-CN" w:bidi="ar-SA"/>
              </w:rPr>
              <w:t xml:space="preserve">             </w:t>
            </w:r>
            <w:r>
              <w:rPr>
                <w:rFonts w:hint="eastAsia" w:cs="宋体" w:asciiTheme="minorEastAsia" w:hAnsiTheme="minorEastAsia" w:eastAsiaTheme="minorEastAsia"/>
                <w:b w:val="0"/>
                <w:bCs w:val="0"/>
                <w:color w:val="auto"/>
                <w:kern w:val="0"/>
                <w:sz w:val="24"/>
                <w:szCs w:val="32"/>
                <w:highlight w:val="none"/>
                <w:lang w:val="zh-CN" w:eastAsia="zh-CN" w:bidi="ar-SA"/>
              </w:rPr>
              <w:t>工作分包。</w:t>
            </w:r>
          </w:p>
          <w:p w14:paraId="74053934">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hint="eastAsia" w:cs="宋体" w:asciiTheme="minorEastAsia" w:hAnsiTheme="minorEastAsia" w:eastAsiaTheme="minorEastAsia"/>
                <w:b w:val="0"/>
                <w:bCs w:val="0"/>
                <w:color w:val="auto"/>
                <w:kern w:val="0"/>
                <w:sz w:val="24"/>
                <w:szCs w:val="32"/>
                <w:highlight w:val="none"/>
                <w:lang w:val="zh-CN" w:eastAsia="zh-CN" w:bidi="ar-SA"/>
              </w:rPr>
            </w:pPr>
            <w:sdt>
              <w:sdtPr>
                <w:rPr>
                  <w:rFonts w:hint="eastAsia" w:cs="宋体" w:asciiTheme="minorEastAsia" w:hAnsiTheme="minorEastAsia" w:eastAsiaTheme="minorEastAsia"/>
                  <w:b/>
                  <w:bCs/>
                  <w:color w:val="auto"/>
                  <w:kern w:val="0"/>
                  <w:sz w:val="24"/>
                  <w:szCs w:val="32"/>
                  <w:highlight w:val="none"/>
                  <w:lang w:val="zh-CN" w:eastAsia="zh-CN" w:bidi="ar-SA"/>
                </w:rPr>
                <w:id w:val="147460704"/>
                <w14:checkbox>
                  <w14:checked w14:val="1"/>
                  <w14:checkedState w14:val="00FE" w14:font="Wingdings"/>
                  <w14:uncheckedState w14:val="2610" w14:font="MS Gothic"/>
                </w14:checkbox>
              </w:sdtPr>
              <w:sdtEndPr>
                <w:rPr>
                  <w:rFonts w:hint="eastAsia" w:cs="宋体" w:asciiTheme="minorEastAsia" w:hAnsiTheme="minorEastAsia" w:eastAsiaTheme="minorEastAsia"/>
                  <w:b/>
                  <w:bCs/>
                  <w:color w:val="auto"/>
                  <w:kern w:val="0"/>
                  <w:sz w:val="24"/>
                  <w:szCs w:val="32"/>
                  <w:highlight w:val="none"/>
                  <w:lang w:val="zh-CN" w:eastAsia="zh-CN" w:bidi="ar-SA"/>
                </w:rPr>
              </w:sdtEndPr>
              <w:sdtContent>
                <w:r>
                  <w:rPr>
                    <w:rFonts w:hint="eastAsia" w:ascii="Wingdings" w:hAnsi="Wingdings" w:cs="宋体" w:eastAsiaTheme="minorEastAsia"/>
                    <w:b w:val="0"/>
                    <w:bCs w:val="0"/>
                    <w:color w:val="auto"/>
                    <w:kern w:val="0"/>
                    <w:sz w:val="24"/>
                    <w:szCs w:val="24"/>
                    <w:highlight w:val="none"/>
                    <w:lang w:val="en-US" w:eastAsia="zh-CN" w:bidi="ar-SA"/>
                  </w:rPr>
                  <w:t>þ</w:t>
                </w:r>
              </w:sdtContent>
            </w:sdt>
            <w:r>
              <w:rPr>
                <w:rFonts w:hint="eastAsia" w:cs="宋体" w:asciiTheme="minorEastAsia" w:hAnsiTheme="minorEastAsia" w:eastAsiaTheme="minorEastAsia"/>
                <w:b w:val="0"/>
                <w:bCs w:val="0"/>
                <w:color w:val="auto"/>
                <w:kern w:val="0"/>
                <w:sz w:val="24"/>
                <w:szCs w:val="32"/>
                <w:highlight w:val="none"/>
                <w:lang w:val="zh-CN" w:eastAsia="zh-CN" w:bidi="ar-SA"/>
              </w:rPr>
              <w:t>B不同意分包。</w:t>
            </w:r>
          </w:p>
          <w:p w14:paraId="579E3374">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hint="default" w:ascii="仿宋_GB2312" w:hAnsi="仿宋" w:eastAsia="仿宋_GB2312" w:cs="Times New Roman"/>
                <w:b/>
                <w:bCs/>
                <w:color w:val="auto"/>
                <w:kern w:val="2"/>
                <w:sz w:val="32"/>
                <w:szCs w:val="32"/>
                <w:highlight w:val="none"/>
                <w:lang w:val="en-US" w:eastAsia="zh-CN" w:bidi="ar-SA"/>
              </w:rPr>
            </w:pPr>
            <w:r>
              <w:rPr>
                <w:rFonts w:hint="eastAsia" w:cs="宋体" w:asciiTheme="minorEastAsia" w:hAnsiTheme="minorEastAsia" w:eastAsiaTheme="minorEastAsia"/>
                <w:b w:val="0"/>
                <w:bCs w:val="0"/>
                <w:color w:val="auto"/>
                <w:kern w:val="0"/>
                <w:sz w:val="24"/>
                <w:szCs w:val="32"/>
                <w:highlight w:val="none"/>
                <w:lang w:val="zh-CN" w:eastAsia="zh-CN" w:bidi="ar-SA"/>
              </w:rPr>
              <w:t>注：不得限制大中型企业向小微企业合理分包。</w:t>
            </w:r>
          </w:p>
        </w:tc>
      </w:tr>
      <w:tr w14:paraId="43034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69" w:hRule="atLeast"/>
        </w:trPr>
        <w:tc>
          <w:tcPr>
            <w:tcW w:w="769" w:type="dxa"/>
            <w:tcBorders>
              <w:top w:val="single" w:color="auto" w:sz="4" w:space="0"/>
              <w:left w:val="single" w:color="auto" w:sz="4" w:space="0"/>
              <w:bottom w:val="single" w:color="auto" w:sz="4" w:space="0"/>
              <w:right w:val="single" w:color="auto" w:sz="4" w:space="0"/>
            </w:tcBorders>
            <w:vAlign w:val="center"/>
          </w:tcPr>
          <w:p w14:paraId="4BCB1399">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5</w:t>
            </w:r>
          </w:p>
        </w:tc>
        <w:tc>
          <w:tcPr>
            <w:tcW w:w="1437" w:type="dxa"/>
            <w:tcBorders>
              <w:top w:val="single" w:color="000000" w:sz="8" w:space="0"/>
              <w:left w:val="single" w:color="auto" w:sz="4" w:space="0"/>
              <w:bottom w:val="single" w:color="000000" w:sz="8" w:space="0"/>
              <w:right w:val="single" w:color="000000" w:sz="8" w:space="0"/>
            </w:tcBorders>
            <w:vAlign w:val="center"/>
          </w:tcPr>
          <w:p w14:paraId="4035B709">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开标前答疑会或现场考察</w:t>
            </w:r>
          </w:p>
        </w:tc>
        <w:tc>
          <w:tcPr>
            <w:tcW w:w="7456" w:type="dxa"/>
            <w:tcBorders>
              <w:top w:val="single" w:color="000000" w:sz="8" w:space="0"/>
              <w:left w:val="single" w:color="000000" w:sz="2" w:space="0"/>
              <w:bottom w:val="single" w:color="000000" w:sz="8" w:space="0"/>
              <w:right w:val="single" w:color="000000" w:sz="8" w:space="0"/>
            </w:tcBorders>
            <w:vAlign w:val="center"/>
          </w:tcPr>
          <w:p w14:paraId="4E07CA53">
            <w:pPr>
              <w:pageBreakBefore w:val="0"/>
              <w:widowControl w:val="0"/>
              <w:kinsoku/>
              <w:wordWrap/>
              <w:overflowPunct/>
              <w:topLinePunct w:val="0"/>
              <w:autoSpaceDE/>
              <w:autoSpaceDN/>
              <w:bidi w:val="0"/>
              <w:snapToGrid/>
              <w:spacing w:line="360" w:lineRule="auto"/>
              <w:textAlignment w:val="auto"/>
              <w:rPr>
                <w:rFonts w:hint="eastAsia" w:cs="宋体" w:asciiTheme="minorEastAsia" w:hAnsiTheme="minorEastAsia" w:eastAsiaTheme="minorEastAsia"/>
                <w:color w:val="auto"/>
                <w:sz w:val="24"/>
                <w:highlight w:val="none"/>
              </w:rPr>
            </w:pPr>
            <w:sdt>
              <w:sdtPr>
                <w:rPr>
                  <w:rFonts w:hint="eastAsia" w:cs="宋体" w:asciiTheme="minorEastAsia" w:hAnsiTheme="minorEastAsia" w:eastAsiaTheme="minorEastAsia"/>
                  <w:color w:val="auto"/>
                  <w:kern w:val="0"/>
                  <w:sz w:val="24"/>
                  <w:highlight w:val="none"/>
                </w:rPr>
                <w:id w:val="-212966419"/>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r>
                  <w:rPr>
                    <w:rFonts w:hint="eastAsia" w:ascii="Wingdings" w:hAnsi="Wingdings" w:cs="宋体" w:eastAsiaTheme="minorEastAsia"/>
                    <w:color w:val="auto"/>
                    <w:kern w:val="0"/>
                    <w:sz w:val="24"/>
                    <w:szCs w:val="24"/>
                    <w:highlight w:val="none"/>
                    <w:lang w:val="en-US" w:eastAsia="zh-CN" w:bidi="ar-SA"/>
                  </w:rPr>
                  <w:t>þ</w:t>
                </w:r>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sz w:val="24"/>
                <w:highlight w:val="none"/>
              </w:rPr>
              <w:t>不组织。</w:t>
            </w:r>
          </w:p>
          <w:p w14:paraId="6C2991C8">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ascii="仿宋_GB2312" w:hAnsi="仿宋" w:eastAsia="仿宋_GB2312" w:cs="Times New Roman"/>
                <w:b/>
                <w:bCs/>
                <w:color w:val="auto"/>
                <w:kern w:val="2"/>
                <w:sz w:val="32"/>
                <w:szCs w:val="32"/>
                <w:highlight w:val="none"/>
                <w:lang w:val="zh-CN" w:eastAsia="zh-CN" w:bidi="ar-SA"/>
              </w:rPr>
            </w:pPr>
            <w:sdt>
              <w:sdtPr>
                <w:rPr>
                  <w:rFonts w:hint="eastAsia" w:ascii="宋体" w:eastAsia="宋体" w:cs="宋体" w:hAnsiTheme="minorEastAsia"/>
                  <w:b/>
                  <w:bCs/>
                  <w:color w:val="auto"/>
                  <w:kern w:val="0"/>
                  <w:sz w:val="24"/>
                  <w:szCs w:val="32"/>
                  <w:highlight w:val="none"/>
                  <w:lang w:val="zh-CN" w:eastAsia="zh-CN" w:bidi="ar-SA"/>
                </w:rPr>
                <w:id w:val="-999802974"/>
                <w14:checkbox>
                  <w14:checked w14:val="0"/>
                  <w14:checkedState w14:val="00FE" w14:font="Wingdings"/>
                  <w14:uncheckedState w14:val="2610" w14:font="MS Gothic"/>
                </w14:checkbox>
              </w:sdtPr>
              <w:sdtEndPr>
                <w:rPr>
                  <w:rFonts w:hint="eastAsia" w:ascii="宋体" w:eastAsia="宋体" w:cs="宋体" w:hAnsiTheme="minorEastAsia"/>
                  <w:b w:val="0"/>
                  <w:bCs w:val="0"/>
                  <w:color w:val="auto"/>
                  <w:kern w:val="0"/>
                  <w:sz w:val="24"/>
                  <w:szCs w:val="32"/>
                  <w:highlight w:val="none"/>
                  <w:lang w:val="zh-CN" w:eastAsia="zh-CN" w:bidi="ar-SA"/>
                </w:rPr>
              </w:sdtEndPr>
              <w:sdtContent>
                <w:r>
                  <w:rPr>
                    <w:rFonts w:hint="eastAsia" w:ascii="宋体" w:hAnsi="MS Mincho" w:eastAsia="宋体" w:cs="MS Mincho"/>
                    <w:b w:val="0"/>
                    <w:bCs w:val="0"/>
                    <w:color w:val="auto"/>
                    <w:kern w:val="0"/>
                    <w:sz w:val="24"/>
                    <w:szCs w:val="32"/>
                    <w:highlight w:val="none"/>
                    <w:lang w:val="zh-CN" w:eastAsia="zh-CN" w:bidi="ar-SA"/>
                  </w:rPr>
                  <w:t>☐</w:t>
                </w:r>
              </w:sdtContent>
            </w:sdt>
            <w:r>
              <w:rPr>
                <w:rFonts w:hint="eastAsia" w:ascii="宋体" w:eastAsia="宋体" w:cs="宋体" w:hAnsiTheme="minorEastAsia"/>
                <w:b w:val="0"/>
                <w:bCs w:val="0"/>
                <w:color w:val="auto"/>
                <w:kern w:val="0"/>
                <w:sz w:val="24"/>
                <w:szCs w:val="32"/>
                <w:highlight w:val="none"/>
                <w:lang w:val="zh-CN" w:eastAsia="zh-CN" w:bidi="ar-SA"/>
              </w:rPr>
              <w:t>B组织，</w:t>
            </w:r>
            <w:r>
              <w:rPr>
                <w:rFonts w:hint="eastAsia" w:ascii="宋体" w:eastAsia="宋体" w:cs="宋体" w:hAnsiTheme="minorEastAsia"/>
                <w:b w:val="0"/>
                <w:bCs w:val="0"/>
                <w:color w:val="auto"/>
                <w:kern w:val="2"/>
                <w:sz w:val="24"/>
                <w:szCs w:val="32"/>
                <w:highlight w:val="none"/>
                <w:lang w:val="zh-CN" w:eastAsia="zh-CN" w:bidi="ar-SA"/>
              </w:rPr>
              <w:t>时间：</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32"/>
                <w:highlight w:val="none"/>
                <w:lang w:val="zh-CN" w:eastAsia="zh-CN" w:bidi="ar-SA"/>
              </w:rPr>
              <w:t>,地点：</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32"/>
                <w:highlight w:val="none"/>
                <w:lang w:val="zh-CN" w:eastAsia="zh-CN" w:bidi="ar-SA"/>
              </w:rPr>
              <w:t>，联系人：</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32"/>
                <w:highlight w:val="none"/>
                <w:lang w:val="zh-CN" w:eastAsia="zh-CN" w:bidi="ar-SA"/>
              </w:rPr>
              <w:t>，联系方式：</w:t>
            </w:r>
            <w:r>
              <w:rPr>
                <w:rFonts w:hint="eastAsia" w:ascii="宋体" w:eastAsia="宋体" w:cs="宋体" w:hAnsiTheme="minorEastAsia"/>
                <w:b w:val="0"/>
                <w:bCs w:val="0"/>
                <w:color w:val="auto"/>
                <w:kern w:val="2"/>
                <w:sz w:val="24"/>
                <w:szCs w:val="32"/>
                <w:highlight w:val="none"/>
                <w:u w:val="single"/>
                <w:lang w:val="zh-CN" w:eastAsia="zh-CN" w:bidi="ar-SA"/>
              </w:rPr>
              <w:t xml:space="preserve">      </w:t>
            </w:r>
            <w:r>
              <w:rPr>
                <w:rFonts w:hint="eastAsia" w:ascii="宋体" w:eastAsia="宋体" w:cs="宋体" w:hAnsiTheme="minorEastAsia"/>
                <w:b w:val="0"/>
                <w:bCs w:val="0"/>
                <w:color w:val="auto"/>
                <w:kern w:val="2"/>
                <w:sz w:val="24"/>
                <w:szCs w:val="20"/>
                <w:highlight w:val="none"/>
                <w:lang w:val="zh-CN" w:eastAsia="zh-CN" w:bidi="ar-SA"/>
              </w:rPr>
              <w:t>。</w:t>
            </w:r>
          </w:p>
        </w:tc>
      </w:tr>
      <w:tr w14:paraId="5ED736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41" w:hRule="atLeast"/>
        </w:trPr>
        <w:tc>
          <w:tcPr>
            <w:tcW w:w="769" w:type="dxa"/>
            <w:tcBorders>
              <w:top w:val="single" w:color="auto" w:sz="4" w:space="0"/>
              <w:left w:val="single" w:color="auto" w:sz="4" w:space="0"/>
              <w:bottom w:val="single" w:color="auto" w:sz="4" w:space="0"/>
              <w:right w:val="single" w:color="auto" w:sz="4" w:space="0"/>
            </w:tcBorders>
            <w:vAlign w:val="center"/>
          </w:tcPr>
          <w:p w14:paraId="31CBD4B2">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6</w:t>
            </w:r>
          </w:p>
        </w:tc>
        <w:tc>
          <w:tcPr>
            <w:tcW w:w="1437" w:type="dxa"/>
            <w:tcBorders>
              <w:top w:val="single" w:color="000000" w:sz="8" w:space="0"/>
              <w:left w:val="single" w:color="auto" w:sz="4" w:space="0"/>
              <w:bottom w:val="single" w:color="000000" w:sz="8" w:space="0"/>
              <w:right w:val="single" w:color="000000" w:sz="8" w:space="0"/>
            </w:tcBorders>
            <w:vAlign w:val="center"/>
          </w:tcPr>
          <w:p w14:paraId="50607371">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样品提供</w:t>
            </w:r>
          </w:p>
        </w:tc>
        <w:tc>
          <w:tcPr>
            <w:tcW w:w="7456" w:type="dxa"/>
            <w:tcBorders>
              <w:top w:val="single" w:color="000000" w:sz="8" w:space="0"/>
              <w:left w:val="single" w:color="000000" w:sz="2" w:space="0"/>
              <w:bottom w:val="single" w:color="000000" w:sz="8" w:space="0"/>
              <w:right w:val="single" w:color="000000" w:sz="8" w:space="0"/>
            </w:tcBorders>
            <w:vAlign w:val="center"/>
          </w:tcPr>
          <w:p w14:paraId="411DA38A">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cs="宋体" w:asciiTheme="minorEastAsia" w:hAnsiTheme="minorEastAsia" w:eastAsiaTheme="minorEastAsia"/>
                <w:color w:val="auto"/>
                <w:sz w:val="24"/>
                <w:highlight w:val="none"/>
              </w:rPr>
            </w:pPr>
            <w:sdt>
              <w:sdtPr>
                <w:rPr>
                  <w:rFonts w:hint="eastAsia" w:cs="宋体" w:asciiTheme="minorEastAsia" w:hAnsiTheme="minorEastAsia" w:eastAsiaTheme="minorEastAsia"/>
                  <w:color w:val="auto"/>
                  <w:kern w:val="0"/>
                  <w:sz w:val="24"/>
                  <w:highlight w:val="none"/>
                </w:rPr>
                <w:id w:val="-1639946486"/>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r>
                  <w:rPr>
                    <w:rFonts w:hint="eastAsia" w:cs="宋体" w:asciiTheme="minorEastAsia" w:hAnsiTheme="minorEastAsia" w:eastAsiaTheme="minorEastAsia"/>
                    <w:color w:val="auto"/>
                    <w:kern w:val="0"/>
                    <w:sz w:val="24"/>
                    <w:highlight w:val="none"/>
                  </w:rPr>
                  <w:sym w:font="Wingdings" w:char="F0FE"/>
                </w:r>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sz w:val="24"/>
                <w:highlight w:val="none"/>
              </w:rPr>
              <w:t>不要求提供。</w:t>
            </w:r>
          </w:p>
          <w:p w14:paraId="0F738BE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rPr>
                <w:rFonts w:hint="eastAsia" w:ascii="宋体" w:eastAsia="宋体" w:cs="宋体" w:hAnsiTheme="minorEastAsia"/>
                <w:color w:val="auto"/>
                <w:kern w:val="0"/>
                <w:sz w:val="24"/>
                <w:highlight w:val="none"/>
              </w:rPr>
            </w:pPr>
            <w:sdt>
              <w:sdtPr>
                <w:rPr>
                  <w:rFonts w:hint="eastAsia" w:ascii="宋体" w:eastAsia="宋体" w:cs="宋体" w:hAnsiTheme="minorEastAsia"/>
                  <w:color w:val="auto"/>
                  <w:kern w:val="0"/>
                  <w:sz w:val="24"/>
                  <w:highlight w:val="none"/>
                </w:rPr>
                <w:id w:val="1026831988"/>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B要求提供，</w:t>
            </w:r>
          </w:p>
          <w:p w14:paraId="2653F814">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（1）</w:t>
            </w:r>
            <w:r>
              <w:rPr>
                <w:rFonts w:hint="eastAsia" w:ascii="宋体" w:eastAsia="宋体" w:cs="宋体" w:hAnsiTheme="minorEastAsia"/>
                <w:snapToGrid w:val="0"/>
                <w:color w:val="auto"/>
                <w:kern w:val="28"/>
                <w:sz w:val="24"/>
                <w:highlight w:val="none"/>
              </w:rPr>
              <w:t>样品：</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w:t>
            </w:r>
          </w:p>
          <w:p w14:paraId="4CD4F39B">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（2）</w:t>
            </w:r>
            <w:r>
              <w:rPr>
                <w:rFonts w:hint="eastAsia" w:ascii="宋体" w:eastAsia="宋体" w:cs="宋体" w:hAnsiTheme="minorEastAsia"/>
                <w:snapToGrid w:val="0"/>
                <w:color w:val="auto"/>
                <w:kern w:val="28"/>
                <w:sz w:val="24"/>
                <w:highlight w:val="none"/>
              </w:rPr>
              <w:t>样品制作的标准和要求：</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w:t>
            </w:r>
          </w:p>
          <w:p w14:paraId="077E80BD">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（3）样品的评审方法以及评审标准</w:t>
            </w:r>
            <w:r>
              <w:rPr>
                <w:rFonts w:hint="eastAsia" w:ascii="宋体" w:eastAsia="宋体" w:cs="宋体" w:hAnsiTheme="minorEastAsia"/>
                <w:snapToGrid w:val="0"/>
                <w:color w:val="auto"/>
                <w:kern w:val="28"/>
                <w:sz w:val="24"/>
                <w:highlight w:val="none"/>
              </w:rPr>
              <w:t>：详见</w:t>
            </w:r>
            <w:r>
              <w:rPr>
                <w:rFonts w:hint="eastAsia" w:ascii="宋体" w:eastAsia="宋体" w:cs="宋体" w:hAnsiTheme="minorEastAsia"/>
                <w:color w:val="auto"/>
                <w:sz w:val="24"/>
                <w:highlight w:val="none"/>
                <w:u w:val="single"/>
              </w:rPr>
              <w:t>评审标准</w:t>
            </w:r>
            <w:r>
              <w:rPr>
                <w:rFonts w:hint="eastAsia" w:ascii="宋体" w:eastAsia="宋体" w:cs="宋体" w:hAnsiTheme="minorEastAsia"/>
                <w:color w:val="auto"/>
                <w:kern w:val="0"/>
                <w:sz w:val="24"/>
                <w:highlight w:val="none"/>
              </w:rPr>
              <w:t>；</w:t>
            </w:r>
          </w:p>
          <w:p w14:paraId="1A205088">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（4）是否需要随样品提交检测报告：</w:t>
            </w:r>
            <w:sdt>
              <w:sdtPr>
                <w:rPr>
                  <w:rFonts w:hint="eastAsia" w:ascii="宋体" w:eastAsia="宋体" w:cs="宋体" w:hAnsiTheme="minorEastAsia"/>
                  <w:color w:val="auto"/>
                  <w:kern w:val="0"/>
                  <w:sz w:val="24"/>
                  <w:highlight w:val="none"/>
                </w:rPr>
                <w:id w:val="1303421454"/>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否；</w:t>
            </w:r>
            <w:sdt>
              <w:sdtPr>
                <w:rPr>
                  <w:rFonts w:hint="eastAsia" w:ascii="宋体" w:eastAsia="宋体" w:cs="宋体" w:hAnsiTheme="minorEastAsia"/>
                  <w:color w:val="auto"/>
                  <w:kern w:val="0"/>
                  <w:sz w:val="24"/>
                  <w:highlight w:val="none"/>
                </w:rPr>
                <w:id w:val="1621728433"/>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是，检测机构的要求</w:t>
            </w:r>
            <w:r>
              <w:rPr>
                <w:rFonts w:hint="eastAsia" w:ascii="宋体" w:eastAsia="宋体" w:cs="宋体" w:hAnsiTheme="minorEastAsia"/>
                <w:color w:val="auto"/>
                <w:sz w:val="24"/>
                <w:highlight w:val="none"/>
              </w:rPr>
              <w:t>：</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；检测内容</w:t>
            </w:r>
            <w:r>
              <w:rPr>
                <w:rFonts w:hint="eastAsia" w:ascii="宋体" w:eastAsia="宋体" w:cs="宋体" w:hAnsiTheme="minorEastAsia"/>
                <w:color w:val="auto"/>
                <w:sz w:val="24"/>
                <w:highlight w:val="none"/>
              </w:rPr>
              <w:t>：</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w:t>
            </w:r>
          </w:p>
          <w:p w14:paraId="541E63D6">
            <w:pPr>
              <w:snapToGrid w:val="0"/>
              <w:spacing w:line="360" w:lineRule="auto"/>
              <w:ind w:left="0" w:leftChars="0" w:right="0" w:rightChars="0" w:firstLine="0" w:firstLineChars="0"/>
              <w:jc w:val="left"/>
              <w:rPr>
                <w:rFonts w:hint="eastAsia" w:ascii="宋体" w:eastAsia="宋体" w:cs="宋体" w:hAnsiTheme="minorEastAsia"/>
                <w:color w:val="auto"/>
                <w:sz w:val="24"/>
                <w:highlight w:val="none"/>
              </w:rPr>
            </w:pPr>
            <w:r>
              <w:rPr>
                <w:rFonts w:hint="eastAsia" w:ascii="宋体" w:eastAsia="宋体" w:cs="宋体" w:hAnsiTheme="minorEastAsia"/>
                <w:color w:val="auto"/>
                <w:sz w:val="24"/>
                <w:highlight w:val="none"/>
              </w:rPr>
              <w:t>（5）提供样品的时间：</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；地点：</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；联系人</w:t>
            </w:r>
            <w:r>
              <w:rPr>
                <w:rFonts w:hint="eastAsia" w:ascii="宋体" w:eastAsia="宋体" w:cs="宋体" w:hAnsiTheme="minorEastAsia"/>
                <w:color w:val="auto"/>
                <w:sz w:val="24"/>
                <w:highlight w:val="none"/>
              </w:rPr>
              <w:t>：</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sz w:val="24"/>
                <w:highlight w:val="none"/>
              </w:rPr>
              <w:t>，</w:t>
            </w:r>
            <w:r>
              <w:rPr>
                <w:rFonts w:hint="eastAsia" w:ascii="宋体" w:eastAsia="宋体" w:cs="宋体" w:hAnsiTheme="minorEastAsia"/>
                <w:color w:val="auto"/>
                <w:kern w:val="28"/>
                <w:sz w:val="24"/>
                <w:highlight w:val="none"/>
              </w:rPr>
              <w:t>联系电话：</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sz w:val="24"/>
                <w:highlight w:val="none"/>
              </w:rPr>
              <w:t>。请供应商在上述时间内提供样品并按规定位置安装完毕。超过截止时间的，采购人或采购代理机构将不予接收，并将清场并封闭样品现场。</w:t>
            </w:r>
          </w:p>
          <w:p w14:paraId="141F6640">
            <w:pPr>
              <w:snapToGrid w:val="0"/>
              <w:spacing w:line="360" w:lineRule="auto"/>
              <w:ind w:left="0" w:leftChars="0" w:right="0" w:rightChars="0" w:firstLine="0" w:firstLineChars="0"/>
              <w:jc w:val="left"/>
              <w:rPr>
                <w:rFonts w:hint="eastAsia" w:ascii="宋体" w:eastAsia="宋体" w:cs="宋体" w:hAnsiTheme="minorEastAsia"/>
                <w:color w:val="auto"/>
                <w:sz w:val="24"/>
                <w:highlight w:val="none"/>
              </w:rPr>
            </w:pPr>
            <w:r>
              <w:rPr>
                <w:rFonts w:hint="eastAsia" w:ascii="宋体" w:eastAsia="宋体" w:cs="宋体" w:hAnsiTheme="minorEastAsia"/>
                <w:color w:val="auto"/>
                <w:sz w:val="24"/>
                <w:highlight w:val="none"/>
              </w:rPr>
              <w:t>(6)采购活动结束后，对于未成交人提供的样品，采购人、采购代理机构将通知未成交人在规定的时间内取回，逾期未取回的，采购人、采购代理机构不负保管义务；对于成交人提供的样品，采购人将进行保管、封存，并作为履约验收的参考。</w:t>
            </w:r>
          </w:p>
          <w:p w14:paraId="3908D918">
            <w:pPr>
              <w:keepNext/>
              <w:keepLines/>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1"/>
              <w:rPr>
                <w:rFonts w:ascii="仿宋_GB2312" w:hAnsi="仿宋" w:eastAsia="仿宋_GB2312" w:cs="Times New Roman"/>
                <w:b/>
                <w:bCs/>
                <w:color w:val="auto"/>
                <w:kern w:val="2"/>
                <w:sz w:val="32"/>
                <w:szCs w:val="32"/>
                <w:highlight w:val="none"/>
                <w:lang w:val="zh-CN" w:eastAsia="zh-CN" w:bidi="ar-SA"/>
              </w:rPr>
            </w:pPr>
            <w:r>
              <w:rPr>
                <w:rFonts w:hint="eastAsia" w:ascii="宋体" w:eastAsia="宋体" w:cs="宋体" w:hAnsiTheme="minorEastAsia"/>
                <w:b w:val="0"/>
                <w:bCs w:val="0"/>
                <w:color w:val="auto"/>
                <w:kern w:val="2"/>
                <w:sz w:val="24"/>
                <w:szCs w:val="32"/>
                <w:highlight w:val="none"/>
                <w:lang w:val="zh-CN" w:eastAsia="zh-CN" w:bidi="ar-SA"/>
              </w:rPr>
              <w:t>（7）制作、运输、安装和保管样品所发生的一切费用由供应商自理。</w:t>
            </w:r>
          </w:p>
        </w:tc>
      </w:tr>
      <w:tr w14:paraId="5F77A9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77" w:hRule="atLeast"/>
        </w:trPr>
        <w:tc>
          <w:tcPr>
            <w:tcW w:w="769" w:type="dxa"/>
            <w:tcBorders>
              <w:top w:val="single" w:color="auto" w:sz="4" w:space="0"/>
              <w:left w:val="single" w:color="auto" w:sz="4" w:space="0"/>
              <w:bottom w:val="single" w:color="auto" w:sz="4" w:space="0"/>
              <w:right w:val="single" w:color="auto" w:sz="4" w:space="0"/>
            </w:tcBorders>
            <w:vAlign w:val="center"/>
          </w:tcPr>
          <w:p w14:paraId="20311B36">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7</w:t>
            </w:r>
          </w:p>
        </w:tc>
        <w:tc>
          <w:tcPr>
            <w:tcW w:w="1437" w:type="dxa"/>
            <w:tcBorders>
              <w:top w:val="single" w:color="000000" w:sz="8" w:space="0"/>
              <w:left w:val="single" w:color="auto" w:sz="4" w:space="0"/>
              <w:bottom w:val="single" w:color="000000" w:sz="8" w:space="0"/>
              <w:right w:val="single" w:color="000000" w:sz="8" w:space="0"/>
            </w:tcBorders>
            <w:vAlign w:val="center"/>
          </w:tcPr>
          <w:p w14:paraId="7E492CF5">
            <w:pPr>
              <w:snapToGrid w:val="0"/>
              <w:spacing w:line="360" w:lineRule="auto"/>
              <w:jc w:val="center"/>
              <w:rPr>
                <w:rFonts w:cs="宋体" w:asciiTheme="minorEastAsia" w:hAnsiTheme="minorEastAsia" w:eastAsiaTheme="minorEastAsia"/>
                <w:bCs/>
                <w:color w:val="auto"/>
                <w:sz w:val="24"/>
                <w:highlight w:val="none"/>
              </w:rPr>
            </w:pPr>
            <w:r>
              <w:rPr>
                <w:rFonts w:hint="eastAsia" w:cs="宋体" w:asciiTheme="minorEastAsia" w:hAnsiTheme="minorEastAsia" w:eastAsiaTheme="minorEastAsia"/>
                <w:b/>
                <w:color w:val="auto"/>
                <w:sz w:val="24"/>
                <w:highlight w:val="none"/>
              </w:rPr>
              <w:t>方案讲解演示</w:t>
            </w:r>
          </w:p>
        </w:tc>
        <w:tc>
          <w:tcPr>
            <w:tcW w:w="7456" w:type="dxa"/>
            <w:tcBorders>
              <w:top w:val="single" w:color="000000" w:sz="8" w:space="0"/>
              <w:left w:val="single" w:color="000000" w:sz="2" w:space="0"/>
              <w:bottom w:val="single" w:color="000000" w:sz="8" w:space="0"/>
              <w:right w:val="single" w:color="000000" w:sz="8" w:space="0"/>
            </w:tcBorders>
            <w:vAlign w:val="center"/>
          </w:tcPr>
          <w:p w14:paraId="011D5E9E">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cs="宋体" w:asciiTheme="minorEastAsia" w:hAnsiTheme="minorEastAsia" w:eastAsiaTheme="minorEastAsia"/>
                <w:color w:val="auto"/>
                <w:sz w:val="24"/>
                <w:highlight w:val="none"/>
              </w:rPr>
            </w:pPr>
            <w:sdt>
              <w:sdtPr>
                <w:rPr>
                  <w:rFonts w:hint="eastAsia" w:cs="宋体" w:asciiTheme="minorEastAsia" w:hAnsiTheme="minorEastAsia" w:eastAsiaTheme="minorEastAsia"/>
                  <w:color w:val="auto"/>
                  <w:kern w:val="0"/>
                  <w:sz w:val="24"/>
                  <w:highlight w:val="none"/>
                </w:rPr>
                <w:id w:val="-1859348549"/>
                <w14:checkbox>
                  <w14:checked w14:val="1"/>
                  <w14:checkedState w14:val="00FE" w14:font="Wingdings"/>
                  <w14:uncheckedState w14:val="2610" w14:font="MS Gothic"/>
                </w14:checkbox>
              </w:sdtPr>
              <w:sdtEndPr>
                <w:rPr>
                  <w:rFonts w:hint="eastAsia" w:cs="宋体" w:asciiTheme="minorEastAsia" w:hAnsiTheme="minorEastAsia" w:eastAsiaTheme="minorEastAsia"/>
                  <w:color w:val="auto"/>
                  <w:kern w:val="0"/>
                  <w:sz w:val="24"/>
                  <w:highlight w:val="none"/>
                </w:rPr>
              </w:sdtEndPr>
              <w:sdtContent>
                <w:r>
                  <w:rPr>
                    <w:rFonts w:hint="eastAsia" w:cs="宋体" w:asciiTheme="minorEastAsia" w:hAnsiTheme="minorEastAsia" w:eastAsiaTheme="minorEastAsia"/>
                    <w:color w:val="auto"/>
                    <w:kern w:val="0"/>
                    <w:sz w:val="24"/>
                    <w:highlight w:val="none"/>
                  </w:rPr>
                  <w:sym w:font="Wingdings" w:char="F0FE"/>
                </w:r>
              </w:sdtContent>
            </w:sdt>
            <w:r>
              <w:rPr>
                <w:rFonts w:hint="eastAsia" w:cs="宋体" w:asciiTheme="minorEastAsia" w:hAnsiTheme="minorEastAsia" w:eastAsiaTheme="minorEastAsia"/>
                <w:color w:val="auto"/>
                <w:kern w:val="0"/>
                <w:sz w:val="24"/>
                <w:highlight w:val="none"/>
                <w:lang w:val="en-US" w:eastAsia="zh-CN"/>
              </w:rPr>
              <w:t>A</w:t>
            </w:r>
            <w:r>
              <w:rPr>
                <w:rFonts w:hint="eastAsia" w:cs="宋体" w:asciiTheme="minorEastAsia" w:hAnsiTheme="minorEastAsia" w:eastAsiaTheme="minorEastAsia"/>
                <w:color w:val="auto"/>
                <w:sz w:val="24"/>
                <w:highlight w:val="none"/>
              </w:rPr>
              <w:t>不组织。</w:t>
            </w:r>
          </w:p>
          <w:p w14:paraId="4EB95C6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rPr>
                <w:rFonts w:hint="eastAsia" w:ascii="宋体" w:eastAsia="宋体" w:cs="宋体" w:hAnsiTheme="minorEastAsia"/>
                <w:color w:val="auto"/>
                <w:kern w:val="0"/>
                <w:sz w:val="24"/>
                <w:highlight w:val="none"/>
              </w:rPr>
            </w:pPr>
            <w:sdt>
              <w:sdtPr>
                <w:rPr>
                  <w:rFonts w:hint="eastAsia" w:ascii="宋体" w:eastAsia="宋体" w:cs="宋体" w:hAnsiTheme="minorEastAsia"/>
                  <w:color w:val="auto"/>
                  <w:kern w:val="0"/>
                  <w:sz w:val="24"/>
                  <w:highlight w:val="none"/>
                </w:rPr>
                <w:id w:val="1174071719"/>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rPr>
              </w:sdtEndPr>
              <w:sdtContent>
                <w:r>
                  <w:rPr>
                    <w:rFonts w:hint="eastAsia" w:ascii="宋体" w:hAnsi="MS Mincho" w:eastAsia="宋体" w:cs="MS Mincho"/>
                    <w:color w:val="auto"/>
                    <w:kern w:val="0"/>
                    <w:sz w:val="24"/>
                    <w:highlight w:val="none"/>
                  </w:rPr>
                  <w:t>☐</w:t>
                </w:r>
              </w:sdtContent>
            </w:sdt>
            <w:r>
              <w:rPr>
                <w:rFonts w:hint="eastAsia" w:ascii="宋体" w:eastAsia="宋体" w:cs="宋体" w:hAnsiTheme="minorEastAsia"/>
                <w:color w:val="auto"/>
                <w:kern w:val="0"/>
                <w:sz w:val="24"/>
                <w:highlight w:val="none"/>
              </w:rPr>
              <w:t>B组织。</w:t>
            </w:r>
          </w:p>
          <w:p w14:paraId="61475A1C">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（1）在评审时安排每个供应商进行方案讲解演示。每个供应商时间不超过</w:t>
            </w:r>
            <w:r>
              <w:rPr>
                <w:rFonts w:hint="eastAsia" w:ascii="宋体" w:eastAsia="宋体" w:cs="宋体" w:hAnsiTheme="minorEastAsia"/>
                <w:color w:val="auto"/>
                <w:kern w:val="0"/>
                <w:sz w:val="24"/>
                <w:highlight w:val="none"/>
                <w:u w:val="single"/>
              </w:rPr>
              <w:t>20</w:t>
            </w:r>
            <w:r>
              <w:rPr>
                <w:rFonts w:hint="eastAsia" w:ascii="宋体" w:hAnsi="宋体" w:eastAsia="宋体" w:cs="宋体"/>
                <w:color w:val="auto"/>
                <w:kern w:val="0"/>
                <w:sz w:val="24"/>
                <w:highlight w:val="none"/>
                <w:u w:val="single"/>
              </w:rPr>
              <w:t>（编制时可根据项目情况进行调整）</w:t>
            </w:r>
            <w:r>
              <w:rPr>
                <w:rFonts w:hint="eastAsia" w:ascii="宋体" w:eastAsia="宋体" w:cs="宋体" w:hAnsiTheme="minorEastAsia"/>
                <w:color w:val="auto"/>
                <w:kern w:val="0"/>
                <w:sz w:val="24"/>
                <w:highlight w:val="none"/>
              </w:rPr>
              <w:t>分钟，讲解次序以响应文件解密时间先后次序为准，讲解演示人员不超过</w:t>
            </w:r>
            <w:r>
              <w:rPr>
                <w:rFonts w:hint="eastAsia" w:ascii="宋体" w:eastAsia="宋体" w:cs="宋体" w:hAnsiTheme="minorEastAsia"/>
                <w:color w:val="auto"/>
                <w:kern w:val="0"/>
                <w:sz w:val="24"/>
                <w:highlight w:val="none"/>
                <w:u w:val="single"/>
              </w:rPr>
              <w:t>3</w:t>
            </w:r>
            <w:r>
              <w:rPr>
                <w:rFonts w:hint="eastAsia" w:ascii="宋体" w:hAnsi="宋体" w:eastAsia="宋体" w:cs="宋体"/>
                <w:color w:val="auto"/>
                <w:kern w:val="0"/>
                <w:sz w:val="24"/>
                <w:highlight w:val="none"/>
                <w:u w:val="single"/>
              </w:rPr>
              <w:t>（编制时可根据项目情况进行调整）</w:t>
            </w:r>
            <w:r>
              <w:rPr>
                <w:rFonts w:hint="eastAsia" w:ascii="宋体" w:eastAsia="宋体" w:cs="宋体" w:hAnsiTheme="minorEastAsia"/>
                <w:color w:val="auto"/>
                <w:kern w:val="0"/>
                <w:sz w:val="24"/>
                <w:highlight w:val="none"/>
              </w:rPr>
              <w:t>人。讲解演示结束后按要求解答评标委员会提问。</w:t>
            </w:r>
          </w:p>
          <w:p w14:paraId="27DC632E">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（2）方案讲解演示可选择以下其中一种方式：</w:t>
            </w:r>
          </w:p>
          <w:p w14:paraId="7929CA8B">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方式一：广西政府采购云平台在线讲解演示。广西政府采购云平台在线讲解需供应商根据广西政府采购云平台操作要求做好准备工作，提前完善软硬件配置环境。</w:t>
            </w:r>
          </w:p>
          <w:p w14:paraId="51CE5D6A">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方式二：交易中心现场讲解演示。现场讲解地点为</w:t>
            </w:r>
            <w:r>
              <w:rPr>
                <w:rFonts w:hint="eastAsia" w:ascii="宋体" w:eastAsia="宋体" w:cs="宋体" w:hAnsiTheme="minorEastAsia"/>
                <w:color w:val="auto"/>
                <w:sz w:val="24"/>
                <w:highlight w:val="none"/>
                <w:u w:val="single"/>
              </w:rPr>
              <w:t xml:space="preserve">    </w:t>
            </w:r>
            <w:r>
              <w:rPr>
                <w:rFonts w:hint="eastAsia" w:ascii="宋体" w:eastAsia="宋体" w:cs="宋体" w:hAnsiTheme="minorEastAsia"/>
                <w:color w:val="auto"/>
                <w:kern w:val="0"/>
                <w:sz w:val="24"/>
                <w:highlight w:val="none"/>
              </w:rPr>
              <w:t>，讲解演示</w:t>
            </w:r>
            <w:r>
              <w:rPr>
                <w:rFonts w:hint="eastAsia" w:ascii="宋体" w:eastAsia="宋体" w:cs="宋体" w:hAnsiTheme="minorEastAsia"/>
                <w:color w:val="auto"/>
                <w:kern w:val="0"/>
                <w:sz w:val="24"/>
                <w:highlight w:val="none"/>
                <w:lang w:val="zh-CN"/>
              </w:rPr>
              <w:t>所用电脑等设备由供应商自备。现场讲解演示人员进场时提供讲解人员名单（加盖公章或授权代表签名）及身份证明，否则不得讲</w:t>
            </w:r>
            <w:r>
              <w:rPr>
                <w:rFonts w:hint="eastAsia" w:ascii="宋体" w:eastAsia="宋体" w:cs="宋体" w:hAnsiTheme="minorEastAsia"/>
                <w:color w:val="auto"/>
                <w:kern w:val="0"/>
                <w:sz w:val="24"/>
                <w:highlight w:val="none"/>
              </w:rPr>
              <w:t>解演示。</w:t>
            </w:r>
          </w:p>
          <w:p w14:paraId="5162A52D">
            <w:pPr>
              <w:snapToGrid w:val="0"/>
              <w:spacing w:line="360" w:lineRule="auto"/>
              <w:ind w:left="0" w:leftChars="0" w:right="0" w:rightChars="0" w:firstLine="0" w:firstLineChars="0"/>
              <w:jc w:val="left"/>
              <w:rPr>
                <w:rFonts w:ascii="Times New Roman" w:hAnsi="Times New Roman" w:eastAsia="宋体" w:cs="Times New Roman"/>
                <w:color w:val="auto"/>
                <w:highlight w:val="none"/>
                <w:lang w:val="zh-CN"/>
              </w:rPr>
            </w:pPr>
            <w:r>
              <w:rPr>
                <w:rFonts w:hint="eastAsia" w:ascii="宋体" w:eastAsia="宋体" w:cs="宋体" w:hAnsiTheme="minorEastAsia"/>
                <w:color w:val="auto"/>
                <w:kern w:val="0"/>
                <w:sz w:val="24"/>
                <w:highlight w:val="none"/>
              </w:rPr>
              <w:t>注：因供应商自身原因导致无法演示或者演示效果不理想的，责任自负。因平台原因导致本项目方案讲解演示环节无法顺利开展，按照相关规定执行。</w:t>
            </w:r>
          </w:p>
        </w:tc>
      </w:tr>
      <w:tr w14:paraId="35373F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trPr>
        <w:tc>
          <w:tcPr>
            <w:tcW w:w="769" w:type="dxa"/>
            <w:vMerge w:val="restart"/>
            <w:tcBorders>
              <w:top w:val="single" w:color="auto" w:sz="4" w:space="0"/>
              <w:left w:val="single" w:color="auto" w:sz="4" w:space="0"/>
              <w:right w:val="single" w:color="auto" w:sz="4" w:space="0"/>
            </w:tcBorders>
            <w:vAlign w:val="center"/>
          </w:tcPr>
          <w:p w14:paraId="52DA0D80">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8</w:t>
            </w:r>
          </w:p>
        </w:tc>
        <w:tc>
          <w:tcPr>
            <w:tcW w:w="1437" w:type="dxa"/>
            <w:vMerge w:val="restart"/>
            <w:tcBorders>
              <w:top w:val="single" w:color="000000" w:sz="8" w:space="0"/>
              <w:left w:val="single" w:color="auto" w:sz="4" w:space="0"/>
              <w:right w:val="single" w:color="000000" w:sz="8" w:space="0"/>
            </w:tcBorders>
            <w:vAlign w:val="center"/>
          </w:tcPr>
          <w:p w14:paraId="6634244E">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供应商应当提供的资格、资信证明文件</w:t>
            </w:r>
          </w:p>
        </w:tc>
        <w:tc>
          <w:tcPr>
            <w:tcW w:w="7456" w:type="dxa"/>
            <w:tcBorders>
              <w:top w:val="single" w:color="000000" w:sz="8" w:space="0"/>
              <w:left w:val="single" w:color="000000" w:sz="2" w:space="0"/>
              <w:bottom w:val="single" w:color="auto" w:sz="4" w:space="0"/>
              <w:right w:val="single" w:color="000000" w:sz="8" w:space="0"/>
            </w:tcBorders>
            <w:vAlign w:val="center"/>
          </w:tcPr>
          <w:p w14:paraId="5CA22C4A">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rPr>
            </w:pPr>
            <w:r>
              <w:rPr>
                <w:rFonts w:hint="eastAsia" w:ascii="宋体" w:eastAsia="宋体" w:cs="宋体" w:hAnsiTheme="minorEastAsia"/>
                <w:color w:val="auto"/>
                <w:kern w:val="0"/>
                <w:sz w:val="24"/>
                <w:highlight w:val="none"/>
              </w:rPr>
              <w:t>（1）资格证明文件：见磋商文件第</w:t>
            </w:r>
            <w:r>
              <w:rPr>
                <w:rFonts w:hint="eastAsia" w:ascii="宋体" w:eastAsia="宋体" w:cs="宋体" w:hAnsiTheme="minorEastAsia"/>
                <w:color w:val="auto"/>
                <w:kern w:val="0"/>
                <w:sz w:val="24"/>
                <w:highlight w:val="none"/>
                <w:lang w:val="en-US" w:eastAsia="zh-CN"/>
              </w:rPr>
              <w:t>三</w:t>
            </w:r>
            <w:r>
              <w:rPr>
                <w:rFonts w:hint="eastAsia" w:ascii="宋体" w:eastAsia="宋体" w:cs="宋体" w:hAnsiTheme="minorEastAsia"/>
                <w:color w:val="auto"/>
                <w:kern w:val="0"/>
                <w:sz w:val="24"/>
                <w:highlight w:val="none"/>
              </w:rPr>
              <w:t>部分</w:t>
            </w:r>
            <w:r>
              <w:rPr>
                <w:rFonts w:hint="eastAsia" w:ascii="宋体" w:eastAsia="宋体" w:cs="宋体" w:hAnsiTheme="minorEastAsia"/>
                <w:color w:val="auto"/>
                <w:kern w:val="0"/>
                <w:sz w:val="24"/>
                <w:highlight w:val="none"/>
                <w:lang w:val="en-US" w:eastAsia="zh-CN"/>
              </w:rPr>
              <w:t xml:space="preserve"> 供应商须知</w:t>
            </w:r>
            <w:r>
              <w:rPr>
                <w:rFonts w:hint="eastAsia" w:ascii="宋体" w:eastAsia="宋体" w:cs="宋体" w:hAnsiTheme="minorEastAsia"/>
                <w:color w:val="auto"/>
                <w:kern w:val="0"/>
                <w:sz w:val="24"/>
                <w:highlight w:val="none"/>
              </w:rPr>
              <w:t>。</w:t>
            </w:r>
          </w:p>
          <w:p w14:paraId="5D38BE72">
            <w:pPr>
              <w:snapToGrid w:val="0"/>
              <w:spacing w:line="360" w:lineRule="auto"/>
              <w:ind w:left="0" w:leftChars="0" w:right="0" w:rightChars="0" w:firstLine="0" w:firstLineChars="0"/>
              <w:jc w:val="left"/>
              <w:rPr>
                <w:rFonts w:cs="宋体" w:asciiTheme="minorEastAsia" w:hAnsiTheme="minorEastAsia" w:eastAsiaTheme="minorEastAsia"/>
                <w:snapToGrid w:val="0"/>
                <w:color w:val="auto"/>
                <w:kern w:val="0"/>
                <w:szCs w:val="21"/>
                <w:highlight w:val="none"/>
              </w:rPr>
            </w:pPr>
            <w:r>
              <w:rPr>
                <w:rFonts w:hint="eastAsia" w:ascii="宋体" w:eastAsia="宋体" w:cs="宋体" w:hAnsiTheme="minorEastAsia"/>
                <w:color w:val="auto"/>
                <w:kern w:val="0"/>
                <w:sz w:val="24"/>
                <w:highlight w:val="none"/>
                <w:lang w:val="zh-CN"/>
              </w:rPr>
              <w:t>供应商未提供有效的资格证明文件的，视为供应商不具备磋商文件中规定的资格要求，响应无效。</w:t>
            </w:r>
          </w:p>
        </w:tc>
      </w:tr>
      <w:tr w14:paraId="20D00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38" w:hRule="atLeast"/>
        </w:trPr>
        <w:tc>
          <w:tcPr>
            <w:tcW w:w="769" w:type="dxa"/>
            <w:vMerge w:val="continue"/>
            <w:tcBorders>
              <w:left w:val="single" w:color="auto" w:sz="4" w:space="0"/>
              <w:bottom w:val="single" w:color="auto" w:sz="4" w:space="0"/>
              <w:right w:val="single" w:color="auto" w:sz="4" w:space="0"/>
            </w:tcBorders>
            <w:vAlign w:val="center"/>
          </w:tcPr>
          <w:p w14:paraId="0FB43913">
            <w:pPr>
              <w:snapToGrid w:val="0"/>
              <w:spacing w:line="360" w:lineRule="auto"/>
              <w:jc w:val="center"/>
              <w:rPr>
                <w:rFonts w:cs="宋体" w:asciiTheme="minorEastAsia" w:hAnsiTheme="minorEastAsia" w:eastAsiaTheme="minorEastAsia"/>
                <w:color w:val="auto"/>
                <w:sz w:val="24"/>
                <w:highlight w:val="none"/>
              </w:rPr>
            </w:pPr>
          </w:p>
        </w:tc>
        <w:tc>
          <w:tcPr>
            <w:tcW w:w="1437" w:type="dxa"/>
            <w:vMerge w:val="continue"/>
            <w:tcBorders>
              <w:left w:val="single" w:color="auto" w:sz="4" w:space="0"/>
              <w:bottom w:val="single" w:color="000000" w:sz="8" w:space="0"/>
              <w:right w:val="single" w:color="000000" w:sz="8" w:space="0"/>
            </w:tcBorders>
            <w:vAlign w:val="center"/>
          </w:tcPr>
          <w:p w14:paraId="63EAB8F7">
            <w:pPr>
              <w:snapToGrid w:val="0"/>
              <w:spacing w:line="360" w:lineRule="auto"/>
              <w:jc w:val="center"/>
              <w:rPr>
                <w:rFonts w:cs="宋体" w:asciiTheme="minorEastAsia" w:hAnsiTheme="minorEastAsia" w:eastAsiaTheme="minorEastAsia"/>
                <w:b/>
                <w:color w:val="auto"/>
                <w:sz w:val="24"/>
                <w:highlight w:val="none"/>
              </w:rPr>
            </w:pPr>
          </w:p>
        </w:tc>
        <w:tc>
          <w:tcPr>
            <w:tcW w:w="7456" w:type="dxa"/>
            <w:tcBorders>
              <w:top w:val="single" w:color="auto" w:sz="4" w:space="0"/>
              <w:left w:val="single" w:color="000000" w:sz="2" w:space="0"/>
              <w:bottom w:val="single" w:color="000000" w:sz="8" w:space="0"/>
              <w:right w:val="single" w:color="000000" w:sz="8" w:space="0"/>
            </w:tcBorders>
            <w:vAlign w:val="center"/>
          </w:tcPr>
          <w:p w14:paraId="5207959E">
            <w:pPr>
              <w:snapToGrid w:val="0"/>
              <w:spacing w:line="360" w:lineRule="auto"/>
              <w:ind w:left="0" w:leftChars="0" w:right="0" w:rightChars="0" w:firstLine="0" w:firstLineChars="0"/>
              <w:jc w:val="left"/>
              <w:rPr>
                <w:rFonts w:cs="宋体" w:asciiTheme="minorEastAsia" w:hAnsiTheme="minorEastAsia" w:eastAsiaTheme="minorEastAsia"/>
                <w:color w:val="auto"/>
                <w:sz w:val="24"/>
                <w:highlight w:val="none"/>
              </w:rPr>
            </w:pPr>
            <w:r>
              <w:rPr>
                <w:rFonts w:hint="eastAsia" w:ascii="宋体" w:eastAsia="宋体" w:cs="宋体" w:hAnsiTheme="minorEastAsia"/>
                <w:color w:val="auto"/>
                <w:kern w:val="0"/>
                <w:sz w:val="24"/>
                <w:highlight w:val="none"/>
                <w:lang w:val="zh-CN"/>
              </w:rPr>
              <w:t>（2）资信证明文件：根据磋商文件采购需求及评审标准的要求提供。</w:t>
            </w:r>
          </w:p>
        </w:tc>
      </w:tr>
      <w:tr w14:paraId="52BA2E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769" w:type="dxa"/>
            <w:tcBorders>
              <w:top w:val="single" w:color="auto" w:sz="4" w:space="0"/>
              <w:left w:val="single" w:color="000000" w:sz="8" w:space="0"/>
              <w:bottom w:val="single" w:color="auto" w:sz="4" w:space="0"/>
              <w:right w:val="single" w:color="000000" w:sz="2" w:space="0"/>
            </w:tcBorders>
            <w:vAlign w:val="center"/>
          </w:tcPr>
          <w:p w14:paraId="24827E13">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9</w:t>
            </w:r>
          </w:p>
        </w:tc>
        <w:tc>
          <w:tcPr>
            <w:tcW w:w="1437" w:type="dxa"/>
            <w:tcBorders>
              <w:top w:val="single" w:color="000000" w:sz="8" w:space="0"/>
              <w:left w:val="single" w:color="000000" w:sz="2" w:space="0"/>
              <w:bottom w:val="single" w:color="000000" w:sz="8" w:space="0"/>
              <w:right w:val="single" w:color="000000" w:sz="8" w:space="0"/>
            </w:tcBorders>
            <w:vAlign w:val="center"/>
          </w:tcPr>
          <w:p w14:paraId="65157EB5">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节能产品、环境标志产品</w:t>
            </w:r>
          </w:p>
        </w:tc>
        <w:tc>
          <w:tcPr>
            <w:tcW w:w="7456" w:type="dxa"/>
            <w:tcBorders>
              <w:top w:val="single" w:color="000000" w:sz="8" w:space="0"/>
              <w:left w:val="single" w:color="000000" w:sz="2" w:space="0"/>
              <w:bottom w:val="single" w:color="000000" w:sz="8" w:space="0"/>
              <w:right w:val="single" w:color="000000" w:sz="8" w:space="0"/>
            </w:tcBorders>
            <w:vAlign w:val="center"/>
          </w:tcPr>
          <w:p w14:paraId="3C6A3A87">
            <w:pPr>
              <w:snapToGrid w:val="0"/>
              <w:spacing w:line="360" w:lineRule="auto"/>
              <w:ind w:left="0" w:leftChars="0" w:right="0" w:rightChars="0" w:firstLine="0" w:firstLineChars="0"/>
              <w:jc w:val="left"/>
              <w:rPr>
                <w:rFonts w:cs="宋体" w:asciiTheme="minorEastAsia" w:hAnsiTheme="minorEastAsia" w:eastAsiaTheme="minorEastAsia"/>
                <w:color w:val="auto"/>
                <w:highlight w:val="none"/>
              </w:rPr>
            </w:pPr>
            <w:r>
              <w:rPr>
                <w:rFonts w:hint="eastAsia" w:ascii="宋体" w:eastAsia="宋体" w:cs="宋体" w:hAnsiTheme="minorEastAsia"/>
                <w:color w:val="auto"/>
                <w:kern w:val="0"/>
                <w:sz w:val="24"/>
                <w:highlight w:val="none"/>
                <w:lang w:val="zh-CN"/>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66665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769" w:type="dxa"/>
            <w:tcBorders>
              <w:top w:val="single" w:color="auto" w:sz="4" w:space="0"/>
              <w:left w:val="single" w:color="000000" w:sz="8" w:space="0"/>
              <w:bottom w:val="single" w:color="auto" w:sz="4" w:space="0"/>
              <w:right w:val="single" w:color="000000" w:sz="2" w:space="0"/>
            </w:tcBorders>
            <w:vAlign w:val="center"/>
          </w:tcPr>
          <w:p w14:paraId="3BDF110B">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10</w:t>
            </w:r>
          </w:p>
        </w:tc>
        <w:tc>
          <w:tcPr>
            <w:tcW w:w="1437" w:type="dxa"/>
            <w:tcBorders>
              <w:top w:val="single" w:color="000000" w:sz="8" w:space="0"/>
              <w:left w:val="single" w:color="000000" w:sz="2" w:space="0"/>
              <w:bottom w:val="single" w:color="000000" w:sz="8" w:space="0"/>
              <w:right w:val="single" w:color="000000" w:sz="8" w:space="0"/>
            </w:tcBorders>
            <w:vAlign w:val="center"/>
          </w:tcPr>
          <w:p w14:paraId="28C102C5">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最后报价要求</w:t>
            </w:r>
          </w:p>
        </w:tc>
        <w:tc>
          <w:tcPr>
            <w:tcW w:w="7456" w:type="dxa"/>
            <w:tcBorders>
              <w:top w:val="single" w:color="000000" w:sz="8" w:space="0"/>
              <w:left w:val="single" w:color="000000" w:sz="2" w:space="0"/>
              <w:bottom w:val="single" w:color="000000" w:sz="8" w:space="0"/>
              <w:right w:val="single" w:color="000000" w:sz="8" w:space="0"/>
            </w:tcBorders>
            <w:vAlign w:val="center"/>
          </w:tcPr>
          <w:p w14:paraId="210E24B1">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lang w:val="zh-CN"/>
              </w:rPr>
            </w:pPr>
            <w:r>
              <w:rPr>
                <w:rFonts w:hint="eastAsia" w:ascii="宋体" w:eastAsia="宋体" w:cs="宋体" w:hAnsiTheme="minorEastAsia"/>
                <w:color w:val="auto"/>
                <w:kern w:val="0"/>
                <w:sz w:val="24"/>
                <w:highlight w:val="none"/>
                <w:lang w:val="zh-CN"/>
              </w:rPr>
              <w:t>有关本项目实施所需的所有费用（含税费）均计入最后报价。《最后报价一览表（报价表）》是最后报价的唯一载体。磋商文件中价格全部采用人民币报价。磋商文件未列明，而供应商认为必需的费用也需列入报价。</w:t>
            </w:r>
          </w:p>
          <w:p w14:paraId="01D631FA">
            <w:pPr>
              <w:snapToGrid w:val="0"/>
              <w:spacing w:line="360" w:lineRule="auto"/>
              <w:ind w:left="0" w:leftChars="0" w:right="0" w:rightChars="0" w:firstLine="0" w:firstLineChars="0"/>
              <w:jc w:val="left"/>
              <w:rPr>
                <w:rFonts w:hint="eastAsia" w:ascii="宋体" w:eastAsia="宋体" w:cs="宋体" w:hAnsiTheme="minorEastAsia"/>
                <w:b/>
                <w:bCs/>
                <w:color w:val="auto"/>
                <w:kern w:val="0"/>
                <w:sz w:val="24"/>
                <w:highlight w:val="none"/>
                <w:lang w:val="zh-CN"/>
              </w:rPr>
            </w:pPr>
            <w:r>
              <w:rPr>
                <w:rFonts w:hint="eastAsia" w:ascii="宋体" w:eastAsia="宋体" w:cs="宋体" w:hAnsiTheme="minorEastAsia"/>
                <w:b/>
                <w:bCs/>
                <w:color w:val="auto"/>
                <w:kern w:val="0"/>
                <w:sz w:val="24"/>
                <w:highlight w:val="none"/>
                <w:lang w:val="zh-CN"/>
              </w:rPr>
              <w:t>最后报价出现下列情形的，响应无效：</w:t>
            </w:r>
          </w:p>
          <w:p w14:paraId="046356AE">
            <w:pPr>
              <w:snapToGrid w:val="0"/>
              <w:spacing w:line="360" w:lineRule="auto"/>
              <w:ind w:left="0" w:leftChars="0" w:right="0" w:rightChars="0" w:firstLine="0" w:firstLineChars="0"/>
              <w:jc w:val="left"/>
              <w:rPr>
                <w:rFonts w:hint="eastAsia" w:ascii="宋体" w:eastAsia="宋体" w:cs="宋体" w:hAnsiTheme="minorEastAsia"/>
                <w:b/>
                <w:bCs/>
                <w:color w:val="auto"/>
                <w:kern w:val="0"/>
                <w:sz w:val="24"/>
                <w:highlight w:val="none"/>
                <w:lang w:val="zh-CN"/>
              </w:rPr>
            </w:pPr>
            <w:r>
              <w:rPr>
                <w:rFonts w:hint="eastAsia" w:ascii="宋体" w:eastAsia="宋体" w:cs="宋体" w:hAnsiTheme="minorEastAsia"/>
                <w:b/>
                <w:bCs/>
                <w:color w:val="auto"/>
                <w:kern w:val="0"/>
                <w:sz w:val="24"/>
                <w:highlight w:val="none"/>
                <w:lang w:val="zh-CN"/>
              </w:rPr>
              <w:t>（</w:t>
            </w:r>
            <w:r>
              <w:rPr>
                <w:rFonts w:hint="eastAsia" w:ascii="宋体" w:eastAsia="宋体" w:cs="宋体" w:hAnsiTheme="minorEastAsia"/>
                <w:b/>
                <w:bCs/>
                <w:color w:val="auto"/>
                <w:kern w:val="0"/>
                <w:sz w:val="24"/>
                <w:highlight w:val="none"/>
                <w:lang w:val="en-US" w:eastAsia="zh-CN"/>
              </w:rPr>
              <w:t>1）</w:t>
            </w:r>
            <w:r>
              <w:rPr>
                <w:rFonts w:hint="eastAsia" w:ascii="宋体" w:eastAsia="宋体" w:cs="宋体" w:hAnsiTheme="minorEastAsia"/>
                <w:b/>
                <w:bCs/>
                <w:color w:val="auto"/>
                <w:kern w:val="0"/>
                <w:sz w:val="24"/>
                <w:highlight w:val="none"/>
                <w:lang w:val="zh-CN"/>
              </w:rPr>
              <w:t>响应文件出现不是唯一的、有选择性的最后报价的；</w:t>
            </w:r>
          </w:p>
          <w:p w14:paraId="147DD92E">
            <w:pPr>
              <w:snapToGrid w:val="0"/>
              <w:spacing w:line="360" w:lineRule="auto"/>
              <w:ind w:left="0" w:leftChars="0" w:right="0" w:rightChars="0" w:firstLine="0" w:firstLineChars="0"/>
              <w:jc w:val="left"/>
              <w:rPr>
                <w:rFonts w:hint="eastAsia" w:ascii="宋体" w:eastAsia="宋体" w:cs="宋体" w:hAnsiTheme="minorEastAsia"/>
                <w:b/>
                <w:bCs/>
                <w:color w:val="auto"/>
                <w:kern w:val="0"/>
                <w:sz w:val="24"/>
                <w:highlight w:val="none"/>
                <w:lang w:val="zh-CN"/>
              </w:rPr>
            </w:pPr>
            <w:r>
              <w:rPr>
                <w:rFonts w:hint="eastAsia" w:ascii="宋体" w:eastAsia="宋体" w:cs="宋体" w:hAnsiTheme="minorEastAsia"/>
                <w:b/>
                <w:bCs/>
                <w:color w:val="auto"/>
                <w:kern w:val="0"/>
                <w:sz w:val="24"/>
                <w:highlight w:val="none"/>
                <w:lang w:val="zh-CN"/>
              </w:rPr>
              <w:t>（</w:t>
            </w:r>
            <w:r>
              <w:rPr>
                <w:rFonts w:hint="eastAsia" w:ascii="宋体" w:eastAsia="宋体" w:cs="宋体" w:hAnsiTheme="minorEastAsia"/>
                <w:b/>
                <w:bCs/>
                <w:color w:val="auto"/>
                <w:kern w:val="0"/>
                <w:sz w:val="24"/>
                <w:highlight w:val="none"/>
                <w:lang w:val="en-US" w:eastAsia="zh-CN"/>
              </w:rPr>
              <w:t>2）</w:t>
            </w:r>
            <w:r>
              <w:rPr>
                <w:rFonts w:hint="eastAsia" w:ascii="宋体" w:eastAsia="宋体" w:cs="宋体" w:hAnsiTheme="minorEastAsia"/>
                <w:b/>
                <w:bCs/>
                <w:color w:val="auto"/>
                <w:kern w:val="0"/>
                <w:sz w:val="24"/>
                <w:highlight w:val="none"/>
                <w:lang w:val="zh-CN"/>
              </w:rPr>
              <w:t>最后报价超过磋商文件中规定的预算金额或者最高限价的;</w:t>
            </w:r>
          </w:p>
          <w:p w14:paraId="0326B9D6">
            <w:pPr>
              <w:snapToGrid w:val="0"/>
              <w:spacing w:line="360" w:lineRule="auto"/>
              <w:ind w:left="0" w:leftChars="0" w:right="0" w:rightChars="0" w:firstLine="0" w:firstLineChars="0"/>
              <w:jc w:val="left"/>
              <w:rPr>
                <w:rFonts w:cs="宋体" w:asciiTheme="minorEastAsia" w:hAnsiTheme="minorEastAsia" w:eastAsiaTheme="minorEastAsia"/>
                <w:color w:val="auto"/>
                <w:sz w:val="24"/>
                <w:highlight w:val="none"/>
              </w:rPr>
            </w:pPr>
            <w:r>
              <w:rPr>
                <w:rFonts w:hint="eastAsia" w:ascii="宋体" w:eastAsia="宋体" w:cs="宋体" w:hAnsiTheme="minorEastAsia"/>
                <w:b/>
                <w:bCs/>
                <w:color w:val="auto"/>
                <w:kern w:val="0"/>
                <w:sz w:val="24"/>
                <w:highlight w:val="none"/>
                <w:lang w:val="zh-CN" w:eastAsia="zh-CN"/>
              </w:rPr>
              <w:t>（</w:t>
            </w:r>
            <w:r>
              <w:rPr>
                <w:rFonts w:hint="eastAsia" w:ascii="宋体" w:eastAsia="宋体" w:cs="宋体" w:hAnsiTheme="minorEastAsia"/>
                <w:b/>
                <w:bCs/>
                <w:color w:val="auto"/>
                <w:kern w:val="0"/>
                <w:sz w:val="24"/>
                <w:highlight w:val="none"/>
                <w:lang w:val="en-US" w:eastAsia="zh-CN"/>
              </w:rPr>
              <w:t>3）</w:t>
            </w:r>
            <w:r>
              <w:rPr>
                <w:rFonts w:hint="eastAsia" w:ascii="宋体" w:eastAsia="宋体" w:cs="宋体" w:hAnsiTheme="minorEastAsia"/>
                <w:b/>
                <w:bCs/>
                <w:color w:val="auto"/>
                <w:kern w:val="0"/>
                <w:sz w:val="24"/>
                <w:highlight w:val="none"/>
                <w:lang w:val="zh-CN"/>
              </w:rPr>
              <w:t>供应商对根据修正原则修正后的报价不确认的。</w:t>
            </w:r>
          </w:p>
        </w:tc>
      </w:tr>
      <w:tr w14:paraId="5097E5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trPr>
        <w:tc>
          <w:tcPr>
            <w:tcW w:w="769" w:type="dxa"/>
            <w:tcBorders>
              <w:top w:val="single" w:color="auto" w:sz="4" w:space="0"/>
              <w:left w:val="single" w:color="000000" w:sz="8" w:space="0"/>
              <w:right w:val="single" w:color="000000" w:sz="2" w:space="0"/>
            </w:tcBorders>
            <w:vAlign w:val="center"/>
          </w:tcPr>
          <w:p w14:paraId="04721490">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11</w:t>
            </w:r>
          </w:p>
        </w:tc>
        <w:tc>
          <w:tcPr>
            <w:tcW w:w="1437" w:type="dxa"/>
            <w:tcBorders>
              <w:top w:val="single" w:color="000000" w:sz="8" w:space="0"/>
              <w:left w:val="single" w:color="000000" w:sz="2" w:space="0"/>
              <w:right w:val="single" w:color="000000" w:sz="8" w:space="0"/>
            </w:tcBorders>
            <w:vAlign w:val="center"/>
          </w:tcPr>
          <w:p w14:paraId="4B17BC2A">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中小企业信用融资</w:t>
            </w:r>
          </w:p>
        </w:tc>
        <w:tc>
          <w:tcPr>
            <w:tcW w:w="7456" w:type="dxa"/>
            <w:tcBorders>
              <w:top w:val="single" w:color="000000" w:sz="8" w:space="0"/>
              <w:left w:val="single" w:color="000000" w:sz="2" w:space="0"/>
              <w:right w:val="single" w:color="000000" w:sz="8" w:space="0"/>
            </w:tcBorders>
            <w:vAlign w:val="center"/>
          </w:tcPr>
          <w:p w14:paraId="4ADB0EED">
            <w:pPr>
              <w:snapToGrid w:val="0"/>
              <w:spacing w:line="360" w:lineRule="auto"/>
              <w:ind w:left="0" w:leftChars="0" w:right="0" w:rightChars="0" w:firstLine="0" w:firstLineChars="0"/>
              <w:jc w:val="left"/>
              <w:rPr>
                <w:rFonts w:hint="eastAsia" w:ascii="宋体" w:eastAsia="宋体" w:cs="宋体" w:hAnsiTheme="minorEastAsia"/>
                <w:color w:val="auto"/>
                <w:kern w:val="0"/>
                <w:sz w:val="24"/>
                <w:highlight w:val="none"/>
                <w:lang w:val="zh-CN"/>
              </w:rPr>
            </w:pPr>
            <w:r>
              <w:rPr>
                <w:rFonts w:hint="eastAsia" w:ascii="宋体" w:eastAsia="宋体" w:cs="宋体" w:hAnsiTheme="minorEastAsia"/>
                <w:color w:val="auto"/>
                <w:kern w:val="0"/>
                <w:sz w:val="24"/>
                <w:highlight w:val="none"/>
                <w:lang w:val="zh-CN"/>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14:paraId="13BBCD46">
            <w:pPr>
              <w:snapToGrid w:val="0"/>
              <w:spacing w:line="360" w:lineRule="auto"/>
              <w:ind w:left="0" w:leftChars="0" w:right="0" w:rightChars="0" w:firstLine="0" w:firstLineChars="0"/>
              <w:jc w:val="left"/>
              <w:rPr>
                <w:rFonts w:cs="宋体" w:asciiTheme="minorEastAsia" w:hAnsiTheme="minorEastAsia" w:eastAsiaTheme="minorEastAsia"/>
                <w:color w:val="auto"/>
                <w:sz w:val="24"/>
                <w:highlight w:val="none"/>
              </w:rPr>
            </w:pPr>
            <w:r>
              <w:rPr>
                <w:rFonts w:hint="eastAsia" w:ascii="宋体" w:eastAsia="宋体" w:cs="宋体" w:hAnsiTheme="minorEastAsia"/>
                <w:color w:val="auto"/>
                <w:kern w:val="0"/>
                <w:sz w:val="24"/>
                <w:highlight w:val="none"/>
                <w:lang w:val="zh-CN"/>
              </w:rPr>
              <w:t>供应商成交后也可在“广西政府采购云”平台申请政采贷：操作路径：登录广西政府采购云平台-金融服务中心-【融资服务】，可在热门申请中选择产品直接申请。</w:t>
            </w:r>
          </w:p>
        </w:tc>
      </w:tr>
      <w:tr w14:paraId="030E04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42" w:hRule="atLeast"/>
        </w:trPr>
        <w:tc>
          <w:tcPr>
            <w:tcW w:w="769" w:type="dxa"/>
            <w:tcBorders>
              <w:top w:val="single" w:color="auto" w:sz="4" w:space="0"/>
              <w:left w:val="single" w:color="000000" w:sz="8" w:space="0"/>
              <w:bottom w:val="single" w:color="auto" w:sz="4" w:space="0"/>
              <w:right w:val="single" w:color="000000" w:sz="2" w:space="0"/>
            </w:tcBorders>
            <w:vAlign w:val="center"/>
          </w:tcPr>
          <w:p w14:paraId="20DC23FC">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12</w:t>
            </w:r>
          </w:p>
        </w:tc>
        <w:tc>
          <w:tcPr>
            <w:tcW w:w="1437" w:type="dxa"/>
            <w:tcBorders>
              <w:top w:val="single" w:color="000000" w:sz="8" w:space="0"/>
              <w:left w:val="single" w:color="000000" w:sz="2" w:space="0"/>
              <w:bottom w:val="single" w:color="000000" w:sz="8" w:space="0"/>
              <w:right w:val="single" w:color="000000" w:sz="8" w:space="0"/>
            </w:tcBorders>
            <w:vAlign w:val="center"/>
          </w:tcPr>
          <w:p w14:paraId="1A6E9BA0">
            <w:pPr>
              <w:snapToGrid w:val="0"/>
              <w:spacing w:line="360" w:lineRule="auto"/>
              <w:jc w:val="center"/>
              <w:rPr>
                <w:rFonts w:cs="宋体" w:asciiTheme="minorEastAsia" w:hAnsiTheme="minorEastAsia" w:eastAsiaTheme="minorEastAsia"/>
                <w:b/>
                <w:color w:val="auto"/>
                <w:sz w:val="24"/>
                <w:highlight w:val="none"/>
              </w:rPr>
            </w:pPr>
            <w:r>
              <w:rPr>
                <w:rFonts w:hint="eastAsia" w:ascii="宋体" w:eastAsia="宋体" w:cs="宋体" w:hAnsiTheme="minorEastAsia"/>
                <w:b/>
                <w:color w:val="auto"/>
                <w:sz w:val="24"/>
                <w:highlight w:val="none"/>
              </w:rPr>
              <w:t xml:space="preserve">备份响应文件送达地点和签收人员 </w:t>
            </w:r>
            <w:r>
              <w:rPr>
                <w:rFonts w:hint="eastAsia" w:cs="宋体" w:asciiTheme="minorEastAsia" w:hAnsiTheme="minorEastAsia" w:eastAsiaTheme="minorEastAsia"/>
                <w:b/>
                <w:color w:val="auto"/>
                <w:sz w:val="24"/>
                <w:highlight w:val="none"/>
              </w:rPr>
              <w:t xml:space="preserve"> </w:t>
            </w:r>
          </w:p>
        </w:tc>
        <w:tc>
          <w:tcPr>
            <w:tcW w:w="7456" w:type="dxa"/>
            <w:tcBorders>
              <w:top w:val="single" w:color="000000" w:sz="8" w:space="0"/>
              <w:left w:val="single" w:color="000000" w:sz="2" w:space="0"/>
              <w:bottom w:val="single" w:color="000000" w:sz="8" w:space="0"/>
              <w:right w:val="single" w:color="000000" w:sz="8" w:space="0"/>
            </w:tcBorders>
            <w:vAlign w:val="center"/>
          </w:tcPr>
          <w:p w14:paraId="21AB1888">
            <w:pPr>
              <w:snapToGrid w:val="0"/>
              <w:spacing w:line="360" w:lineRule="auto"/>
              <w:ind w:right="0" w:rightChars="0"/>
              <w:jc w:val="left"/>
              <w:rPr>
                <w:rFonts w:hint="eastAsia" w:ascii="宋体" w:eastAsia="宋体" w:cs="宋体" w:hAnsiTheme="minorEastAsia"/>
                <w:color w:val="auto"/>
                <w:kern w:val="0"/>
                <w:sz w:val="24"/>
                <w:highlight w:val="none"/>
                <w:lang w:val="en-US" w:eastAsia="zh-CN"/>
              </w:rPr>
            </w:pPr>
            <w:sdt>
              <w:sdtPr>
                <w:rPr>
                  <w:rFonts w:hint="eastAsia" w:ascii="宋体" w:hAnsi="宋体" w:eastAsia="宋体" w:cs="宋体"/>
                  <w:color w:val="auto"/>
                  <w:kern w:val="0"/>
                  <w:sz w:val="24"/>
                  <w:highlight w:val="none"/>
                </w:rPr>
                <w:id w:val="147459522"/>
                <w14:checkbox>
                  <w14:checked w14:val="1"/>
                  <w14:checkedState w14:val="00FE" w14:font="Wingdings"/>
                  <w14:uncheckedState w14:val="2610" w14:font="MS Gothic"/>
                </w14:checkbox>
              </w:sdtPr>
              <w:sdtEndPr>
                <w:rPr>
                  <w:rFonts w:hint="eastAsia" w:ascii="宋体" w:eastAsia="宋体" w:cs="宋体" w:hAnsiTheme="minorEastAsia"/>
                  <w:color w:val="auto"/>
                  <w:kern w:val="0"/>
                  <w:sz w:val="24"/>
                  <w:highlight w:val="none"/>
                  <w:lang w:val="zh-CN"/>
                </w:rPr>
              </w:sdtEndPr>
              <w:sdtContent>
                <w:r>
                  <w:rPr>
                    <w:rFonts w:hint="eastAsia" w:ascii="宋体" w:eastAsia="宋体" w:cs="宋体" w:hAnsiTheme="minorEastAsia"/>
                    <w:color w:val="auto"/>
                    <w:kern w:val="0"/>
                    <w:sz w:val="24"/>
                    <w:highlight w:val="none"/>
                    <w:lang w:val="zh-CN"/>
                  </w:rPr>
                  <w:sym w:font="Wingdings" w:char="F0FE"/>
                </w:r>
              </w:sdtContent>
            </w:sdt>
            <w:r>
              <w:rPr>
                <w:rFonts w:hint="eastAsia" w:ascii="宋体" w:eastAsia="宋体" w:cs="宋体" w:hAnsiTheme="minorEastAsia"/>
                <w:color w:val="auto"/>
                <w:kern w:val="0"/>
                <w:sz w:val="24"/>
                <w:highlight w:val="none"/>
                <w:lang w:val="en-US" w:eastAsia="zh-CN"/>
              </w:rPr>
              <w:t>A本项目对备份响应文件无要求。</w:t>
            </w:r>
          </w:p>
          <w:p w14:paraId="4AF20A46">
            <w:pPr>
              <w:snapToGrid w:val="0"/>
              <w:spacing w:line="36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sdt>
              <w:sdtPr>
                <w:rPr>
                  <w:rFonts w:hint="eastAsia" w:ascii="宋体" w:eastAsia="宋体" w:cs="宋体" w:hAnsiTheme="minorEastAsia"/>
                  <w:color w:val="auto"/>
                  <w:kern w:val="0"/>
                  <w:sz w:val="24"/>
                  <w:highlight w:val="none"/>
                  <w:lang w:val="zh-CN"/>
                </w:rPr>
                <w:id w:val="1206604863"/>
                <w14:checkbox>
                  <w14:checked w14:val="0"/>
                  <w14:checkedState w14:val="00FE" w14:font="Wingdings"/>
                  <w14:uncheckedState w14:val="2610" w14:font="MS Gothic"/>
                </w14:checkbox>
              </w:sdtPr>
              <w:sdtEndPr>
                <w:rPr>
                  <w:rFonts w:hint="eastAsia" w:ascii="宋体" w:eastAsia="宋体" w:cs="宋体" w:hAnsiTheme="minorEastAsia"/>
                  <w:color w:val="auto"/>
                  <w:kern w:val="0"/>
                  <w:sz w:val="24"/>
                  <w:highlight w:val="none"/>
                  <w:lang w:val="zh-CN"/>
                </w:rPr>
              </w:sdtEndPr>
              <w:sdtContent>
                <w:r>
                  <w:rPr>
                    <w:rFonts w:hint="eastAsia" w:ascii="宋体" w:eastAsia="宋体" w:cs="宋体" w:hAnsiTheme="minorEastAsia"/>
                    <w:color w:val="auto"/>
                    <w:kern w:val="0"/>
                    <w:sz w:val="24"/>
                    <w:highlight w:val="none"/>
                    <w:lang w:val="zh-CN"/>
                  </w:rPr>
                  <w:t>☐</w:t>
                </w:r>
              </w:sdtContent>
            </w:sdt>
            <w:r>
              <w:rPr>
                <w:rFonts w:hint="eastAsia" w:ascii="宋体" w:eastAsia="宋体" w:cs="宋体" w:hAnsiTheme="minorEastAsia"/>
                <w:color w:val="auto"/>
                <w:kern w:val="0"/>
                <w:sz w:val="24"/>
                <w:highlight w:val="none"/>
                <w:lang w:val="zh-CN"/>
              </w:rPr>
              <w:t>B接受：备份响应文件送达地点：</w:t>
            </w:r>
            <w:r>
              <w:rPr>
                <w:rFonts w:hint="eastAsia" w:ascii="宋体" w:eastAsia="宋体" w:cs="宋体" w:hAnsiTheme="minorEastAsia"/>
                <w:color w:val="auto"/>
                <w:kern w:val="0"/>
                <w:sz w:val="24"/>
                <w:highlight w:val="none"/>
                <w:u w:val="single"/>
                <w:lang w:val="zh-CN"/>
              </w:rPr>
              <w:t xml:space="preserve">        </w:t>
            </w:r>
            <w:r>
              <w:rPr>
                <w:rFonts w:hint="eastAsia" w:ascii="宋体" w:eastAsia="宋体" w:cs="宋体" w:hAnsiTheme="minorEastAsia"/>
                <w:color w:val="auto"/>
                <w:kern w:val="0"/>
                <w:sz w:val="24"/>
                <w:highlight w:val="none"/>
                <w:lang w:val="zh-CN"/>
              </w:rPr>
              <w:t xml:space="preserve"> ；备份响应文件签收人员联系电话：</w:t>
            </w:r>
            <w:r>
              <w:rPr>
                <w:rFonts w:hint="eastAsia" w:ascii="宋体" w:eastAsia="宋体" w:cs="宋体" w:hAnsiTheme="minorEastAsia"/>
                <w:color w:val="auto"/>
                <w:kern w:val="0"/>
                <w:sz w:val="24"/>
                <w:highlight w:val="none"/>
                <w:u w:val="single"/>
                <w:lang w:val="zh-CN"/>
              </w:rPr>
              <w:t xml:space="preserve">       </w:t>
            </w:r>
            <w:r>
              <w:rPr>
                <w:rFonts w:hint="eastAsia" w:ascii="宋体" w:eastAsia="宋体" w:cs="宋体" w:hAnsiTheme="minorEastAsia"/>
                <w:color w:val="auto"/>
                <w:kern w:val="0"/>
                <w:sz w:val="24"/>
                <w:highlight w:val="none"/>
                <w:lang w:val="zh-CN"/>
              </w:rPr>
              <w:t xml:space="preserve"> 。</w:t>
            </w:r>
            <w:r>
              <w:rPr>
                <w:rFonts w:hint="eastAsia" w:ascii="宋体" w:eastAsia="宋体" w:cs="宋体" w:hAnsiTheme="minorEastAsia"/>
                <w:b/>
                <w:bCs/>
                <w:color w:val="auto"/>
                <w:kern w:val="0"/>
                <w:sz w:val="24"/>
                <w:highlight w:val="none"/>
                <w:lang w:val="zh-CN"/>
              </w:rPr>
              <w:t>采购人、采购代理机构不强制或变相强制磋商供应商提交备份响应文件。</w:t>
            </w:r>
          </w:p>
        </w:tc>
      </w:tr>
      <w:tr w14:paraId="461FB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392" w:hRule="atLeast"/>
        </w:trPr>
        <w:tc>
          <w:tcPr>
            <w:tcW w:w="769" w:type="dxa"/>
            <w:tcBorders>
              <w:top w:val="single" w:color="auto" w:sz="4" w:space="0"/>
              <w:left w:val="single" w:color="000000" w:sz="8" w:space="0"/>
              <w:right w:val="single" w:color="000000" w:sz="2" w:space="0"/>
            </w:tcBorders>
            <w:vAlign w:val="center"/>
          </w:tcPr>
          <w:p w14:paraId="542E3412">
            <w:pPr>
              <w:snapToGrid w:val="0"/>
              <w:spacing w:line="360" w:lineRule="auto"/>
              <w:jc w:val="center"/>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13</w:t>
            </w:r>
          </w:p>
        </w:tc>
        <w:tc>
          <w:tcPr>
            <w:tcW w:w="1437" w:type="dxa"/>
            <w:tcBorders>
              <w:top w:val="single" w:color="000000" w:sz="8" w:space="0"/>
              <w:left w:val="single" w:color="000000" w:sz="2" w:space="0"/>
              <w:right w:val="single" w:color="000000" w:sz="8" w:space="0"/>
            </w:tcBorders>
            <w:vAlign w:val="center"/>
          </w:tcPr>
          <w:p w14:paraId="51475D90">
            <w:pPr>
              <w:snapToGrid w:val="0"/>
              <w:spacing w:line="360" w:lineRule="auto"/>
              <w:jc w:val="center"/>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特别说明</w:t>
            </w:r>
          </w:p>
        </w:tc>
        <w:tc>
          <w:tcPr>
            <w:tcW w:w="7456" w:type="dxa"/>
            <w:tcBorders>
              <w:top w:val="single" w:color="000000" w:sz="8" w:space="0"/>
              <w:left w:val="single" w:color="000000" w:sz="2" w:space="0"/>
              <w:bottom w:val="single" w:color="auto" w:sz="4" w:space="0"/>
              <w:right w:val="single" w:color="000000" w:sz="8" w:space="0"/>
            </w:tcBorders>
            <w:vAlign w:val="center"/>
          </w:tcPr>
          <w:p w14:paraId="60826BE3">
            <w:pPr>
              <w:snapToGrid w:val="0"/>
              <w:spacing w:line="360" w:lineRule="auto"/>
              <w:ind w:left="0" w:leftChars="0" w:right="0" w:rightChars="0" w:firstLine="0" w:firstLineChars="0"/>
              <w:jc w:val="left"/>
              <w:rPr>
                <w:rFonts w:ascii="Times New Roman" w:hAnsi="Times New Roman" w:eastAsia="宋体" w:cs="Times New Roman"/>
                <w:color w:val="auto"/>
                <w:highlight w:val="none"/>
              </w:rPr>
            </w:pPr>
            <w:r>
              <w:rPr>
                <w:rFonts w:hint="eastAsia" w:ascii="宋体" w:cs="宋体" w:hAnsiTheme="minorEastAsia"/>
                <w:color w:val="auto"/>
                <w:kern w:val="0"/>
                <w:sz w:val="24"/>
                <w:highlight w:val="none"/>
                <w:lang w:val="en-US" w:eastAsia="zh-CN"/>
              </w:rPr>
              <w:t>联</w:t>
            </w:r>
            <w:r>
              <w:rPr>
                <w:rFonts w:hint="eastAsia" w:ascii="宋体" w:eastAsia="宋体" w:cs="宋体" w:hAnsiTheme="minorEastAsia"/>
                <w:color w:val="auto"/>
                <w:kern w:val="0"/>
                <w:sz w:val="24"/>
                <w:highlight w:val="none"/>
                <w:lang w:val="zh-CN"/>
              </w:rPr>
              <w:t>合体响应的，联合体中有一方或者联合体成员按磋商文件第五部分评审标准要求提供资信证明文件的，视为符合了相关要求。</w:t>
            </w:r>
          </w:p>
        </w:tc>
      </w:tr>
      <w:tr w14:paraId="1C537D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21" w:hRule="atLeast"/>
        </w:trPr>
        <w:tc>
          <w:tcPr>
            <w:tcW w:w="769" w:type="dxa"/>
            <w:tcBorders>
              <w:top w:val="single" w:color="auto" w:sz="4" w:space="0"/>
              <w:left w:val="single" w:color="auto" w:sz="4" w:space="0"/>
              <w:bottom w:val="single" w:color="auto" w:sz="4" w:space="0"/>
              <w:right w:val="single" w:color="auto" w:sz="4" w:space="0"/>
            </w:tcBorders>
            <w:vAlign w:val="center"/>
          </w:tcPr>
          <w:p w14:paraId="3F0CCCEB">
            <w:pPr>
              <w:snapToGrid w:val="0"/>
              <w:spacing w:line="36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14</w:t>
            </w:r>
          </w:p>
        </w:tc>
        <w:tc>
          <w:tcPr>
            <w:tcW w:w="1437" w:type="dxa"/>
            <w:tcBorders>
              <w:top w:val="single" w:color="auto" w:sz="4" w:space="0"/>
              <w:left w:val="single" w:color="auto" w:sz="4" w:space="0"/>
              <w:bottom w:val="single" w:color="auto" w:sz="4" w:space="0"/>
              <w:right w:val="single" w:color="auto" w:sz="4" w:space="0"/>
            </w:tcBorders>
            <w:vAlign w:val="center"/>
          </w:tcPr>
          <w:p w14:paraId="39E92CB9">
            <w:pPr>
              <w:snapToGrid w:val="0"/>
              <w:spacing w:line="360" w:lineRule="auto"/>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解释权</w:t>
            </w:r>
          </w:p>
        </w:tc>
        <w:tc>
          <w:tcPr>
            <w:tcW w:w="7456" w:type="dxa"/>
            <w:tcBorders>
              <w:top w:val="single" w:color="auto" w:sz="4" w:space="0"/>
              <w:left w:val="single" w:color="auto" w:sz="4" w:space="0"/>
              <w:bottom w:val="single" w:color="auto" w:sz="4" w:space="0"/>
              <w:right w:val="single" w:color="auto" w:sz="4" w:space="0"/>
            </w:tcBorders>
            <w:vAlign w:val="center"/>
          </w:tcPr>
          <w:p w14:paraId="3AC3AA54">
            <w:pPr>
              <w:spacing w:line="360" w:lineRule="auto"/>
              <w:rPr>
                <w:rFonts w:cs="Arial" w:asciiTheme="minorEastAsia" w:hAnsiTheme="minorEastAsia" w:eastAsiaTheme="minorEastAsia"/>
                <w:color w:val="auto"/>
                <w:kern w:val="0"/>
                <w:sz w:val="24"/>
                <w:highlight w:val="none"/>
              </w:rPr>
            </w:pPr>
            <w:r>
              <w:rPr>
                <w:rFonts w:hint="eastAsia" w:cs="Arial" w:asciiTheme="minorEastAsia" w:hAnsiTheme="minorEastAsia" w:eastAsiaTheme="minorEastAsia"/>
                <w:color w:val="auto"/>
                <w:kern w:val="0"/>
                <w:sz w:val="24"/>
                <w:highlight w:val="none"/>
              </w:rPr>
              <w:t>本磋商文件解释权属采购人及代理机构。</w:t>
            </w:r>
          </w:p>
        </w:tc>
      </w:tr>
    </w:tbl>
    <w:p w14:paraId="1F2B6B98">
      <w:pPr>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br w:type="page"/>
      </w:r>
    </w:p>
    <w:p w14:paraId="23A0B248">
      <w:pPr>
        <w:adjustRightInd/>
        <w:spacing w:line="360" w:lineRule="auto"/>
        <w:ind w:firstLine="3845" w:firstLineChars="1197"/>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二、总则</w:t>
      </w:r>
    </w:p>
    <w:p w14:paraId="7106EFFF">
      <w:pPr>
        <w:snapToGrid w:val="0"/>
        <w:spacing w:line="360" w:lineRule="auto"/>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 适用范围</w:t>
      </w:r>
    </w:p>
    <w:p w14:paraId="41EB7CE4">
      <w:pPr>
        <w:snapToGrid w:val="0"/>
        <w:spacing w:line="360" w:lineRule="auto"/>
        <w:ind w:firstLine="480"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本磋商文件适用于该项目的邀请、响应、开启响应文件、信用信息查询、资格性审查、评审、成交、合同、验收等行为（法律、法规另有规定的，从其规定）。</w:t>
      </w:r>
    </w:p>
    <w:p w14:paraId="77AB70F8">
      <w:pPr>
        <w:adjustRightInd/>
        <w:spacing w:line="360" w:lineRule="auto"/>
        <w:rPr>
          <w:rFonts w:hint="eastAsia" w:cs="仿宋_GB2312" w:asciiTheme="minorEastAsia" w:hAnsiTheme="minorEastAsia" w:eastAsiaTheme="minorEastAsia"/>
          <w:b/>
          <w:color w:val="auto"/>
          <w:sz w:val="24"/>
          <w:highlight w:val="none"/>
        </w:rPr>
      </w:pPr>
      <w:r>
        <w:rPr>
          <w:rFonts w:hint="eastAsia" w:cs="仿宋_GB2312" w:asciiTheme="minorEastAsia" w:hAnsiTheme="minorEastAsia" w:eastAsiaTheme="minorEastAsia"/>
          <w:b/>
          <w:color w:val="auto"/>
          <w:sz w:val="24"/>
          <w:highlight w:val="none"/>
        </w:rPr>
        <w:t>2.定义</w:t>
      </w:r>
    </w:p>
    <w:p w14:paraId="0D6A979A">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 “采购人”系指磋商邀请公告中载明的本项目的采购人。</w:t>
      </w:r>
    </w:p>
    <w:p w14:paraId="7E07E092">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 “采购代理机构”系指磋商邀请公告中载明的本项目的采购代理机构。</w:t>
      </w:r>
    </w:p>
    <w:p w14:paraId="3DF1B562">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 “供应商”系指响应磋商、参加本次竞争的法人、其他组织或自然人。</w:t>
      </w:r>
    </w:p>
    <w:p w14:paraId="6370F8D0">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 “</w:t>
      </w:r>
      <w:r>
        <w:rPr>
          <w:rFonts w:hint="eastAsia" w:ascii="宋体" w:hAnsi="宋体" w:cs="宋体"/>
          <w:color w:val="auto"/>
          <w:sz w:val="24"/>
          <w:highlight w:val="none"/>
        </w:rPr>
        <w:t>法定代表人（负责人）</w:t>
      </w:r>
      <w:r>
        <w:rPr>
          <w:rFonts w:hint="eastAsia" w:asciiTheme="minorEastAsia" w:hAnsiTheme="minorEastAsia" w:eastAsiaTheme="minorEastAsia"/>
          <w:color w:val="auto"/>
          <w:sz w:val="24"/>
          <w:highlight w:val="none"/>
        </w:rPr>
        <w:t>”系指法人企业的法定负责人，或其他组织为法律、行政法规规定代表单位行使职权的主要负责人，或自然人本人。</w:t>
      </w:r>
    </w:p>
    <w:p w14:paraId="63A76A36">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 “成交人”系指经评审确定的成交供应商。</w:t>
      </w:r>
    </w:p>
    <w:p w14:paraId="2C1BA86D">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2.6“响应文件”系指供应商提交的商务技术文件。供应商提交最后报价后，最后报价是供应商响应文件的有效组成部分。</w:t>
      </w:r>
    </w:p>
    <w:p w14:paraId="6DAEEA95">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2.7“电子交易平台”系指本项目政府采购活动所依托的</w:t>
      </w:r>
      <w:r>
        <w:rPr>
          <w:rFonts w:hint="eastAsia" w:ascii="宋体" w:hAnsi="宋体" w:cs="宋体"/>
          <w:color w:val="auto"/>
          <w:sz w:val="24"/>
          <w:highlight w:val="none"/>
        </w:rPr>
        <w:t>广西政府采购云平台（https://www.gcy.zfcg.gxzf.gov.cn/）</w:t>
      </w:r>
      <w:r>
        <w:rPr>
          <w:rFonts w:hint="eastAsia" w:asciiTheme="minorEastAsia" w:hAnsiTheme="minorEastAsia" w:eastAsiaTheme="minorEastAsia"/>
          <w:color w:val="auto"/>
          <w:sz w:val="24"/>
          <w:highlight w:val="none"/>
        </w:rPr>
        <w:t>。</w:t>
      </w:r>
    </w:p>
    <w:p w14:paraId="2DC1CF4F">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电子签名”系指数据电文中以电子形式所含、所附用于识别签名人身份并表明签名人认可其中内容的数据；“公章”系指单位法定名称章。因特殊原因需要使用冠以法定名称的业务专用章的，响应时须提供《业务专用章使用说明函》（附件</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w:t>
      </w:r>
    </w:p>
    <w:p w14:paraId="045D0CDD">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p w14:paraId="1C768DCA">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2.9 “书面形式”包括数据电文形式与纸质形式。数据电文形式与纸质形式的采购活动具有同等法律效力。</w:t>
      </w:r>
    </w:p>
    <w:p w14:paraId="4D0D561D">
      <w:pPr>
        <w:snapToGrid w:val="0"/>
        <w:spacing w:line="360" w:lineRule="auto"/>
        <w:ind w:firstLine="480" w:firstLineChars="200"/>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2.10 “▲” 系指实质性要求条款， “※”系指磋商过程中可能实质性变动的内容，</w:t>
      </w:r>
      <w:r>
        <w:rPr>
          <w:rFonts w:asciiTheme="minorEastAsia" w:hAnsiTheme="minorEastAsia" w:eastAsiaTheme="minorEastAsia"/>
          <w:color w:val="auto"/>
          <w:sz w:val="24"/>
          <w:highlight w:val="none"/>
        </w:rPr>
        <w:t xml:space="preserve"> </w:t>
      </w:r>
      <w:r>
        <w:rPr>
          <w:rFonts w:hint="eastAsia" w:ascii="宋体" w:hAnsi="宋体" w:cs="宋体"/>
          <w:color w:val="auto"/>
          <w:kern w:val="0"/>
          <w:sz w:val="24"/>
          <w:highlight w:val="none"/>
        </w:rPr>
        <w:t>“</w:t>
      </w:r>
      <w:r>
        <w:rPr>
          <w:rFonts w:hint="eastAsia" w:ascii="宋体" w:hAnsi="宋体" w:cs="宋体"/>
          <w:color w:val="auto"/>
          <w:kern w:val="0"/>
          <w:sz w:val="24"/>
          <w:highlight w:val="none"/>
        </w:rPr>
        <w:sym w:font="Wingdings" w:char="F0FE"/>
      </w:r>
      <w:r>
        <w:rPr>
          <w:rFonts w:hint="eastAsia" w:ascii="宋体" w:hAnsi="宋体" w:cs="宋体"/>
          <w:color w:val="auto"/>
          <w:kern w:val="0"/>
          <w:sz w:val="24"/>
          <w:highlight w:val="none"/>
        </w:rPr>
        <w:t>”</w:t>
      </w:r>
      <w:r>
        <w:rPr>
          <w:rFonts w:hint="eastAsia" w:cs="宋体" w:asciiTheme="minorEastAsia" w:hAnsiTheme="minorEastAsia" w:eastAsiaTheme="minorEastAsia"/>
          <w:color w:val="auto"/>
          <w:sz w:val="24"/>
          <w:highlight w:val="none"/>
        </w:rPr>
        <w:t>系指适用本项目的要求，“□”系指不适用本项目的要求。</w:t>
      </w:r>
    </w:p>
    <w:p w14:paraId="2A194BF7">
      <w:pPr>
        <w:adjustRightInd/>
        <w:spacing w:line="360" w:lineRule="auto"/>
        <w:rPr>
          <w:rFonts w:hint="eastAsia" w:cs="仿宋_GB2312" w:asciiTheme="minorEastAsia" w:hAnsiTheme="minorEastAsia" w:eastAsiaTheme="minorEastAsia"/>
          <w:b/>
          <w:color w:val="auto"/>
          <w:sz w:val="24"/>
          <w:highlight w:val="none"/>
        </w:rPr>
      </w:pPr>
      <w:r>
        <w:rPr>
          <w:rFonts w:hint="eastAsia" w:cs="仿宋_GB2312" w:asciiTheme="minorEastAsia" w:hAnsiTheme="minorEastAsia" w:eastAsiaTheme="minorEastAsia"/>
          <w:b/>
          <w:color w:val="auto"/>
          <w:sz w:val="24"/>
          <w:highlight w:val="none"/>
        </w:rPr>
        <w:t>3. 响应有效期</w:t>
      </w:r>
    </w:p>
    <w:p w14:paraId="2C4B6D39">
      <w:pPr>
        <w:spacing w:line="360" w:lineRule="auto"/>
        <w:ind w:firstLine="480" w:firstLineChars="200"/>
        <w:rPr>
          <w:rFonts w:hint="eastAsia" w:cs="仿宋_GB2312" w:asciiTheme="minorEastAsia" w:hAnsiTheme="minorEastAsia" w:eastAsiaTheme="minorEastAsia"/>
          <w:b/>
          <w:color w:val="auto"/>
          <w:sz w:val="24"/>
          <w:szCs w:val="21"/>
          <w:highlight w:val="none"/>
        </w:rPr>
      </w:pPr>
      <w:r>
        <w:rPr>
          <w:rFonts w:hint="eastAsia" w:cs="仿宋_GB2312" w:asciiTheme="minorEastAsia" w:hAnsiTheme="minorEastAsia" w:eastAsiaTheme="minorEastAsia"/>
          <w:color w:val="auto"/>
          <w:sz w:val="24"/>
          <w:szCs w:val="20"/>
          <w:highlight w:val="none"/>
        </w:rPr>
        <w:t>▲3.1</w:t>
      </w:r>
      <w:r>
        <w:rPr>
          <w:rFonts w:hint="eastAsia" w:cs="仿宋_GB2312" w:asciiTheme="minorEastAsia" w:hAnsiTheme="minorEastAsia" w:eastAsiaTheme="minorEastAsia"/>
          <w:b/>
          <w:color w:val="auto"/>
          <w:sz w:val="24"/>
          <w:szCs w:val="20"/>
          <w:highlight w:val="none"/>
        </w:rPr>
        <w:t>响应有效期为从提交响应文件的截止之日起60天。供应商的响应文件中承</w:t>
      </w:r>
      <w:r>
        <w:rPr>
          <w:rFonts w:hint="eastAsia" w:cs="仿宋_GB2312" w:asciiTheme="minorEastAsia" w:hAnsiTheme="minorEastAsia" w:eastAsiaTheme="minorEastAsia"/>
          <w:b/>
          <w:color w:val="auto"/>
          <w:sz w:val="24"/>
          <w:szCs w:val="21"/>
          <w:highlight w:val="none"/>
        </w:rPr>
        <w:t>诺的响应有效期少于磋商文件中载明的磋商有效期的，响应无效。</w:t>
      </w:r>
    </w:p>
    <w:p w14:paraId="46AE1AB5">
      <w:pPr>
        <w:pStyle w:val="393"/>
        <w:spacing w:before="0"/>
        <w:ind w:firstLine="48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3.2响应文件合格提交后，自响应截止日期起，在响应有效期内有效。</w:t>
      </w:r>
    </w:p>
    <w:p w14:paraId="0D677F69">
      <w:pPr>
        <w:pStyle w:val="393"/>
        <w:spacing w:before="0"/>
        <w:ind w:firstLine="48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3.3在原定响应有效期满之前，如果出现特殊情况，采购代理机构可以以书面形式通知供应商延长响应有效期。供应商同意延长的，不得要求或被允许修改其响应文件;供应商拒绝延长的，其响应无效。</w:t>
      </w:r>
      <w:r>
        <w:rPr>
          <w:rFonts w:hint="eastAsia" w:asciiTheme="minorEastAsia" w:hAnsiTheme="minorEastAsia" w:eastAsiaTheme="minorEastAsia"/>
          <w:color w:val="auto"/>
          <w:szCs w:val="24"/>
          <w:highlight w:val="none"/>
        </w:rPr>
        <w:t>拒绝延长磋商有效期的供应商不得再参与该项目后续采购活动。</w:t>
      </w:r>
    </w:p>
    <w:p w14:paraId="0A4275AA">
      <w:pPr>
        <w:tabs>
          <w:tab w:val="left" w:pos="378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4．响应费用</w:t>
      </w:r>
    </w:p>
    <w:p w14:paraId="55E376A6">
      <w:pPr>
        <w:pStyle w:val="32"/>
        <w:spacing w:line="360" w:lineRule="auto"/>
        <w:ind w:firstLine="480" w:firstLineChars="200"/>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供应商需自行承担涉及响应的一切费用</w:t>
      </w:r>
      <w:r>
        <w:rPr>
          <w:rFonts w:hint="eastAsia" w:asciiTheme="minorEastAsia" w:hAnsiTheme="minorEastAsia" w:eastAsiaTheme="minorEastAsia"/>
          <w:color w:val="auto"/>
          <w:sz w:val="24"/>
          <w:highlight w:val="none"/>
          <w:lang w:val="zh-CN"/>
        </w:rPr>
        <w:t>。</w:t>
      </w:r>
    </w:p>
    <w:p w14:paraId="3D42EDC6">
      <w:pPr>
        <w:numPr>
          <w:ilvl w:val="0"/>
          <w:numId w:val="7"/>
        </w:numPr>
        <w:tabs>
          <w:tab w:val="left" w:pos="3780"/>
        </w:tabs>
        <w:spacing w:line="360" w:lineRule="auto"/>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联合体参与磋商要求</w:t>
      </w:r>
    </w:p>
    <w:p w14:paraId="3F776BEB">
      <w:pPr>
        <w:pStyle w:val="393"/>
        <w:spacing w:before="0"/>
        <w:ind w:firstLine="480"/>
        <w:rPr>
          <w:rFonts w:hint="eastAsia"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5.1本项目接受联合体参与磋商，但联合体成员单位数量不得超过3家。两个自然人、法人或者其他组织可以组成一个联合体，以一个供应商的身份共同参加本政府采购活动。</w:t>
      </w:r>
    </w:p>
    <w:p w14:paraId="226B6F20">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5.2以联合体形式参与政府采购活动的，组成联合体的各方均应当具备《中华人民共和国政府采购法》第二十二条规定的条件，并应当向采购人提交联合协议（《联合协议》格式见附件），载明联合体各方承担的工作和义务。联合体各方应当共同与采购人签订采购合同，就采购合同约定的事项对采购人承担连带责任。</w:t>
      </w:r>
    </w:p>
    <w:p w14:paraId="6AB0512F">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5.3联合体中有同类资质的供应商按照联合体分工承担相同工作的，应当按照资质等级较低的供应商确定资质等级。</w:t>
      </w:r>
    </w:p>
    <w:p w14:paraId="14CCED3F">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5.4以联合体形式参加政府采购活动的，联合体各方不得再单独参加或者与其他供应商另外组成联合体参加同一合同项下的政府采购活动。</w:t>
      </w:r>
    </w:p>
    <w:p w14:paraId="4F4C0427">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5.5联合体业绩、人员、履约能力联合体各方提供均可计算。</w:t>
      </w:r>
    </w:p>
    <w:p w14:paraId="783DCC5C">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5.6联合体各方均应按照采购文件的规定提交资格证明文件。</w:t>
      </w:r>
    </w:p>
    <w:p w14:paraId="752C4B68">
      <w:pPr>
        <w:pStyle w:val="393"/>
        <w:spacing w:before="0"/>
        <w:ind w:firstLine="480"/>
        <w:rPr>
          <w:rFonts w:hint="default" w:cs="仿宋_GB2312" w:asciiTheme="minorEastAsia" w:hAnsiTheme="minorEastAsia" w:eastAsiaTheme="minorEastAsia"/>
          <w:color w:val="auto"/>
          <w:highlight w:val="none"/>
          <w:lang w:val="en-US" w:eastAsia="zh-CN"/>
        </w:rPr>
      </w:pPr>
      <w:r>
        <w:rPr>
          <w:rFonts w:hint="eastAsia" w:cs="仿宋_GB2312" w:asciiTheme="minorEastAsia" w:hAnsiTheme="minorEastAsia" w:eastAsiaTheme="minorEastAsia"/>
          <w:color w:val="auto"/>
          <w:highlight w:val="none"/>
          <w:lang w:val="en-US" w:eastAsia="zh-CN"/>
        </w:rPr>
        <w:t>5.7响应文件中联合体牵头人盖章行为视为联合体共同意思表示。</w:t>
      </w:r>
    </w:p>
    <w:p w14:paraId="573FD607">
      <w:pPr>
        <w:spacing w:line="360" w:lineRule="auto"/>
        <w:jc w:val="center"/>
        <w:rPr>
          <w:rFonts w:hint="eastAsia" w:cs="仿宋_GB2312" w:asciiTheme="minorEastAsia" w:hAnsiTheme="minorEastAsia" w:eastAsiaTheme="minorEastAsia"/>
          <w:b/>
          <w:color w:val="auto"/>
          <w:sz w:val="24"/>
          <w:highlight w:val="none"/>
        </w:rPr>
      </w:pPr>
    </w:p>
    <w:p w14:paraId="14C0571C">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三、需要落实的政府采购政策</w:t>
      </w:r>
    </w:p>
    <w:p w14:paraId="166DA1EC">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hint="eastAsia" w:asciiTheme="minorEastAsia" w:hAnsiTheme="minorEastAsia" w:eastAsiaTheme="minorEastAsia"/>
          <w:b/>
          <w:color w:val="auto"/>
          <w:sz w:val="24"/>
          <w:highlight w:val="none"/>
        </w:rPr>
        <w:t>.支持绿色发展</w:t>
      </w:r>
    </w:p>
    <w:p w14:paraId="4D430A23">
      <w:pPr>
        <w:spacing w:line="360" w:lineRule="auto"/>
        <w:ind w:firstLine="480" w:firstLineChars="200"/>
        <w:rPr>
          <w:rFonts w:hint="eastAsia" w:cs="宋体" w:asciiTheme="minorEastAsia" w:hAnsiTheme="minorEastAsia" w:eastAsiaTheme="minorEastAsia"/>
          <w:b/>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采磋商文件要求提供相关产品认证证书。</w:t>
      </w:r>
      <w:r>
        <w:rPr>
          <w:rFonts w:hint="eastAsia" w:ascii="宋体" w:hAnsi="宋体" w:cs="宋体"/>
          <w:b/>
          <w:color w:val="auto"/>
          <w:sz w:val="24"/>
          <w:highlight w:val="none"/>
        </w:rPr>
        <w:t>▲采购人拟采购的产品属于政府强制采购的节能产品品目清单范围的，供应商相应的响应产品未获得国家确定的认证机构出具的、处于有效期之内的节能产品认证证书的，响应无效。</w:t>
      </w:r>
    </w:p>
    <w:p w14:paraId="6917A6E8">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.2</w:t>
      </w:r>
      <w:r>
        <w:rPr>
          <w:rFonts w:hint="eastAsia" w:ascii="宋体" w:hAnsi="宋体" w:cs="宋体"/>
          <w:color w:val="auto"/>
          <w:sz w:val="24"/>
          <w:highlight w:val="none"/>
        </w:rPr>
        <w:t>纳入政府采购管理的修缮、装修类项目采购建材的，鼓励采购单位将绿色建材性能、指标等作为实质性条件纳入采购文件和合同，具体性能指标要求参考相关绿色建材政府采购需求标准</w:t>
      </w:r>
      <w:r>
        <w:rPr>
          <w:rFonts w:hint="eastAsia" w:cs="宋体" w:asciiTheme="minorEastAsia" w:hAnsiTheme="minorEastAsia" w:eastAsiaTheme="minorEastAsia"/>
          <w:color w:val="auto"/>
          <w:sz w:val="24"/>
          <w:highlight w:val="none"/>
        </w:rPr>
        <w:t>。</w:t>
      </w:r>
    </w:p>
    <w:p w14:paraId="0E31F09B">
      <w:pPr>
        <w:spacing w:line="360" w:lineRule="auto"/>
        <w:ind w:firstLine="480" w:firstLineChars="200"/>
        <w:rPr>
          <w:rFonts w:hint="eastAsia" w:ascii="宋体" w:hAnsi="宋体" w:cs="宋体"/>
          <w:color w:val="auto"/>
          <w:sz w:val="24"/>
          <w:highlight w:val="none"/>
        </w:rPr>
      </w:pPr>
      <w:r>
        <w:rPr>
          <w:rFonts w:hint="eastAsia" w:cs="宋体" w:asciiTheme="minorEastAsia" w:hAnsiTheme="minorEastAsia" w:eastAsiaTheme="minorEastAsia"/>
          <w:color w:val="auto"/>
          <w:sz w:val="24"/>
          <w:highlight w:val="none"/>
          <w:lang w:val="en-US" w:eastAsia="zh-CN"/>
        </w:rPr>
        <w:t>1</w:t>
      </w:r>
      <w:r>
        <w:rPr>
          <w:rFonts w:hint="eastAsia" w:cs="宋体" w:asciiTheme="minorEastAsia" w:hAnsiTheme="minorEastAsia" w:eastAsiaTheme="minorEastAsia"/>
          <w:color w:val="auto"/>
          <w:sz w:val="24"/>
          <w:highlight w:val="none"/>
        </w:rPr>
        <w:t>.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r>
        <w:rPr>
          <w:rFonts w:hint="eastAsia" w:ascii="宋体" w:hAnsi="宋体" w:cs="宋体"/>
          <w:color w:val="auto"/>
          <w:sz w:val="24"/>
          <w:highlight w:val="none"/>
        </w:rPr>
        <w:t>鼓励采购单位优先采购秸秆环保板材等资源综合利用产品。鼓励采购单位优先采购绿色物流配送服务、提供新能源交通工具的租赁服务。</w:t>
      </w:r>
    </w:p>
    <w:p w14:paraId="0E7F4C8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ascii="宋体" w:hAnsi="宋体" w:cs="宋体"/>
          <w:color w:val="auto"/>
          <w:sz w:val="24"/>
          <w:highlight w:val="none"/>
        </w:rPr>
        <w:t xml:space="preserve">.4 </w:t>
      </w:r>
      <w:r>
        <w:rPr>
          <w:rFonts w:hint="eastAsia" w:ascii="宋体" w:hAnsi="宋体" w:cs="宋体"/>
          <w:color w:val="auto"/>
          <w:sz w:val="24"/>
          <w:highlight w:val="none"/>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760E5892">
      <w:pPr>
        <w:pStyle w:val="32"/>
        <w:spacing w:line="360" w:lineRule="auto"/>
        <w:rPr>
          <w:rFonts w:hint="eastAsia"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2</w:t>
      </w:r>
      <w:r>
        <w:rPr>
          <w:rFonts w:hint="eastAsia" w:asciiTheme="minorEastAsia" w:hAnsiTheme="minorEastAsia" w:eastAsiaTheme="minorEastAsia"/>
          <w:b/>
          <w:color w:val="auto"/>
          <w:sz w:val="24"/>
          <w:szCs w:val="24"/>
          <w:highlight w:val="none"/>
        </w:rPr>
        <w:t>.支持中小企业发展。</w:t>
      </w:r>
    </w:p>
    <w:p w14:paraId="7579DE2D">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.1中小企业，是指在中华人民共和国境内依法设立，依据国务院批准的中小企业划分标准确定的中型企业、小型企业和微型企业，但与大企业的负责人为同一人，或者与大企业存在直接控股、管理关系的除外。</w:t>
      </w:r>
    </w:p>
    <w:p w14:paraId="2ED6A315">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符合中小企业划分标准的个体工商户，在政府采购活动中视同中小企业。</w:t>
      </w:r>
    </w:p>
    <w:p w14:paraId="00CD04B4">
      <w:pPr>
        <w:widowControl/>
        <w:spacing w:line="360" w:lineRule="auto"/>
        <w:ind w:firstLine="480" w:firstLineChars="200"/>
        <w:jc w:val="left"/>
        <w:rPr>
          <w:rFonts w:hint="eastAsia" w:cs="宋体" w:asciiTheme="minorEastAsia" w:hAnsiTheme="minorEastAsia" w:eastAsiaTheme="minorEastAsia"/>
          <w:color w:val="auto"/>
          <w:kern w:val="0"/>
          <w:sz w:val="24"/>
          <w:highlight w:val="none"/>
        </w:rPr>
      </w:pPr>
      <w:r>
        <w:rPr>
          <w:rFonts w:hint="eastAsia" w:cs="宋体" w:asciiTheme="minorEastAsia" w:hAnsiTheme="minorEastAsia" w:eastAsiaTheme="minorEastAsia"/>
          <w:bCs/>
          <w:color w:val="auto"/>
          <w:sz w:val="24"/>
          <w:highlight w:val="none"/>
          <w:lang w:val="en-US" w:eastAsia="zh-CN"/>
        </w:rPr>
        <w:t>2</w:t>
      </w:r>
      <w:r>
        <w:rPr>
          <w:rFonts w:cs="宋体" w:asciiTheme="minorEastAsia" w:hAnsiTheme="minorEastAsia" w:eastAsiaTheme="minorEastAsia"/>
          <w:bCs/>
          <w:color w:val="auto"/>
          <w:sz w:val="24"/>
          <w:highlight w:val="none"/>
        </w:rPr>
        <w:t>.2</w:t>
      </w:r>
      <w:r>
        <w:rPr>
          <w:rFonts w:hint="eastAsia" w:cs="宋体" w:asciiTheme="minorEastAsia" w:hAnsiTheme="minorEastAsia" w:eastAsiaTheme="minorEastAsia"/>
          <w:color w:val="auto"/>
          <w:kern w:val="0"/>
          <w:sz w:val="24"/>
          <w:highlight w:val="none"/>
        </w:rPr>
        <w:t>在政府采购活动中，服务类项目采购，服务由中小企业承接，即提供服务的人员为中小企业依照《中华人民共和国劳动合同法》订立劳动合同的从业人员，</w:t>
      </w:r>
      <w:r>
        <w:rPr>
          <w:rFonts w:hint="eastAsia" w:ascii="宋体" w:hAnsi="宋体" w:cs="宋体"/>
          <w:color w:val="auto"/>
          <w:kern w:val="0"/>
          <w:sz w:val="24"/>
          <w:highlight w:val="none"/>
        </w:rPr>
        <w:t>享受中小企业扶持政策。</w:t>
      </w:r>
    </w:p>
    <w:p w14:paraId="41CF0BD9">
      <w:pPr>
        <w:widowControl/>
        <w:spacing w:line="360" w:lineRule="auto"/>
        <w:ind w:firstLine="480" w:firstLineChars="200"/>
        <w:jc w:val="left"/>
        <w:rPr>
          <w:rFonts w:hint="eastAsia" w:cs="宋体" w:asciiTheme="minorEastAsia" w:hAnsiTheme="minorEastAsia" w:eastAsiaTheme="minorEastAsia"/>
          <w:color w:val="auto"/>
          <w:kern w:val="0"/>
          <w:sz w:val="24"/>
          <w:highlight w:val="none"/>
        </w:rPr>
      </w:pPr>
      <w:r>
        <w:rPr>
          <w:rFonts w:hint="eastAsia" w:cs="宋体" w:asciiTheme="minorEastAsia" w:hAnsiTheme="minorEastAsia" w:eastAsiaTheme="minorEastAsia"/>
          <w:color w:val="auto"/>
          <w:kern w:val="0"/>
          <w:sz w:val="24"/>
          <w:highlight w:val="none"/>
        </w:rPr>
        <w:t>以联合体形式参加政府采购活动，联合体各方均为中小企业的，联合体视同中小企业。其中，联合体各方均为小微企业的，联合体视同小微企业。</w:t>
      </w:r>
    </w:p>
    <w:p w14:paraId="695B9BA9">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3对于未预留份额专门面向中小企业采购的政府采购项目，以及预留份额政府采购项目中的非预留部分标项，对小型和微型企业的最后报价给予20%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6%的扣除，用扣除后的价格参加评审。组成联合体或者接受分包的小微企业与联合体内其他企业、分包企业之间存在直接控股、管理关系的，不享受价格扣除优惠政策。</w:t>
      </w:r>
    </w:p>
    <w:p w14:paraId="3BF235DC">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.4符合《关于促进残疾人就业政府采购政策的通知》（财库〔2017〕141号）规定的条件并提供《残疾人福利性单位声明函》的残疾人福利性单位视同小型、微型企业；</w:t>
      </w:r>
    </w:p>
    <w:p w14:paraId="29BC7599">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5符合《关于政府采购支持监狱企业发展有关问题的通知》（财库〔2014〕68号）规定的监狱企业并提供由省级以上监狱管理局、戒毒管理局（含新疆生产建设兵团）出具的属于监狱企业证明文件的，视同为小型、微型企业。</w:t>
      </w:r>
    </w:p>
    <w:p w14:paraId="3DB4096F">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6可享受中小企业扶持政策的供应商应按照磋商文件格式要求提供《中小企业声明函》，供应商提供的《中小企业声明函》与实际情况不符的，不享受中小企业扶持政策。声明内容不实的，属于提供虚假材料谋取中标、成交的，依法承担法律责任。</w:t>
      </w:r>
    </w:p>
    <w:p w14:paraId="63EF90C7">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2</w:t>
      </w:r>
      <w:r>
        <w:rPr>
          <w:rFonts w:hint="eastAsia" w:cs="宋体" w:asciiTheme="minorEastAsia" w:hAnsiTheme="minorEastAsia" w:eastAsiaTheme="minorEastAsia"/>
          <w:color w:val="auto"/>
          <w:sz w:val="24"/>
          <w:highlight w:val="none"/>
        </w:rPr>
        <w:t>.7中小企业享受扶持政策获得政府采购合同的，小微企业不得将合同分包给大中型企业，中型企业不得将合同分包给大型企业。</w:t>
      </w:r>
    </w:p>
    <w:p w14:paraId="3D92C663">
      <w:pPr>
        <w:spacing w:line="360" w:lineRule="auto"/>
        <w:rPr>
          <w:rFonts w:hint="eastAsia"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lang w:val="en-US" w:eastAsia="zh-CN"/>
        </w:rPr>
        <w:t>3</w:t>
      </w:r>
      <w:r>
        <w:rPr>
          <w:rFonts w:hint="eastAsia" w:cs="宋体" w:asciiTheme="minorEastAsia" w:hAnsiTheme="minorEastAsia" w:eastAsiaTheme="minorEastAsia"/>
          <w:b/>
          <w:color w:val="auto"/>
          <w:sz w:val="24"/>
          <w:highlight w:val="none"/>
        </w:rPr>
        <w:t>.</w:t>
      </w:r>
      <w:r>
        <w:rPr>
          <w:rFonts w:hint="eastAsia" w:cs="宋体" w:asciiTheme="minorEastAsia" w:hAnsiTheme="minorEastAsia" w:eastAsiaTheme="minorEastAsia"/>
          <w:b/>
          <w:bCs/>
          <w:color w:val="auto"/>
          <w:sz w:val="24"/>
          <w:highlight w:val="none"/>
        </w:rPr>
        <w:t>支持创新发展</w:t>
      </w:r>
    </w:p>
    <w:p w14:paraId="78C82605">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3</w:t>
      </w:r>
      <w:r>
        <w:rPr>
          <w:rFonts w:hint="eastAsia" w:cs="宋体" w:asciiTheme="minorEastAsia" w:hAnsiTheme="minorEastAsia" w:eastAsiaTheme="minorEastAsia"/>
          <w:color w:val="auto"/>
          <w:sz w:val="24"/>
          <w:highlight w:val="none"/>
        </w:rPr>
        <w:t>.1 采购人优先采购被认定为首台套产品和“制造精品”的自主创新产品。</w:t>
      </w:r>
    </w:p>
    <w:p w14:paraId="099679B5">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lang w:val="en-US" w:eastAsia="zh-CN"/>
        </w:rPr>
        <w:t>3</w:t>
      </w:r>
      <w:r>
        <w:rPr>
          <w:rFonts w:hint="eastAsia" w:cs="宋体" w:asciiTheme="minorEastAsia" w:hAnsiTheme="minorEastAsia" w:eastAsiaTheme="minorEastAsia"/>
          <w:color w:val="auto"/>
          <w:sz w:val="24"/>
          <w:highlight w:val="none"/>
        </w:rPr>
        <w:t>.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2FDAC542">
      <w:pPr>
        <w:spacing w:line="360" w:lineRule="auto"/>
        <w:rPr>
          <w:rFonts w:hint="eastAsia" w:ascii="宋体" w:hAnsi="宋体" w:cs="宋体"/>
          <w:b/>
          <w:color w:val="auto"/>
          <w:sz w:val="24"/>
          <w:highlight w:val="none"/>
        </w:rPr>
      </w:pPr>
      <w:r>
        <w:rPr>
          <w:rFonts w:hint="eastAsia" w:cs="宋体" w:asciiTheme="minorEastAsia" w:hAnsiTheme="minorEastAsia" w:eastAsiaTheme="minorEastAsia"/>
          <w:b/>
          <w:color w:val="auto"/>
          <w:sz w:val="24"/>
          <w:highlight w:val="none"/>
          <w:lang w:val="en-US" w:eastAsia="zh-CN"/>
        </w:rPr>
        <w:t>4</w:t>
      </w:r>
      <w:r>
        <w:rPr>
          <w:rFonts w:hint="eastAsia" w:cs="宋体" w:asciiTheme="minorEastAsia" w:hAnsiTheme="minorEastAsia" w:eastAsiaTheme="minorEastAsia"/>
          <w:b/>
          <w:color w:val="auto"/>
          <w:sz w:val="24"/>
          <w:highlight w:val="none"/>
        </w:rPr>
        <w:t>.</w:t>
      </w:r>
      <w:r>
        <w:rPr>
          <w:rFonts w:hint="eastAsia" w:ascii="宋体" w:hAnsi="宋体" w:cs="宋体"/>
          <w:b/>
          <w:color w:val="auto"/>
          <w:sz w:val="24"/>
          <w:highlight w:val="none"/>
        </w:rPr>
        <w:t>平等对待内外资企业</w:t>
      </w:r>
    </w:p>
    <w:p w14:paraId="5EF2D97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743EFA38">
      <w:pPr>
        <w:pStyle w:val="633"/>
        <w:ind w:firstLine="0"/>
        <w:rPr>
          <w:rFonts w:hint="eastAsia"/>
          <w:b/>
          <w:bCs/>
          <w:color w:val="auto"/>
          <w:highlight w:val="none"/>
        </w:rPr>
      </w:pPr>
      <w:r>
        <w:rPr>
          <w:rFonts w:hint="eastAsia" w:cs="宋体" w:asciiTheme="minorEastAsia" w:hAnsiTheme="minorEastAsia" w:eastAsiaTheme="minorEastAsia"/>
          <w:b/>
          <w:color w:val="auto"/>
          <w:highlight w:val="none"/>
          <w:lang w:val="en-US" w:eastAsia="zh-CN"/>
        </w:rPr>
        <w:t>5</w:t>
      </w:r>
      <w:r>
        <w:rPr>
          <w:rFonts w:hint="eastAsia" w:cs="宋体" w:asciiTheme="minorEastAsia" w:hAnsiTheme="minorEastAsia" w:eastAsiaTheme="minorEastAsia"/>
          <w:b/>
          <w:color w:val="auto"/>
          <w:highlight w:val="none"/>
        </w:rPr>
        <w:t>.</w:t>
      </w:r>
      <w:r>
        <w:rPr>
          <w:rFonts w:hint="eastAsia"/>
          <w:b/>
          <w:color w:val="auto"/>
          <w:highlight w:val="none"/>
        </w:rPr>
        <w:t>平等对待符合条件的破产重整企业</w:t>
      </w:r>
    </w:p>
    <w:p w14:paraId="6AE87283">
      <w:pPr>
        <w:pStyle w:val="633"/>
        <w:rPr>
          <w:rFonts w:hint="eastAsia"/>
          <w:color w:val="auto"/>
          <w:highlight w:val="none"/>
        </w:rPr>
      </w:pPr>
      <w:r>
        <w:rPr>
          <w:rFonts w:hint="eastAsia" w:cs="宋体"/>
          <w:color w:val="auto"/>
          <w:highlight w:val="none"/>
        </w:rPr>
        <w:t>平等对待符合条件的破产重整企业，切实保障企业公平竞争，平等维护企业的合法利益。</w:t>
      </w:r>
    </w:p>
    <w:p w14:paraId="2E950E0F">
      <w:pPr>
        <w:spacing w:line="360" w:lineRule="auto"/>
        <w:ind w:firstLine="480" w:firstLineChars="200"/>
        <w:rPr>
          <w:rFonts w:hint="eastAsia" w:asciiTheme="minorEastAsia" w:hAnsiTheme="minorEastAsia" w:eastAsiaTheme="minorEastAsia"/>
          <w:color w:val="auto"/>
          <w:sz w:val="24"/>
          <w:highlight w:val="none"/>
        </w:rPr>
      </w:pPr>
    </w:p>
    <w:p w14:paraId="14F94AA7">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四、询问、质疑与投诉</w:t>
      </w:r>
    </w:p>
    <w:p w14:paraId="333A5173">
      <w:pPr>
        <w:pStyle w:val="32"/>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1.在线询问、质疑、投诉</w:t>
      </w:r>
    </w:p>
    <w:p w14:paraId="3348BCCB">
      <w:pPr>
        <w:spacing w:line="360" w:lineRule="auto"/>
        <w:ind w:firstLine="480" w:firstLineChars="200"/>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 xml:space="preserve">根据《北海市财政局  </w:t>
      </w:r>
      <w:r>
        <w:rPr>
          <w:rFonts w:hint="eastAsia" w:asciiTheme="minorEastAsia" w:hAnsiTheme="minorEastAsia" w:eastAsiaTheme="minorEastAsia"/>
          <w:color w:val="auto"/>
          <w:sz w:val="24"/>
          <w:highlight w:val="none"/>
          <w:lang w:val="en-US" w:eastAsia="zh-CN"/>
        </w:rPr>
        <w:t>北海市政府采购中心</w:t>
      </w:r>
      <w:r>
        <w:rPr>
          <w:rFonts w:hint="eastAsia" w:asciiTheme="minorEastAsia" w:hAnsiTheme="minorEastAsia" w:eastAsiaTheme="minorEastAsia"/>
          <w:color w:val="auto"/>
          <w:sz w:val="24"/>
          <w:highlight w:val="none"/>
          <w:lang w:val="zh-CN"/>
        </w:rPr>
        <w:t>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2F067CBF">
      <w:pPr>
        <w:pStyle w:val="633"/>
        <w:rPr>
          <w:rFonts w:hint="eastAsia"/>
          <w:color w:val="auto"/>
          <w:highlight w:val="none"/>
          <w:lang w:val="en-US" w:eastAsia="zh-CN"/>
        </w:rPr>
      </w:pPr>
      <w:r>
        <w:rPr>
          <w:rFonts w:hint="eastAsia"/>
          <w:color w:val="auto"/>
          <w:highlight w:val="none"/>
        </w:rPr>
        <w:t>询问联系部门：</w:t>
      </w:r>
      <w:r>
        <w:rPr>
          <w:rFonts w:hint="eastAsia"/>
          <w:color w:val="auto"/>
          <w:highlight w:val="none"/>
          <w:lang w:val="en-US" w:eastAsia="zh-CN"/>
        </w:rPr>
        <w:t>广西北部湾宏亚建设管理有限公司</w:t>
      </w:r>
    </w:p>
    <w:p w14:paraId="608E32D1">
      <w:pPr>
        <w:pStyle w:val="633"/>
        <w:rPr>
          <w:rFonts w:hint="eastAsia" w:eastAsia="宋体"/>
          <w:color w:val="auto"/>
          <w:highlight w:val="none"/>
          <w:lang w:eastAsia="zh-CN"/>
        </w:rPr>
      </w:pPr>
      <w:r>
        <w:rPr>
          <w:rFonts w:hint="eastAsia"/>
          <w:color w:val="auto"/>
          <w:highlight w:val="none"/>
        </w:rPr>
        <w:t>联系电话：</w:t>
      </w:r>
      <w:r>
        <w:rPr>
          <w:rFonts w:hint="eastAsia"/>
          <w:color w:val="auto"/>
          <w:highlight w:val="none"/>
          <w:lang w:val="en-US" w:eastAsia="zh-CN"/>
        </w:rPr>
        <w:t>0779-3928925</w:t>
      </w:r>
      <w:r>
        <w:rPr>
          <w:rFonts w:hint="eastAsia"/>
          <w:color w:val="auto"/>
          <w:highlight w:val="none"/>
        </w:rPr>
        <w:t xml:space="preserve">  地址：</w:t>
      </w:r>
      <w:r>
        <w:rPr>
          <w:rFonts w:hint="eastAsia" w:cs="Times New Roman"/>
          <w:b w:val="0"/>
          <w:bCs w:val="0"/>
          <w:color w:val="auto"/>
          <w:sz w:val="24"/>
          <w:szCs w:val="20"/>
          <w:highlight w:val="none"/>
          <w:lang w:eastAsia="zh-CN"/>
        </w:rPr>
        <w:t>广西北海市海城区银河城市科技产业城2栋0101号</w:t>
      </w:r>
    </w:p>
    <w:p w14:paraId="5783D183">
      <w:pPr>
        <w:pStyle w:val="633"/>
        <w:ind w:firstLine="480" w:firstLineChars="200"/>
        <w:rPr>
          <w:rFonts w:hint="eastAsia"/>
          <w:color w:val="auto"/>
          <w:highlight w:val="none"/>
        </w:rPr>
      </w:pPr>
      <w:r>
        <w:rPr>
          <w:rFonts w:hint="eastAsia"/>
          <w:color w:val="auto"/>
          <w:highlight w:val="none"/>
        </w:rPr>
        <w:t>质疑联系部门：</w:t>
      </w:r>
      <w:r>
        <w:rPr>
          <w:rFonts w:hint="eastAsia"/>
          <w:color w:val="auto"/>
          <w:highlight w:val="none"/>
          <w:lang w:val="en-US" w:eastAsia="zh-CN"/>
        </w:rPr>
        <w:t>广西北部湾宏亚建设管理有限公司</w:t>
      </w:r>
      <w:r>
        <w:rPr>
          <w:rFonts w:hint="eastAsia"/>
          <w:color w:val="auto"/>
          <w:highlight w:val="none"/>
        </w:rPr>
        <w:t xml:space="preserve">        </w:t>
      </w:r>
    </w:p>
    <w:p w14:paraId="1CED96BA">
      <w:pPr>
        <w:pStyle w:val="633"/>
        <w:ind w:firstLine="480" w:firstLineChars="200"/>
        <w:rPr>
          <w:color w:val="auto"/>
          <w:highlight w:val="none"/>
        </w:rPr>
      </w:pPr>
      <w:r>
        <w:rPr>
          <w:rFonts w:hint="eastAsia"/>
          <w:color w:val="auto"/>
          <w:highlight w:val="none"/>
        </w:rPr>
        <w:t>联系电话：</w:t>
      </w:r>
      <w:r>
        <w:rPr>
          <w:rFonts w:hint="eastAsia"/>
          <w:color w:val="auto"/>
          <w:highlight w:val="none"/>
          <w:lang w:val="en-US" w:eastAsia="zh-CN"/>
        </w:rPr>
        <w:t>0779-3928925</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地址：</w:t>
      </w:r>
      <w:r>
        <w:rPr>
          <w:rFonts w:hint="eastAsia" w:cs="Times New Roman"/>
          <w:b w:val="0"/>
          <w:bCs w:val="0"/>
          <w:color w:val="auto"/>
          <w:sz w:val="24"/>
          <w:szCs w:val="20"/>
          <w:highlight w:val="none"/>
          <w:lang w:eastAsia="zh-CN"/>
        </w:rPr>
        <w:t>广西北海市海城区银河城市科技产业城2栋0101号</w:t>
      </w:r>
      <w:r>
        <w:rPr>
          <w:rFonts w:hint="eastAsia"/>
          <w:color w:val="auto"/>
          <w:highlight w:val="none"/>
        </w:rPr>
        <w:t xml:space="preserve"> </w:t>
      </w:r>
    </w:p>
    <w:p w14:paraId="11BE5AE1">
      <w:pPr>
        <w:pStyle w:val="633"/>
        <w:rPr>
          <w:rFonts w:hint="eastAsia"/>
          <w:color w:val="auto"/>
          <w:highlight w:val="none"/>
        </w:rPr>
      </w:pPr>
      <w:r>
        <w:rPr>
          <w:rFonts w:hint="eastAsia"/>
          <w:color w:val="auto"/>
          <w:highlight w:val="none"/>
        </w:rPr>
        <w:t>投诉联系部门：</w:t>
      </w:r>
      <w:r>
        <w:rPr>
          <w:rFonts w:hint="eastAsia"/>
          <w:bCs/>
          <w:color w:val="auto"/>
          <w:highlight w:val="none"/>
          <w:lang w:eastAsia="zh-CN"/>
        </w:rPr>
        <w:t>北海市财政局</w:t>
      </w:r>
      <w:r>
        <w:rPr>
          <w:rFonts w:hint="eastAsia"/>
          <w:bCs/>
          <w:color w:val="auto"/>
          <w:highlight w:val="none"/>
        </w:rPr>
        <w:t>（财政监督部门）</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w:t>
      </w:r>
    </w:p>
    <w:p w14:paraId="6706F007">
      <w:pPr>
        <w:pStyle w:val="633"/>
        <w:rPr>
          <w:color w:val="auto"/>
          <w:highlight w:val="none"/>
        </w:rPr>
      </w:pPr>
      <w:r>
        <w:rPr>
          <w:rFonts w:hint="eastAsia"/>
          <w:color w:val="auto"/>
          <w:highlight w:val="none"/>
        </w:rPr>
        <w:t>联系电话：</w:t>
      </w:r>
      <w:r>
        <w:rPr>
          <w:rFonts w:hint="eastAsia"/>
          <w:bCs/>
          <w:color w:val="auto"/>
          <w:highlight w:val="none"/>
          <w:lang w:eastAsia="zh-CN"/>
        </w:rPr>
        <w:t>0779-3063975</w:t>
      </w:r>
      <w:r>
        <w:rPr>
          <w:rFonts w:hint="eastAsia"/>
          <w:color w:val="auto"/>
          <w:highlight w:val="none"/>
        </w:rPr>
        <w:t xml:space="preserve">  地址：北海市海城区北部湾西路19号</w:t>
      </w:r>
    </w:p>
    <w:p w14:paraId="294C150C">
      <w:pPr>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 供应商询问</w:t>
      </w:r>
    </w:p>
    <w:p w14:paraId="777FE456">
      <w:pPr>
        <w:autoSpaceDE w:val="0"/>
        <w:autoSpaceDN w:val="0"/>
        <w:spacing w:line="360" w:lineRule="auto"/>
        <w:ind w:firstLine="480" w:firstLineChars="200"/>
        <w:jc w:val="left"/>
        <w:rPr>
          <w:rFonts w:hint="eastAsia"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44C65EBA">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 供应商质疑</w:t>
      </w:r>
    </w:p>
    <w:p w14:paraId="70DD31A3">
      <w:pPr>
        <w:pStyle w:val="32"/>
        <w:spacing w:line="360" w:lineRule="auto"/>
        <w:ind w:firstLine="482" w:firstLineChars="200"/>
        <w:rPr>
          <w:rFonts w:hint="eastAsia" w:asciiTheme="minorEastAsia" w:hAnsiTheme="minorEastAsia" w:eastAsiaTheme="minorEastAsia"/>
          <w:b/>
          <w:color w:val="auto"/>
          <w:sz w:val="24"/>
          <w:highlight w:val="none"/>
        </w:rPr>
      </w:pPr>
      <w:r>
        <w:rPr>
          <w:rFonts w:hint="eastAsia" w:cs="微软雅黑" w:asciiTheme="minorEastAsia" w:hAnsiTheme="minorEastAsia" w:eastAsiaTheme="minorEastAsia"/>
          <w:b/>
          <w:color w:val="auto"/>
          <w:kern w:val="0"/>
          <w:sz w:val="24"/>
          <w:highlight w:val="none"/>
          <w:lang w:val="zh-CN"/>
        </w:rPr>
        <w:t>3</w:t>
      </w:r>
      <w:r>
        <w:rPr>
          <w:rFonts w:hint="eastAsia" w:asciiTheme="minorEastAsia" w:hAnsiTheme="minorEastAsia" w:eastAsiaTheme="minorEastAsia"/>
          <w:b/>
          <w:color w:val="auto"/>
          <w:sz w:val="24"/>
          <w:highlight w:val="none"/>
        </w:rPr>
        <w:t>.1质疑提出时效</w:t>
      </w:r>
    </w:p>
    <w:p w14:paraId="1137AEC7">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3.1.1提出质疑的供应商应当是参与所质疑项目采购活动的供应商。潜在供应商已依法获取其可质疑的采购文件的，可以对该文件提出质疑。</w:t>
      </w:r>
    </w:p>
    <w:p w14:paraId="7083C974">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cs="微软雅黑" w:asciiTheme="minorEastAsia" w:hAnsiTheme="minorEastAsia" w:eastAsiaTheme="minorEastAsia"/>
          <w:color w:val="auto"/>
          <w:kern w:val="0"/>
          <w:sz w:val="24"/>
          <w:highlight w:val="none"/>
          <w:lang w:val="zh-CN"/>
        </w:rPr>
        <w:t>3</w:t>
      </w:r>
      <w:r>
        <w:rPr>
          <w:rFonts w:hint="eastAsia" w:asciiTheme="minorEastAsia" w:hAnsiTheme="minorEastAsia" w:eastAsiaTheme="minorEastAsia"/>
          <w:color w:val="auto"/>
          <w:sz w:val="24"/>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55F64BC3">
      <w:pPr>
        <w:pStyle w:val="17"/>
        <w:spacing w:line="360" w:lineRule="auto"/>
        <w:ind w:firstLine="434" w:firstLineChars="181"/>
        <w:rPr>
          <w:rFonts w:hint="eastAsia" w:asciiTheme="minorEastAsia" w:hAnsiTheme="minorEastAsia" w:eastAsiaTheme="minorEastAsia"/>
          <w:snapToGrid/>
          <w:color w:val="auto"/>
          <w:kern w:val="2"/>
          <w:sz w:val="24"/>
          <w:highlight w:val="none"/>
        </w:rPr>
      </w:pPr>
      <w:r>
        <w:rPr>
          <w:rFonts w:hint="eastAsia" w:asciiTheme="minorEastAsia" w:hAnsiTheme="minorEastAsia" w:eastAsiaTheme="minorEastAsia"/>
          <w:snapToGrid/>
          <w:color w:val="auto"/>
          <w:kern w:val="2"/>
          <w:sz w:val="24"/>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3486FF67">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3.1.2.2对采购过程提出质疑的，质疑期限为各采购程序环节结束之日起计算。</w:t>
      </w:r>
    </w:p>
    <w:p w14:paraId="6A3C4723">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3.1.2.3对采购结果提出质疑的，质疑期限自采购结果公告期限届满之日起计算。</w:t>
      </w:r>
    </w:p>
    <w:p w14:paraId="2B172AC8">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3.1.2.4对同一采购程序环节的质疑，供应商须一次性提出。</w:t>
      </w:r>
    </w:p>
    <w:p w14:paraId="08DEB4A6">
      <w:pPr>
        <w:pStyle w:val="32"/>
        <w:spacing w:line="360" w:lineRule="auto"/>
        <w:ind w:firstLine="482"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b/>
          <w:color w:val="auto"/>
          <w:sz w:val="24"/>
          <w:highlight w:val="none"/>
        </w:rPr>
        <w:t>3.2质疑答复</w:t>
      </w:r>
    </w:p>
    <w:p w14:paraId="661A65FD">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3.2.1根据采购人与采购代理机构签订采购委托协议的规定，质疑答复责任主体如下：</w:t>
      </w:r>
    </w:p>
    <w:p w14:paraId="4C9D3CB7">
      <w:pPr>
        <w:widowControl/>
        <w:adjustRightInd/>
        <w:jc w:val="center"/>
        <w:rPr>
          <w:rFonts w:hint="eastAsia"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质疑答复责任主体一览表</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7688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vAlign w:val="center"/>
          </w:tcPr>
          <w:p w14:paraId="2D231085">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质疑内容</w:t>
            </w:r>
          </w:p>
        </w:tc>
        <w:tc>
          <w:tcPr>
            <w:tcW w:w="2232" w:type="dxa"/>
            <w:vAlign w:val="center"/>
          </w:tcPr>
          <w:p w14:paraId="04A5B0FF">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质疑答复责任主体</w:t>
            </w:r>
          </w:p>
        </w:tc>
      </w:tr>
      <w:tr w14:paraId="494E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vAlign w:val="center"/>
          </w:tcPr>
          <w:p w14:paraId="1435D3A6">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对采购文件提出质疑</w:t>
            </w:r>
          </w:p>
        </w:tc>
        <w:tc>
          <w:tcPr>
            <w:tcW w:w="4536" w:type="dxa"/>
            <w:vAlign w:val="center"/>
          </w:tcPr>
          <w:p w14:paraId="70736EAE">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对采购文件中特定资格条件、采购需求、评审办法、评审标准提出的质疑</w:t>
            </w:r>
          </w:p>
        </w:tc>
        <w:tc>
          <w:tcPr>
            <w:tcW w:w="2232" w:type="dxa"/>
            <w:vAlign w:val="center"/>
          </w:tcPr>
          <w:p w14:paraId="3A6FBAE8">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采购人</w:t>
            </w:r>
          </w:p>
        </w:tc>
      </w:tr>
      <w:tr w14:paraId="35CB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vAlign w:val="center"/>
          </w:tcPr>
          <w:p w14:paraId="61283E11">
            <w:pPr>
              <w:pStyle w:val="32"/>
              <w:spacing w:line="360" w:lineRule="auto"/>
              <w:jc w:val="center"/>
              <w:rPr>
                <w:rFonts w:hint="eastAsia" w:asciiTheme="minorEastAsia" w:hAnsiTheme="minorEastAsia" w:eastAsiaTheme="minorEastAsia"/>
                <w:color w:val="auto"/>
                <w:sz w:val="24"/>
                <w:highlight w:val="none"/>
              </w:rPr>
            </w:pPr>
          </w:p>
        </w:tc>
        <w:tc>
          <w:tcPr>
            <w:tcW w:w="4536" w:type="dxa"/>
            <w:vAlign w:val="center"/>
          </w:tcPr>
          <w:p w14:paraId="4E60E830">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对采购文件中其他内容提出的质疑</w:t>
            </w:r>
          </w:p>
        </w:tc>
        <w:tc>
          <w:tcPr>
            <w:tcW w:w="2232" w:type="dxa"/>
            <w:vAlign w:val="center"/>
          </w:tcPr>
          <w:p w14:paraId="66B930DD">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采购代理机构</w:t>
            </w:r>
          </w:p>
        </w:tc>
      </w:tr>
      <w:tr w14:paraId="32AC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vAlign w:val="center"/>
          </w:tcPr>
          <w:p w14:paraId="0759DB79">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对采购过程提出质疑</w:t>
            </w:r>
          </w:p>
        </w:tc>
        <w:tc>
          <w:tcPr>
            <w:tcW w:w="4536" w:type="dxa"/>
            <w:vAlign w:val="center"/>
          </w:tcPr>
          <w:p w14:paraId="243E2A38">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有关现场考察或开启响应文件前答疑会事项提出的质疑</w:t>
            </w:r>
          </w:p>
        </w:tc>
        <w:tc>
          <w:tcPr>
            <w:tcW w:w="2232" w:type="dxa"/>
            <w:vAlign w:val="center"/>
          </w:tcPr>
          <w:p w14:paraId="2698D8FF">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采购人</w:t>
            </w:r>
          </w:p>
        </w:tc>
      </w:tr>
      <w:tr w14:paraId="59A2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vAlign w:val="center"/>
          </w:tcPr>
          <w:p w14:paraId="32B2DF8B">
            <w:pPr>
              <w:pStyle w:val="32"/>
              <w:spacing w:line="360" w:lineRule="auto"/>
              <w:jc w:val="center"/>
              <w:rPr>
                <w:rFonts w:hint="eastAsia" w:asciiTheme="minorEastAsia" w:hAnsiTheme="minorEastAsia" w:eastAsiaTheme="minorEastAsia"/>
                <w:color w:val="auto"/>
                <w:sz w:val="24"/>
                <w:highlight w:val="none"/>
              </w:rPr>
            </w:pPr>
          </w:p>
        </w:tc>
        <w:tc>
          <w:tcPr>
            <w:tcW w:w="4536" w:type="dxa"/>
            <w:vAlign w:val="center"/>
          </w:tcPr>
          <w:p w14:paraId="1F2BFDA5">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对采购过程中其它事项提出的质疑</w:t>
            </w:r>
          </w:p>
        </w:tc>
        <w:tc>
          <w:tcPr>
            <w:tcW w:w="2232" w:type="dxa"/>
            <w:vAlign w:val="center"/>
          </w:tcPr>
          <w:p w14:paraId="4F329C92">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采购代理机构</w:t>
            </w:r>
          </w:p>
        </w:tc>
      </w:tr>
      <w:tr w14:paraId="1D3A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B7B0BC1">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对采购结果提出质疑</w:t>
            </w:r>
          </w:p>
        </w:tc>
        <w:tc>
          <w:tcPr>
            <w:tcW w:w="4536" w:type="dxa"/>
            <w:vAlign w:val="center"/>
          </w:tcPr>
          <w:p w14:paraId="402DCD50">
            <w:pPr>
              <w:pStyle w:val="32"/>
              <w:spacing w:line="360" w:lineRule="auto"/>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对采购结果提出的质疑</w:t>
            </w:r>
          </w:p>
        </w:tc>
        <w:tc>
          <w:tcPr>
            <w:tcW w:w="2232" w:type="dxa"/>
            <w:vAlign w:val="center"/>
          </w:tcPr>
          <w:p w14:paraId="62C01DE6">
            <w:pPr>
              <w:pStyle w:val="32"/>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采购代理机构</w:t>
            </w:r>
          </w:p>
        </w:tc>
      </w:tr>
    </w:tbl>
    <w:p w14:paraId="71600D4D">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注：采购人或代理机构应当协助质疑答复责任主体及时答复供应商的书面质疑。</w:t>
      </w:r>
    </w:p>
    <w:p w14:paraId="5CFB2025">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3.2.2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14:paraId="190BDDFA">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 2.3询问或者质疑事项可能影响采购结果的，采购人应当暂停签订合同，已经签订合同的，应当中止履行合同。</w:t>
      </w:r>
    </w:p>
    <w:p w14:paraId="77881AA9">
      <w:pPr>
        <w:pStyle w:val="32"/>
        <w:spacing w:line="360" w:lineRule="auto"/>
        <w:ind w:firstLine="482" w:firstLineChars="200"/>
        <w:rPr>
          <w:rFonts w:hint="eastAsia" w:asciiTheme="minorEastAsia" w:hAnsiTheme="minorEastAsia" w:eastAsiaTheme="minorEastAsia"/>
          <w:color w:val="auto"/>
          <w:sz w:val="24"/>
          <w:highlight w:val="none"/>
        </w:rPr>
      </w:pPr>
      <w:r>
        <w:rPr>
          <w:rFonts w:hint="eastAsia" w:cs="微软雅黑" w:asciiTheme="minorEastAsia" w:hAnsiTheme="minorEastAsia" w:eastAsiaTheme="minorEastAsia"/>
          <w:b/>
          <w:color w:val="auto"/>
          <w:kern w:val="0"/>
          <w:sz w:val="24"/>
          <w:highlight w:val="none"/>
          <w:lang w:val="zh-CN"/>
        </w:rPr>
        <w:t>3.3质疑函</w:t>
      </w:r>
    </w:p>
    <w:p w14:paraId="245E0E56">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3.3.1供应商提出质疑应当提交质疑函和必要的证明材料。质疑函应当包括下列内容：</w:t>
      </w:r>
    </w:p>
    <w:p w14:paraId="1998BF0F">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3.3.1.1</w:t>
      </w:r>
      <w:r>
        <w:rPr>
          <w:rFonts w:hint="eastAsia" w:asciiTheme="minorEastAsia" w:hAnsiTheme="minorEastAsia" w:eastAsiaTheme="minorEastAsia"/>
          <w:color w:val="auto"/>
          <w:sz w:val="24"/>
          <w:szCs w:val="24"/>
          <w:highlight w:val="none"/>
        </w:rPr>
        <w:t>供应商的姓名或者名称、地址、邮编、联系人及联系电话；</w:t>
      </w:r>
    </w:p>
    <w:p w14:paraId="7B959827">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3.3.1.2</w:t>
      </w:r>
      <w:r>
        <w:rPr>
          <w:rFonts w:hint="eastAsia" w:asciiTheme="minorEastAsia" w:hAnsiTheme="minorEastAsia" w:eastAsiaTheme="minorEastAsia"/>
          <w:color w:val="auto"/>
          <w:sz w:val="24"/>
          <w:szCs w:val="24"/>
          <w:highlight w:val="none"/>
        </w:rPr>
        <w:t>质疑项目的名称、编号；</w:t>
      </w:r>
    </w:p>
    <w:p w14:paraId="14C9D272">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3.3.1.3</w:t>
      </w:r>
      <w:r>
        <w:rPr>
          <w:rFonts w:hint="eastAsia" w:asciiTheme="minorEastAsia" w:hAnsiTheme="minorEastAsia" w:eastAsiaTheme="minorEastAsia"/>
          <w:color w:val="auto"/>
          <w:sz w:val="24"/>
          <w:szCs w:val="24"/>
          <w:highlight w:val="none"/>
        </w:rPr>
        <w:t>具体、明确的质疑事项和与质疑事项相关的请求；</w:t>
      </w:r>
    </w:p>
    <w:p w14:paraId="661B3A84">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3.3.1.4</w:t>
      </w:r>
      <w:r>
        <w:rPr>
          <w:rFonts w:hint="eastAsia" w:asciiTheme="minorEastAsia" w:hAnsiTheme="minorEastAsia" w:eastAsiaTheme="minorEastAsia"/>
          <w:color w:val="auto"/>
          <w:sz w:val="24"/>
          <w:szCs w:val="24"/>
          <w:highlight w:val="none"/>
        </w:rPr>
        <w:t>事实依据；</w:t>
      </w:r>
    </w:p>
    <w:p w14:paraId="3361E83D">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3.3.1.5</w:t>
      </w:r>
      <w:r>
        <w:rPr>
          <w:rFonts w:hint="eastAsia" w:asciiTheme="minorEastAsia" w:hAnsiTheme="minorEastAsia" w:eastAsiaTheme="minorEastAsia"/>
          <w:color w:val="auto"/>
          <w:sz w:val="24"/>
          <w:szCs w:val="24"/>
          <w:highlight w:val="none"/>
        </w:rPr>
        <w:t>必要的法律依据；</w:t>
      </w:r>
    </w:p>
    <w:p w14:paraId="4122E6B9">
      <w:pPr>
        <w:pStyle w:val="32"/>
        <w:tabs>
          <w:tab w:val="left" w:pos="426"/>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rPr>
        <w:t>3.3.1.6</w:t>
      </w:r>
      <w:r>
        <w:rPr>
          <w:rFonts w:hint="eastAsia" w:asciiTheme="minorEastAsia" w:hAnsiTheme="minorEastAsia" w:eastAsiaTheme="minorEastAsia"/>
          <w:color w:val="auto"/>
          <w:sz w:val="24"/>
          <w:szCs w:val="24"/>
          <w:highlight w:val="none"/>
        </w:rPr>
        <w:t>提出质疑的日期。</w:t>
      </w:r>
    </w:p>
    <w:p w14:paraId="6B6086CD">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3.3.1.7供应商提交的质疑函需一式三份。供应商为自然人的，应当由本人签字；供应商为法人或者其他组织的，应当由法定代表人、主要负责人，或者其授权代表签字或者盖章，并加盖公章。</w:t>
      </w:r>
    </w:p>
    <w:p w14:paraId="1AED36A2">
      <w:pPr>
        <w:pStyle w:val="32"/>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质疑函范本及制作说明详见附件</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w:t>
      </w:r>
    </w:p>
    <w:p w14:paraId="627613EB">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.供应商投诉</w:t>
      </w:r>
    </w:p>
    <w:p w14:paraId="63EB82B5">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.1质疑供应商对采购人、</w:t>
      </w:r>
      <w:r>
        <w:rPr>
          <w:rFonts w:hint="eastAsia" w:asciiTheme="minorEastAsia" w:hAnsiTheme="minorEastAsia" w:eastAsiaTheme="minorEastAsia"/>
          <w:color w:val="auto"/>
          <w:sz w:val="24"/>
          <w:highlight w:val="none"/>
        </w:rPr>
        <w:t>采购代理机构</w:t>
      </w:r>
      <w:r>
        <w:rPr>
          <w:rFonts w:asciiTheme="minorEastAsia" w:hAnsiTheme="minorEastAsia" w:eastAsiaTheme="minorEastAsia"/>
          <w:color w:val="auto"/>
          <w:sz w:val="24"/>
          <w:highlight w:val="none"/>
        </w:rPr>
        <w:t>的答复不满意或者采购人、</w:t>
      </w:r>
      <w:r>
        <w:rPr>
          <w:rFonts w:hint="eastAsia" w:asciiTheme="minorEastAsia" w:hAnsiTheme="minorEastAsia" w:eastAsiaTheme="minorEastAsia"/>
          <w:color w:val="auto"/>
          <w:sz w:val="24"/>
          <w:highlight w:val="none"/>
        </w:rPr>
        <w:t>采购代理机构</w:t>
      </w:r>
      <w:r>
        <w:rPr>
          <w:rFonts w:asciiTheme="minorEastAsia" w:hAnsiTheme="minorEastAsia" w:eastAsiaTheme="minorEastAsia"/>
          <w:color w:val="auto"/>
          <w:sz w:val="24"/>
          <w:highlight w:val="none"/>
        </w:rPr>
        <w:t>未在规定的时间内</w:t>
      </w:r>
      <w:r>
        <w:rPr>
          <w:rFonts w:hint="eastAsia" w:asciiTheme="minorEastAsia" w:hAnsiTheme="minorEastAsia" w:eastAsiaTheme="minorEastAsia"/>
          <w:color w:val="auto"/>
          <w:sz w:val="24"/>
          <w:highlight w:val="none"/>
        </w:rPr>
        <w:t>作出答复的，可以在答复期满后十五个工作日内向同级政府采购监督管理部门提出投诉。</w:t>
      </w:r>
    </w:p>
    <w:p w14:paraId="011D4442">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.2供应</w:t>
      </w:r>
      <w:r>
        <w:rPr>
          <w:rFonts w:hint="eastAsia" w:asciiTheme="minorEastAsia" w:hAnsiTheme="minorEastAsia" w:eastAsiaTheme="minorEastAsia"/>
          <w:color w:val="auto"/>
          <w:sz w:val="24"/>
          <w:highlight w:val="none"/>
        </w:rPr>
        <w:t>商投诉的事项不得超出已质疑事项的范围，基于质疑答复内容提出的投诉事项除外。</w:t>
      </w:r>
    </w:p>
    <w:p w14:paraId="30E5594E">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.3供应</w:t>
      </w:r>
      <w:r>
        <w:rPr>
          <w:rFonts w:hint="eastAsia" w:asciiTheme="minorEastAsia" w:hAnsiTheme="minorEastAsia" w:eastAsiaTheme="minorEastAsia"/>
          <w:color w:val="auto"/>
          <w:sz w:val="24"/>
          <w:highlight w:val="none"/>
        </w:rPr>
        <w:t>商投诉应当有明确的请求和必要的证明材料。</w:t>
      </w:r>
    </w:p>
    <w:p w14:paraId="35976D68">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.4以联合体形</w:t>
      </w:r>
      <w:r>
        <w:rPr>
          <w:rFonts w:hint="eastAsia" w:asciiTheme="minorEastAsia" w:hAnsiTheme="minorEastAsia" w:eastAsiaTheme="minorEastAsia"/>
          <w:color w:val="auto"/>
          <w:sz w:val="24"/>
          <w:highlight w:val="none"/>
        </w:rPr>
        <w:t>式参加政府采购活动的，其投诉应当由组成联合体的所有供应商共同提出。</w:t>
      </w:r>
    </w:p>
    <w:p w14:paraId="46EA0B75">
      <w:pPr>
        <w:pStyle w:val="32"/>
        <w:spacing w:line="360" w:lineRule="auto"/>
        <w:ind w:firstLine="482" w:firstLineChars="200"/>
        <w:rPr>
          <w:rFonts w:hint="eastAsia" w:asciiTheme="minorEastAsia" w:hAnsiTheme="minorEastAsia" w:eastAsiaTheme="minorEastAsia"/>
          <w:b/>
          <w:color w:val="auto"/>
          <w:sz w:val="24"/>
          <w:highlight w:val="none"/>
        </w:rPr>
      </w:pPr>
    </w:p>
    <w:p w14:paraId="6BF76F73">
      <w:pPr>
        <w:adjustRightInd/>
        <w:spacing w:line="360" w:lineRule="auto"/>
        <w:jc w:val="center"/>
        <w:rPr>
          <w:rFonts w:hint="eastAsia" w:cs="仿宋_GB2312" w:asciiTheme="minorEastAsia" w:hAnsiTheme="minorEastAsia" w:eastAsiaTheme="minorEastAsia"/>
          <w:b/>
          <w:color w:val="auto"/>
          <w:sz w:val="32"/>
          <w:szCs w:val="20"/>
          <w:highlight w:val="none"/>
        </w:rPr>
      </w:pPr>
    </w:p>
    <w:p w14:paraId="571B5E01">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五、磋商文件构成、修改、解释</w:t>
      </w:r>
    </w:p>
    <w:p w14:paraId="02C2B283">
      <w:pPr>
        <w:autoSpaceDE w:val="0"/>
        <w:autoSpaceDN w:val="0"/>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1．磋商文件的构成</w:t>
      </w:r>
    </w:p>
    <w:p w14:paraId="438CDDBC">
      <w:pPr>
        <w:pStyle w:val="32"/>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1.1 磋商文件包括下列文件及附件</w:t>
      </w:r>
    </w:p>
    <w:p w14:paraId="36F5B2A2">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第一部分  邀请供应商</w:t>
      </w:r>
    </w:p>
    <w:p w14:paraId="5876F2A0">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第二部分  竞争性磋商流程</w:t>
      </w:r>
    </w:p>
    <w:p w14:paraId="775DC743">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第三部分  供应商须知</w:t>
      </w:r>
    </w:p>
    <w:p w14:paraId="0598A01A">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第四部分  采购需求</w:t>
      </w:r>
    </w:p>
    <w:p w14:paraId="2CD73EAD">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第五部分  评审方法及评审标准</w:t>
      </w:r>
    </w:p>
    <w:p w14:paraId="0A2A7D76">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第六部分  拟签订的合同文本</w:t>
      </w:r>
    </w:p>
    <w:p w14:paraId="36098B7D">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第七部分  应提交的有关格式范例</w:t>
      </w:r>
    </w:p>
    <w:p w14:paraId="07626414">
      <w:pPr>
        <w:pStyle w:val="32"/>
        <w:tabs>
          <w:tab w:val="left" w:pos="840"/>
        </w:tabs>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第八部分  最后报价格式</w:t>
      </w:r>
    </w:p>
    <w:p w14:paraId="6302F974">
      <w:pPr>
        <w:pStyle w:val="32"/>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1.2 </w:t>
      </w:r>
      <w:r>
        <w:rPr>
          <w:rFonts w:hint="eastAsia" w:asciiTheme="minorEastAsia" w:hAnsiTheme="minorEastAsia" w:eastAsiaTheme="minorEastAsia"/>
          <w:color w:val="auto"/>
          <w:sz w:val="24"/>
          <w:highlight w:val="none"/>
        </w:rPr>
        <w:t>与本项目有关的</w:t>
      </w:r>
      <w:r>
        <w:rPr>
          <w:rFonts w:hint="eastAsia" w:asciiTheme="minorEastAsia" w:hAnsiTheme="minorEastAsia" w:eastAsiaTheme="minorEastAsia"/>
          <w:bCs/>
          <w:color w:val="auto"/>
          <w:sz w:val="24"/>
          <w:highlight w:val="none"/>
        </w:rPr>
        <w:t>澄清或者修改的内容为磋商文件的组成部分</w:t>
      </w:r>
      <w:r>
        <w:rPr>
          <w:rFonts w:hint="eastAsia" w:cs="仿宋_GB2312" w:asciiTheme="minorEastAsia" w:hAnsiTheme="minorEastAsia" w:eastAsiaTheme="minorEastAsia"/>
          <w:color w:val="auto"/>
          <w:sz w:val="24"/>
          <w:highlight w:val="none"/>
        </w:rPr>
        <w:t>。</w:t>
      </w:r>
    </w:p>
    <w:p w14:paraId="4500FCF9">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2. 磋商文件的</w:t>
      </w:r>
      <w:r>
        <w:rPr>
          <w:rFonts w:hint="eastAsia" w:cs="仿宋_GB2312" w:asciiTheme="minorEastAsia" w:hAnsiTheme="minorEastAsia" w:eastAsiaTheme="minorEastAsia"/>
          <w:b/>
          <w:color w:val="auto"/>
          <w:sz w:val="24"/>
          <w:szCs w:val="24"/>
          <w:highlight w:val="none"/>
        </w:rPr>
        <w:t>澄清、修改</w:t>
      </w:r>
    </w:p>
    <w:p w14:paraId="3156FB7F">
      <w:pPr>
        <w:pStyle w:val="393"/>
        <w:snapToGrid w:val="0"/>
        <w:spacing w:before="0"/>
        <w:ind w:firstLine="48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2.1已获取磋商文件的潜在供应商，若有问题需要澄清，应于提交首次响应文件截止时间前，以书面形式向采购代理机构提出。</w:t>
      </w:r>
    </w:p>
    <w:p w14:paraId="63223A6F">
      <w:pPr>
        <w:pStyle w:val="393"/>
        <w:snapToGrid w:val="0"/>
        <w:spacing w:before="0"/>
        <w:ind w:firstLine="48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2.2</w:t>
      </w:r>
      <w:r>
        <w:rPr>
          <w:rFonts w:hint="eastAsia" w:cs="宋体" w:asciiTheme="minorEastAsia" w:hAnsiTheme="minorEastAsia" w:eastAsiaTheme="minorEastAsia"/>
          <w:color w:val="auto"/>
          <w:highlight w:val="none"/>
        </w:rPr>
        <w:t>采购代理机构对磋商文件进行澄清或修改的，将同时通过电子交易平台通知已获取磋商文件的供应商。依法应当公告的，将按规定公告，同时视情况延长</w:t>
      </w:r>
      <w:r>
        <w:rPr>
          <w:rFonts w:hint="eastAsia" w:asciiTheme="minorEastAsia" w:hAnsiTheme="minorEastAsia" w:eastAsiaTheme="minorEastAsia"/>
          <w:color w:val="auto"/>
          <w:highlight w:val="none"/>
        </w:rPr>
        <w:t>提交首次</w:t>
      </w:r>
      <w:r>
        <w:rPr>
          <w:rFonts w:hint="eastAsia" w:cs="宋体" w:asciiTheme="minorEastAsia" w:hAnsiTheme="minorEastAsia" w:eastAsiaTheme="minorEastAsia"/>
          <w:color w:val="auto"/>
          <w:highlight w:val="none"/>
        </w:rPr>
        <w:t>响应文件截止时间和响应文件开启时间。该澄清或者修改的内容为磋商文件的组成部分。</w:t>
      </w:r>
    </w:p>
    <w:p w14:paraId="26D6F282">
      <w:pPr>
        <w:pStyle w:val="393"/>
        <w:snapToGrid w:val="0"/>
        <w:spacing w:before="0"/>
        <w:ind w:firstLine="48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2.3澄清或者修改的内容可能影响响应文件编制的，采购人、采购代理机构应当在提交首次响应文件截止时间至少5日前，</w:t>
      </w:r>
      <w:r>
        <w:rPr>
          <w:rFonts w:hint="eastAsia" w:cs="宋体" w:asciiTheme="minorEastAsia" w:hAnsiTheme="minorEastAsia" w:eastAsiaTheme="minorEastAsia"/>
          <w:color w:val="auto"/>
          <w:highlight w:val="none"/>
        </w:rPr>
        <w:t>通过电子交易平台</w:t>
      </w:r>
      <w:r>
        <w:rPr>
          <w:rFonts w:hint="eastAsia" w:asciiTheme="minorEastAsia" w:hAnsiTheme="minorEastAsia" w:eastAsiaTheme="minorEastAsia"/>
          <w:color w:val="auto"/>
          <w:highlight w:val="none"/>
        </w:rPr>
        <w:t>通知所有获取磋商文件的供应商；不足5日的，采购人、采购代理机构应当顺延提交首次响应文件截止时间。</w:t>
      </w:r>
    </w:p>
    <w:p w14:paraId="77098FC4">
      <w:pPr>
        <w:pStyle w:val="393"/>
        <w:snapToGrid w:val="0"/>
        <w:spacing w:before="0"/>
        <w:ind w:firstLine="482"/>
        <w:rPr>
          <w:rFonts w:hint="eastAsia" w:asciiTheme="minorEastAsia" w:hAnsiTheme="minorEastAsia" w:eastAsiaTheme="minorEastAsia"/>
          <w:color w:val="auto"/>
          <w:highlight w:val="none"/>
        </w:rPr>
      </w:pPr>
      <w:r>
        <w:rPr>
          <w:rFonts w:hint="eastAsia" w:asciiTheme="minorEastAsia" w:hAnsiTheme="minorEastAsia" w:eastAsiaTheme="minorEastAsia"/>
          <w:b/>
          <w:color w:val="auto"/>
          <w:highlight w:val="none"/>
        </w:rPr>
        <w:t>▲</w:t>
      </w:r>
      <w:r>
        <w:rPr>
          <w:rFonts w:hint="eastAsia" w:cs="仿宋_GB2312" w:asciiTheme="minorEastAsia" w:hAnsiTheme="minorEastAsia" w:eastAsiaTheme="minorEastAsia"/>
          <w:b/>
          <w:color w:val="auto"/>
          <w:szCs w:val="21"/>
          <w:highlight w:val="none"/>
        </w:rPr>
        <w:t>响应文件未按磋商文件的澄清、修改的内容编制，又不符合实质性要求的，响应无效。</w:t>
      </w:r>
    </w:p>
    <w:p w14:paraId="22225DD8">
      <w:pPr>
        <w:pStyle w:val="2"/>
        <w:rPr>
          <w:rFonts w:hint="eastAsia" w:cs="仿宋_GB2312" w:asciiTheme="minorEastAsia" w:hAnsiTheme="minorEastAsia" w:eastAsiaTheme="minorEastAsia"/>
          <w:color w:val="auto"/>
          <w:sz w:val="18"/>
          <w:szCs w:val="18"/>
          <w:highlight w:val="none"/>
          <w:lang w:val="en-US"/>
        </w:rPr>
      </w:pPr>
      <w:r>
        <w:rPr>
          <w:rFonts w:hint="eastAsia" w:cs="仿宋_GB2312" w:asciiTheme="minorEastAsia" w:hAnsiTheme="minorEastAsia" w:eastAsiaTheme="minorEastAsia"/>
          <w:color w:val="auto"/>
          <w:szCs w:val="24"/>
          <w:highlight w:val="none"/>
          <w:lang w:val="en-US"/>
        </w:rPr>
        <w:t xml:space="preserve">    </w:t>
      </w:r>
    </w:p>
    <w:p w14:paraId="2E9113C0">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六、响应文件的编制</w:t>
      </w:r>
    </w:p>
    <w:p w14:paraId="4D262B2C">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highlight w:val="none"/>
        </w:rPr>
        <w:t>1. 响应文件的语言</w:t>
      </w:r>
    </w:p>
    <w:p w14:paraId="562ED8FC">
      <w:pPr>
        <w:pStyle w:val="32"/>
        <w:spacing w:line="360" w:lineRule="auto"/>
        <w:ind w:firstLine="480" w:firstLineChars="200"/>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color w:val="auto"/>
          <w:sz w:val="24"/>
          <w:highlight w:val="none"/>
        </w:rPr>
        <w:t>响应文件及供应商与采购有关的来往通知、函件和文件均应使用中文。</w:t>
      </w:r>
    </w:p>
    <w:p w14:paraId="2C16DE99">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highlight w:val="none"/>
        </w:rPr>
        <w:t>2. 响应文件的组成</w:t>
      </w:r>
    </w:p>
    <w:p w14:paraId="134627A4">
      <w:pPr>
        <w:pStyle w:val="32"/>
        <w:spacing w:line="360" w:lineRule="auto"/>
        <w:ind w:firstLine="480" w:firstLineChars="200"/>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color w:val="auto"/>
          <w:sz w:val="24"/>
          <w:highlight w:val="none"/>
        </w:rPr>
        <w:t>响应文件应当包括以下主要内容：</w:t>
      </w:r>
    </w:p>
    <w:p w14:paraId="6F182D63">
      <w:pPr>
        <w:pStyle w:val="32"/>
        <w:spacing w:line="360" w:lineRule="auto"/>
        <w:ind w:firstLine="482" w:firstLineChars="200"/>
        <w:rPr>
          <w:rFonts w:hint="eastAsia"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2.1</w:t>
      </w:r>
      <w:r>
        <w:rPr>
          <w:rFonts w:hint="eastAsia" w:asciiTheme="minorEastAsia" w:hAnsiTheme="minorEastAsia" w:eastAsiaTheme="minorEastAsia"/>
          <w:b/>
          <w:color w:val="auto"/>
          <w:sz w:val="24"/>
          <w:szCs w:val="24"/>
          <w:highlight w:val="none"/>
        </w:rPr>
        <w:t>资格文件</w:t>
      </w:r>
    </w:p>
    <w:p w14:paraId="5F67974D">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▲（1）供应商满足《中华人民共和国政府采购法》第二十二条规定，应当在响应文件中以书面形式作出信用承诺（承诺函格式见附件）；</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r>
        <w:rPr>
          <w:rFonts w:hint="eastAsia" w:asciiTheme="minorEastAsia" w:hAnsiTheme="minorEastAsia" w:eastAsiaTheme="minorEastAsia"/>
          <w:b/>
          <w:bCs/>
          <w:color w:val="auto"/>
          <w:sz w:val="24"/>
          <w:highlight w:val="none"/>
        </w:rPr>
        <w:t>）</w:t>
      </w:r>
    </w:p>
    <w:p w14:paraId="2E270FEC">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▲（2）供应商直接控股股东信息表（格式后附）；</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r>
        <w:rPr>
          <w:rFonts w:hint="eastAsia" w:asciiTheme="minorEastAsia" w:hAnsiTheme="minorEastAsia" w:eastAsiaTheme="minorEastAsia"/>
          <w:b/>
          <w:bCs/>
          <w:color w:val="auto"/>
          <w:sz w:val="24"/>
          <w:highlight w:val="none"/>
        </w:rPr>
        <w:t>）</w:t>
      </w:r>
    </w:p>
    <w:p w14:paraId="4D69FA59">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▲（3）供应商直接管理关系信息表（格式后附）；</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r>
        <w:rPr>
          <w:rFonts w:hint="eastAsia" w:asciiTheme="minorEastAsia" w:hAnsiTheme="minorEastAsia" w:eastAsiaTheme="minorEastAsia"/>
          <w:b/>
          <w:bCs/>
          <w:color w:val="auto"/>
          <w:sz w:val="24"/>
          <w:highlight w:val="none"/>
        </w:rPr>
        <w:t>）</w:t>
      </w:r>
    </w:p>
    <w:p w14:paraId="73AF4A8E">
      <w:pPr>
        <w:pStyle w:val="32"/>
        <w:spacing w:line="360" w:lineRule="auto"/>
        <w:ind w:firstLine="480" w:firstLineChars="200"/>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宋体" w:hAnsi="宋体" w:eastAsia="宋体" w:cs="宋体"/>
          <w:color w:val="auto"/>
          <w:kern w:val="1"/>
          <w:sz w:val="24"/>
          <w:szCs w:val="24"/>
          <w:highlight w:val="none"/>
          <w:lang w:eastAsia="zh-CN"/>
        </w:rPr>
        <w:t>供应商须具备国家行政主管部门颁发的有效期内的测绘乙级及以上资质证书（专业范围须包含工程测量）；具备市场监督管理部门颁发的有效期内的检验检测机构资质认定证书（CMA），证书附表载明土壤检测相关指标，最终检测能力以证书附表列明的检测参数及方法标准为准；具备</w:t>
      </w:r>
      <w:r>
        <w:rPr>
          <w:rFonts w:hint="eastAsia" w:hAnsi="宋体" w:cs="宋体"/>
          <w:color w:val="auto"/>
          <w:kern w:val="1"/>
          <w:sz w:val="24"/>
          <w:szCs w:val="24"/>
          <w:highlight w:val="none"/>
          <w:lang w:val="en-US" w:eastAsia="zh-CN"/>
        </w:rPr>
        <w:t>行业</w:t>
      </w:r>
      <w:r>
        <w:rPr>
          <w:rFonts w:hint="eastAsia" w:ascii="宋体" w:hAnsi="宋体" w:eastAsia="宋体" w:cs="宋体"/>
          <w:color w:val="auto"/>
          <w:kern w:val="1"/>
          <w:sz w:val="24"/>
          <w:szCs w:val="24"/>
          <w:highlight w:val="none"/>
          <w:lang w:eastAsia="zh-CN"/>
        </w:rPr>
        <w:t>主管部门颁发的</w:t>
      </w:r>
      <w:r>
        <w:rPr>
          <w:rFonts w:hint="eastAsia" w:hAnsi="宋体" w:cs="宋体"/>
          <w:color w:val="auto"/>
          <w:kern w:val="1"/>
          <w:sz w:val="24"/>
          <w:szCs w:val="24"/>
          <w:highlight w:val="none"/>
          <w:lang w:val="en-US" w:eastAsia="zh-CN"/>
        </w:rPr>
        <w:t>有效期内的</w:t>
      </w:r>
      <w:r>
        <w:rPr>
          <w:rFonts w:hint="eastAsia" w:ascii="宋体" w:hAnsi="宋体" w:eastAsia="宋体" w:cs="宋体"/>
          <w:color w:val="auto"/>
          <w:kern w:val="1"/>
          <w:sz w:val="24"/>
          <w:szCs w:val="24"/>
          <w:highlight w:val="none"/>
          <w:lang w:eastAsia="zh-CN"/>
        </w:rPr>
        <w:t>《建设工程质量检测机构资质证书》或《水利工程质量检测单位资质等级证书》</w:t>
      </w:r>
      <w:r>
        <w:rPr>
          <w:rFonts w:hint="eastAsia" w:ascii="宋体" w:hAnsi="宋体" w:cs="宋体"/>
          <w:color w:val="auto"/>
          <w:kern w:val="1"/>
          <w:sz w:val="24"/>
          <w:szCs w:val="24"/>
          <w:highlight w:val="none"/>
          <w:lang w:val="en-US" w:eastAsia="zh-CN"/>
        </w:rPr>
        <w:t>；</w:t>
      </w:r>
      <w:r>
        <w:rPr>
          <w:rFonts w:hint="eastAsia" w:ascii="宋体" w:hAnsi="宋体" w:eastAsia="宋体" w:cs="宋体"/>
          <w:color w:val="auto"/>
          <w:kern w:val="1"/>
          <w:sz w:val="24"/>
          <w:szCs w:val="24"/>
          <w:highlight w:val="none"/>
          <w:lang w:eastAsia="zh-CN"/>
        </w:rPr>
        <w:t>项目负责人具备</w:t>
      </w:r>
      <w:r>
        <w:rPr>
          <w:rFonts w:hint="eastAsia" w:ascii="宋体" w:hAnsi="宋体" w:cs="宋体"/>
          <w:color w:val="auto"/>
          <w:kern w:val="1"/>
          <w:sz w:val="24"/>
          <w:szCs w:val="24"/>
          <w:highlight w:val="none"/>
          <w:lang w:val="en-US" w:eastAsia="zh-CN"/>
        </w:rPr>
        <w:t>工程类</w:t>
      </w:r>
      <w:r>
        <w:rPr>
          <w:rFonts w:hint="eastAsia" w:ascii="宋体" w:hAnsi="宋体" w:eastAsia="宋体" w:cs="宋体"/>
          <w:color w:val="auto"/>
          <w:kern w:val="1"/>
          <w:sz w:val="24"/>
          <w:szCs w:val="24"/>
          <w:highlight w:val="none"/>
          <w:lang w:eastAsia="zh-CN"/>
        </w:rPr>
        <w:t>关专业</w:t>
      </w:r>
      <w:r>
        <w:rPr>
          <w:rFonts w:hint="eastAsia" w:hAnsi="宋体" w:cs="宋体"/>
          <w:color w:val="auto"/>
          <w:kern w:val="1"/>
          <w:sz w:val="24"/>
          <w:szCs w:val="24"/>
          <w:highlight w:val="none"/>
          <w:lang w:eastAsia="zh-CN"/>
        </w:rPr>
        <w:t>中级及以上职称</w:t>
      </w:r>
      <w:r>
        <w:rPr>
          <w:rFonts w:hint="eastAsia" w:ascii="宋体" w:hAnsi="宋体" w:eastAsia="宋体" w:cs="宋体"/>
          <w:color w:val="auto"/>
          <w:kern w:val="1"/>
          <w:sz w:val="24"/>
          <w:szCs w:val="24"/>
          <w:highlight w:val="none"/>
          <w:lang w:eastAsia="zh-CN"/>
        </w:rPr>
        <w:t>。</w:t>
      </w:r>
      <w:r>
        <w:rPr>
          <w:rFonts w:hint="eastAsia" w:asciiTheme="minorEastAsia" w:hAnsiTheme="minorEastAsia" w:eastAsiaTheme="minorEastAsia"/>
          <w:b/>
          <w:bCs/>
          <w:color w:val="auto"/>
          <w:sz w:val="24"/>
          <w:highlight w:val="none"/>
          <w:lang w:val="en-US" w:eastAsia="zh-CN"/>
        </w:rPr>
        <w:t>（必须提供）</w:t>
      </w:r>
      <w:r>
        <w:rPr>
          <w:rFonts w:hint="eastAsia" w:asciiTheme="minorEastAsia" w:hAnsiTheme="minorEastAsia" w:eastAsiaTheme="minorEastAsia"/>
          <w:color w:val="auto"/>
          <w:sz w:val="24"/>
          <w:highlight w:val="none"/>
          <w:lang w:val="en-US" w:eastAsia="zh-CN"/>
        </w:rPr>
        <w:t>。</w:t>
      </w:r>
    </w:p>
    <w:p w14:paraId="554C0D74">
      <w:pPr>
        <w:pStyle w:val="32"/>
        <w:numPr>
          <w:ilvl w:val="0"/>
          <w:numId w:val="0"/>
        </w:numPr>
        <w:spacing w:line="360" w:lineRule="auto"/>
        <w:ind w:firstLine="480" w:firstLineChars="200"/>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kern w:val="2"/>
          <w:sz w:val="24"/>
          <w:szCs w:val="20"/>
          <w:highlight w:val="none"/>
          <w:lang w:val="en-US" w:eastAsia="zh-CN" w:bidi="ar-SA"/>
        </w:rPr>
        <w:t>（5）</w:t>
      </w:r>
      <w:r>
        <w:rPr>
          <w:rFonts w:hint="eastAsia" w:asciiTheme="minorEastAsia" w:hAnsiTheme="minorEastAsia" w:eastAsiaTheme="minorEastAsia"/>
          <w:color w:val="auto"/>
          <w:sz w:val="24"/>
          <w:highlight w:val="none"/>
          <w:lang w:val="en-US" w:eastAsia="zh-CN"/>
        </w:rPr>
        <w:t>竞标声明（格式后附）；</w:t>
      </w:r>
      <w:r>
        <w:rPr>
          <w:rFonts w:hint="eastAsia" w:asciiTheme="minorEastAsia" w:hAnsiTheme="minorEastAsia" w:eastAsiaTheme="minorEastAsia"/>
          <w:b/>
          <w:bCs/>
          <w:color w:val="auto"/>
          <w:sz w:val="24"/>
          <w:highlight w:val="none"/>
          <w:lang w:val="en-US" w:eastAsia="zh-CN"/>
        </w:rPr>
        <w:t>（必须提供</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联合体各方需分别提供）</w:t>
      </w:r>
    </w:p>
    <w:p w14:paraId="07EB7C41">
      <w:pPr>
        <w:pStyle w:val="32"/>
        <w:numPr>
          <w:ilvl w:val="0"/>
          <w:numId w:val="0"/>
        </w:numPr>
        <w:spacing w:line="360" w:lineRule="auto"/>
        <w:ind w:firstLine="480" w:firstLineChars="200"/>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（6）联合协议（格式后附）；</w:t>
      </w:r>
      <w:r>
        <w:rPr>
          <w:rFonts w:hint="eastAsia" w:asciiTheme="minorEastAsia" w:hAnsiTheme="minorEastAsia" w:eastAsiaTheme="minorEastAsia"/>
          <w:b/>
          <w:bCs/>
          <w:color w:val="auto"/>
          <w:sz w:val="24"/>
          <w:highlight w:val="none"/>
          <w:lang w:val="en-US" w:eastAsia="zh-CN"/>
        </w:rPr>
        <w:t>（如为联合体参与磋商则必须提供）</w:t>
      </w:r>
    </w:p>
    <w:p w14:paraId="151ED49E">
      <w:pPr>
        <w:pStyle w:val="32"/>
        <w:numPr>
          <w:ilvl w:val="0"/>
          <w:numId w:val="0"/>
        </w:numPr>
        <w:spacing w:line="360" w:lineRule="auto"/>
        <w:ind w:firstLine="480" w:firstLineChars="200"/>
        <w:rPr>
          <w:rFonts w:hint="eastAsia" w:asciiTheme="minorEastAsia" w:hAnsiTheme="minorEastAsia" w:eastAsiaTheme="minorEastAsia"/>
          <w:color w:val="auto"/>
          <w:sz w:val="24"/>
          <w:highlight w:val="none"/>
          <w:lang w:val="en-US" w:eastAsia="zh-CN"/>
        </w:rPr>
      </w:pPr>
      <w:r>
        <w:rPr>
          <w:rFonts w:hint="eastAsia" w:cs="Times New Roman" w:asciiTheme="minorEastAsia" w:hAnsiTheme="minorEastAsia" w:eastAsiaTheme="minorEastAsia"/>
          <w:color w:val="auto"/>
          <w:kern w:val="2"/>
          <w:sz w:val="24"/>
          <w:szCs w:val="20"/>
          <w:highlight w:val="none"/>
          <w:lang w:val="en-US" w:eastAsia="zh-CN" w:bidi="ar-SA"/>
        </w:rPr>
        <w:t>（7）</w:t>
      </w:r>
      <w:r>
        <w:rPr>
          <w:rFonts w:hint="eastAsia" w:asciiTheme="minorEastAsia" w:hAnsiTheme="minorEastAsia" w:eastAsiaTheme="minorEastAsia"/>
          <w:color w:val="auto"/>
          <w:sz w:val="24"/>
          <w:highlight w:val="none"/>
          <w:lang w:val="en-US" w:eastAsia="zh-CN"/>
        </w:rPr>
        <w:t>供应商认为需要提供的其他资格文件。</w:t>
      </w:r>
    </w:p>
    <w:p w14:paraId="2692F21D">
      <w:pPr>
        <w:pStyle w:val="32"/>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lang w:val="en-US" w:eastAsia="zh-CN"/>
        </w:rPr>
        <w:t xml:space="preserve">2.2 </w:t>
      </w:r>
      <w:r>
        <w:rPr>
          <w:rFonts w:hint="eastAsia" w:asciiTheme="minorEastAsia" w:hAnsiTheme="minorEastAsia" w:eastAsiaTheme="minorEastAsia"/>
          <w:b/>
          <w:bCs/>
          <w:color w:val="auto"/>
          <w:sz w:val="24"/>
          <w:highlight w:val="none"/>
        </w:rPr>
        <w:t>报价文件</w:t>
      </w:r>
      <w:r>
        <w:rPr>
          <w:rFonts w:hint="eastAsia" w:asciiTheme="minorEastAsia" w:hAnsiTheme="minorEastAsia" w:eastAsiaTheme="minorEastAsia"/>
          <w:b/>
          <w:bCs/>
          <w:color w:val="auto"/>
          <w:sz w:val="24"/>
          <w:highlight w:val="none"/>
          <w:lang w:eastAsia="zh-CN"/>
        </w:rPr>
        <w:t>：</w:t>
      </w:r>
    </w:p>
    <w:p w14:paraId="45B3438B">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竞标报价表（格式后附）；</w:t>
      </w:r>
      <w:r>
        <w:rPr>
          <w:rFonts w:hint="eastAsia" w:asciiTheme="minorEastAsia" w:hAnsiTheme="minorEastAsia" w:eastAsiaTheme="minorEastAsia"/>
          <w:b/>
          <w:bCs/>
          <w:color w:val="auto"/>
          <w:sz w:val="24"/>
          <w:highlight w:val="none"/>
        </w:rPr>
        <w:t>（必须提供）</w:t>
      </w:r>
    </w:p>
    <w:p w14:paraId="2EF71890">
      <w:pPr>
        <w:pStyle w:val="32"/>
        <w:spacing w:line="360" w:lineRule="auto"/>
        <w:ind w:firstLine="480" w:firstLineChars="200"/>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中小企业声明函</w:t>
      </w:r>
      <w:r>
        <w:rPr>
          <w:rFonts w:hint="eastAsia" w:asciiTheme="minorEastAsia" w:hAnsiTheme="minorEastAsia" w:eastAsiaTheme="minorEastAsia"/>
          <w:color w:val="auto"/>
          <w:sz w:val="24"/>
          <w:highlight w:val="none"/>
          <w:lang w:val="en-US" w:eastAsia="zh-CN"/>
        </w:rPr>
        <w:t>；监狱企业、残疾人福利性单位视同小型和微型企业，需提供监狱企业证明材料、残疾人福利性单位声明函。</w:t>
      </w:r>
      <w:r>
        <w:rPr>
          <w:rFonts w:hint="eastAsia" w:asciiTheme="minorEastAsia" w:hAnsiTheme="minorEastAsia" w:eastAsiaTheme="minorEastAsia"/>
          <w:b/>
          <w:bCs/>
          <w:color w:val="auto"/>
          <w:sz w:val="24"/>
          <w:highlight w:val="none"/>
        </w:rPr>
        <w:t>（格式</w:t>
      </w:r>
      <w:r>
        <w:rPr>
          <w:rFonts w:hint="eastAsia" w:asciiTheme="minorEastAsia" w:hAnsiTheme="minorEastAsia" w:eastAsiaTheme="minorEastAsia"/>
          <w:b/>
          <w:bCs/>
          <w:color w:val="auto"/>
          <w:sz w:val="24"/>
          <w:highlight w:val="none"/>
          <w:lang w:val="en-US" w:eastAsia="zh-CN"/>
        </w:rPr>
        <w:t>后附</w:t>
      </w:r>
      <w:r>
        <w:rPr>
          <w:rFonts w:hint="eastAsia" w:asciiTheme="minorEastAsia" w:hAnsiTheme="minorEastAsia" w:eastAsiaTheme="minorEastAsia"/>
          <w:b/>
          <w:bCs/>
          <w:color w:val="auto"/>
          <w:sz w:val="24"/>
          <w:highlight w:val="none"/>
        </w:rPr>
        <w:t>）</w:t>
      </w:r>
    </w:p>
    <w:p w14:paraId="7E3327E1">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供应商认为需要提供的其他</w:t>
      </w:r>
      <w:r>
        <w:rPr>
          <w:rFonts w:hint="eastAsia" w:asciiTheme="minorEastAsia" w:hAnsiTheme="minorEastAsia" w:eastAsiaTheme="minorEastAsia"/>
          <w:color w:val="auto"/>
          <w:sz w:val="24"/>
          <w:highlight w:val="none"/>
          <w:lang w:val="en-US" w:eastAsia="zh-CN"/>
        </w:rPr>
        <w:t>报价文件</w:t>
      </w:r>
      <w:r>
        <w:rPr>
          <w:rFonts w:hint="eastAsia" w:asciiTheme="minorEastAsia" w:hAnsiTheme="minorEastAsia" w:eastAsiaTheme="minorEastAsia"/>
          <w:color w:val="auto"/>
          <w:sz w:val="24"/>
          <w:highlight w:val="none"/>
        </w:rPr>
        <w:t>。</w:t>
      </w:r>
    </w:p>
    <w:p w14:paraId="2CFAC955">
      <w:pPr>
        <w:pStyle w:val="32"/>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lang w:val="en-US" w:eastAsia="zh-CN"/>
        </w:rPr>
        <w:t xml:space="preserve">2.3 </w:t>
      </w:r>
      <w:r>
        <w:rPr>
          <w:rFonts w:hint="eastAsia" w:asciiTheme="minorEastAsia" w:hAnsiTheme="minorEastAsia" w:eastAsiaTheme="minorEastAsia"/>
          <w:b/>
          <w:bCs/>
          <w:color w:val="auto"/>
          <w:sz w:val="24"/>
          <w:highlight w:val="none"/>
        </w:rPr>
        <w:t>商务技术文件</w:t>
      </w:r>
      <w:r>
        <w:rPr>
          <w:rFonts w:hint="eastAsia" w:asciiTheme="minorEastAsia" w:hAnsiTheme="minorEastAsia" w:eastAsiaTheme="minorEastAsia"/>
          <w:b/>
          <w:bCs/>
          <w:color w:val="auto"/>
          <w:sz w:val="24"/>
          <w:highlight w:val="none"/>
          <w:lang w:eastAsia="zh-CN"/>
        </w:rPr>
        <w:t>：</w:t>
      </w:r>
    </w:p>
    <w:p w14:paraId="7734ECA1">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磋商书</w:t>
      </w:r>
      <w:r>
        <w:rPr>
          <w:rFonts w:hint="eastAsia" w:asciiTheme="minorEastAsia" w:hAnsiTheme="minorEastAsia" w:eastAsiaTheme="minorEastAsia"/>
          <w:color w:val="auto"/>
          <w:sz w:val="24"/>
          <w:highlight w:val="none"/>
        </w:rPr>
        <w:t>（格式后附）；</w:t>
      </w:r>
      <w:r>
        <w:rPr>
          <w:rFonts w:hint="eastAsia" w:asciiTheme="minorEastAsia" w:hAnsiTheme="minorEastAsia" w:eastAsiaTheme="minorEastAsia"/>
          <w:b/>
          <w:bCs/>
          <w:color w:val="auto"/>
          <w:sz w:val="24"/>
          <w:highlight w:val="none"/>
        </w:rPr>
        <w:t>（必须提供）</w:t>
      </w:r>
    </w:p>
    <w:p w14:paraId="35C19A09">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承诺函（格式后附）；</w:t>
      </w:r>
      <w:r>
        <w:rPr>
          <w:rFonts w:hint="eastAsia" w:asciiTheme="minorEastAsia" w:hAnsiTheme="minorEastAsia" w:eastAsiaTheme="minorEastAsia"/>
          <w:b/>
          <w:bCs/>
          <w:color w:val="auto"/>
          <w:sz w:val="24"/>
          <w:highlight w:val="none"/>
        </w:rPr>
        <w:t>（必须提供）</w:t>
      </w:r>
    </w:p>
    <w:p w14:paraId="334E108D">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法定代表人（负责人）授权委托书和委托代理人身份证复印件（委托代理时必须提供，必须提供），法定代表人（负责人）参加磋商时，提供法定代表人（负责人）身份证明书和身份证复印件（格式</w:t>
      </w:r>
      <w:r>
        <w:rPr>
          <w:rFonts w:hint="eastAsia" w:asciiTheme="minorEastAsia" w:hAnsiTheme="minorEastAsia" w:eastAsiaTheme="minorEastAsia"/>
          <w:color w:val="auto"/>
          <w:sz w:val="24"/>
          <w:highlight w:val="none"/>
          <w:lang w:val="en-US" w:eastAsia="zh-CN"/>
        </w:rPr>
        <w:t>后附</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（必须提供）</w:t>
      </w:r>
      <w:r>
        <w:rPr>
          <w:rFonts w:hint="eastAsia" w:asciiTheme="minorEastAsia" w:hAnsiTheme="minorEastAsia" w:eastAsiaTheme="minorEastAsia"/>
          <w:color w:val="auto"/>
          <w:sz w:val="24"/>
          <w:highlight w:val="none"/>
        </w:rPr>
        <w:t>；</w:t>
      </w:r>
    </w:p>
    <w:p w14:paraId="78D068CE">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lang w:eastAsia="zh-CN"/>
        </w:rPr>
        <w:t>）</w:t>
      </w:r>
      <w:r>
        <w:rPr>
          <w:rFonts w:hint="eastAsia" w:ascii="宋体" w:hAnsi="宋体"/>
          <w:color w:val="auto"/>
          <w:sz w:val="24"/>
          <w:highlight w:val="none"/>
        </w:rPr>
        <w:t>商务、服务（技术）响应、偏离情况说明表</w:t>
      </w:r>
      <w:r>
        <w:rPr>
          <w:rFonts w:hint="eastAsia" w:asciiTheme="minorEastAsia" w:hAnsiTheme="minorEastAsia" w:eastAsiaTheme="minorEastAsia"/>
          <w:color w:val="auto"/>
          <w:sz w:val="24"/>
          <w:highlight w:val="none"/>
        </w:rPr>
        <w:t>（格式后附）；</w:t>
      </w:r>
      <w:r>
        <w:rPr>
          <w:rFonts w:hint="eastAsia" w:asciiTheme="minorEastAsia" w:hAnsiTheme="minorEastAsia" w:eastAsiaTheme="minorEastAsia"/>
          <w:b/>
          <w:bCs/>
          <w:color w:val="auto"/>
          <w:sz w:val="24"/>
          <w:highlight w:val="none"/>
        </w:rPr>
        <w:t>（必须提供）</w:t>
      </w:r>
    </w:p>
    <w:p w14:paraId="16976CC4">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人员</w:t>
      </w:r>
      <w:r>
        <w:rPr>
          <w:rFonts w:hint="eastAsia" w:asciiTheme="minorEastAsia" w:hAnsiTheme="minorEastAsia" w:eastAsiaTheme="minorEastAsia"/>
          <w:color w:val="auto"/>
          <w:sz w:val="24"/>
          <w:highlight w:val="none"/>
        </w:rPr>
        <w:t>配备情况表；</w:t>
      </w:r>
      <w:r>
        <w:rPr>
          <w:rFonts w:hint="eastAsia" w:asciiTheme="minorEastAsia" w:hAnsiTheme="minorEastAsia" w:eastAsiaTheme="minorEastAsia"/>
          <w:b/>
          <w:bCs/>
          <w:color w:val="auto"/>
          <w:sz w:val="24"/>
          <w:highlight w:val="none"/>
        </w:rPr>
        <w:t>（必须提供）</w:t>
      </w:r>
    </w:p>
    <w:p w14:paraId="061E6A27">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服务承诺</w:t>
      </w:r>
      <w:r>
        <w:rPr>
          <w:rFonts w:hint="eastAsia" w:asciiTheme="minorEastAsia" w:hAnsiTheme="minorEastAsia" w:eastAsiaTheme="minorEastAsia"/>
          <w:color w:val="auto"/>
          <w:sz w:val="24"/>
          <w:highlight w:val="none"/>
        </w:rPr>
        <w:t>（格式自拟）；</w:t>
      </w:r>
      <w:r>
        <w:rPr>
          <w:rFonts w:hint="eastAsia" w:asciiTheme="minorEastAsia" w:hAnsiTheme="minorEastAsia" w:eastAsiaTheme="minorEastAsia"/>
          <w:b/>
          <w:bCs/>
          <w:color w:val="auto"/>
          <w:sz w:val="24"/>
          <w:highlight w:val="none"/>
        </w:rPr>
        <w:t>（必须提供）</w:t>
      </w:r>
    </w:p>
    <w:p w14:paraId="179C832E">
      <w:pPr>
        <w:pStyle w:val="32"/>
        <w:spacing w:line="360" w:lineRule="auto"/>
        <w:ind w:firstLine="480"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项目实施方案</w:t>
      </w:r>
      <w:r>
        <w:rPr>
          <w:rFonts w:hint="eastAsia" w:asciiTheme="minorEastAsia" w:hAnsiTheme="minorEastAsia" w:eastAsiaTheme="minorEastAsia"/>
          <w:color w:val="auto"/>
          <w:sz w:val="24"/>
          <w:highlight w:val="none"/>
        </w:rPr>
        <w:t>（格式自拟）；</w:t>
      </w:r>
      <w:r>
        <w:rPr>
          <w:rFonts w:hint="eastAsia" w:asciiTheme="minorEastAsia" w:hAnsiTheme="minorEastAsia" w:eastAsiaTheme="minorEastAsia"/>
          <w:b/>
          <w:bCs/>
          <w:color w:val="auto"/>
          <w:sz w:val="24"/>
          <w:highlight w:val="none"/>
        </w:rPr>
        <w:t>（必须提供）</w:t>
      </w:r>
    </w:p>
    <w:p w14:paraId="03BAF675">
      <w:pPr>
        <w:pStyle w:val="32"/>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供应商认为需要提供的其他</w:t>
      </w:r>
      <w:r>
        <w:rPr>
          <w:rFonts w:hint="eastAsia" w:asciiTheme="minorEastAsia" w:hAnsiTheme="minorEastAsia" w:eastAsiaTheme="minorEastAsia"/>
          <w:color w:val="auto"/>
          <w:sz w:val="24"/>
          <w:highlight w:val="none"/>
          <w:lang w:val="en-US" w:eastAsia="zh-CN"/>
        </w:rPr>
        <w:t>商务技术文件</w:t>
      </w:r>
      <w:r>
        <w:rPr>
          <w:rFonts w:hint="eastAsia" w:asciiTheme="minorEastAsia" w:hAnsiTheme="minorEastAsia" w:eastAsiaTheme="minorEastAsia"/>
          <w:color w:val="auto"/>
          <w:sz w:val="24"/>
          <w:highlight w:val="none"/>
        </w:rPr>
        <w:t>。</w:t>
      </w:r>
    </w:p>
    <w:p w14:paraId="780E525F">
      <w:pPr>
        <w:pStyle w:val="32"/>
        <w:spacing w:line="360" w:lineRule="auto"/>
        <w:ind w:firstLine="482" w:firstLineChars="200"/>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注：以上标明“必须提供”的材料</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供应商需按照要求如实提供，否则按响应无效处理。</w:t>
      </w:r>
      <w:r>
        <w:rPr>
          <w:rFonts w:hint="eastAsia" w:asciiTheme="minorEastAsia" w:hAnsiTheme="minorEastAsia" w:eastAsiaTheme="minorEastAsia"/>
          <w:b/>
          <w:bCs/>
          <w:color w:val="auto"/>
          <w:sz w:val="24"/>
          <w:highlight w:val="none"/>
        </w:rPr>
        <w:t>属于复印件的，</w:t>
      </w:r>
      <w:r>
        <w:rPr>
          <w:rFonts w:hint="eastAsia" w:asciiTheme="minorEastAsia" w:hAnsiTheme="minorEastAsia" w:eastAsiaTheme="minorEastAsia"/>
          <w:b/>
          <w:bCs/>
          <w:color w:val="auto"/>
          <w:sz w:val="24"/>
          <w:highlight w:val="none"/>
          <w:lang w:val="en-US" w:eastAsia="zh-CN"/>
        </w:rPr>
        <w:t>需</w:t>
      </w:r>
      <w:r>
        <w:rPr>
          <w:rFonts w:hint="eastAsia" w:asciiTheme="minorEastAsia" w:hAnsiTheme="minorEastAsia" w:eastAsiaTheme="minorEastAsia"/>
          <w:b/>
          <w:bCs/>
          <w:color w:val="auto"/>
          <w:sz w:val="24"/>
          <w:highlight w:val="none"/>
        </w:rPr>
        <w:t>加盖供应商电子签章。</w:t>
      </w:r>
    </w:p>
    <w:p w14:paraId="2B1527AB">
      <w:pPr>
        <w:pStyle w:val="32"/>
        <w:spacing w:line="360" w:lineRule="auto"/>
        <w:ind w:firstLine="482" w:firstLineChars="200"/>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3. 响应文件的编制和签署</w:t>
      </w:r>
    </w:p>
    <w:p w14:paraId="2A9EE87F">
      <w:pPr>
        <w:spacing w:line="360" w:lineRule="auto"/>
        <w:ind w:firstLine="480" w:firstLineChars="200"/>
        <w:rPr>
          <w:rFonts w:hint="eastAsia" w:cs="仿宋_GB2312" w:asciiTheme="minorEastAsia" w:hAnsiTheme="minorEastAsia" w:eastAsiaTheme="minorEastAsia"/>
          <w:b/>
          <w:color w:val="auto"/>
          <w:sz w:val="24"/>
          <w:highlight w:val="none"/>
        </w:rPr>
      </w:pPr>
      <w:r>
        <w:rPr>
          <w:rFonts w:hint="eastAsia" w:cs="仿宋_GB2312" w:asciiTheme="minorEastAsia" w:hAnsiTheme="minorEastAsia" w:eastAsiaTheme="minorEastAsia"/>
          <w:color w:val="auto"/>
          <w:kern w:val="0"/>
          <w:sz w:val="24"/>
          <w:highlight w:val="none"/>
          <w:lang w:val="zh-CN"/>
        </w:rPr>
        <w:t>3.1各供应商在编制响应文件时请按照磋商文件第七部分规定的格式进行，混乱的编排导致响应文件被误读或磋商小组查找不到有效文件是供应商的风险。</w:t>
      </w:r>
    </w:p>
    <w:p w14:paraId="09BB8632">
      <w:pPr>
        <w:spacing w:line="360" w:lineRule="auto"/>
        <w:ind w:firstLine="480" w:firstLineChars="20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3.2供应商进行电子交易应安装客户端软件—“广西政府采购云平台电子交易客户端”，并按照磋商文件和电子交易平台的要求编制并加密响应文件。供应商未按规定加密的响应文件，电子交易平台将拒收并提示。</w:t>
      </w:r>
    </w:p>
    <w:p w14:paraId="5E85A8B3">
      <w:pPr>
        <w:spacing w:line="360" w:lineRule="auto"/>
        <w:ind w:firstLine="480" w:firstLineChars="20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3.3使用“广西政府采购云平台电子交易客户端”需要提前申领CA数字证书，申领流程请自行前往“</w:t>
      </w:r>
      <w:r>
        <w:rPr>
          <w:rFonts w:hint="eastAsia" w:ascii="宋体" w:hAnsi="宋体" w:cs="宋体"/>
          <w:color w:val="auto"/>
          <w:sz w:val="24"/>
          <w:highlight w:val="none"/>
        </w:rPr>
        <w:t>广西政府采购网（http://zfcg.gxzf.gov.cn/）—办事服务—下载专区</w:t>
      </w:r>
      <w:r>
        <w:rPr>
          <w:rFonts w:hint="eastAsia" w:ascii="宋体" w:hAnsi="宋体" w:cs="宋体"/>
          <w:color w:val="auto"/>
          <w:kern w:val="0"/>
          <w:sz w:val="24"/>
          <w:highlight w:val="none"/>
          <w:lang w:val="zh-CN"/>
        </w:rPr>
        <w:t>”进行查阅</w:t>
      </w:r>
    </w:p>
    <w:p w14:paraId="07E42F4D">
      <w:pPr>
        <w:pStyle w:val="393"/>
        <w:snapToGrid w:val="0"/>
        <w:spacing w:before="0"/>
        <w:ind w:firstLine="480"/>
        <w:rPr>
          <w:rFonts w:hint="eastAsia" w:cs="仿宋_GB2312" w:asciiTheme="minorEastAsia" w:hAnsiTheme="minorEastAsia" w:eastAsiaTheme="minorEastAsia"/>
          <w:b/>
          <w:color w:val="auto"/>
          <w:highlight w:val="none"/>
        </w:rPr>
      </w:pPr>
      <w:r>
        <w:rPr>
          <w:rFonts w:hint="eastAsia" w:cs="仿宋_GB2312" w:asciiTheme="minorEastAsia" w:hAnsiTheme="minorEastAsia" w:eastAsiaTheme="minorEastAsia"/>
          <w:color w:val="auto"/>
          <w:szCs w:val="24"/>
          <w:highlight w:val="none"/>
        </w:rPr>
        <w:t>3.4响应文件按照磋商文件第七部分格式要</w:t>
      </w:r>
      <w:r>
        <w:rPr>
          <w:rFonts w:hint="eastAsia" w:cs="仿宋_GB2312" w:asciiTheme="minorEastAsia" w:hAnsiTheme="minorEastAsia" w:eastAsiaTheme="minorEastAsia"/>
          <w:color w:val="auto"/>
          <w:highlight w:val="none"/>
        </w:rPr>
        <w:t>求进行签署、盖章。</w:t>
      </w:r>
      <w:r>
        <w:rPr>
          <w:rFonts w:hint="eastAsia" w:asciiTheme="minorEastAsia" w:hAnsiTheme="minorEastAsia" w:eastAsiaTheme="minorEastAsia"/>
          <w:b/>
          <w:color w:val="auto"/>
          <w:highlight w:val="none"/>
        </w:rPr>
        <w:t>▲</w:t>
      </w:r>
      <w:r>
        <w:rPr>
          <w:rFonts w:hint="eastAsia" w:cs="仿宋_GB2312" w:asciiTheme="minorEastAsia" w:hAnsiTheme="minorEastAsia" w:eastAsiaTheme="minorEastAsia"/>
          <w:b/>
          <w:color w:val="auto"/>
          <w:highlight w:val="none"/>
        </w:rPr>
        <w:t>供应商的响应文件未按照磋商文件要求签署、盖章的，其响应无效</w:t>
      </w:r>
      <w:r>
        <w:rPr>
          <w:rFonts w:hint="eastAsia" w:cs="仿宋_GB2312" w:asciiTheme="minorEastAsia" w:hAnsiTheme="minorEastAsia" w:eastAsiaTheme="minorEastAsia"/>
          <w:color w:val="auto"/>
          <w:szCs w:val="24"/>
          <w:highlight w:val="none"/>
        </w:rPr>
        <w:t>。</w:t>
      </w:r>
    </w:p>
    <w:p w14:paraId="160A9D4D">
      <w:pPr>
        <w:pStyle w:val="393"/>
        <w:snapToGrid w:val="0"/>
        <w:spacing w:before="0"/>
        <w:ind w:firstLine="480"/>
        <w:rPr>
          <w:rFonts w:hint="eastAsia" w:cs="宋体" w:asciiTheme="minorEastAsia" w:hAnsiTheme="minorEastAsia" w:eastAsiaTheme="minorEastAsia"/>
          <w:color w:val="auto"/>
          <w:highlight w:val="none"/>
        </w:rPr>
      </w:pPr>
      <w:r>
        <w:rPr>
          <w:rFonts w:hint="eastAsia" w:cs="仿宋_GB2312" w:asciiTheme="minorEastAsia" w:hAnsiTheme="minorEastAsia" w:eastAsiaTheme="minorEastAsia"/>
          <w:color w:val="auto"/>
          <w:szCs w:val="24"/>
          <w:highlight w:val="none"/>
        </w:rPr>
        <w:t>3.5为确保网上操作合法、有效和安全，供应商应当在响应截止时间前完成在“广西政府采购云平台”的身份认证，确保在电子交易过程中能够对相关数据电文进行加密和使用电子签名。</w:t>
      </w:r>
    </w:p>
    <w:p w14:paraId="39B62B4A">
      <w:pPr>
        <w:pStyle w:val="393"/>
        <w:snapToGrid w:val="0"/>
        <w:spacing w:before="0"/>
        <w:ind w:firstLine="480"/>
        <w:rPr>
          <w:rFonts w:hint="eastAsia" w:cs="宋体" w:asciiTheme="minorEastAsia" w:hAnsiTheme="minorEastAsia" w:eastAsiaTheme="minorEastAsia"/>
          <w:color w:val="auto"/>
          <w:szCs w:val="24"/>
          <w:highlight w:val="none"/>
        </w:rPr>
      </w:pPr>
      <w:r>
        <w:rPr>
          <w:rFonts w:hint="eastAsia" w:cs="宋体" w:asciiTheme="minorEastAsia" w:hAnsiTheme="minorEastAsia" w:eastAsiaTheme="minorEastAsia"/>
          <w:color w:val="auto"/>
          <w:highlight w:val="none"/>
        </w:rPr>
        <w:t>3.6磋商文件对响应文件签</w:t>
      </w:r>
      <w:r>
        <w:rPr>
          <w:rFonts w:hint="eastAsia" w:ascii="宋体" w:hAnsi="宋体" w:cs="宋体"/>
          <w:color w:val="auto"/>
          <w:highlight w:val="none"/>
        </w:rPr>
        <w:t>署、盖章的要求适用于电子签名、CA签章以及</w:t>
      </w:r>
      <w:r>
        <w:rPr>
          <w:rFonts w:hint="eastAsia" w:cs="宋体" w:asciiTheme="minorEastAsia" w:hAnsiTheme="minorEastAsia" w:eastAsiaTheme="minorEastAsia"/>
          <w:color w:val="auto"/>
          <w:highlight w:val="none"/>
        </w:rPr>
        <w:t>磋商</w:t>
      </w:r>
      <w:r>
        <w:rPr>
          <w:rFonts w:hint="eastAsia" w:ascii="宋体" w:hAnsi="宋体" w:cs="宋体"/>
          <w:color w:val="auto"/>
          <w:highlight w:val="none"/>
        </w:rPr>
        <w:t>文件明确允许的其他方式。</w:t>
      </w:r>
    </w:p>
    <w:p w14:paraId="5773CD6F">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p>
    <w:p w14:paraId="38DF9A95">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七、</w:t>
      </w:r>
      <w:r>
        <w:rPr>
          <w:rFonts w:hint="eastAsia" w:asciiTheme="minorEastAsia" w:hAnsiTheme="minorEastAsia" w:eastAsiaTheme="minorEastAsia"/>
          <w:b/>
          <w:color w:val="auto"/>
          <w:sz w:val="32"/>
          <w:szCs w:val="32"/>
          <w:highlight w:val="none"/>
        </w:rPr>
        <w:t>响应</w:t>
      </w:r>
      <w:r>
        <w:rPr>
          <w:rFonts w:hint="eastAsia" w:cs="仿宋_GB2312" w:asciiTheme="minorEastAsia" w:hAnsiTheme="minorEastAsia" w:eastAsiaTheme="minorEastAsia"/>
          <w:b/>
          <w:color w:val="auto"/>
          <w:sz w:val="32"/>
          <w:szCs w:val="20"/>
          <w:highlight w:val="none"/>
        </w:rPr>
        <w:t>文件的提交和备份</w:t>
      </w:r>
    </w:p>
    <w:p w14:paraId="1D3B497B">
      <w:pPr>
        <w:pStyle w:val="393"/>
        <w:spacing w:before="0"/>
        <w:ind w:firstLine="0" w:firstLineChars="0"/>
        <w:rPr>
          <w:rFonts w:hint="eastAsia" w:cs="仿宋_GB2312" w:asciiTheme="minorEastAsia" w:hAnsiTheme="minorEastAsia" w:eastAsiaTheme="minorEastAsia"/>
          <w:b/>
          <w:color w:val="auto"/>
          <w:szCs w:val="24"/>
          <w:highlight w:val="none"/>
        </w:rPr>
      </w:pPr>
    </w:p>
    <w:p w14:paraId="20294797">
      <w:pPr>
        <w:pStyle w:val="393"/>
        <w:spacing w:before="0"/>
        <w:ind w:firstLine="0" w:firstLineChars="0"/>
        <w:rPr>
          <w:rFonts w:hint="eastAsia" w:cs="仿宋_GB2312" w:asciiTheme="minorEastAsia" w:hAnsiTheme="minorEastAsia" w:eastAsiaTheme="minorEastAsia"/>
          <w:b/>
          <w:color w:val="auto"/>
          <w:szCs w:val="24"/>
          <w:highlight w:val="none"/>
        </w:rPr>
      </w:pPr>
      <w:r>
        <w:rPr>
          <w:rFonts w:hint="eastAsia" w:cs="仿宋_GB2312" w:asciiTheme="minorEastAsia" w:hAnsiTheme="minorEastAsia" w:eastAsiaTheme="minorEastAsia"/>
          <w:b/>
          <w:color w:val="auto"/>
          <w:szCs w:val="24"/>
          <w:highlight w:val="none"/>
        </w:rPr>
        <w:t>1.响应文件的提交、补充、修改、撤回</w:t>
      </w:r>
    </w:p>
    <w:p w14:paraId="320A0BBB">
      <w:pPr>
        <w:pStyle w:val="393"/>
        <w:ind w:firstLine="480"/>
        <w:rPr>
          <w:rFonts w:hint="eastAsia" w:cs="仿宋_GB2312" w:asciiTheme="minorEastAsia" w:hAnsiTheme="minorEastAsia" w:eastAsiaTheme="minorEastAsia"/>
          <w:color w:val="auto"/>
          <w:szCs w:val="24"/>
          <w:highlight w:val="none"/>
        </w:rPr>
      </w:pPr>
      <w:r>
        <w:rPr>
          <w:rFonts w:hint="eastAsia" w:cs="仿宋_GB2312" w:asciiTheme="minorEastAsia" w:hAnsiTheme="minorEastAsia" w:eastAsiaTheme="minorEastAsia"/>
          <w:color w:val="auto"/>
          <w:szCs w:val="24"/>
          <w:highlight w:val="none"/>
        </w:rPr>
        <w:t>1.1 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截止时间后提交的响应文件，电子交易平台将拒收。</w:t>
      </w:r>
    </w:p>
    <w:p w14:paraId="4A1896B0">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 在响应截止时间以后，不能补充、修改响应文件。</w:t>
      </w:r>
    </w:p>
    <w:p w14:paraId="3856201D">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 在提交“最后报价”后，供应商不能退出磋商。</w:t>
      </w:r>
    </w:p>
    <w:p w14:paraId="15526883">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 电子交易平台收到响应文件，将妥善保存并即时向供应商发出确认回执通知。在响应截止时间前，除供应商补充、修改或者撤回响应文件外，任何单位和个人不得解密或提取响应文件。</w:t>
      </w:r>
    </w:p>
    <w:p w14:paraId="3B27B341">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 采购代理机构可以视情况延长提交响应文件的截止时间。在上述情况下，采购代理机构与供应商以前在响应截止期方面的全部权利、责任和义务，将适用于延长至新的响应截止期。</w:t>
      </w:r>
    </w:p>
    <w:p w14:paraId="54BCE906">
      <w:pPr>
        <w:pStyle w:val="32"/>
        <w:spacing w:line="360" w:lineRule="auto"/>
        <w:rPr>
          <w:rFonts w:hint="default" w:cs="仿宋_GB2312" w:asciiTheme="minorEastAsia" w:hAnsiTheme="minorEastAsia" w:eastAsiaTheme="minorEastAsia"/>
          <w:b/>
          <w:color w:val="auto"/>
          <w:sz w:val="24"/>
          <w:szCs w:val="24"/>
          <w:highlight w:val="none"/>
          <w:lang w:val="en-US" w:eastAsia="zh-CN"/>
        </w:rPr>
      </w:pPr>
      <w:r>
        <w:rPr>
          <w:rFonts w:hint="eastAsia" w:cs="仿宋_GB2312" w:asciiTheme="minorEastAsia" w:hAnsiTheme="minorEastAsia" w:eastAsiaTheme="minorEastAsia"/>
          <w:b/>
          <w:color w:val="auto"/>
          <w:sz w:val="24"/>
          <w:szCs w:val="24"/>
          <w:highlight w:val="none"/>
        </w:rPr>
        <w:t>2.备份响应文件</w:t>
      </w:r>
      <w:r>
        <w:rPr>
          <w:rFonts w:hint="eastAsia" w:cs="仿宋_GB2312" w:asciiTheme="minorEastAsia" w:hAnsiTheme="minorEastAsia" w:eastAsiaTheme="minorEastAsia"/>
          <w:b/>
          <w:color w:val="auto"/>
          <w:sz w:val="24"/>
          <w:szCs w:val="24"/>
          <w:highlight w:val="none"/>
          <w:lang w:eastAsia="zh-CN"/>
        </w:rPr>
        <w:t>（</w:t>
      </w:r>
      <w:r>
        <w:rPr>
          <w:rFonts w:hint="eastAsia" w:cs="仿宋_GB2312" w:asciiTheme="minorEastAsia" w:hAnsiTheme="minorEastAsia" w:eastAsiaTheme="minorEastAsia"/>
          <w:b/>
          <w:color w:val="auto"/>
          <w:sz w:val="24"/>
          <w:szCs w:val="24"/>
          <w:highlight w:val="none"/>
          <w:lang w:val="en-US" w:eastAsia="zh-CN"/>
        </w:rPr>
        <w:t>注：本项目不要求提供备份响应文件）</w:t>
      </w:r>
    </w:p>
    <w:p w14:paraId="5075E924">
      <w:pPr>
        <w:pStyle w:val="32"/>
        <w:spacing w:line="360" w:lineRule="auto"/>
        <w:ind w:firstLine="480"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color w:val="auto"/>
          <w:sz w:val="24"/>
          <w:szCs w:val="24"/>
          <w:highlight w:val="none"/>
        </w:rPr>
        <w:t>2.1 供应商在电子交易平台传输提交响应文件后，还可以在响应截止时间前直接提交或者以邮政快递方式递交备份响应文件1份，</w:t>
      </w:r>
      <w:r>
        <w:rPr>
          <w:rFonts w:hint="eastAsia" w:cs="仿宋_GB2312" w:asciiTheme="minorEastAsia" w:hAnsiTheme="minorEastAsia" w:eastAsiaTheme="minorEastAsia"/>
          <w:b/>
          <w:color w:val="auto"/>
          <w:sz w:val="24"/>
          <w:szCs w:val="24"/>
          <w:highlight w:val="none"/>
        </w:rPr>
        <w:t>但采购人、采购代理机构不强制或变相强制供应商提交备份响应文件。</w:t>
      </w:r>
    </w:p>
    <w:p w14:paraId="6814FC4D">
      <w:pPr>
        <w:pStyle w:val="32"/>
        <w:spacing w:line="360" w:lineRule="auto"/>
        <w:ind w:firstLine="480"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color w:val="auto"/>
          <w:sz w:val="24"/>
          <w:szCs w:val="24"/>
          <w:highlight w:val="none"/>
        </w:rPr>
        <w:t>2.2 备份响应文件须在“广西政府采购云平台投标客户端”制作生成，并储存在不可修改的</w:t>
      </w:r>
      <w:r>
        <w:rPr>
          <w:rFonts w:hint="eastAsia" w:asciiTheme="minorEastAsia" w:hAnsiTheme="minorEastAsia" w:eastAsiaTheme="minorEastAsia"/>
          <w:b/>
          <w:color w:val="auto"/>
          <w:sz w:val="24"/>
          <w:highlight w:val="none"/>
        </w:rPr>
        <w:t>电子光盘等存储介质</w:t>
      </w:r>
      <w:r>
        <w:rPr>
          <w:rFonts w:hint="eastAsia" w:cs="仿宋_GB2312" w:asciiTheme="minorEastAsia" w:hAnsiTheme="minorEastAsia" w:eastAsiaTheme="minorEastAsia"/>
          <w:color w:val="auto"/>
          <w:sz w:val="24"/>
          <w:szCs w:val="24"/>
          <w:highlight w:val="none"/>
        </w:rPr>
        <w:t>中。备份响应文件应当密封包装并在包装上加盖公章并注明响应项目名称，供应商名称(联合体响应的，包装物封面需注明联合体响应，并注明联合体成员各方的名称和联合体协议中约定的牵头人的名称)。</w:t>
      </w:r>
      <w:r>
        <w:rPr>
          <w:rFonts w:hint="eastAsia" w:asciiTheme="minorEastAsia" w:hAnsiTheme="minorEastAsia" w:eastAsiaTheme="minorEastAsia"/>
          <w:b/>
          <w:color w:val="auto"/>
          <w:sz w:val="24"/>
          <w:highlight w:val="none"/>
        </w:rPr>
        <w:t>▲不符合上述制作、</w:t>
      </w:r>
      <w:r>
        <w:rPr>
          <w:rFonts w:hint="eastAsia" w:cs="仿宋_GB2312" w:asciiTheme="minorEastAsia" w:hAnsiTheme="minorEastAsia" w:eastAsiaTheme="minorEastAsia"/>
          <w:b/>
          <w:color w:val="auto"/>
          <w:sz w:val="24"/>
          <w:szCs w:val="24"/>
          <w:highlight w:val="none"/>
        </w:rPr>
        <w:t>存储、密封规定的备份响应文件将被视为无效或者被拒绝接收。</w:t>
      </w:r>
    </w:p>
    <w:p w14:paraId="0752EBC1">
      <w:pPr>
        <w:pStyle w:val="32"/>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2.3 直接提交备份响应文件的，供应商应于响应截止时间前在磋商公告中载明的开启响应文件的地点将备份响应文件提交给采购代理机构，采购代理机构将拒绝接受逾期送达的备份响应文件。</w:t>
      </w:r>
    </w:p>
    <w:p w14:paraId="186F072D">
      <w:pPr>
        <w:pStyle w:val="32"/>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2.4 以邮政快递方式递交备份响应文件的，供应商应先将备份响应文件按要求密封和标记，再进行邮政快递包装后邮寄。备份响应文件须在提交响应文件截止时间之前送达</w:t>
      </w:r>
      <w:r>
        <w:rPr>
          <w:rFonts w:hint="eastAsia" w:cs="宋体" w:asciiTheme="minorEastAsia" w:hAnsiTheme="minorEastAsia" w:eastAsiaTheme="minorEastAsia"/>
          <w:color w:val="auto"/>
          <w:sz w:val="24"/>
          <w:szCs w:val="24"/>
          <w:highlight w:val="none"/>
        </w:rPr>
        <w:t>磋商文件第三部分供应商须知前附表规定的备份响应文件送达地点</w:t>
      </w:r>
      <w:r>
        <w:rPr>
          <w:rFonts w:hint="eastAsia" w:cs="仿宋_GB2312" w:asciiTheme="minorEastAsia" w:hAnsiTheme="minorEastAsia" w:eastAsiaTheme="minorEastAsia"/>
          <w:color w:val="auto"/>
          <w:sz w:val="24"/>
          <w:szCs w:val="24"/>
          <w:highlight w:val="none"/>
        </w:rPr>
        <w:t>；送达时间以签收人签收时间为准。采购代理机构将拒绝接受逾期送达的备份响应文件。邮寄过程中，电子备份响应文件发生泄露、遗失、损坏或延期送达等情况的，由供应商自行负责。</w:t>
      </w:r>
    </w:p>
    <w:p w14:paraId="3160F06A">
      <w:pPr>
        <w:pStyle w:val="32"/>
        <w:spacing w:line="360" w:lineRule="auto"/>
        <w:ind w:firstLine="482"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b/>
          <w:color w:val="auto"/>
          <w:sz w:val="24"/>
          <w:szCs w:val="24"/>
          <w:highlight w:val="none"/>
        </w:rPr>
        <w:t xml:space="preserve">2.5 </w:t>
      </w:r>
      <w:r>
        <w:rPr>
          <w:rFonts w:hint="eastAsia" w:asciiTheme="minorEastAsia" w:hAnsiTheme="minorEastAsia" w:eastAsiaTheme="minorEastAsia"/>
          <w:b/>
          <w:color w:val="auto"/>
          <w:sz w:val="24"/>
          <w:highlight w:val="none"/>
        </w:rPr>
        <w:t>▲</w:t>
      </w:r>
      <w:r>
        <w:rPr>
          <w:rFonts w:hint="eastAsia" w:cs="仿宋_GB2312" w:asciiTheme="minorEastAsia" w:hAnsiTheme="minorEastAsia" w:eastAsiaTheme="minorEastAsia"/>
          <w:b/>
          <w:color w:val="auto"/>
          <w:sz w:val="24"/>
          <w:szCs w:val="24"/>
          <w:highlight w:val="none"/>
        </w:rPr>
        <w:t>供应商仅提交备份响应文件，未在电子交易平台传输提交响应文件的，响应无效。</w:t>
      </w:r>
    </w:p>
    <w:p w14:paraId="27882801">
      <w:pPr>
        <w:spacing w:line="360" w:lineRule="auto"/>
        <w:rPr>
          <w:rFonts w:hint="default" w:ascii="宋体" w:hAnsi="宋体" w:eastAsia="宋体" w:cs="宋体"/>
          <w:b/>
          <w:snapToGrid w:val="0"/>
          <w:color w:val="auto"/>
          <w:highlight w:val="none"/>
          <w:lang w:val="en-US" w:eastAsia="zh-CN"/>
        </w:rPr>
      </w:pPr>
      <w:r>
        <w:rPr>
          <w:rFonts w:hint="eastAsia" w:cs="仿宋_GB2312" w:asciiTheme="minorEastAsia" w:hAnsiTheme="minorEastAsia" w:eastAsiaTheme="minorEastAsia"/>
          <w:b/>
          <w:color w:val="auto"/>
          <w:sz w:val="24"/>
          <w:highlight w:val="none"/>
        </w:rPr>
        <w:t>3.</w:t>
      </w:r>
      <w:r>
        <w:rPr>
          <w:rFonts w:hint="eastAsia" w:ascii="宋体" w:hAnsi="宋体" w:cs="宋体"/>
          <w:b/>
          <w:snapToGrid w:val="0"/>
          <w:color w:val="auto"/>
          <w:kern w:val="28"/>
          <w:sz w:val="24"/>
          <w:highlight w:val="none"/>
        </w:rPr>
        <w:t>磋商保证金</w:t>
      </w:r>
      <w:r>
        <w:rPr>
          <w:rFonts w:hint="eastAsia" w:ascii="宋体" w:hAnsi="宋体" w:cs="宋体"/>
          <w:b/>
          <w:snapToGrid w:val="0"/>
          <w:color w:val="auto"/>
          <w:kern w:val="28"/>
          <w:sz w:val="24"/>
          <w:highlight w:val="none"/>
          <w:lang w:eastAsia="zh-CN"/>
        </w:rPr>
        <w:t>（</w:t>
      </w:r>
      <w:r>
        <w:rPr>
          <w:rFonts w:hint="eastAsia" w:ascii="宋体" w:hAnsi="宋体" w:cs="宋体"/>
          <w:b/>
          <w:snapToGrid w:val="0"/>
          <w:color w:val="auto"/>
          <w:kern w:val="28"/>
          <w:sz w:val="24"/>
          <w:highlight w:val="none"/>
          <w:lang w:val="en-US" w:eastAsia="zh-CN"/>
        </w:rPr>
        <w:t>注：本项目不要求提交磋商保证金）</w:t>
      </w:r>
    </w:p>
    <w:p w14:paraId="6D4528AC">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3.1</w:t>
      </w:r>
      <w:r>
        <w:rPr>
          <w:rFonts w:hint="eastAsia" w:hAnsi="宋体" w:cs="宋体"/>
          <w:color w:val="auto"/>
          <w:sz w:val="24"/>
          <w:highlight w:val="none"/>
        </w:rPr>
        <w:t>采购人在采购文件中要求提交</w:t>
      </w:r>
      <w:r>
        <w:rPr>
          <w:rFonts w:hint="eastAsia" w:ascii="宋体" w:hAnsi="宋体" w:cs="宋体"/>
          <w:color w:val="auto"/>
          <w:sz w:val="24"/>
          <w:highlight w:val="none"/>
        </w:rPr>
        <w:t>磋商</w:t>
      </w:r>
      <w:r>
        <w:rPr>
          <w:rFonts w:hint="eastAsia" w:hAnsi="宋体" w:cs="宋体"/>
          <w:color w:val="auto"/>
          <w:sz w:val="24"/>
          <w:highlight w:val="none"/>
        </w:rPr>
        <w:t>保证金的，</w:t>
      </w:r>
      <w:r>
        <w:rPr>
          <w:rFonts w:hint="eastAsia" w:ascii="宋体" w:hAnsi="宋体" w:cs="宋体"/>
          <w:color w:val="auto"/>
          <w:sz w:val="24"/>
          <w:highlight w:val="none"/>
        </w:rPr>
        <w:t>磋商</w:t>
      </w:r>
      <w:r>
        <w:rPr>
          <w:rFonts w:hint="eastAsia" w:hAnsi="宋体" w:cs="宋体"/>
          <w:color w:val="auto"/>
          <w:sz w:val="24"/>
          <w:highlight w:val="none"/>
        </w:rPr>
        <w:t>保证金的数额不得超过采购项目预算金额的1%，鼓励对诚信记录良好的供应商免收或者减少收取</w:t>
      </w:r>
      <w:r>
        <w:rPr>
          <w:rFonts w:hint="eastAsia" w:ascii="宋体" w:hAnsi="宋体" w:cs="宋体"/>
          <w:color w:val="auto"/>
          <w:sz w:val="24"/>
          <w:highlight w:val="none"/>
        </w:rPr>
        <w:t>磋商</w:t>
      </w:r>
      <w:r>
        <w:rPr>
          <w:rFonts w:hint="eastAsia" w:hAnsi="宋体" w:cs="宋体"/>
          <w:color w:val="auto"/>
          <w:sz w:val="24"/>
          <w:highlight w:val="none"/>
        </w:rPr>
        <w:t>保证金，对于需要收取保证金的政府采购项目，政府采购信用白名单供应商可以免于缴纳保证金，降低信用白名单供应商参与政府采购活动成本。</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保证金应当以支票、汇票、本票或者金融机构、担保机构出具的保函等非现金形式提交。</w:t>
      </w:r>
    </w:p>
    <w:p w14:paraId="071CF8E8">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磋商保证金收取银行账户</w:t>
      </w:r>
    </w:p>
    <w:p w14:paraId="42069A0E">
      <w:pPr>
        <w:snapToGrid w:val="0"/>
        <w:spacing w:line="360" w:lineRule="auto"/>
        <w:ind w:firstLine="480" w:firstLineChars="200"/>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开户名称：</w:t>
      </w:r>
      <w:r>
        <w:rPr>
          <w:rFonts w:hint="eastAsia" w:ascii="宋体" w:hAnsi="宋体" w:cs="宋体"/>
          <w:color w:val="auto"/>
          <w:sz w:val="24"/>
          <w:highlight w:val="none"/>
          <w:lang w:val="en-US" w:eastAsia="zh-CN"/>
        </w:rPr>
        <w:t>/</w:t>
      </w:r>
    </w:p>
    <w:p w14:paraId="3A4060A1">
      <w:pPr>
        <w:snapToGrid w:val="0"/>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开户银行：</w:t>
      </w:r>
      <w:r>
        <w:rPr>
          <w:rFonts w:hint="eastAsia" w:ascii="宋体" w:hAnsi="宋体" w:cs="宋体"/>
          <w:color w:val="auto"/>
          <w:sz w:val="24"/>
          <w:highlight w:val="none"/>
          <w:lang w:val="en-US" w:eastAsia="zh-CN"/>
        </w:rPr>
        <w:t>/</w:t>
      </w:r>
    </w:p>
    <w:p w14:paraId="4EFAF8B0">
      <w:pPr>
        <w:snapToGrid w:val="0"/>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银行账号：</w:t>
      </w:r>
      <w:r>
        <w:rPr>
          <w:rFonts w:hint="eastAsia" w:ascii="宋体" w:hAnsi="宋体" w:cs="宋体"/>
          <w:color w:val="auto"/>
          <w:sz w:val="24"/>
          <w:highlight w:val="none"/>
          <w:lang w:val="en-US" w:eastAsia="zh-CN"/>
        </w:rPr>
        <w:t>/</w:t>
      </w:r>
    </w:p>
    <w:p w14:paraId="7D742482">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3.2</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在响应文件提交截止时间前撤回已提交的响应文件的，采购人或者采购代理机构应当自收到</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书面撤回通知之日起５个工作日内，退还已收取的</w:t>
      </w:r>
      <w:r>
        <w:rPr>
          <w:rFonts w:hint="eastAsia" w:ascii="宋体" w:hAnsi="宋体" w:cs="宋体"/>
          <w:color w:val="auto"/>
          <w:sz w:val="24"/>
          <w:highlight w:val="none"/>
        </w:rPr>
        <w:t>磋商</w:t>
      </w:r>
      <w:r>
        <w:rPr>
          <w:rFonts w:hint="eastAsia" w:ascii="宋体" w:hAnsi="宋体" w:cs="宋体"/>
          <w:snapToGrid w:val="0"/>
          <w:color w:val="auto"/>
          <w:kern w:val="28"/>
          <w:sz w:val="24"/>
          <w:szCs w:val="20"/>
          <w:highlight w:val="none"/>
        </w:rPr>
        <w:t>保证金，但因</w:t>
      </w:r>
      <w:r>
        <w:rPr>
          <w:rFonts w:hint="eastAsia" w:ascii="宋体" w:hAnsi="宋体" w:cs="宋体"/>
          <w:color w:val="auto"/>
          <w:sz w:val="24"/>
          <w:highlight w:val="none"/>
        </w:rPr>
        <w:t>磋商供应商</w:t>
      </w:r>
      <w:r>
        <w:rPr>
          <w:rFonts w:hint="eastAsia" w:ascii="宋体" w:hAnsi="宋体" w:cs="宋体"/>
          <w:snapToGrid w:val="0"/>
          <w:color w:val="auto"/>
          <w:kern w:val="28"/>
          <w:sz w:val="24"/>
          <w:szCs w:val="20"/>
          <w:highlight w:val="none"/>
        </w:rPr>
        <w:t>自身原因导致无法及时退还的除外。</w:t>
      </w:r>
    </w:p>
    <w:p w14:paraId="39D578A2">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采购人或者采购代理机构应当自成交通知书发出之日起5个工作日内退还未成交供应商的磋商保证金，自采购合同签订之日起5个工作日内退还成交供应商的磋商保证金或者转为成交供应商的履约保证金。</w:t>
      </w:r>
    </w:p>
    <w:p w14:paraId="4B873DC0">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采购人或者采购代理机构逾期退还磋商保证金的，除应当退还磋商保证金本金外，还应当按中国人民银行同期贷款基准利率上浮20％后的利率支付超期资金占用费，但因供应商自身原因导致无法及时退还的除外。</w:t>
      </w:r>
    </w:p>
    <w:p w14:paraId="2B7B033D">
      <w:pPr>
        <w:widowControl/>
        <w:snapToGrid w:val="0"/>
        <w:spacing w:line="360" w:lineRule="auto"/>
        <w:ind w:firstLine="470" w:firstLineChars="196"/>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3.3有下列情形之一的，磋商保证金不予退还：（一）供应商在提交响应文件截止时间后撤回响应文件的，但在提交最后报价之前退出磋商的情况除；（二）供应商在响应文件中提供虚假材料的；（三）除因不可抗力或磋商文件认可的情形以外，成交供应商不与采购人签订合同的；（四）供应商与采购人、其他供应商或者采购代理机构恶意串通的；（五）磋商文件规定的其他情形。</w:t>
      </w:r>
    </w:p>
    <w:p w14:paraId="5B9F28E6">
      <w:pPr>
        <w:spacing w:line="360" w:lineRule="auto"/>
        <w:ind w:firstLine="480" w:firstLineChars="200"/>
        <w:rPr>
          <w:rFonts w:hint="eastAsia" w:asciiTheme="minorEastAsia" w:hAnsiTheme="minorEastAsia" w:eastAsiaTheme="minorEastAsia"/>
          <w:color w:val="auto"/>
          <w:sz w:val="24"/>
          <w:highlight w:val="none"/>
        </w:rPr>
      </w:pPr>
    </w:p>
    <w:p w14:paraId="7296190B">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八、</w:t>
      </w:r>
      <w:r>
        <w:rPr>
          <w:rFonts w:hint="eastAsia" w:asciiTheme="minorEastAsia" w:hAnsiTheme="minorEastAsia" w:eastAsiaTheme="minorEastAsia"/>
          <w:b/>
          <w:color w:val="auto"/>
          <w:sz w:val="32"/>
          <w:szCs w:val="32"/>
          <w:highlight w:val="none"/>
        </w:rPr>
        <w:t>开启响应文件与信用信息查询</w:t>
      </w:r>
    </w:p>
    <w:p w14:paraId="2E4A898F">
      <w:pPr>
        <w:pStyle w:val="32"/>
        <w:spacing w:line="360" w:lineRule="auto"/>
        <w:rPr>
          <w:rFonts w:hint="eastAsia"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b/>
          <w:color w:val="auto"/>
          <w:sz w:val="24"/>
          <w:szCs w:val="24"/>
          <w:highlight w:val="none"/>
        </w:rPr>
        <w:t>1. 开启响应文件</w:t>
      </w:r>
    </w:p>
    <w:p w14:paraId="3C41DA3F">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1.1 采购代理机构按照磋商文件规定的时间通过电子交易平台组织响应文件开启，所有供应商均应当准时在线参加。</w:t>
      </w:r>
      <w:r>
        <w:rPr>
          <w:rFonts w:hint="eastAsia" w:cs="仿宋_GB2312" w:asciiTheme="minorEastAsia" w:hAnsiTheme="minorEastAsia" w:eastAsiaTheme="minorEastAsia"/>
          <w:b/>
          <w:color w:val="auto"/>
          <w:sz w:val="24"/>
          <w:szCs w:val="24"/>
          <w:highlight w:val="none"/>
        </w:rPr>
        <w:t>供应商数量不符合规定的，不得开启响应文件。</w:t>
      </w:r>
    </w:p>
    <w:p w14:paraId="404040FF">
      <w:pPr>
        <w:pStyle w:val="32"/>
        <w:spacing w:line="360" w:lineRule="auto"/>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1.2开启响应文件时，电子交易平台按开启响应文件时间自动提取所有响应文件。采购代理机构依托电子交易平台发起开始解密指令，供应商按照平台提示和磋商文件的规定在半小时内完成在线解密。</w:t>
      </w:r>
    </w:p>
    <w:p w14:paraId="1E7C4B25">
      <w:pPr>
        <w:pStyle w:val="32"/>
        <w:spacing w:line="360" w:lineRule="auto"/>
        <w:ind w:firstLine="482" w:firstLineChars="200"/>
        <w:rPr>
          <w:rFonts w:cs="仿宋_GB2312" w:asciiTheme="minorEastAsia" w:hAnsiTheme="minorEastAsia" w:eastAsiaTheme="minorEastAsia"/>
          <w:b/>
          <w:color w:val="auto"/>
          <w:sz w:val="24"/>
          <w:szCs w:val="24"/>
          <w:highlight w:val="none"/>
        </w:rPr>
      </w:pPr>
      <w:r>
        <w:rPr>
          <w:rFonts w:hint="eastAsia" w:cs="仿宋_GB2312" w:asciiTheme="minorEastAsia" w:hAnsiTheme="minorEastAsia" w:eastAsiaTheme="minorEastAsia"/>
          <w:b/>
          <w:color w:val="auto"/>
          <w:sz w:val="24"/>
          <w:szCs w:val="24"/>
          <w:highlight w:val="none"/>
        </w:rPr>
        <w:t>1.3响应文件未在规定时间内成功解密的供应商，如提交了备份响应文件的，以备份响应文件作为依据，否则视为响应文件撤回。响应文件解密成功的供应商，其备份响应文件自动失效。</w:t>
      </w:r>
    </w:p>
    <w:p w14:paraId="1C68CEF4">
      <w:pPr>
        <w:pStyle w:val="393"/>
        <w:spacing w:before="0"/>
        <w:ind w:firstLine="0" w:firstLineChars="0"/>
        <w:rPr>
          <w:rFonts w:hint="eastAsia" w:cs="仿宋_GB2312" w:asciiTheme="minorEastAsia" w:hAnsiTheme="minorEastAsia" w:eastAsiaTheme="minorEastAsia"/>
          <w:b/>
          <w:color w:val="auto"/>
          <w:szCs w:val="24"/>
          <w:highlight w:val="none"/>
        </w:rPr>
      </w:pPr>
      <w:r>
        <w:rPr>
          <w:rFonts w:hint="eastAsia" w:cs="仿宋_GB2312" w:asciiTheme="minorEastAsia" w:hAnsiTheme="minorEastAsia" w:eastAsiaTheme="minorEastAsia"/>
          <w:b/>
          <w:color w:val="auto"/>
          <w:szCs w:val="24"/>
          <w:highlight w:val="none"/>
        </w:rPr>
        <w:t>2.信用信息查询</w:t>
      </w:r>
    </w:p>
    <w:p w14:paraId="69775659">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2.1信用信息查询渠道及截止时间：采购人或采购代理机构将通过“信用中国”网站(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69"/>
          <w:rFonts w:hint="eastAsia" w:asciiTheme="minorEastAsia" w:hAnsiTheme="minorEastAsia" w:eastAsiaTheme="minorEastAsia"/>
          <w:snapToGrid/>
          <w:color w:val="auto"/>
          <w:sz w:val="24"/>
          <w:szCs w:val="24"/>
          <w:highlight w:val="none"/>
        </w:rPr>
        <w:t>www.creditchina.gov.cn</w:t>
      </w:r>
      <w:r>
        <w:rPr>
          <w:rStyle w:val="69"/>
          <w:rFonts w:hint="eastAsia" w:asciiTheme="minorEastAsia" w:hAnsiTheme="minorEastAsia" w:eastAsiaTheme="minorEastAsia"/>
          <w:snapToGrid/>
          <w:color w:val="auto"/>
          <w:sz w:val="24"/>
          <w:szCs w:val="24"/>
          <w:highlight w:val="none"/>
        </w:rPr>
        <w:fldChar w:fldCharType="end"/>
      </w:r>
      <w:r>
        <w:rPr>
          <w:rFonts w:hint="eastAsia" w:cs="Arial" w:asciiTheme="minorEastAsia" w:hAnsiTheme="minorEastAsia" w:eastAsiaTheme="minorEastAsia"/>
          <w:color w:val="auto"/>
          <w:kern w:val="0"/>
          <w:szCs w:val="24"/>
          <w:highlight w:val="none"/>
        </w:rPr>
        <w:t>)、中国政府采购网(www.ccgp.gov.cn)渠道查询供应商响应截止时间前的信用记录。</w:t>
      </w:r>
    </w:p>
    <w:p w14:paraId="22BC52D4">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2.2信用信息查询记录和证据留存的具体方式：现场查询的供应商的信用记录、查询结果经确认后存档。</w:t>
      </w:r>
    </w:p>
    <w:p w14:paraId="5993EF63">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2.3信用信息的使用规则：经查询列入失信被执行人名单、重大税收违法案件当事人名单、政府采购严重违法失信行为记录名单的供应商将被拒绝参与政府采购活动。</w:t>
      </w:r>
    </w:p>
    <w:p w14:paraId="38027112">
      <w:pPr>
        <w:pStyle w:val="393"/>
        <w:spacing w:before="0"/>
        <w:ind w:firstLine="480"/>
        <w:rPr>
          <w:rFonts w:hint="eastAsia" w:cs="Arial" w:asciiTheme="minorEastAsia" w:hAnsiTheme="minorEastAsia" w:eastAsiaTheme="minorEastAsia"/>
          <w:color w:val="auto"/>
          <w:kern w:val="0"/>
          <w:szCs w:val="24"/>
          <w:highlight w:val="none"/>
        </w:rPr>
      </w:pPr>
      <w:r>
        <w:rPr>
          <w:rFonts w:hint="eastAsia" w:cs="Arial" w:asciiTheme="minorEastAsia" w:hAnsiTheme="minorEastAsia" w:eastAsiaTheme="minorEastAsia"/>
          <w:color w:val="auto"/>
          <w:kern w:val="0"/>
          <w:szCs w:val="24"/>
          <w:highlight w:val="none"/>
        </w:rPr>
        <w:t>2.4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631E287">
      <w:pPr>
        <w:pStyle w:val="32"/>
        <w:spacing w:line="360" w:lineRule="auto"/>
        <w:rPr>
          <w:rFonts w:hint="eastAsia" w:cs="仿宋_GB2312" w:asciiTheme="minorEastAsia" w:hAnsiTheme="minorEastAsia" w:eastAsiaTheme="minorEastAsia"/>
          <w:b/>
          <w:color w:val="auto"/>
          <w:sz w:val="24"/>
          <w:szCs w:val="24"/>
          <w:highlight w:val="none"/>
        </w:rPr>
      </w:pPr>
    </w:p>
    <w:p w14:paraId="24408B17">
      <w:pPr>
        <w:adjustRightInd/>
        <w:spacing w:line="360" w:lineRule="auto"/>
        <w:jc w:val="center"/>
        <w:outlineLvl w:val="1"/>
        <w:rPr>
          <w:rFonts w:hint="eastAsia" w:asciiTheme="minorEastAsia" w:hAnsiTheme="minorEastAsia" w:eastAsiaTheme="minorEastAsia"/>
          <w:b/>
          <w:color w:val="auto"/>
          <w:sz w:val="32"/>
          <w:szCs w:val="32"/>
          <w:highlight w:val="none"/>
        </w:rPr>
      </w:pPr>
      <w:r>
        <w:rPr>
          <w:rFonts w:hint="eastAsia" w:cs="仿宋_GB2312" w:asciiTheme="minorEastAsia" w:hAnsiTheme="minorEastAsia" w:eastAsiaTheme="minorEastAsia"/>
          <w:b/>
          <w:color w:val="auto"/>
          <w:sz w:val="32"/>
          <w:highlight w:val="none"/>
        </w:rPr>
        <w:t>九</w:t>
      </w:r>
      <w:r>
        <w:rPr>
          <w:rFonts w:hint="eastAsia" w:cs="仿宋_GB2312" w:asciiTheme="minorEastAsia" w:hAnsiTheme="minorEastAsia" w:eastAsiaTheme="minorEastAsia"/>
          <w:b/>
          <w:color w:val="auto"/>
          <w:sz w:val="32"/>
          <w:szCs w:val="20"/>
          <w:highlight w:val="none"/>
        </w:rPr>
        <w:t>、提交</w:t>
      </w:r>
      <w:r>
        <w:rPr>
          <w:rFonts w:hint="eastAsia" w:asciiTheme="minorEastAsia" w:hAnsiTheme="minorEastAsia" w:eastAsiaTheme="minorEastAsia"/>
          <w:b/>
          <w:color w:val="auto"/>
          <w:sz w:val="32"/>
          <w:szCs w:val="32"/>
          <w:highlight w:val="none"/>
        </w:rPr>
        <w:t>最后报价</w:t>
      </w:r>
    </w:p>
    <w:p w14:paraId="766DB97D">
      <w:pPr>
        <w:snapToGrid w:val="0"/>
        <w:spacing w:line="360" w:lineRule="auto"/>
        <w:rPr>
          <w:rFonts w:hint="eastAsia" w:cs="仿宋_GB2312" w:asciiTheme="minorEastAsia" w:hAnsiTheme="minorEastAsia" w:eastAsiaTheme="minorEastAsia"/>
          <w:color w:val="auto"/>
          <w:sz w:val="24"/>
          <w:highlight w:val="none"/>
          <w:u w:val="single"/>
          <w:lang w:val="zh-CN"/>
        </w:rPr>
      </w:pPr>
      <w:r>
        <w:rPr>
          <w:rFonts w:hint="eastAsia" w:asciiTheme="minorEastAsia" w:hAnsiTheme="minorEastAsia" w:eastAsiaTheme="minorEastAsia"/>
          <w:b/>
          <w:color w:val="auto"/>
          <w:sz w:val="24"/>
          <w:highlight w:val="none"/>
        </w:rPr>
        <w:t>1.</w:t>
      </w:r>
      <w:r>
        <w:rPr>
          <w:rFonts w:hint="eastAsia" w:cs="仿宋_GB2312" w:asciiTheme="minorEastAsia" w:hAnsiTheme="minorEastAsia" w:eastAsiaTheme="minorEastAsia"/>
          <w:color w:val="auto"/>
          <w:sz w:val="24"/>
          <w:highlight w:val="none"/>
        </w:rPr>
        <w:t>供应商的</w:t>
      </w:r>
      <w:r>
        <w:rPr>
          <w:rFonts w:hint="eastAsia" w:cs="仿宋_GB2312" w:asciiTheme="minorEastAsia" w:hAnsiTheme="minorEastAsia" w:eastAsiaTheme="minorEastAsia"/>
          <w:b/>
          <w:color w:val="auto"/>
          <w:sz w:val="24"/>
          <w:highlight w:val="none"/>
        </w:rPr>
        <w:t>最后报价文件</w:t>
      </w:r>
      <w:r>
        <w:rPr>
          <w:rFonts w:hint="eastAsia" w:cs="仿宋_GB2312" w:asciiTheme="minorEastAsia" w:hAnsiTheme="minorEastAsia" w:eastAsiaTheme="minorEastAsia"/>
          <w:color w:val="auto"/>
          <w:sz w:val="24"/>
          <w:highlight w:val="none"/>
        </w:rPr>
        <w:t>应包括以下内容：</w:t>
      </w:r>
    </w:p>
    <w:p w14:paraId="756F795B">
      <w:pPr>
        <w:pStyle w:val="32"/>
        <w:snapToGrid w:val="0"/>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1.1最后报价一览表；</w:t>
      </w:r>
    </w:p>
    <w:p w14:paraId="4A241CFE">
      <w:pPr>
        <w:pStyle w:val="32"/>
        <w:snapToGrid w:val="0"/>
        <w:spacing w:line="360" w:lineRule="auto"/>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1.2中小企业声明函（如果有）。</w:t>
      </w:r>
    </w:p>
    <w:p w14:paraId="4F364E5D">
      <w:pPr>
        <w:pStyle w:val="32"/>
        <w:snapToGrid w:val="0"/>
        <w:spacing w:line="360" w:lineRule="auto"/>
        <w:ind w:firstLine="480" w:firstLineChars="200"/>
        <w:rPr>
          <w:rFonts w:hint="eastAsia" w:cs="仿宋_GB2312" w:asciiTheme="minorEastAsia" w:hAnsiTheme="minorEastAsia" w:eastAsiaTheme="minorEastAsia"/>
          <w:color w:val="auto"/>
          <w:sz w:val="24"/>
          <w:szCs w:val="24"/>
          <w:highlight w:val="none"/>
        </w:rPr>
      </w:pPr>
    </w:p>
    <w:p w14:paraId="68F365C2">
      <w:pPr>
        <w:adjustRightInd/>
        <w:spacing w:line="360" w:lineRule="auto"/>
        <w:jc w:val="center"/>
        <w:rPr>
          <w:rFonts w:hint="eastAsia" w:cs="仿宋_GB2312" w:asciiTheme="minorEastAsia" w:hAnsiTheme="minorEastAsia" w:eastAsiaTheme="minorEastAsia"/>
          <w:b/>
          <w:color w:val="auto"/>
          <w:sz w:val="32"/>
          <w:szCs w:val="20"/>
          <w:highlight w:val="none"/>
        </w:rPr>
      </w:pPr>
    </w:p>
    <w:p w14:paraId="2C87905E">
      <w:pPr>
        <w:adjustRightInd/>
        <w:spacing w:line="360" w:lineRule="auto"/>
        <w:jc w:val="center"/>
        <w:outlineLvl w:val="1"/>
        <w:rPr>
          <w:rFonts w:hint="eastAsia" w:cs="仿宋_GB2312" w:asciiTheme="minorEastAsia" w:hAnsiTheme="minorEastAsia" w:eastAsiaTheme="minorEastAsia"/>
          <w:b/>
          <w:color w:val="auto"/>
          <w:sz w:val="32"/>
          <w:highlight w:val="none"/>
        </w:rPr>
      </w:pPr>
      <w:r>
        <w:rPr>
          <w:rFonts w:hint="eastAsia" w:cs="仿宋_GB2312" w:asciiTheme="minorEastAsia" w:hAnsiTheme="minorEastAsia" w:eastAsiaTheme="minorEastAsia"/>
          <w:b/>
          <w:color w:val="auto"/>
          <w:sz w:val="32"/>
          <w:szCs w:val="20"/>
          <w:highlight w:val="none"/>
        </w:rPr>
        <w:t>十、</w:t>
      </w:r>
      <w:r>
        <w:rPr>
          <w:rFonts w:hint="eastAsia" w:asciiTheme="minorEastAsia" w:hAnsiTheme="minorEastAsia" w:eastAsiaTheme="minorEastAsia"/>
          <w:b/>
          <w:color w:val="auto"/>
          <w:sz w:val="32"/>
          <w:szCs w:val="32"/>
          <w:highlight w:val="none"/>
        </w:rPr>
        <w:t>评审</w:t>
      </w:r>
    </w:p>
    <w:p w14:paraId="38AA3E5C">
      <w:pPr>
        <w:pStyle w:val="393"/>
        <w:spacing w:before="0"/>
        <w:ind w:firstLine="0" w:firstLineChars="0"/>
        <w:rPr>
          <w:rFonts w:hint="eastAsia" w:cs="仿宋_GB2312" w:asciiTheme="minorEastAsia" w:hAnsiTheme="minorEastAsia" w:eastAsiaTheme="minorEastAsia"/>
          <w:b/>
          <w:color w:val="auto"/>
          <w:highlight w:val="none"/>
        </w:rPr>
      </w:pPr>
      <w:r>
        <w:rPr>
          <w:rFonts w:hint="eastAsia" w:asciiTheme="minorEastAsia" w:hAnsiTheme="minorEastAsia" w:eastAsiaTheme="minorEastAsia"/>
          <w:b/>
          <w:color w:val="auto"/>
          <w:szCs w:val="24"/>
          <w:highlight w:val="none"/>
        </w:rPr>
        <w:t>1.</w:t>
      </w:r>
      <w:r>
        <w:rPr>
          <w:rFonts w:hint="eastAsia" w:cs="仿宋_GB2312" w:asciiTheme="minorEastAsia" w:hAnsiTheme="minorEastAsia" w:eastAsiaTheme="minorEastAsia"/>
          <w:b/>
          <w:color w:val="auto"/>
          <w:highlight w:val="none"/>
        </w:rPr>
        <w:t xml:space="preserve"> 评审方法：</w:t>
      </w:r>
      <w:r>
        <w:rPr>
          <w:rFonts w:hint="eastAsia" w:cs="仿宋_GB2312" w:asciiTheme="minorEastAsia" w:hAnsiTheme="minorEastAsia" w:eastAsiaTheme="minorEastAsia"/>
          <w:color w:val="auto"/>
          <w:highlight w:val="none"/>
        </w:rPr>
        <w:t>综合评分法。</w:t>
      </w:r>
    </w:p>
    <w:p w14:paraId="2B17BF39">
      <w:pPr>
        <w:pStyle w:val="393"/>
        <w:spacing w:before="0"/>
        <w:ind w:firstLine="0" w:firstLineChars="0"/>
        <w:rPr>
          <w:rFonts w:hint="eastAsia" w:cs="仿宋_GB2312" w:asciiTheme="minorEastAsia" w:hAnsiTheme="minorEastAsia" w:eastAsiaTheme="minorEastAsia"/>
          <w:b/>
          <w:color w:val="auto"/>
          <w:highlight w:val="none"/>
        </w:rPr>
      </w:pPr>
      <w:r>
        <w:rPr>
          <w:rFonts w:hint="eastAsia" w:cs="仿宋_GB2312" w:asciiTheme="minorEastAsia" w:hAnsiTheme="minorEastAsia" w:eastAsiaTheme="minorEastAsia"/>
          <w:b/>
          <w:color w:val="auto"/>
          <w:highlight w:val="none"/>
        </w:rPr>
        <w:t>2. 价格分计算方法：</w:t>
      </w:r>
      <w:r>
        <w:rPr>
          <w:rFonts w:hint="eastAsia" w:cs="仿宋_GB2312" w:asciiTheme="minorEastAsia" w:hAnsiTheme="minorEastAsia" w:eastAsiaTheme="minorEastAsia"/>
          <w:color w:val="auto"/>
          <w:highlight w:val="none"/>
        </w:rPr>
        <w:t>低价优先法。</w:t>
      </w:r>
    </w:p>
    <w:p w14:paraId="316781C3">
      <w:pPr>
        <w:pStyle w:val="393"/>
        <w:spacing w:before="0"/>
        <w:ind w:firstLine="0" w:firstLineChars="0"/>
        <w:rPr>
          <w:rFonts w:hint="eastAsia" w:asciiTheme="minorEastAsia" w:hAnsiTheme="minorEastAsia" w:eastAsiaTheme="minorEastAsia"/>
          <w:color w:val="auto"/>
          <w:szCs w:val="24"/>
          <w:highlight w:val="none"/>
        </w:rPr>
      </w:pPr>
      <w:r>
        <w:rPr>
          <w:rFonts w:hint="eastAsia" w:cs="仿宋_GB2312" w:asciiTheme="minorEastAsia" w:hAnsiTheme="minorEastAsia" w:eastAsiaTheme="minorEastAsia"/>
          <w:b/>
          <w:color w:val="auto"/>
          <w:highlight w:val="none"/>
        </w:rPr>
        <w:t>3. 评审要求：</w:t>
      </w:r>
      <w:r>
        <w:rPr>
          <w:rFonts w:hint="eastAsia" w:cs="仿宋_GB2312" w:asciiTheme="minorEastAsia" w:hAnsiTheme="minorEastAsia" w:eastAsiaTheme="minorEastAsia"/>
          <w:color w:val="auto"/>
          <w:highlight w:val="none"/>
        </w:rPr>
        <w:t>详见磋商文件第五部分“评审方法及评审标准”。</w:t>
      </w:r>
    </w:p>
    <w:p w14:paraId="586EDAF4">
      <w:pPr>
        <w:adjustRightInd/>
        <w:spacing w:line="360" w:lineRule="auto"/>
        <w:jc w:val="center"/>
        <w:rPr>
          <w:rFonts w:hint="eastAsia" w:cs="仿宋_GB2312" w:asciiTheme="minorEastAsia" w:hAnsiTheme="minorEastAsia" w:eastAsiaTheme="minorEastAsia"/>
          <w:color w:val="auto"/>
          <w:sz w:val="24"/>
          <w:highlight w:val="none"/>
        </w:rPr>
      </w:pPr>
    </w:p>
    <w:p w14:paraId="587CF302">
      <w:pPr>
        <w:adjustRightInd/>
        <w:spacing w:line="360" w:lineRule="auto"/>
        <w:jc w:val="center"/>
        <w:outlineLvl w:val="1"/>
        <w:rPr>
          <w:rFonts w:hint="eastAsia" w:cs="仿宋_GB2312" w:asciiTheme="minorEastAsia" w:hAnsiTheme="minorEastAsia" w:eastAsiaTheme="minorEastAsia"/>
          <w:b/>
          <w:color w:val="auto"/>
          <w:sz w:val="32"/>
          <w:szCs w:val="20"/>
          <w:highlight w:val="none"/>
        </w:rPr>
      </w:pPr>
      <w:r>
        <w:rPr>
          <w:rFonts w:hint="eastAsia" w:cs="仿宋_GB2312" w:asciiTheme="minorEastAsia" w:hAnsiTheme="minorEastAsia" w:eastAsiaTheme="minorEastAsia"/>
          <w:b/>
          <w:color w:val="auto"/>
          <w:sz w:val="32"/>
          <w:szCs w:val="20"/>
          <w:highlight w:val="none"/>
        </w:rPr>
        <w:t>十一、</w:t>
      </w:r>
      <w:r>
        <w:rPr>
          <w:rFonts w:hint="eastAsia" w:asciiTheme="minorEastAsia" w:hAnsiTheme="minorEastAsia" w:eastAsiaTheme="minorEastAsia"/>
          <w:b/>
          <w:color w:val="auto"/>
          <w:sz w:val="32"/>
          <w:szCs w:val="32"/>
          <w:highlight w:val="none"/>
        </w:rPr>
        <w:t>成交</w:t>
      </w:r>
    </w:p>
    <w:p w14:paraId="0E3521F6">
      <w:pPr>
        <w:pStyle w:val="32"/>
        <w:spacing w:line="360" w:lineRule="auto"/>
        <w:rPr>
          <w:rFonts w:hint="eastAsia" w:cs="仿宋_GB2312"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highlight w:val="none"/>
        </w:rPr>
        <w:t>1. 推荐成交候选供应商</w:t>
      </w:r>
    </w:p>
    <w:p w14:paraId="179B1A29">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磋商小组将根据综合评分情况，按照评审得分由高到低顺序推荐3名以上成交候选供应商，并编写评审报告。符合财政部门规定情形的，可以推荐2家成交候选供应商。评审得分相同的，按照最后报价由低到高的顺序推荐。评审得分且最后报价相同的，按照技术指标优劣顺序推荐。</w:t>
      </w:r>
    </w:p>
    <w:p w14:paraId="2EFBD430">
      <w:pPr>
        <w:pStyle w:val="32"/>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 确定成交供应商</w:t>
      </w:r>
    </w:p>
    <w:p w14:paraId="3D0BA900">
      <w:pPr>
        <w:spacing w:line="360" w:lineRule="auto"/>
        <w:ind w:firstLine="480" w:firstLineChars="200"/>
        <w:rPr>
          <w:rFonts w:hint="eastAsia"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政府采购项目实行全流程电子化，评审报告送交、采购结果确定和结果公告均在线完成。为进一步提升采购结果确定效率，采购代理机构应当依法及时将评审报告在线送交采购人。采购人应当自收到评审报告之日起2个工作日内在线确定成交供应商。成交通知书和成交结果公告应当在规定时间内同时发出。</w:t>
      </w:r>
    </w:p>
    <w:p w14:paraId="2BC8FAFC">
      <w:pPr>
        <w:tabs>
          <w:tab w:val="left" w:pos="0"/>
        </w:tabs>
        <w:spacing w:line="360" w:lineRule="auto"/>
        <w:rPr>
          <w:rFonts w:hint="eastAsia" w:cs="Helvetica" w:asciiTheme="minorEastAsia" w:hAnsiTheme="minorEastAsia" w:eastAsiaTheme="minorEastAsia"/>
          <w:color w:val="auto"/>
          <w:kern w:val="0"/>
          <w:sz w:val="24"/>
          <w:highlight w:val="none"/>
        </w:rPr>
      </w:pPr>
      <w:r>
        <w:rPr>
          <w:rFonts w:hint="eastAsia" w:asciiTheme="minorEastAsia" w:hAnsiTheme="minorEastAsia" w:eastAsiaTheme="minorEastAsia"/>
          <w:b/>
          <w:color w:val="auto"/>
          <w:sz w:val="24"/>
          <w:highlight w:val="none"/>
        </w:rPr>
        <w:t>3．成交通知及成交结果公告</w:t>
      </w:r>
    </w:p>
    <w:p w14:paraId="34D4C647">
      <w:pPr>
        <w:spacing w:line="360" w:lineRule="auto"/>
        <w:ind w:firstLine="480" w:firstLineChars="200"/>
        <w:rPr>
          <w:rFonts w:hint="eastAsia" w:ascii="宋体" w:hAnsi="宋体" w:cs="宋体"/>
          <w:color w:val="auto"/>
          <w:sz w:val="24"/>
          <w:highlight w:val="none"/>
        </w:rPr>
      </w:pPr>
      <w:r>
        <w:rPr>
          <w:rFonts w:hint="eastAsia" w:asciiTheme="minorEastAsia" w:hAnsiTheme="minorEastAsia" w:eastAsiaTheme="minorEastAsia"/>
          <w:color w:val="auto"/>
          <w:sz w:val="24"/>
          <w:szCs w:val="21"/>
          <w:highlight w:val="none"/>
        </w:rPr>
        <w:t>3.1自成交人确定之日起2个工作日内，采购代理机构通过电子交易平台向成交人发出成交通知书，</w:t>
      </w:r>
      <w:r>
        <w:rPr>
          <w:rFonts w:hint="eastAsia" w:cs="宋体" w:asciiTheme="minorEastAsia" w:hAnsiTheme="minorEastAsia" w:eastAsiaTheme="minorEastAsia"/>
          <w:color w:val="auto"/>
          <w:sz w:val="24"/>
          <w:highlight w:val="none"/>
        </w:rPr>
        <w:t>同时编制发布采购</w:t>
      </w:r>
      <w:r>
        <w:rPr>
          <w:rFonts w:hint="eastAsia" w:asciiTheme="minorEastAsia" w:hAnsiTheme="minorEastAsia" w:eastAsiaTheme="minorEastAsia"/>
          <w:color w:val="auto"/>
          <w:sz w:val="24"/>
          <w:szCs w:val="21"/>
          <w:highlight w:val="none"/>
        </w:rPr>
        <w:t>成交结果公告。</w:t>
      </w:r>
    </w:p>
    <w:p w14:paraId="770A3674">
      <w:pPr>
        <w:spacing w:line="360" w:lineRule="auto"/>
        <w:ind w:firstLine="480" w:firstLineChars="200"/>
        <w:rPr>
          <w:rFonts w:hint="eastAsia" w:asciiTheme="minorEastAsia" w:hAnsiTheme="minorEastAsia" w:eastAsiaTheme="minorEastAsia"/>
          <w:color w:val="auto"/>
          <w:sz w:val="24"/>
          <w:szCs w:val="21"/>
          <w:highlight w:val="none"/>
        </w:rPr>
      </w:pPr>
      <w:r>
        <w:rPr>
          <w:rFonts w:hint="eastAsia" w:ascii="宋体" w:hAnsi="宋体" w:cs="宋体"/>
          <w:color w:val="auto"/>
          <w:sz w:val="24"/>
          <w:highlight w:val="none"/>
        </w:rPr>
        <w:t>3.2</w:t>
      </w:r>
      <w:r>
        <w:rPr>
          <w:rFonts w:hint="eastAsia" w:asciiTheme="minorEastAsia" w:hAnsiTheme="minorEastAsia" w:eastAsiaTheme="minorEastAsia"/>
          <w:color w:val="auto"/>
          <w:sz w:val="24"/>
          <w:szCs w:val="21"/>
          <w:highlight w:val="none"/>
        </w:rPr>
        <w:t>成交</w:t>
      </w:r>
      <w:r>
        <w:rPr>
          <w:rFonts w:hint="eastAsia" w:cs="仿宋_GB2312" w:asciiTheme="minorEastAsia" w:hAnsiTheme="minorEastAsia" w:eastAsiaTheme="minorEastAsia"/>
          <w:color w:val="auto"/>
          <w:sz w:val="24"/>
          <w:highlight w:val="none"/>
        </w:rPr>
        <w:t>结果公告内容包括</w:t>
      </w:r>
      <w:r>
        <w:rPr>
          <w:rFonts w:hint="eastAsia" w:cs="宋体" w:asciiTheme="minorEastAsia" w:hAnsiTheme="minorEastAsia" w:eastAsiaTheme="minorEastAsia"/>
          <w:color w:val="auto"/>
          <w:sz w:val="24"/>
          <w:highlight w:val="none"/>
        </w:rPr>
        <w:t>采购人及其委托的采购代理机构的名称、地址、联系方式，项目名称和项目编号，成交人名称、地址和成交金额，主要成交标的的名称、规格型号、数量、单价、服务要求，</w:t>
      </w:r>
      <w:bookmarkStart w:id="18" w:name="_Hlk101184471"/>
      <w:r>
        <w:rPr>
          <w:rFonts w:hint="eastAsia" w:cs="宋体" w:asciiTheme="minorEastAsia" w:hAnsiTheme="minorEastAsia" w:eastAsiaTheme="minorEastAsia"/>
          <w:color w:val="auto"/>
          <w:sz w:val="24"/>
          <w:highlight w:val="none"/>
        </w:rPr>
        <w:t>评审专家抽取规则、</w:t>
      </w:r>
      <w:bookmarkEnd w:id="18"/>
      <w:r>
        <w:rPr>
          <w:rFonts w:hint="eastAsia" w:cs="宋体" w:asciiTheme="minorEastAsia" w:hAnsiTheme="minorEastAsia" w:eastAsiaTheme="minorEastAsia"/>
          <w:color w:val="auto"/>
          <w:sz w:val="24"/>
          <w:highlight w:val="none"/>
        </w:rPr>
        <w:t>未成交情况说明、成交公告期限以及评审专家名单、成交供应商和未成交供应商的评审总得分及排名。</w:t>
      </w:r>
    </w:p>
    <w:p w14:paraId="25C7E9A6">
      <w:pPr>
        <w:spacing w:line="360" w:lineRule="auto"/>
        <w:ind w:firstLine="480"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3.3公告期限为1个工作日。</w:t>
      </w:r>
    </w:p>
    <w:p w14:paraId="6D680044">
      <w:pPr>
        <w:snapToGrid w:val="0"/>
        <w:spacing w:line="360" w:lineRule="auto"/>
        <w:jc w:val="center"/>
        <w:rPr>
          <w:rFonts w:hint="eastAsia" w:cs="仿宋_GB2312" w:asciiTheme="minorEastAsia" w:hAnsiTheme="minorEastAsia" w:eastAsiaTheme="minorEastAsia"/>
          <w:b/>
          <w:color w:val="auto"/>
          <w:sz w:val="36"/>
          <w:szCs w:val="36"/>
          <w:highlight w:val="none"/>
        </w:rPr>
      </w:pPr>
    </w:p>
    <w:p w14:paraId="009C806A">
      <w:pPr>
        <w:snapToGrid w:val="0"/>
        <w:spacing w:line="360" w:lineRule="auto"/>
        <w:jc w:val="center"/>
        <w:outlineLvl w:val="1"/>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十二、合同</w:t>
      </w:r>
    </w:p>
    <w:p w14:paraId="413F176C">
      <w:pPr>
        <w:tabs>
          <w:tab w:val="left" w:pos="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1.合同主要条款：</w:t>
      </w:r>
      <w:r>
        <w:rPr>
          <w:rFonts w:hint="eastAsia" w:asciiTheme="minorEastAsia" w:hAnsiTheme="minorEastAsia" w:eastAsiaTheme="minorEastAsia"/>
          <w:color w:val="auto"/>
          <w:sz w:val="24"/>
          <w:highlight w:val="none"/>
        </w:rPr>
        <w:t>详见“第六部分拟签订的合同文本”。</w:t>
      </w:r>
    </w:p>
    <w:p w14:paraId="51573438">
      <w:pPr>
        <w:tabs>
          <w:tab w:val="left" w:pos="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2.合同的签订</w:t>
      </w:r>
    </w:p>
    <w:p w14:paraId="14FE80FC">
      <w:pPr>
        <w:widowControl/>
        <w:shd w:val="clear" w:color="auto" w:fill="FFFFFF"/>
        <w:spacing w:line="360" w:lineRule="auto"/>
        <w:ind w:firstLine="480"/>
        <w:jc w:val="left"/>
        <w:rPr>
          <w:rFonts w:hint="eastAsia" w:cs="宋体" w:asciiTheme="minorEastAsia" w:hAnsiTheme="minorEastAsia" w:eastAsiaTheme="minorEastAsia"/>
          <w:color w:val="auto"/>
          <w:kern w:val="0"/>
          <w:sz w:val="24"/>
          <w:highlight w:val="none"/>
        </w:rPr>
      </w:pPr>
      <w:r>
        <w:rPr>
          <w:rFonts w:hint="eastAsia" w:asciiTheme="minorEastAsia" w:hAnsiTheme="minorEastAsia" w:eastAsiaTheme="minorEastAsia"/>
          <w:color w:val="auto"/>
          <w:sz w:val="24"/>
          <w:highlight w:val="none"/>
        </w:rPr>
        <w:t>2.1</w:t>
      </w:r>
      <w:r>
        <w:rPr>
          <w:rFonts w:hint="eastAsia" w:ascii="宋体" w:hAnsi="宋体" w:cs="宋体"/>
          <w:color w:val="auto"/>
          <w:kern w:val="0"/>
          <w:sz w:val="24"/>
          <w:highlight w:val="none"/>
        </w:rPr>
        <w:t>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67E91B7C">
      <w:pPr>
        <w:pStyle w:val="393"/>
        <w:snapToGrid w:val="0"/>
        <w:spacing w:before="0"/>
        <w:ind w:firstLine="480"/>
        <w:rPr>
          <w:rFonts w:hint="eastAsia" w:cs="宋体" w:asciiTheme="minorEastAsia" w:hAnsiTheme="minorEastAsia" w:eastAsiaTheme="minorEastAsia"/>
          <w:color w:val="auto"/>
          <w:kern w:val="0"/>
          <w:highlight w:val="none"/>
        </w:rPr>
      </w:pPr>
      <w:r>
        <w:rPr>
          <w:rFonts w:hint="eastAsia" w:cs="宋体" w:asciiTheme="minorEastAsia" w:hAnsiTheme="minorEastAsia" w:eastAsiaTheme="minorEastAsia"/>
          <w:color w:val="auto"/>
          <w:kern w:val="0"/>
          <w:highlight w:val="none"/>
          <w:lang w:val="zh-CN"/>
        </w:rPr>
        <w:t>2.2成交人按规定的日期、时间、地点，由法定代表人或其授权代表与采购人代表签订合同。如成交人为联合体的，由联合体成员各方法定代表人或其授权代表与采购人代表签订合同。</w:t>
      </w:r>
    </w:p>
    <w:p w14:paraId="2E9F5A70">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2.3采购人不得向成交供应商提出超出磋商文件以外的任何要求作为签订合同的条件，不得与成交供应商订立背离磋商文件确定的合同文本以及采购标的、规格型号、采购金额、采购数量、技术和服务要求等实质性内容的协议。</w:t>
      </w:r>
    </w:p>
    <w:p w14:paraId="54DDF943">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2.4成交供应商拒绝签订政府采购合同的，采购人可以按照《政府采购竞争性磋商采购方式管理暂行办法》第二十八条第二款规定的原则确定其他供应商作为成交供应商并签订政府采购合同，也可以重新开展采购活动。拒绝签订政府采购合同的成交供应商不得参加对该项目重新开展的采购活动。</w:t>
      </w:r>
    </w:p>
    <w:p w14:paraId="613B9EC7">
      <w:pPr>
        <w:spacing w:line="360" w:lineRule="auto"/>
        <w:ind w:firstLine="465" w:firstLineChars="194"/>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sz w:val="24"/>
          <w:szCs w:val="21"/>
          <w:highlight w:val="none"/>
        </w:rPr>
        <w:t>2.5如签订合同并生效后，供应商无故拒绝或延期，除按照合同条款处理外，列入不良行为记录一次，并给予通报。</w:t>
      </w:r>
    </w:p>
    <w:p w14:paraId="0F3D0AF6">
      <w:pPr>
        <w:pStyle w:val="393"/>
        <w:snapToGrid w:val="0"/>
        <w:spacing w:before="0" w:after="120"/>
        <w:ind w:firstLine="480"/>
        <w:rPr>
          <w:rFonts w:hint="eastAsia" w:cs="仿宋_GB2312" w:asciiTheme="minorEastAsia" w:hAnsiTheme="minorEastAsia" w:eastAsiaTheme="minorEastAsia"/>
          <w:color w:val="auto"/>
          <w:highlight w:val="none"/>
        </w:rPr>
      </w:pPr>
      <w:r>
        <w:rPr>
          <w:rFonts w:cs="仿宋_GB2312" w:asciiTheme="minorEastAsia" w:hAnsiTheme="minorEastAsia" w:eastAsiaTheme="minorEastAsia"/>
          <w:color w:val="auto"/>
          <w:highlight w:val="none"/>
        </w:rPr>
        <w:t>2.</w:t>
      </w:r>
      <w:r>
        <w:rPr>
          <w:rFonts w:hint="eastAsia" w:cs="仿宋_GB2312" w:asciiTheme="minorEastAsia" w:hAnsiTheme="minorEastAsia" w:eastAsiaTheme="minorEastAsia"/>
          <w:color w:val="auto"/>
          <w:highlight w:val="none"/>
        </w:rPr>
        <w:t>6</w:t>
      </w:r>
      <w:r>
        <w:rPr>
          <w:rFonts w:cs="仿宋_GB2312" w:asciiTheme="minorEastAsia" w:hAnsiTheme="minorEastAsia" w:eastAsiaTheme="minorEastAsia"/>
          <w:color w:val="auto"/>
          <w:highlight w:val="none"/>
        </w:rPr>
        <w:t>采购合同由采购人与</w:t>
      </w:r>
      <w:r>
        <w:rPr>
          <w:rFonts w:hint="eastAsia" w:cs="仿宋_GB2312" w:asciiTheme="minorEastAsia" w:hAnsiTheme="minorEastAsia" w:eastAsiaTheme="minorEastAsia"/>
          <w:color w:val="auto"/>
          <w:highlight w:val="none"/>
        </w:rPr>
        <w:t>成交</w:t>
      </w:r>
      <w:r>
        <w:rPr>
          <w:rFonts w:cs="仿宋_GB2312" w:asciiTheme="minorEastAsia" w:hAnsiTheme="minorEastAsia" w:eastAsiaTheme="minorEastAsia"/>
          <w:color w:val="auto"/>
          <w:highlight w:val="none"/>
        </w:rPr>
        <w:t>供应商根据</w:t>
      </w:r>
      <w:r>
        <w:rPr>
          <w:rFonts w:hint="eastAsia" w:cs="仿宋_GB2312" w:asciiTheme="minorEastAsia" w:hAnsiTheme="minorEastAsia" w:eastAsiaTheme="minorEastAsia"/>
          <w:color w:val="auto"/>
          <w:highlight w:val="none"/>
        </w:rPr>
        <w:t>磋商文件、响应文件等内容通过政府采购电子交易平台在线签订，自动备案。</w:t>
      </w:r>
    </w:p>
    <w:p w14:paraId="6EFC252D">
      <w:pPr>
        <w:pStyle w:val="393"/>
        <w:snapToGrid w:val="0"/>
        <w:spacing w:before="0"/>
        <w:ind w:firstLine="480"/>
        <w:rPr>
          <w:rFonts w:hint="eastAsia" w:ascii="宋体" w:hAnsi="宋体" w:cs="宋体"/>
          <w:color w:val="auto"/>
          <w:highlight w:val="none"/>
        </w:rPr>
      </w:pPr>
      <w:r>
        <w:rPr>
          <w:rFonts w:hint="eastAsia" w:ascii="宋体" w:hAnsi="宋体" w:cs="宋体"/>
          <w:color w:val="auto"/>
          <w:highlight w:val="none"/>
        </w:rPr>
        <w:t>2.7政采贷</w:t>
      </w:r>
    </w:p>
    <w:p w14:paraId="54E49FE1">
      <w:pPr>
        <w:snapToGrid w:val="0"/>
        <w:spacing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szCs w:val="20"/>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47EC79C0">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32B2AE25">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52159273">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6B4F6569">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（四）贷款发放。贷款金融机构根据贷款协议向供应商发放贷款。</w:t>
      </w:r>
    </w:p>
    <w:p w14:paraId="18BD0F66">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（五）按期还款。供应商获得贷款后应自觉履行政府采购合同，合同履行完毕后，采购单位根据合同约定时间和账户信息，严格按照财政资金管理的相关规定，及时将资金支付到采购合同收款账户。</w:t>
      </w:r>
    </w:p>
    <w:p w14:paraId="50B19520">
      <w:pPr>
        <w:snapToGrid w:val="0"/>
        <w:spacing w:line="360" w:lineRule="auto"/>
        <w:ind w:firstLine="240" w:firstLineChars="100"/>
        <w:rPr>
          <w:rFonts w:hint="eastAsia" w:ascii="宋体" w:hAnsi="宋体" w:cs="宋体"/>
          <w:color w:val="auto"/>
          <w:sz w:val="24"/>
          <w:szCs w:val="20"/>
          <w:highlight w:val="none"/>
        </w:rPr>
      </w:pPr>
      <w:r>
        <w:rPr>
          <w:rFonts w:hint="eastAsia" w:ascii="宋体" w:hAnsi="宋体" w:cs="宋体"/>
          <w:color w:val="auto"/>
          <w:sz w:val="24"/>
          <w:szCs w:val="20"/>
          <w:highlight w:val="none"/>
        </w:rPr>
        <w:t>（六）业务终止。贷款偿清后，贷款金融机构或北海市小微企业融资担保有限公司及时办理应收账款质押注销登记，业务终止。</w:t>
      </w:r>
    </w:p>
    <w:p w14:paraId="08BF2B07">
      <w:pPr>
        <w:snapToGrid w:val="0"/>
        <w:spacing w:line="360" w:lineRule="auto"/>
        <w:ind w:firstLine="480" w:firstLineChars="200"/>
        <w:rPr>
          <w:rFonts w:hint="eastAsia" w:ascii="宋体" w:hAnsi="宋体" w:cs="宋体"/>
          <w:color w:val="auto"/>
          <w:sz w:val="24"/>
          <w:szCs w:val="20"/>
          <w:highlight w:val="none"/>
        </w:rPr>
      </w:pPr>
      <w:r>
        <w:rPr>
          <w:rFonts w:hint="eastAsia" w:ascii="宋体" w:hAnsi="宋体" w:cs="宋体"/>
          <w:color w:val="auto"/>
          <w:sz w:val="24"/>
          <w:szCs w:val="20"/>
          <w:highlight w:val="none"/>
        </w:rPr>
        <w:t>注：相关合作银行的具体操作流程详见</w:t>
      </w:r>
      <w:r>
        <w:rPr>
          <w:rFonts w:hint="eastAsia" w:ascii="宋体" w:hAnsi="宋体" w:cs="宋体"/>
          <w:color w:val="auto"/>
          <w:sz w:val="24"/>
          <w:szCs w:val="20"/>
          <w:highlight w:val="none"/>
          <w:lang w:eastAsia="zh-CN"/>
        </w:rPr>
        <w:t>广西北部湾宏亚建设管理有限公司</w:t>
      </w:r>
      <w:r>
        <w:rPr>
          <w:rFonts w:hint="eastAsia" w:ascii="宋体" w:hAnsi="宋体" w:cs="宋体"/>
          <w:color w:val="auto"/>
          <w:sz w:val="24"/>
          <w:szCs w:val="20"/>
          <w:highlight w:val="none"/>
        </w:rPr>
        <w:t>首页“政采贷”板块。</w:t>
      </w:r>
    </w:p>
    <w:p w14:paraId="77BED998">
      <w:pPr>
        <w:pStyle w:val="633"/>
        <w:rPr>
          <w:rFonts w:hint="eastAsia"/>
          <w:color w:val="auto"/>
          <w:highlight w:val="none"/>
        </w:rPr>
      </w:pPr>
      <w:r>
        <w:rPr>
          <w:rFonts w:hint="eastAsia" w:cs="宋体"/>
          <w:color w:val="auto"/>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14:paraId="2535B351">
      <w:pPr>
        <w:autoSpaceDE w:val="0"/>
        <w:autoSpaceDN w:val="0"/>
        <w:adjustRightInd/>
        <w:snapToGrid w:val="0"/>
        <w:spacing w:line="360" w:lineRule="auto"/>
        <w:ind w:firstLine="480" w:firstLineChars="200"/>
        <w:textAlignment w:val="bottom"/>
        <w:rPr>
          <w:rFonts w:hint="eastAsia" w:ascii="宋体" w:hAnsi="宋体" w:cs="宋体"/>
          <w:color w:val="auto"/>
          <w:sz w:val="24"/>
          <w:szCs w:val="20"/>
          <w:highlight w:val="none"/>
        </w:rPr>
      </w:pPr>
      <w:r>
        <w:rPr>
          <w:rFonts w:hint="eastAsia" w:ascii="宋体" w:hAnsi="宋体" w:cs="宋体"/>
          <w:color w:val="auto"/>
          <w:sz w:val="24"/>
          <w:szCs w:val="20"/>
          <w:highlight w:val="none"/>
        </w:rPr>
        <w:t>供应商成交后可在“广西政府采购云”平台申请政采贷：操作路径：登录广西政府采购云平台-金融服务中心-【融资服务】，可在热门申请中选择产品直接申请。详见如下：</w:t>
      </w:r>
    </w:p>
    <w:p w14:paraId="548F5DB5">
      <w:pPr>
        <w:snapToGrid w:val="0"/>
        <w:spacing w:line="360" w:lineRule="auto"/>
        <w:ind w:firstLine="482"/>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1.有贷款需求的供应商可以访问“广西政府采购云平台-金融服务-融资服务”栏目办理有关业务（链接：</w:t>
      </w:r>
      <w:r>
        <w:rPr>
          <w:color w:val="auto"/>
          <w:highlight w:val="none"/>
        </w:rPr>
        <w:fldChar w:fldCharType="begin"/>
      </w:r>
      <w:r>
        <w:rPr>
          <w:color w:val="auto"/>
          <w:highlight w:val="none"/>
        </w:rPr>
        <w:instrText xml:space="preserve"> HYPERLINK "https://jinrong.gcy.zfcg.gxzf.gov.cn/finance/loan/gx" </w:instrText>
      </w:r>
      <w:r>
        <w:rPr>
          <w:color w:val="auto"/>
          <w:highlight w:val="none"/>
        </w:rPr>
        <w:fldChar w:fldCharType="separate"/>
      </w:r>
      <w:r>
        <w:rPr>
          <w:rFonts w:ascii="宋体" w:hAnsi="宋体"/>
          <w:color w:val="auto"/>
          <w:kern w:val="0"/>
          <w:sz w:val="24"/>
          <w:szCs w:val="20"/>
          <w:highlight w:val="none"/>
        </w:rPr>
        <w:t>https://jinrong.gcy.zfcg.gxzf.gov.cn/finance/loan/gx</w:t>
      </w:r>
      <w:r>
        <w:rPr>
          <w:rFonts w:ascii="宋体" w:hAnsi="宋体"/>
          <w:color w:val="auto"/>
          <w:kern w:val="0"/>
          <w:sz w:val="24"/>
          <w:szCs w:val="20"/>
          <w:highlight w:val="none"/>
        </w:rPr>
        <w:fldChar w:fldCharType="end"/>
      </w:r>
      <w:r>
        <w:rPr>
          <w:rFonts w:hint="eastAsia" w:ascii="宋体" w:hAnsi="宋体"/>
          <w:color w:val="auto"/>
          <w:kern w:val="0"/>
          <w:sz w:val="24"/>
          <w:szCs w:val="20"/>
          <w:highlight w:val="none"/>
        </w:rPr>
        <w:t>）</w:t>
      </w:r>
    </w:p>
    <w:p w14:paraId="108FEF8E">
      <w:pPr>
        <w:snapToGrid w:val="0"/>
        <w:spacing w:line="360" w:lineRule="auto"/>
        <w:ind w:firstLine="482"/>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2.合作银行咨询办理</w:t>
      </w:r>
    </w:p>
    <w:tbl>
      <w:tblPr>
        <w:tblStyle w:val="6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3172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ACE142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银行名称</w:t>
            </w:r>
          </w:p>
        </w:tc>
        <w:tc>
          <w:tcPr>
            <w:tcW w:w="1134" w:type="dxa"/>
            <w:vAlign w:val="center"/>
          </w:tcPr>
          <w:p w14:paraId="051AC8D4">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联系电话</w:t>
            </w:r>
          </w:p>
        </w:tc>
        <w:tc>
          <w:tcPr>
            <w:tcW w:w="1701" w:type="dxa"/>
            <w:vAlign w:val="center"/>
          </w:tcPr>
          <w:p w14:paraId="0AD9057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最高授信金额</w:t>
            </w:r>
          </w:p>
        </w:tc>
        <w:tc>
          <w:tcPr>
            <w:tcW w:w="993" w:type="dxa"/>
            <w:vAlign w:val="center"/>
          </w:tcPr>
          <w:p w14:paraId="59EA0447">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最长授信期限</w:t>
            </w:r>
          </w:p>
        </w:tc>
        <w:tc>
          <w:tcPr>
            <w:tcW w:w="850" w:type="dxa"/>
            <w:vAlign w:val="center"/>
          </w:tcPr>
          <w:p w14:paraId="23B4E0F0">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最低利率</w:t>
            </w:r>
          </w:p>
        </w:tc>
        <w:tc>
          <w:tcPr>
            <w:tcW w:w="3366" w:type="dxa"/>
            <w:vAlign w:val="center"/>
          </w:tcPr>
          <w:p w14:paraId="2F8FE7FB">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流程简介</w:t>
            </w:r>
          </w:p>
        </w:tc>
      </w:tr>
      <w:tr w14:paraId="4A47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4674C56">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建设银行</w:t>
            </w:r>
          </w:p>
        </w:tc>
        <w:tc>
          <w:tcPr>
            <w:tcW w:w="1134" w:type="dxa"/>
            <w:vAlign w:val="center"/>
          </w:tcPr>
          <w:p w14:paraId="45264B2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13077729988</w:t>
            </w:r>
          </w:p>
        </w:tc>
        <w:tc>
          <w:tcPr>
            <w:tcW w:w="1701" w:type="dxa"/>
            <w:vAlign w:val="center"/>
          </w:tcPr>
          <w:p w14:paraId="6133A878">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最高3千万</w:t>
            </w:r>
          </w:p>
        </w:tc>
        <w:tc>
          <w:tcPr>
            <w:tcW w:w="993" w:type="dxa"/>
            <w:vAlign w:val="center"/>
          </w:tcPr>
          <w:p w14:paraId="7B5062AF">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vAlign w:val="center"/>
          </w:tcPr>
          <w:p w14:paraId="482CBF85">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4%</w:t>
            </w:r>
          </w:p>
        </w:tc>
        <w:tc>
          <w:tcPr>
            <w:tcW w:w="3366" w:type="dxa"/>
            <w:vAlign w:val="center"/>
          </w:tcPr>
          <w:p w14:paraId="074C49AF">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开设账号，线下提供申请材料，进入贷款审批流程，贷款审批通过后可自主用款，银行官方网银可自主还款。</w:t>
            </w:r>
          </w:p>
        </w:tc>
      </w:tr>
      <w:tr w14:paraId="2BEA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290F0F7">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中国银行</w:t>
            </w:r>
          </w:p>
        </w:tc>
        <w:tc>
          <w:tcPr>
            <w:tcW w:w="1134" w:type="dxa"/>
            <w:vAlign w:val="center"/>
          </w:tcPr>
          <w:p w14:paraId="0A9449CD">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0779-3997084</w:t>
            </w:r>
          </w:p>
        </w:tc>
        <w:tc>
          <w:tcPr>
            <w:tcW w:w="1701" w:type="dxa"/>
            <w:vAlign w:val="center"/>
          </w:tcPr>
          <w:p w14:paraId="1E5EFFD5">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vAlign w:val="center"/>
          </w:tcPr>
          <w:p w14:paraId="1F6AA47A">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3年</w:t>
            </w:r>
          </w:p>
        </w:tc>
        <w:tc>
          <w:tcPr>
            <w:tcW w:w="850" w:type="dxa"/>
            <w:vAlign w:val="center"/>
          </w:tcPr>
          <w:p w14:paraId="5D37DF83">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1.93%</w:t>
            </w:r>
          </w:p>
        </w:tc>
        <w:tc>
          <w:tcPr>
            <w:tcW w:w="3366" w:type="dxa"/>
            <w:vAlign w:val="center"/>
          </w:tcPr>
          <w:p w14:paraId="55EB91EB">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在银行开户，线上申请，上传所需材料，等待审批，审批通过后可直接在手机银行提款。</w:t>
            </w:r>
          </w:p>
        </w:tc>
      </w:tr>
      <w:tr w14:paraId="2349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CB15E4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兴业银行</w:t>
            </w:r>
          </w:p>
        </w:tc>
        <w:tc>
          <w:tcPr>
            <w:tcW w:w="1134" w:type="dxa"/>
            <w:vAlign w:val="center"/>
          </w:tcPr>
          <w:p w14:paraId="3EFC1273">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0779-3158330</w:t>
            </w:r>
          </w:p>
        </w:tc>
        <w:tc>
          <w:tcPr>
            <w:tcW w:w="1701" w:type="dxa"/>
            <w:vAlign w:val="center"/>
          </w:tcPr>
          <w:p w14:paraId="41CC2BF1">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最高1千万（单笔提款金额达合同金额70%）</w:t>
            </w:r>
          </w:p>
        </w:tc>
        <w:tc>
          <w:tcPr>
            <w:tcW w:w="993" w:type="dxa"/>
            <w:vAlign w:val="center"/>
          </w:tcPr>
          <w:p w14:paraId="43D3411E">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vAlign w:val="center"/>
          </w:tcPr>
          <w:p w14:paraId="053EA9AA">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3.70%</w:t>
            </w:r>
          </w:p>
        </w:tc>
        <w:tc>
          <w:tcPr>
            <w:tcW w:w="3366" w:type="dxa"/>
            <w:vAlign w:val="center"/>
          </w:tcPr>
          <w:p w14:paraId="381A4B09">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全流程线上，初次申请开立账户，提供营业执照、采购合同、信用材料等，申请复审，签订合同，提交单笔贷款使用需求，贷款到账后受托使用。</w:t>
            </w:r>
          </w:p>
        </w:tc>
      </w:tr>
      <w:tr w14:paraId="5514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B466AB7">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工商银行</w:t>
            </w:r>
          </w:p>
        </w:tc>
        <w:tc>
          <w:tcPr>
            <w:tcW w:w="1134" w:type="dxa"/>
            <w:vAlign w:val="center"/>
          </w:tcPr>
          <w:p w14:paraId="11EE14F7">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0779-3050645</w:t>
            </w:r>
          </w:p>
        </w:tc>
        <w:tc>
          <w:tcPr>
            <w:tcW w:w="1701" w:type="dxa"/>
            <w:vAlign w:val="center"/>
          </w:tcPr>
          <w:p w14:paraId="7D93AA28">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最高1千万且不超过合同金额70%</w:t>
            </w:r>
          </w:p>
        </w:tc>
        <w:tc>
          <w:tcPr>
            <w:tcW w:w="993" w:type="dxa"/>
            <w:vAlign w:val="center"/>
          </w:tcPr>
          <w:p w14:paraId="7D13C9AC">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货物类1年</w:t>
            </w:r>
          </w:p>
          <w:p w14:paraId="1CA55498">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服务类3年</w:t>
            </w:r>
          </w:p>
          <w:p w14:paraId="60B12A18">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工程类5年</w:t>
            </w:r>
          </w:p>
        </w:tc>
        <w:tc>
          <w:tcPr>
            <w:tcW w:w="850" w:type="dxa"/>
            <w:vAlign w:val="center"/>
          </w:tcPr>
          <w:p w14:paraId="76ACDB96">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vAlign w:val="center"/>
          </w:tcPr>
          <w:p w14:paraId="4B95C73F">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为中征系统白名单企业，提供相关要求材料，内部审批后放款自主借还。</w:t>
            </w:r>
          </w:p>
        </w:tc>
      </w:tr>
      <w:tr w14:paraId="0048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6A58BE7">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国民村镇银行</w:t>
            </w:r>
          </w:p>
        </w:tc>
        <w:tc>
          <w:tcPr>
            <w:tcW w:w="1134" w:type="dxa"/>
            <w:vAlign w:val="center"/>
          </w:tcPr>
          <w:p w14:paraId="6D02C66A">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0779-2668801</w:t>
            </w:r>
          </w:p>
        </w:tc>
        <w:tc>
          <w:tcPr>
            <w:tcW w:w="1701" w:type="dxa"/>
            <w:vAlign w:val="center"/>
          </w:tcPr>
          <w:p w14:paraId="269F0A04">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最高500万</w:t>
            </w:r>
          </w:p>
        </w:tc>
        <w:tc>
          <w:tcPr>
            <w:tcW w:w="993" w:type="dxa"/>
            <w:vAlign w:val="center"/>
          </w:tcPr>
          <w:p w14:paraId="434BB71C">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5年</w:t>
            </w:r>
          </w:p>
        </w:tc>
        <w:tc>
          <w:tcPr>
            <w:tcW w:w="850" w:type="dxa"/>
            <w:vAlign w:val="center"/>
          </w:tcPr>
          <w:p w14:paraId="43AA2863">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2.80%</w:t>
            </w:r>
          </w:p>
        </w:tc>
        <w:tc>
          <w:tcPr>
            <w:tcW w:w="3366" w:type="dxa"/>
            <w:vAlign w:val="center"/>
          </w:tcPr>
          <w:p w14:paraId="2C955CE2">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银行开户，线下申请并提供材料，信用良好企业最快1天获批即可提款</w:t>
            </w:r>
          </w:p>
        </w:tc>
      </w:tr>
      <w:tr w14:paraId="1DB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F85B772">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桂林银行</w:t>
            </w:r>
          </w:p>
        </w:tc>
        <w:tc>
          <w:tcPr>
            <w:tcW w:w="1134" w:type="dxa"/>
            <w:vAlign w:val="center"/>
          </w:tcPr>
          <w:p w14:paraId="4B0548DA">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18577993959</w:t>
            </w:r>
          </w:p>
        </w:tc>
        <w:tc>
          <w:tcPr>
            <w:tcW w:w="1701" w:type="dxa"/>
            <w:vAlign w:val="center"/>
          </w:tcPr>
          <w:p w14:paraId="0C1B2B95">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vAlign w:val="center"/>
          </w:tcPr>
          <w:p w14:paraId="41C65140">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vAlign w:val="center"/>
          </w:tcPr>
          <w:p w14:paraId="3A603F95">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vAlign w:val="center"/>
          </w:tcPr>
          <w:p w14:paraId="58360AA0">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线下申请，材料齐全最快1周内即可放款。</w:t>
            </w:r>
          </w:p>
        </w:tc>
      </w:tr>
      <w:tr w14:paraId="1368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06C8059">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中小微商务服务公司</w:t>
            </w:r>
          </w:p>
        </w:tc>
        <w:tc>
          <w:tcPr>
            <w:tcW w:w="1134" w:type="dxa"/>
            <w:vAlign w:val="center"/>
          </w:tcPr>
          <w:p w14:paraId="505D9BC3">
            <w:pPr>
              <w:snapToGrid w:val="0"/>
              <w:spacing w:line="360" w:lineRule="auto"/>
              <w:jc w:val="center"/>
              <w:rPr>
                <w:rFonts w:hint="eastAsia" w:ascii="宋体" w:hAnsi="宋体"/>
                <w:color w:val="auto"/>
                <w:kern w:val="0"/>
                <w:sz w:val="24"/>
                <w:szCs w:val="20"/>
                <w:highlight w:val="none"/>
              </w:rPr>
            </w:pPr>
            <w:r>
              <w:rPr>
                <w:rFonts w:hint="eastAsia" w:ascii="宋体" w:hAnsi="宋体"/>
                <w:color w:val="auto"/>
                <w:kern w:val="0"/>
                <w:sz w:val="24"/>
                <w:szCs w:val="20"/>
                <w:highlight w:val="none"/>
              </w:rPr>
              <w:t>19907799988</w:t>
            </w:r>
          </w:p>
        </w:tc>
        <w:tc>
          <w:tcPr>
            <w:tcW w:w="1701" w:type="dxa"/>
            <w:vAlign w:val="center"/>
          </w:tcPr>
          <w:p w14:paraId="31A8769E">
            <w:pPr>
              <w:snapToGrid w:val="0"/>
              <w:spacing w:line="360" w:lineRule="auto"/>
              <w:jc w:val="left"/>
              <w:rPr>
                <w:rFonts w:hint="eastAsia" w:ascii="宋体" w:hAnsi="宋体"/>
                <w:color w:val="auto"/>
                <w:kern w:val="0"/>
                <w:sz w:val="24"/>
                <w:szCs w:val="20"/>
                <w:highlight w:val="none"/>
              </w:rPr>
            </w:pPr>
          </w:p>
        </w:tc>
        <w:tc>
          <w:tcPr>
            <w:tcW w:w="993" w:type="dxa"/>
            <w:vAlign w:val="center"/>
          </w:tcPr>
          <w:p w14:paraId="72ACD0F3">
            <w:pPr>
              <w:snapToGrid w:val="0"/>
              <w:spacing w:line="360" w:lineRule="auto"/>
              <w:jc w:val="center"/>
              <w:rPr>
                <w:rFonts w:hint="eastAsia" w:ascii="宋体" w:hAnsi="宋体"/>
                <w:color w:val="auto"/>
                <w:kern w:val="0"/>
                <w:sz w:val="24"/>
                <w:szCs w:val="20"/>
                <w:highlight w:val="none"/>
              </w:rPr>
            </w:pPr>
          </w:p>
        </w:tc>
        <w:tc>
          <w:tcPr>
            <w:tcW w:w="850" w:type="dxa"/>
            <w:vAlign w:val="center"/>
          </w:tcPr>
          <w:p w14:paraId="3E934F59">
            <w:pPr>
              <w:snapToGrid w:val="0"/>
              <w:spacing w:line="360" w:lineRule="auto"/>
              <w:jc w:val="center"/>
              <w:rPr>
                <w:rFonts w:hint="eastAsia" w:ascii="宋体" w:hAnsi="宋体"/>
                <w:color w:val="auto"/>
                <w:kern w:val="0"/>
                <w:sz w:val="24"/>
                <w:szCs w:val="20"/>
                <w:highlight w:val="none"/>
              </w:rPr>
            </w:pPr>
          </w:p>
        </w:tc>
        <w:tc>
          <w:tcPr>
            <w:tcW w:w="3366" w:type="dxa"/>
            <w:vAlign w:val="center"/>
          </w:tcPr>
          <w:p w14:paraId="4283A52E">
            <w:pPr>
              <w:snapToGrid w:val="0"/>
              <w:spacing w:line="360" w:lineRule="auto"/>
              <w:jc w:val="left"/>
              <w:rPr>
                <w:rFonts w:hint="eastAsia" w:ascii="宋体" w:hAnsi="宋体"/>
                <w:color w:val="auto"/>
                <w:kern w:val="0"/>
                <w:sz w:val="24"/>
                <w:szCs w:val="20"/>
                <w:highlight w:val="none"/>
              </w:rPr>
            </w:pPr>
            <w:r>
              <w:rPr>
                <w:rFonts w:hint="eastAsia" w:ascii="宋体" w:hAnsi="宋体"/>
                <w:color w:val="auto"/>
                <w:kern w:val="0"/>
                <w:sz w:val="24"/>
                <w:szCs w:val="20"/>
                <w:highlight w:val="none"/>
              </w:rPr>
              <w:t>具体业务可电话咨询。</w:t>
            </w:r>
          </w:p>
        </w:tc>
      </w:tr>
    </w:tbl>
    <w:p w14:paraId="3521223B">
      <w:pPr>
        <w:pStyle w:val="633"/>
        <w:rPr>
          <w:rFonts w:hint="eastAsia"/>
          <w:color w:val="auto"/>
          <w:highlight w:val="none"/>
        </w:rPr>
      </w:pPr>
      <w:r>
        <w:rPr>
          <w:rFonts w:hint="eastAsia"/>
          <w:color w:val="auto"/>
          <w:highlight w:val="none"/>
        </w:rPr>
        <w:t>注：表中联系电话、授信金额、授信期限、最低利率等信息可能动态更新，仅供参考，具体以办理时相关银行公布的为准。</w:t>
      </w:r>
    </w:p>
    <w:p w14:paraId="0FC76093">
      <w:pPr>
        <w:tabs>
          <w:tab w:val="left" w:pos="0"/>
        </w:tabs>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3．履约保证金</w:t>
      </w:r>
    </w:p>
    <w:p w14:paraId="39D3D0B0">
      <w:pPr>
        <w:tabs>
          <w:tab w:val="left" w:pos="0"/>
        </w:tabs>
        <w:spacing w:line="360" w:lineRule="auto"/>
        <w:ind w:firstLine="482"/>
        <w:rPr>
          <w:rFonts w:ascii="宋体" w:hAnsi="宋体" w:cs="宋体"/>
          <w:color w:val="auto"/>
          <w:sz w:val="24"/>
          <w:highlight w:val="none"/>
        </w:rPr>
      </w:pPr>
      <w:r>
        <w:rPr>
          <w:rFonts w:hint="eastAsia" w:ascii="宋体" w:hAnsi="宋体" w:cs="宋体"/>
          <w:color w:val="auto"/>
          <w:kern w:val="0"/>
          <w:sz w:val="24"/>
          <w:highlight w:val="none"/>
        </w:rPr>
        <w:t>3.1拟签订的合同文本要求成交供应商提交履约保证金的，供应商应当以支票、汇票、本票或者金融机构、担保机构出具的保函等非现金形式提交</w:t>
      </w:r>
      <w:r>
        <w:rPr>
          <w:rFonts w:hint="eastAsia" w:ascii="宋体" w:hAnsi="宋体" w:cs="宋体"/>
          <w:color w:val="auto"/>
          <w:sz w:val="24"/>
          <w:highlight w:val="none"/>
        </w:rPr>
        <w:t>。履约保证金数额不得超过政府采购合同金额的5%；加大对中小企业发展的扶持力度，对中小企业收取的履约保证金数额不得超过政府采购合同金额的2%。</w:t>
      </w:r>
      <w:r>
        <w:rPr>
          <w:rFonts w:hint="eastAsia" w:ascii="宋体" w:hAnsi="宋体" w:cs="宋体"/>
          <w:color w:val="auto"/>
          <w:kern w:val="0"/>
          <w:sz w:val="24"/>
          <w:highlight w:val="none"/>
        </w:rPr>
        <w:t>成交</w:t>
      </w:r>
      <w:r>
        <w:rPr>
          <w:rFonts w:hint="eastAsia" w:ascii="宋体" w:hAnsi="宋体" w:cs="宋体"/>
          <w:color w:val="auto"/>
          <w:sz w:val="24"/>
          <w:highlight w:val="none"/>
        </w:rPr>
        <w:t>供应商的磋商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w:t>
      </w:r>
      <w:r>
        <w:rPr>
          <w:rFonts w:ascii="宋体" w:hAnsi="宋体" w:cs="宋体"/>
          <w:color w:val="auto"/>
          <w:sz w:val="24"/>
          <w:highlight w:val="none"/>
        </w:rPr>
        <w:t>延迟退还的，应当按照合同约定和法律规定承担相应的赔偿责任</w:t>
      </w:r>
      <w:r>
        <w:rPr>
          <w:rFonts w:hint="eastAsia" w:ascii="宋体" w:hAnsi="宋体" w:cs="宋体"/>
          <w:color w:val="auto"/>
          <w:sz w:val="24"/>
          <w:highlight w:val="none"/>
        </w:rPr>
        <w:t>。</w:t>
      </w:r>
    </w:p>
    <w:p w14:paraId="5AFC981A">
      <w:pPr>
        <w:pStyle w:val="633"/>
        <w:ind w:firstLine="480" w:firstLineChars="200"/>
        <w:rPr>
          <w:rFonts w:cs="宋体"/>
          <w:color w:val="auto"/>
          <w:kern w:val="2"/>
          <w:szCs w:val="24"/>
          <w:highlight w:val="none"/>
        </w:rPr>
      </w:pPr>
      <w:r>
        <w:rPr>
          <w:rFonts w:hint="eastAsia" w:cs="宋体"/>
          <w:color w:val="auto"/>
          <w:highlight w:val="none"/>
        </w:rPr>
        <w:t>履约保证金</w:t>
      </w:r>
      <w:r>
        <w:rPr>
          <w:rFonts w:hint="eastAsia" w:cs="宋体"/>
          <w:color w:val="auto"/>
          <w:kern w:val="2"/>
          <w:szCs w:val="24"/>
          <w:highlight w:val="none"/>
        </w:rPr>
        <w:t>收取银行账户</w:t>
      </w:r>
    </w:p>
    <w:p w14:paraId="3C07B02E">
      <w:pPr>
        <w:pStyle w:val="633"/>
        <w:ind w:firstLine="480" w:firstLineChars="200"/>
        <w:rPr>
          <w:rFonts w:hint="eastAsia"/>
          <w:snapToGrid w:val="0"/>
          <w:color w:val="auto"/>
          <w:highlight w:val="none"/>
        </w:rPr>
      </w:pPr>
      <w:r>
        <w:rPr>
          <w:rFonts w:hint="eastAsia"/>
          <w:snapToGrid w:val="0"/>
          <w:color w:val="auto"/>
          <w:highlight w:val="none"/>
          <w:lang w:val="en-US" w:eastAsia="zh-CN"/>
        </w:rPr>
        <w:t xml:space="preserve">开户名称： 北海市农业农村局 </w:t>
      </w:r>
    </w:p>
    <w:p w14:paraId="4309D802">
      <w:pPr>
        <w:pStyle w:val="633"/>
        <w:ind w:firstLine="480" w:firstLineChars="200"/>
        <w:rPr>
          <w:rFonts w:hint="eastAsia"/>
          <w:snapToGrid w:val="0"/>
          <w:color w:val="auto"/>
          <w:highlight w:val="none"/>
        </w:rPr>
      </w:pPr>
      <w:r>
        <w:rPr>
          <w:rFonts w:hint="eastAsia"/>
          <w:snapToGrid w:val="0"/>
          <w:color w:val="auto"/>
          <w:highlight w:val="none"/>
          <w:lang w:val="en-US" w:eastAsia="zh-CN"/>
        </w:rPr>
        <w:t xml:space="preserve">开户银行： 农行北海市新安支行 </w:t>
      </w:r>
    </w:p>
    <w:p w14:paraId="12735EBE">
      <w:pPr>
        <w:pStyle w:val="633"/>
        <w:ind w:firstLine="480" w:firstLineChars="200"/>
        <w:rPr>
          <w:rFonts w:hint="eastAsia"/>
          <w:snapToGrid w:val="0"/>
          <w:color w:val="auto"/>
          <w:highlight w:val="none"/>
        </w:rPr>
      </w:pPr>
      <w:r>
        <w:rPr>
          <w:rFonts w:hint="eastAsia"/>
          <w:snapToGrid w:val="0"/>
          <w:color w:val="auto"/>
          <w:highlight w:val="none"/>
          <w:lang w:val="en-US" w:eastAsia="zh-CN"/>
        </w:rPr>
        <w:t xml:space="preserve">银行账号：20707301040001347 </w:t>
      </w:r>
    </w:p>
    <w:p w14:paraId="0782C9BE">
      <w:pPr>
        <w:pStyle w:val="633"/>
        <w:ind w:firstLine="480" w:firstLineChars="200"/>
        <w:rPr>
          <w:snapToGrid w:val="0"/>
          <w:color w:val="auto"/>
          <w:highlight w:val="none"/>
        </w:rPr>
      </w:pPr>
      <w:r>
        <w:rPr>
          <w:rFonts w:hint="eastAsia"/>
          <w:snapToGrid w:val="0"/>
          <w:color w:val="auto"/>
          <w:highlight w:val="none"/>
        </w:rPr>
        <w:t>3.2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0DCB2854">
      <w:pPr>
        <w:pStyle w:val="633"/>
        <w:rPr>
          <w:color w:val="auto"/>
          <w:highlight w:val="none"/>
        </w:rPr>
      </w:pPr>
      <w:r>
        <w:rPr>
          <w:rFonts w:hint="eastAsia"/>
          <w:color w:val="auto"/>
          <w:highlight w:val="none"/>
        </w:rPr>
        <w:t>3.3履约保证金的退还。验收合格的政府采购项目，采购人应当按照合同约定的退还方式，在5个工作日内办理履约保证金退还手续。</w:t>
      </w:r>
    </w:p>
    <w:p w14:paraId="13ADD4D4">
      <w:pPr>
        <w:pStyle w:val="633"/>
        <w:rPr>
          <w:rFonts w:hint="eastAsia"/>
          <w:color w:val="auto"/>
          <w:highlight w:val="none"/>
        </w:rPr>
      </w:pPr>
      <w:r>
        <w:rPr>
          <w:color w:val="auto"/>
          <w:highlight w:val="none"/>
        </w:rPr>
        <w:t>4.</w:t>
      </w:r>
      <w:r>
        <w:rPr>
          <w:rFonts w:hint="eastAsia"/>
          <w:color w:val="auto"/>
          <w:highlight w:val="none"/>
        </w:rPr>
        <w:t>预付款</w:t>
      </w:r>
    </w:p>
    <w:p w14:paraId="3D83215C">
      <w:pPr>
        <w:adjustRightInd/>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采购单位应当在政府采购合同中约定预付款，对中小企业合同预付款比例原则上不低于合同金额的3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0%；项目分年安排预算的，每年预付款比例</w:t>
      </w:r>
      <w:r>
        <w:rPr>
          <w:rFonts w:hint="eastAsia" w:ascii="宋体" w:hAnsi="宋体"/>
          <w:color w:val="auto"/>
          <w:sz w:val="24"/>
          <w:highlight w:val="none"/>
        </w:rPr>
        <w:t>不低于</w:t>
      </w:r>
      <w:r>
        <w:rPr>
          <w:rFonts w:ascii="宋体" w:hAnsi="宋体"/>
          <w:color w:val="auto"/>
          <w:sz w:val="24"/>
          <w:highlight w:val="none"/>
        </w:rPr>
        <w:t>项目年度计划支付资金额的</w:t>
      </w:r>
      <w:r>
        <w:rPr>
          <w:rFonts w:hint="eastAsia" w:ascii="宋体" w:hAnsi="宋体"/>
          <w:color w:val="auto"/>
          <w:sz w:val="24"/>
          <w:highlight w:val="none"/>
        </w:rPr>
        <w:t>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0%；采购项目实施以人工投入为主的，</w:t>
      </w:r>
      <w:r>
        <w:rPr>
          <w:rFonts w:hint="eastAsia" w:ascii="宋体" w:hAnsi="宋体"/>
          <w:color w:val="auto"/>
          <w:sz w:val="24"/>
          <w:highlight w:val="none"/>
        </w:rPr>
        <w:t>可适当降低预付款比例，但不得低于1</w:t>
      </w:r>
      <w:r>
        <w:rPr>
          <w:rFonts w:ascii="宋体" w:hAnsi="宋体"/>
          <w:color w:val="auto"/>
          <w:sz w:val="24"/>
          <w:highlight w:val="none"/>
        </w:rPr>
        <w:t>0%。对供应商为大型企业的项目或者以人工投入为主且实行按月定期结算支付款项的项目，预付款可低于上述比例或者不约定预付款。在签订合同时，</w:t>
      </w:r>
      <w:r>
        <w:rPr>
          <w:rFonts w:hint="eastAsia" w:ascii="宋体" w:hAnsi="宋体"/>
          <w:color w:val="auto"/>
          <w:sz w:val="24"/>
          <w:highlight w:val="none"/>
        </w:rPr>
        <w:t>供应商</w:t>
      </w:r>
      <w:r>
        <w:rPr>
          <w:rFonts w:ascii="宋体" w:hAnsi="宋体"/>
          <w:color w:val="auto"/>
          <w:sz w:val="24"/>
          <w:highlight w:val="none"/>
        </w:rPr>
        <w:t>明确表示无需预付款或者主动要求降低预付款比例的，</w:t>
      </w:r>
      <w:r>
        <w:rPr>
          <w:rFonts w:hint="eastAsia" w:ascii="宋体" w:hAnsi="宋体"/>
          <w:color w:val="auto"/>
          <w:sz w:val="24"/>
          <w:highlight w:val="none"/>
        </w:rPr>
        <w:t>采购单位</w:t>
      </w:r>
      <w:r>
        <w:rPr>
          <w:rFonts w:ascii="宋体" w:hAnsi="宋体"/>
          <w:color w:val="auto"/>
          <w:sz w:val="24"/>
          <w:highlight w:val="none"/>
        </w:rPr>
        <w:t>可不适用前述规定。</w:t>
      </w:r>
      <w:r>
        <w:rPr>
          <w:rFonts w:hint="eastAsia" w:ascii="宋体" w:hAnsi="宋体"/>
          <w:color w:val="auto"/>
          <w:sz w:val="24"/>
          <w:highlight w:val="none"/>
        </w:rPr>
        <w:t>采购单位</w:t>
      </w:r>
      <w:r>
        <w:rPr>
          <w:rFonts w:ascii="宋体" w:hAnsi="宋体"/>
          <w:color w:val="auto"/>
          <w:sz w:val="24"/>
          <w:highlight w:val="none"/>
        </w:rPr>
        <w:t>根据项目特点、供应商诚信等因素，可以要求</w:t>
      </w:r>
      <w:r>
        <w:rPr>
          <w:rFonts w:hint="eastAsia" w:ascii="宋体" w:hAnsi="宋体"/>
          <w:color w:val="auto"/>
          <w:sz w:val="24"/>
          <w:highlight w:val="none"/>
        </w:rPr>
        <w:t>供应商</w:t>
      </w:r>
      <w:r>
        <w:rPr>
          <w:rFonts w:ascii="宋体" w:hAnsi="宋体"/>
          <w:color w:val="auto"/>
          <w:sz w:val="24"/>
          <w:highlight w:val="none"/>
        </w:rPr>
        <w:t>提交银行、保险公司等金融机构出具的预付款保函或其他担保措施。政府采购预付款应在合同生效以及具备实施条件后</w:t>
      </w:r>
      <w:r>
        <w:rPr>
          <w:rFonts w:hint="eastAsia" w:ascii="宋体" w:hAnsi="宋体"/>
          <w:color w:val="auto"/>
          <w:sz w:val="24"/>
          <w:highlight w:val="none"/>
        </w:rPr>
        <w:t>5</w:t>
      </w:r>
      <w:r>
        <w:rPr>
          <w:rFonts w:ascii="宋体" w:hAnsi="宋体"/>
          <w:color w:val="auto"/>
          <w:sz w:val="24"/>
          <w:highlight w:val="none"/>
        </w:rPr>
        <w:t>个工作日内支付。</w:t>
      </w:r>
      <w:r>
        <w:rPr>
          <w:rFonts w:hint="eastAsia" w:ascii="宋体" w:hAnsi="宋体"/>
          <w:color w:val="auto"/>
          <w:sz w:val="24"/>
          <w:highlight w:val="none"/>
        </w:rPr>
        <w:t>政府采购工程以及与工程建设有关的货物、服务，采用招标方式采购的，预付款从其相关规定。</w:t>
      </w:r>
    </w:p>
    <w:p w14:paraId="7142FD62">
      <w:pPr>
        <w:tabs>
          <w:tab w:val="left" w:pos="0"/>
        </w:tabs>
        <w:spacing w:line="360" w:lineRule="auto"/>
        <w:ind w:firstLine="480" w:firstLineChars="200"/>
        <w:rPr>
          <w:rFonts w:hint="eastAsia" w:cs="宋体" w:asciiTheme="minorEastAsia" w:hAnsiTheme="minorEastAsia" w:eastAsiaTheme="minorEastAsia"/>
          <w:snapToGrid w:val="0"/>
          <w:color w:val="auto"/>
          <w:kern w:val="28"/>
          <w:sz w:val="24"/>
          <w:highlight w:val="none"/>
        </w:rPr>
      </w:pPr>
      <w:r>
        <w:rPr>
          <w:rFonts w:hint="eastAsia" w:ascii="宋体" w:hAnsi="宋体"/>
          <w:color w:val="auto"/>
          <w:sz w:val="24"/>
          <w:highlight w:val="none"/>
        </w:rPr>
        <w:t>供应商可登录广西政府采购云平台前台大厅选择金融服务</w:t>
      </w:r>
      <w:r>
        <w:rPr>
          <w:rFonts w:ascii="宋体" w:hAnsi="宋体"/>
          <w:color w:val="auto"/>
          <w:sz w:val="24"/>
          <w:highlight w:val="none"/>
        </w:rPr>
        <w:t xml:space="preserve"> - </w:t>
      </w:r>
      <w:r>
        <w:rPr>
          <w:rFonts w:hint="eastAsia" w:ascii="宋体" w:hAnsi="宋体"/>
          <w:color w:val="auto"/>
          <w:sz w:val="24"/>
          <w:highlight w:val="none"/>
        </w:rPr>
        <w:t>【保函保险服务】出具预付款保函，具体步骤：选择产品—填写供应商信息—选择中标项目—确认信息—等待保险</w:t>
      </w:r>
      <w:r>
        <w:rPr>
          <w:rFonts w:ascii="宋体" w:hAnsi="宋体"/>
          <w:color w:val="auto"/>
          <w:sz w:val="24"/>
          <w:highlight w:val="none"/>
        </w:rPr>
        <w:t>/保函受理—确认保单—支付保费—成功出单。广西政府采购云平台</w:t>
      </w:r>
      <w:r>
        <w:rPr>
          <w:rFonts w:hint="eastAsia" w:ascii="宋体" w:hAnsi="宋体"/>
          <w:color w:val="auto"/>
          <w:sz w:val="24"/>
          <w:highlight w:val="none"/>
        </w:rPr>
        <w:t>金融专线</w:t>
      </w:r>
      <w:r>
        <w:rPr>
          <w:rFonts w:ascii="宋体" w:hAnsi="宋体"/>
          <w:color w:val="auto"/>
          <w:sz w:val="24"/>
          <w:highlight w:val="none"/>
        </w:rPr>
        <w:t>400-903-9583。</w:t>
      </w:r>
    </w:p>
    <w:p w14:paraId="33E05A66">
      <w:pPr>
        <w:snapToGrid w:val="0"/>
        <w:spacing w:line="360" w:lineRule="auto"/>
        <w:jc w:val="center"/>
        <w:rPr>
          <w:rFonts w:hint="eastAsia" w:cs="仿宋_GB2312" w:asciiTheme="minorEastAsia" w:hAnsiTheme="minorEastAsia" w:eastAsiaTheme="minorEastAsia"/>
          <w:b/>
          <w:color w:val="auto"/>
          <w:sz w:val="36"/>
          <w:szCs w:val="36"/>
          <w:highlight w:val="none"/>
        </w:rPr>
      </w:pPr>
    </w:p>
    <w:p w14:paraId="7F3CB52A">
      <w:pPr>
        <w:snapToGrid w:val="0"/>
        <w:spacing w:line="360" w:lineRule="auto"/>
        <w:jc w:val="center"/>
        <w:outlineLvl w:val="1"/>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十三、验收</w:t>
      </w:r>
    </w:p>
    <w:p w14:paraId="00CAA151">
      <w:pPr>
        <w:pStyle w:val="24"/>
        <w:spacing w:line="360" w:lineRule="auto"/>
        <w:ind w:firstLine="0" w:firstLineChars="0"/>
        <w:rPr>
          <w:rFonts w:hint="eastAsia"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1.验收</w:t>
      </w:r>
    </w:p>
    <w:p w14:paraId="3CD01062">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2DFDCD43">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1.2采购人可以邀请参加本项目的其他供应商或者第三方机构参与验收。参与验收的供应商或者第三方机构的意见作为验收书的参考资料一并存档。</w:t>
      </w:r>
    </w:p>
    <w:p w14:paraId="2E5DD95C">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57C4E12">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E4FCC73">
      <w:pPr>
        <w:snapToGrid w:val="0"/>
        <w:spacing w:line="360" w:lineRule="auto"/>
        <w:jc w:val="center"/>
        <w:rPr>
          <w:rFonts w:hint="eastAsia" w:cs="仿宋_GB2312" w:asciiTheme="minorEastAsia" w:hAnsiTheme="minorEastAsia" w:eastAsiaTheme="minorEastAsia"/>
          <w:b/>
          <w:color w:val="auto"/>
          <w:sz w:val="36"/>
          <w:szCs w:val="36"/>
          <w:highlight w:val="none"/>
        </w:rPr>
      </w:pPr>
    </w:p>
    <w:p w14:paraId="0DC9E64D">
      <w:pPr>
        <w:snapToGrid w:val="0"/>
        <w:spacing w:line="360" w:lineRule="auto"/>
        <w:jc w:val="center"/>
        <w:outlineLvl w:val="1"/>
        <w:rPr>
          <w:rFonts w:hint="eastAsia" w:asciiTheme="minorEastAsia" w:hAnsiTheme="minorEastAsia" w:eastAsiaTheme="minorEastAsia"/>
          <w:b/>
          <w:color w:val="auto"/>
          <w:sz w:val="24"/>
          <w:highlight w:val="none"/>
        </w:rPr>
      </w:pPr>
      <w:r>
        <w:rPr>
          <w:rFonts w:hint="eastAsia" w:cs="仿宋_GB2312" w:asciiTheme="minorEastAsia" w:hAnsiTheme="minorEastAsia" w:eastAsiaTheme="minorEastAsia"/>
          <w:b/>
          <w:color w:val="auto"/>
          <w:sz w:val="36"/>
          <w:szCs w:val="36"/>
          <w:highlight w:val="none"/>
        </w:rPr>
        <w:t>十四、电子交易活动的中止</w:t>
      </w:r>
    </w:p>
    <w:p w14:paraId="61662FD2">
      <w:pPr>
        <w:tabs>
          <w:tab w:val="left" w:pos="0"/>
        </w:tabs>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 电子交易活动的中止</w:t>
      </w:r>
    </w:p>
    <w:p w14:paraId="5499BDC2">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采购过程中出现以下情形，导致电子交易平台无法正常运行，或者无法保证电子交易的公平、公正和安全时，采购代理机构可中止电子交易活动：</w:t>
      </w:r>
    </w:p>
    <w:p w14:paraId="78E3428E">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 xml:space="preserve">1.1电子交易平台发生故障而无法登录访问的； </w:t>
      </w:r>
    </w:p>
    <w:p w14:paraId="1F5AF4FF">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1.2电子交易平台应用或数据库出现错误，不能进行正常操作的；</w:t>
      </w:r>
    </w:p>
    <w:p w14:paraId="27762E0B">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1.3电子交易平台发现严重安全漏洞，有潜在泄密危险的；</w:t>
      </w:r>
    </w:p>
    <w:p w14:paraId="4D4E3609">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 xml:space="preserve">1.4病毒发作导致不能进行正常操作的； </w:t>
      </w:r>
    </w:p>
    <w:p w14:paraId="072B8AAF">
      <w:pPr>
        <w:tabs>
          <w:tab w:val="left" w:pos="0"/>
        </w:tabs>
        <w:spacing w:line="360" w:lineRule="auto"/>
        <w:ind w:firstLine="480"/>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color w:val="auto"/>
          <w:kern w:val="0"/>
          <w:sz w:val="24"/>
          <w:highlight w:val="none"/>
        </w:rPr>
        <w:t>1.5其他无法保证电子交易的公平、公正和安全的情况。</w:t>
      </w:r>
    </w:p>
    <w:p w14:paraId="2E6713E7">
      <w:pPr>
        <w:tabs>
          <w:tab w:val="left" w:pos="0"/>
        </w:tabs>
        <w:spacing w:line="360" w:lineRule="auto"/>
        <w:rPr>
          <w:rFonts w:hint="eastAsia" w:cs="Helvetica" w:asciiTheme="minorEastAsia" w:hAnsiTheme="minorEastAsia" w:eastAsiaTheme="minorEastAsia"/>
          <w:color w:val="auto"/>
          <w:kern w:val="0"/>
          <w:sz w:val="24"/>
          <w:highlight w:val="none"/>
        </w:rPr>
      </w:pPr>
      <w:r>
        <w:rPr>
          <w:rFonts w:hint="eastAsia" w:cs="Helvetica" w:asciiTheme="minorEastAsia" w:hAnsiTheme="minorEastAsia" w:eastAsiaTheme="minorEastAsia"/>
          <w:b/>
          <w:color w:val="auto"/>
          <w:kern w:val="0"/>
          <w:sz w:val="24"/>
          <w:highlight w:val="none"/>
        </w:rPr>
        <w:t>2.</w:t>
      </w:r>
      <w:r>
        <w:rPr>
          <w:rFonts w:hint="eastAsia" w:cs="Helvetica" w:asciiTheme="minorEastAsia" w:hAnsiTheme="minorEastAsia" w:eastAsiaTheme="minorEastAsia"/>
          <w:color w:val="auto"/>
          <w:kern w:val="0"/>
          <w:sz w:val="24"/>
          <w:highlight w:val="none"/>
        </w:rPr>
        <w:t>出现以上情形，不影响采购公平、公正性的，采购组织机构可以待上述情形消除后继续组织电子交易活动，也可以决定某些环节以纸质形式进行；影响或可能影响采购公平、公正性的，应当重新采购。</w:t>
      </w:r>
      <w:bookmarkEnd w:id="10"/>
      <w:bookmarkStart w:id="19" w:name="_Hlt75236290"/>
      <w:bookmarkEnd w:id="19"/>
      <w:bookmarkStart w:id="20" w:name="_Hlt74707468"/>
      <w:bookmarkEnd w:id="20"/>
      <w:bookmarkStart w:id="21" w:name="_Hlt74730295"/>
      <w:bookmarkEnd w:id="21"/>
      <w:bookmarkStart w:id="22" w:name="_Hlt74729768"/>
      <w:bookmarkEnd w:id="22"/>
      <w:bookmarkStart w:id="23" w:name="_Hlt68072990"/>
      <w:bookmarkEnd w:id="23"/>
      <w:bookmarkStart w:id="24" w:name="_Hlt75236101"/>
      <w:bookmarkEnd w:id="24"/>
      <w:bookmarkStart w:id="25" w:name="_Hlt74714665"/>
      <w:bookmarkEnd w:id="25"/>
      <w:bookmarkStart w:id="26" w:name="_Hlt68057669"/>
      <w:bookmarkEnd w:id="26"/>
      <w:bookmarkStart w:id="27" w:name="_Hlt75236011"/>
      <w:bookmarkEnd w:id="27"/>
      <w:bookmarkStart w:id="28" w:name="_Toc164416483"/>
      <w:bookmarkStart w:id="29" w:name="第三部分"/>
    </w:p>
    <w:p w14:paraId="6BAF755E">
      <w:pPr>
        <w:tabs>
          <w:tab w:val="left" w:pos="0"/>
        </w:tabs>
        <w:spacing w:line="360" w:lineRule="auto"/>
        <w:rPr>
          <w:rFonts w:hint="eastAsia" w:cs="Helvetica" w:asciiTheme="minorEastAsia" w:hAnsiTheme="minorEastAsia" w:eastAsiaTheme="minorEastAsia"/>
          <w:color w:val="auto"/>
          <w:kern w:val="0"/>
          <w:sz w:val="24"/>
          <w:highlight w:val="none"/>
        </w:rPr>
      </w:pPr>
    </w:p>
    <w:p w14:paraId="18E909E9">
      <w:pPr>
        <w:snapToGrid w:val="0"/>
        <w:spacing w:line="360" w:lineRule="auto"/>
        <w:jc w:val="center"/>
        <w:outlineLvl w:val="1"/>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十</w:t>
      </w:r>
      <w:r>
        <w:rPr>
          <w:rFonts w:hint="eastAsia" w:cs="仿宋_GB2312" w:asciiTheme="minorEastAsia" w:hAnsiTheme="minorEastAsia" w:eastAsiaTheme="minorEastAsia"/>
          <w:b/>
          <w:color w:val="auto"/>
          <w:sz w:val="36"/>
          <w:szCs w:val="36"/>
          <w:highlight w:val="none"/>
          <w:lang w:val="en-US" w:eastAsia="zh-CN"/>
        </w:rPr>
        <w:t>四</w:t>
      </w:r>
      <w:r>
        <w:rPr>
          <w:rFonts w:hint="eastAsia" w:cs="仿宋_GB2312" w:asciiTheme="minorEastAsia" w:hAnsiTheme="minorEastAsia" w:eastAsiaTheme="minorEastAsia"/>
          <w:b/>
          <w:color w:val="auto"/>
          <w:sz w:val="36"/>
          <w:szCs w:val="36"/>
          <w:highlight w:val="none"/>
        </w:rPr>
        <w:t>、其他事项</w:t>
      </w:r>
    </w:p>
    <w:p w14:paraId="34ADAC90">
      <w:pPr>
        <w:spacing w:line="360" w:lineRule="auto"/>
        <w:ind w:firstLine="482" w:firstLineChars="200"/>
        <w:rPr>
          <w:rFonts w:ascii="宋体" w:hAnsi="宋体" w:cs="宋体"/>
          <w:b/>
          <w:color w:val="auto"/>
          <w:sz w:val="24"/>
          <w:highlight w:val="none"/>
        </w:rPr>
      </w:pPr>
      <w:r>
        <w:rPr>
          <w:rFonts w:hint="eastAsia" w:ascii="宋体" w:hAnsi="宋体"/>
          <w:b/>
          <w:color w:val="auto"/>
          <w:sz w:val="24"/>
          <w:highlight w:val="none"/>
          <w:lang w:val="en-US" w:eastAsia="zh-CN"/>
        </w:rPr>
        <w:t>1.</w:t>
      </w:r>
      <w:r>
        <w:rPr>
          <w:rFonts w:hint="eastAsia" w:ascii="宋体" w:hAnsi="宋体" w:cs="宋体"/>
          <w:b/>
          <w:color w:val="auto"/>
          <w:sz w:val="24"/>
          <w:highlight w:val="none"/>
        </w:rPr>
        <w:t>代理费用的收取标准和方式（适用于有权收取代理费用的采购代理机构）</w:t>
      </w:r>
    </w:p>
    <w:p w14:paraId="16787C8D">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采购代理费支付方式：本项目代理服务费由成交供应商一次性向采购代理机构支付。</w:t>
      </w:r>
    </w:p>
    <w:p w14:paraId="2FBD845F">
      <w:pPr>
        <w:adjustRightInd/>
        <w:spacing w:line="360" w:lineRule="auto"/>
        <w:ind w:firstLine="480" w:firstLineChars="200"/>
        <w:jc w:val="both"/>
        <w:outlineLvl w:val="0"/>
        <w:rPr>
          <w:rFonts w:hint="eastAsia" w:ascii="宋体" w:hAnsi="宋体" w:cs="宋体"/>
          <w:bCs/>
          <w:color w:val="auto"/>
          <w:sz w:val="24"/>
          <w:highlight w:val="none"/>
          <w:lang w:val="en-US" w:eastAsia="zh-CN"/>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2采购代理费收取标准：</w:t>
      </w:r>
      <w:r>
        <w:rPr>
          <w:rFonts w:hint="eastAsia" w:ascii="宋体" w:hAnsi="宋体" w:cs="宋体"/>
          <w:bCs/>
          <w:color w:val="auto"/>
          <w:sz w:val="24"/>
          <w:highlight w:val="none"/>
          <w:lang w:val="en-US" w:eastAsia="zh-CN"/>
        </w:rPr>
        <w:t>按照《农田建设项目概算定额及其编制规程》(广西壮族自治区地方标准DB45/T2954-2024)中的服务招标业务费计价，按相关收费标准计价下浮10%收取。由中标(成交)供应商在领取成交通知书时，一次性向采购代理机构支付。</w:t>
      </w:r>
    </w:p>
    <w:p w14:paraId="2C759F6A">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.3采购代理费收取银行账户</w:t>
      </w:r>
    </w:p>
    <w:p w14:paraId="75C35C73">
      <w:pPr>
        <w:snapToGrid w:val="0"/>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 xml:space="preserve">开户名称：广西北部湾宏亚建设管理有限公司北海分公司 </w:t>
      </w:r>
    </w:p>
    <w:p w14:paraId="0A7CCA3B">
      <w:pPr>
        <w:snapToGrid w:val="0"/>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开户银行：北海工行江苏路支行</w:t>
      </w:r>
    </w:p>
    <w:p w14:paraId="71A533CB">
      <w:pPr>
        <w:snapToGrid w:val="0"/>
        <w:spacing w:line="360" w:lineRule="auto"/>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银行账号：2107 5309 0930 0049 767</w:t>
      </w:r>
    </w:p>
    <w:p w14:paraId="7905CFCF">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解释权</w:t>
      </w:r>
    </w:p>
    <w:p w14:paraId="2A68C565">
      <w:pPr>
        <w:pStyle w:val="32"/>
        <w:adjustRightInd w:val="0"/>
        <w:snapToGrid w:val="0"/>
        <w:spacing w:line="360" w:lineRule="auto"/>
        <w:ind w:firstLine="464" w:firstLineChars="200"/>
        <w:rPr>
          <w:rFonts w:hAnsi="宋体"/>
          <w:color w:val="auto"/>
          <w:spacing w:val="-4"/>
          <w:sz w:val="24"/>
          <w:szCs w:val="24"/>
          <w:highlight w:val="none"/>
        </w:rPr>
      </w:pPr>
      <w:r>
        <w:rPr>
          <w:rFonts w:hint="eastAsia" w:hAnsi="宋体"/>
          <w:color w:val="auto"/>
          <w:spacing w:val="-4"/>
          <w:sz w:val="24"/>
          <w:szCs w:val="24"/>
          <w:highlight w:val="none"/>
        </w:rPr>
        <w:t>本竞争性磋商文件解释权属采购人及本代理机构。</w:t>
      </w:r>
    </w:p>
    <w:p w14:paraId="75ED0AD3">
      <w:pPr>
        <w:pStyle w:val="32"/>
        <w:spacing w:line="360" w:lineRule="auto"/>
        <w:ind w:firstLine="482" w:firstLineChars="200"/>
        <w:rPr>
          <w:rFonts w:hAnsi="宋体" w:cs="Times New Roman"/>
          <w:b/>
          <w:color w:val="auto"/>
          <w:sz w:val="24"/>
          <w:szCs w:val="24"/>
          <w:highlight w:val="none"/>
        </w:rPr>
      </w:pPr>
      <w:r>
        <w:rPr>
          <w:rFonts w:hint="eastAsia" w:hAnsi="宋体" w:cs="Times New Roman"/>
          <w:b/>
          <w:color w:val="auto"/>
          <w:sz w:val="24"/>
          <w:szCs w:val="24"/>
          <w:highlight w:val="none"/>
          <w:lang w:val="en-US" w:eastAsia="zh-CN"/>
        </w:rPr>
        <w:t>3.</w:t>
      </w:r>
      <w:r>
        <w:rPr>
          <w:rFonts w:hAnsi="宋体" w:cs="Times New Roman"/>
          <w:b/>
          <w:color w:val="auto"/>
          <w:sz w:val="24"/>
          <w:szCs w:val="24"/>
          <w:highlight w:val="none"/>
        </w:rPr>
        <w:t>有关事宜</w:t>
      </w:r>
    </w:p>
    <w:p w14:paraId="09B6FC3B">
      <w:pPr>
        <w:pStyle w:val="32"/>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所有与本</w:t>
      </w:r>
      <w:r>
        <w:rPr>
          <w:rFonts w:hint="eastAsia" w:hAnsi="宋体" w:cs="Times New Roman"/>
          <w:color w:val="auto"/>
          <w:kern w:val="0"/>
          <w:sz w:val="24"/>
          <w:szCs w:val="24"/>
          <w:highlight w:val="none"/>
        </w:rPr>
        <w:t>磋商</w:t>
      </w:r>
      <w:r>
        <w:rPr>
          <w:rFonts w:hAnsi="宋体" w:cs="Times New Roman"/>
          <w:color w:val="auto"/>
          <w:kern w:val="0"/>
          <w:sz w:val="24"/>
          <w:szCs w:val="24"/>
          <w:highlight w:val="none"/>
        </w:rPr>
        <w:t>文件有关的函件请按下列通讯地址联系：</w:t>
      </w:r>
    </w:p>
    <w:p w14:paraId="378BE775">
      <w:pPr>
        <w:pStyle w:val="32"/>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单位全称：</w:t>
      </w:r>
      <w:r>
        <w:rPr>
          <w:rFonts w:hint="eastAsia" w:ascii="宋体" w:hAnsi="宋体" w:cs="宋体"/>
          <w:color w:val="auto"/>
          <w:sz w:val="24"/>
          <w:highlight w:val="none"/>
        </w:rPr>
        <w:t>广西北部湾宏亚建设管理有限公司</w:t>
      </w:r>
    </w:p>
    <w:p w14:paraId="5BFC262D">
      <w:pPr>
        <w:pStyle w:val="32"/>
        <w:spacing w:line="360" w:lineRule="auto"/>
        <w:ind w:firstLine="480" w:firstLineChars="200"/>
        <w:rPr>
          <w:rFonts w:hint="eastAsia" w:hAnsi="宋体" w:eastAsia="宋体" w:cs="Times New Roman"/>
          <w:color w:val="auto"/>
          <w:kern w:val="0"/>
          <w:sz w:val="24"/>
          <w:szCs w:val="24"/>
          <w:highlight w:val="none"/>
          <w:lang w:eastAsia="zh-CN"/>
        </w:rPr>
      </w:pPr>
      <w:r>
        <w:rPr>
          <w:rFonts w:hAnsi="宋体" w:cs="Times New Roman"/>
          <w:color w:val="auto"/>
          <w:kern w:val="0"/>
          <w:sz w:val="24"/>
          <w:szCs w:val="24"/>
          <w:highlight w:val="none"/>
        </w:rPr>
        <w:t>通讯地址：</w:t>
      </w:r>
      <w:r>
        <w:rPr>
          <w:rFonts w:hint="eastAsia" w:hAnsi="宋体" w:cs="Times New Roman"/>
          <w:b w:val="0"/>
          <w:bCs w:val="0"/>
          <w:color w:val="auto"/>
          <w:sz w:val="24"/>
          <w:szCs w:val="20"/>
          <w:highlight w:val="none"/>
          <w:lang w:eastAsia="zh-CN"/>
        </w:rPr>
        <w:t>广西北海市海城区银河城市科技产业城2栋0101号</w:t>
      </w:r>
    </w:p>
    <w:p w14:paraId="7101E982">
      <w:pPr>
        <w:pStyle w:val="32"/>
        <w:spacing w:line="360" w:lineRule="auto"/>
        <w:ind w:firstLine="480" w:firstLineChars="200"/>
        <w:rPr>
          <w:rFonts w:hAnsi="宋体"/>
          <w:color w:val="auto"/>
          <w:sz w:val="24"/>
          <w:szCs w:val="24"/>
          <w:highlight w:val="none"/>
        </w:rPr>
      </w:pPr>
      <w:r>
        <w:rPr>
          <w:rFonts w:hAnsi="宋体" w:cs="Times New Roman"/>
          <w:color w:val="auto"/>
          <w:kern w:val="0"/>
          <w:sz w:val="24"/>
          <w:szCs w:val="24"/>
          <w:highlight w:val="none"/>
        </w:rPr>
        <w:t>电    话：</w:t>
      </w:r>
      <w:r>
        <w:rPr>
          <w:rFonts w:hint="eastAsia" w:hAnsi="宋体" w:cs="Times New Roman"/>
          <w:color w:val="auto"/>
          <w:kern w:val="0"/>
          <w:sz w:val="24"/>
          <w:szCs w:val="24"/>
          <w:highlight w:val="none"/>
          <w:lang w:val="en-US" w:eastAsia="zh-CN"/>
        </w:rPr>
        <w:t>0779-3928925</w:t>
      </w:r>
      <w:r>
        <w:rPr>
          <w:rFonts w:hAnsi="宋体" w:cs="Times New Roman"/>
          <w:color w:val="auto"/>
          <w:kern w:val="0"/>
          <w:sz w:val="24"/>
          <w:szCs w:val="24"/>
          <w:highlight w:val="none"/>
        </w:rPr>
        <w:t xml:space="preserve">   </w:t>
      </w:r>
    </w:p>
    <w:p w14:paraId="0860026E">
      <w:pPr>
        <w:pStyle w:val="32"/>
        <w:spacing w:line="360" w:lineRule="auto"/>
        <w:ind w:firstLine="480" w:firstLineChars="200"/>
        <w:rPr>
          <w:rFonts w:hint="default" w:hAnsi="宋体" w:eastAsia="宋体"/>
          <w:b/>
          <w:color w:val="auto"/>
          <w:sz w:val="24"/>
          <w:szCs w:val="24"/>
          <w:highlight w:val="none"/>
          <w:lang w:val="en-US" w:eastAsia="zh-CN"/>
        </w:rPr>
      </w:pPr>
      <w:r>
        <w:rPr>
          <w:rFonts w:hAnsi="宋体" w:cs="Times New Roman"/>
          <w:color w:val="auto"/>
          <w:kern w:val="0"/>
          <w:sz w:val="24"/>
          <w:szCs w:val="24"/>
          <w:highlight w:val="none"/>
        </w:rPr>
        <w:t>联 系 人</w:t>
      </w:r>
      <w:r>
        <w:rPr>
          <w:rFonts w:hint="eastAsia" w:hAnsi="宋体" w:cs="Times New Roman"/>
          <w:color w:val="auto"/>
          <w:kern w:val="0"/>
          <w:sz w:val="24"/>
          <w:szCs w:val="24"/>
          <w:highlight w:val="none"/>
        </w:rPr>
        <w:t>:</w:t>
      </w:r>
      <w:r>
        <w:rPr>
          <w:rFonts w:hint="eastAsia" w:hAnsi="宋体" w:cs="Times New Roman"/>
          <w:color w:val="auto"/>
          <w:kern w:val="0"/>
          <w:sz w:val="24"/>
          <w:szCs w:val="24"/>
          <w:highlight w:val="none"/>
          <w:lang w:val="en-US" w:eastAsia="zh-CN"/>
        </w:rPr>
        <w:t xml:space="preserve"> 韦丽丹</w:t>
      </w:r>
    </w:p>
    <w:p w14:paraId="45364D65">
      <w:pPr>
        <w:pStyle w:val="73"/>
        <w:rPr>
          <w:rFonts w:hint="eastAsia"/>
          <w:color w:val="auto"/>
          <w:highlight w:val="none"/>
        </w:rPr>
      </w:pPr>
    </w:p>
    <w:p w14:paraId="1C96F93B">
      <w:pPr>
        <w:adjustRightInd/>
        <w:spacing w:line="360" w:lineRule="auto"/>
        <w:jc w:val="center"/>
        <w:outlineLvl w:val="0"/>
        <w:rPr>
          <w:rFonts w:hint="eastAsia" w:cs="仿宋_GB2312" w:asciiTheme="minorEastAsia" w:hAnsiTheme="minorEastAsia" w:eastAsiaTheme="minorEastAsia"/>
          <w:b/>
          <w:color w:val="auto"/>
          <w:sz w:val="36"/>
          <w:szCs w:val="36"/>
          <w:highlight w:val="none"/>
        </w:rPr>
      </w:pPr>
      <w:bookmarkStart w:id="30" w:name="_Toc21470"/>
      <w:r>
        <w:rPr>
          <w:rFonts w:hint="eastAsia" w:cs="仿宋_GB2312" w:asciiTheme="minorEastAsia" w:hAnsiTheme="minorEastAsia" w:eastAsiaTheme="minorEastAsia"/>
          <w:b/>
          <w:color w:val="auto"/>
          <w:sz w:val="36"/>
          <w:szCs w:val="36"/>
          <w:highlight w:val="none"/>
        </w:rPr>
        <w:t>第四部分  采购需求</w:t>
      </w:r>
      <w:bookmarkEnd w:id="30"/>
    </w:p>
    <w:p w14:paraId="72E5EAC2">
      <w:pPr>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w:t>
      </w:r>
    </w:p>
    <w:p w14:paraId="48993DBC">
      <w:pPr>
        <w:keepNext w:val="0"/>
        <w:keepLines w:val="0"/>
        <w:pageBreakBefore w:val="0"/>
        <w:widowControl/>
        <w:kinsoku/>
        <w:wordWrap/>
        <w:overflowPunct/>
        <w:topLinePunct w:val="0"/>
        <w:autoSpaceDE/>
        <w:autoSpaceDN/>
        <w:bidi w:val="0"/>
        <w:adjustRightInd w:val="0"/>
        <w:snapToGrid/>
        <w:spacing w:line="480" w:lineRule="exact"/>
        <w:ind w:firstLine="482"/>
        <w:jc w:val="lef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①采购预算：</w:t>
      </w:r>
      <w:r>
        <w:rPr>
          <w:rFonts w:hint="eastAsia" w:ascii="宋体" w:hAnsi="宋体" w:eastAsia="宋体" w:cs="宋体"/>
          <w:b w:val="0"/>
          <w:bCs/>
          <w:color w:val="auto"/>
          <w:sz w:val="24"/>
          <w:szCs w:val="24"/>
          <w:highlight w:val="none"/>
        </w:rPr>
        <w:t>本项目的政府采购预算为人民</w:t>
      </w:r>
      <w:r>
        <w:rPr>
          <w:rFonts w:hint="eastAsia" w:ascii="宋体" w:hAnsi="宋体" w:eastAsia="宋体" w:cs="宋体"/>
          <w:b w:val="0"/>
          <w:bCs/>
          <w:color w:val="auto"/>
          <w:sz w:val="24"/>
          <w:szCs w:val="24"/>
          <w:highlight w:val="none"/>
          <w:lang w:val="en-US" w:eastAsia="zh-CN"/>
        </w:rPr>
        <w:t>币</w:t>
      </w:r>
      <w:r>
        <w:rPr>
          <w:rFonts w:hint="eastAsia" w:ascii="宋体" w:hAnsi="宋体" w:cs="宋体"/>
          <w:b w:val="0"/>
          <w:bCs/>
          <w:color w:val="auto"/>
          <w:sz w:val="24"/>
          <w:szCs w:val="24"/>
          <w:highlight w:val="none"/>
          <w:lang w:val="en-US" w:eastAsia="zh-CN"/>
        </w:rPr>
        <w:t>壹佰叁拾捌万元整</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138</w:t>
      </w:r>
      <w:r>
        <w:rPr>
          <w:rFonts w:hint="eastAsia" w:ascii="宋体" w:hAnsi="宋体" w:eastAsia="宋体" w:cs="宋体"/>
          <w:b w:val="0"/>
          <w:bCs/>
          <w:color w:val="auto"/>
          <w:sz w:val="24"/>
          <w:szCs w:val="24"/>
          <w:highlight w:val="none"/>
          <w:lang w:eastAsia="zh-CN"/>
        </w:rPr>
        <w:t>0000.00</w:t>
      </w:r>
      <w:r>
        <w:rPr>
          <w:rFonts w:hint="eastAsia" w:ascii="宋体" w:hAnsi="宋体" w:eastAsia="宋体" w:cs="宋体"/>
          <w:b w:val="0"/>
          <w:bCs/>
          <w:color w:val="auto"/>
          <w:sz w:val="24"/>
          <w:szCs w:val="24"/>
          <w:highlight w:val="none"/>
        </w:rPr>
        <w:t>元），</w:t>
      </w:r>
      <w:r>
        <w:rPr>
          <w:rFonts w:hint="eastAsia" w:ascii="宋体" w:hAnsi="宋体" w:eastAsia="宋体" w:cs="宋体"/>
          <w:b w:val="0"/>
          <w:bCs/>
          <w:color w:val="auto"/>
          <w:sz w:val="24"/>
          <w:szCs w:val="24"/>
          <w:highlight w:val="none"/>
          <w:lang w:val="en-US" w:eastAsia="zh-CN"/>
        </w:rPr>
        <w:t>其中，标项一为人民币</w:t>
      </w:r>
      <w:r>
        <w:rPr>
          <w:rFonts w:hint="eastAsia" w:ascii="宋体" w:hAnsi="宋体" w:cs="宋体"/>
          <w:b w:val="0"/>
          <w:bCs/>
          <w:color w:val="auto"/>
          <w:sz w:val="24"/>
          <w:szCs w:val="24"/>
          <w:highlight w:val="none"/>
          <w:lang w:val="en-US" w:eastAsia="zh-CN"/>
        </w:rPr>
        <w:t>陆拾捌万元整</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68</w:t>
      </w:r>
      <w:r>
        <w:rPr>
          <w:rFonts w:hint="eastAsia" w:ascii="宋体" w:hAnsi="宋体" w:eastAsia="宋体" w:cs="宋体"/>
          <w:b w:val="0"/>
          <w:bCs/>
          <w:color w:val="auto"/>
          <w:sz w:val="24"/>
          <w:szCs w:val="24"/>
          <w:highlight w:val="none"/>
          <w:lang w:val="en-US" w:eastAsia="zh-CN"/>
        </w:rPr>
        <w:t>0000.00</w:t>
      </w:r>
      <w:r>
        <w:rPr>
          <w:rFonts w:hint="eastAsia" w:ascii="宋体" w:hAnsi="宋体" w:eastAsia="宋体" w:cs="宋体"/>
          <w:b w:val="0"/>
          <w:bCs/>
          <w:color w:val="auto"/>
          <w:sz w:val="24"/>
          <w:szCs w:val="24"/>
          <w:highlight w:val="none"/>
        </w:rPr>
        <w:t>元</w:t>
      </w:r>
      <w:r>
        <w:rPr>
          <w:rFonts w:hint="eastAsia" w:ascii="宋体" w:hAnsi="宋体" w:eastAsia="宋体" w:cs="宋体"/>
          <w:b w:val="0"/>
          <w:bCs/>
          <w:color w:val="auto"/>
          <w:sz w:val="24"/>
          <w:szCs w:val="24"/>
          <w:highlight w:val="none"/>
          <w:lang w:val="en-US" w:eastAsia="zh-CN"/>
        </w:rPr>
        <w:t>），标项二为人民币</w:t>
      </w:r>
      <w:r>
        <w:rPr>
          <w:rFonts w:hint="eastAsia" w:ascii="宋体" w:hAnsi="宋体" w:cs="宋体"/>
          <w:b w:val="0"/>
          <w:bCs/>
          <w:color w:val="auto"/>
          <w:sz w:val="24"/>
          <w:szCs w:val="24"/>
          <w:highlight w:val="none"/>
          <w:lang w:val="en-US" w:eastAsia="zh-CN"/>
        </w:rPr>
        <w:t>柒</w:t>
      </w:r>
      <w:r>
        <w:rPr>
          <w:rFonts w:hint="eastAsia" w:ascii="宋体" w:hAnsi="宋体" w:eastAsia="宋体" w:cs="宋体"/>
          <w:b w:val="0"/>
          <w:bCs/>
          <w:color w:val="auto"/>
          <w:sz w:val="24"/>
          <w:szCs w:val="24"/>
          <w:highlight w:val="none"/>
          <w:lang w:val="en-US" w:eastAsia="zh-CN"/>
        </w:rPr>
        <w:t>拾万元整（</w:t>
      </w:r>
      <w:r>
        <w:rPr>
          <w:rFonts w:hint="eastAsia" w:ascii="宋体" w:hAnsi="宋体" w:eastAsia="宋体" w:cs="宋体"/>
          <w:b w:val="0"/>
          <w:bCs/>
          <w:color w:val="auto"/>
          <w:sz w:val="24"/>
          <w:szCs w:val="24"/>
          <w:highlight w:val="none"/>
        </w:rPr>
        <w:t>¥</w:t>
      </w:r>
      <w:r>
        <w:rPr>
          <w:rFonts w:hint="eastAsia" w:ascii="宋体" w:hAnsi="宋体" w:cs="宋体"/>
          <w:b w:val="0"/>
          <w:bCs/>
          <w:color w:val="auto"/>
          <w:sz w:val="24"/>
          <w:szCs w:val="24"/>
          <w:highlight w:val="none"/>
          <w:lang w:val="en-US" w:eastAsia="zh-CN"/>
        </w:rPr>
        <w:t>70</w:t>
      </w:r>
      <w:r>
        <w:rPr>
          <w:rFonts w:hint="eastAsia" w:ascii="宋体" w:hAnsi="宋体" w:eastAsia="宋体" w:cs="宋体"/>
          <w:b w:val="0"/>
          <w:bCs/>
          <w:color w:val="auto"/>
          <w:sz w:val="24"/>
          <w:szCs w:val="24"/>
          <w:highlight w:val="none"/>
          <w:lang w:val="en-US" w:eastAsia="zh-CN"/>
        </w:rPr>
        <w:t>0000.00</w:t>
      </w:r>
      <w:r>
        <w:rPr>
          <w:rFonts w:hint="eastAsia" w:ascii="宋体" w:hAnsi="宋体" w:eastAsia="宋体" w:cs="宋体"/>
          <w:b w:val="0"/>
          <w:bCs/>
          <w:color w:val="auto"/>
          <w:sz w:val="24"/>
          <w:szCs w:val="24"/>
          <w:highlight w:val="none"/>
        </w:rPr>
        <w:t>元</w:t>
      </w:r>
      <w:r>
        <w:rPr>
          <w:rFonts w:hint="eastAsia" w:ascii="宋体" w:hAnsi="宋体" w:eastAsia="宋体" w:cs="宋体"/>
          <w:b w:val="0"/>
          <w:bCs/>
          <w:color w:val="auto"/>
          <w:sz w:val="24"/>
          <w:szCs w:val="24"/>
          <w:highlight w:val="none"/>
          <w:lang w:val="en-US" w:eastAsia="zh-CN"/>
        </w:rPr>
        <w:t>）。</w:t>
      </w:r>
      <w:r>
        <w:rPr>
          <w:rFonts w:hint="eastAsia" w:ascii="宋体" w:hAnsi="宋体" w:cs="宋体"/>
          <w:b w:val="0"/>
          <w:bCs/>
          <w:color w:val="auto"/>
          <w:sz w:val="24"/>
          <w:szCs w:val="24"/>
          <w:highlight w:val="none"/>
        </w:rPr>
        <w:t>超过上述预算价的报价将视为无效报价。</w:t>
      </w:r>
    </w:p>
    <w:p w14:paraId="7D9CB67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textAlignment w:val="auto"/>
        <w:rPr>
          <w:rFonts w:hint="eastAsia" w:ascii="宋体" w:hAnsi="宋体" w:eastAsia="宋体" w:cs="宋体"/>
          <w:b w:val="0"/>
          <w:bCs/>
          <w:color w:val="auto"/>
          <w:kern w:val="0"/>
          <w:sz w:val="24"/>
          <w:szCs w:val="24"/>
          <w:highlight w:val="none"/>
        </w:rPr>
      </w:pPr>
      <w:r>
        <w:rPr>
          <w:rFonts w:hint="eastAsia" w:ascii="宋体" w:hAnsi="宋体" w:cs="宋体"/>
          <w:b w:val="0"/>
          <w:bCs/>
          <w:color w:val="auto"/>
          <w:kern w:val="0"/>
          <w:sz w:val="24"/>
          <w:szCs w:val="24"/>
          <w:highlight w:val="none"/>
          <w:lang w:val="en-US" w:eastAsia="zh-CN"/>
        </w:rPr>
        <w:t>②</w:t>
      </w:r>
      <w:r>
        <w:rPr>
          <w:rFonts w:hint="eastAsia" w:ascii="宋体" w:hAnsi="宋体" w:eastAsia="宋体" w:cs="宋体"/>
          <w:b w:val="0"/>
          <w:bCs/>
          <w:color w:val="auto"/>
          <w:kern w:val="0"/>
          <w:sz w:val="24"/>
          <w:szCs w:val="24"/>
          <w:highlight w:val="none"/>
        </w:rPr>
        <w:t>本项目类别：服务类。</w:t>
      </w:r>
    </w:p>
    <w:p w14:paraId="57A7F04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③</w:t>
      </w:r>
      <w:r>
        <w:rPr>
          <w:rFonts w:hint="eastAsia" w:ascii="宋体" w:hAnsi="宋体" w:cs="宋体"/>
          <w:b w:val="0"/>
          <w:bCs/>
          <w:color w:val="auto"/>
          <w:sz w:val="24"/>
          <w:szCs w:val="24"/>
          <w:highlight w:val="none"/>
        </w:rPr>
        <w:t>本项目采购标的对应的中小企业划分标准所属行业为：</w:t>
      </w:r>
      <w:r>
        <w:rPr>
          <w:rFonts w:hint="eastAsia" w:ascii="宋体" w:hAnsi="宋体" w:cs="宋体"/>
          <w:b w:val="0"/>
          <w:bCs/>
          <w:color w:val="auto"/>
          <w:sz w:val="24"/>
          <w:szCs w:val="24"/>
          <w:highlight w:val="none"/>
          <w:lang w:eastAsia="zh-CN"/>
        </w:rPr>
        <w:t>其他未列明行业</w:t>
      </w:r>
      <w:r>
        <w:rPr>
          <w:rFonts w:hint="eastAsia" w:ascii="宋体" w:hAnsi="宋体" w:cs="宋体"/>
          <w:b w:val="0"/>
          <w:bCs/>
          <w:color w:val="auto"/>
          <w:sz w:val="24"/>
          <w:szCs w:val="24"/>
          <w:highlight w:val="none"/>
        </w:rPr>
        <w:t xml:space="preserve">。 </w:t>
      </w:r>
    </w:p>
    <w:p w14:paraId="00AAB1D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宋体" w:hAnsi="宋体" w:cs="宋体"/>
          <w:b w:val="0"/>
          <w:bCs/>
          <w:color w:val="auto"/>
          <w:kern w:val="0"/>
          <w:sz w:val="24"/>
          <w:szCs w:val="24"/>
          <w:highlight w:val="none"/>
          <w:lang w:val="en-US" w:eastAsia="zh-CN" w:bidi="ar"/>
        </w:rPr>
      </w:pPr>
      <w:r>
        <w:rPr>
          <w:rFonts w:hint="eastAsia" w:cs="Times New Roman"/>
          <w:b w:val="0"/>
          <w:bCs/>
          <w:color w:val="auto"/>
          <w:kern w:val="2"/>
          <w:sz w:val="24"/>
          <w:szCs w:val="24"/>
          <w:highlight w:val="none"/>
          <w:lang w:val="en-US" w:eastAsia="zh-CN" w:bidi="ar-SA"/>
        </w:rPr>
        <w:t>④</w:t>
      </w:r>
      <w:r>
        <w:rPr>
          <w:rFonts w:hint="eastAsia" w:ascii="Times New Roman" w:hAnsi="Times New Roman" w:eastAsia="宋体" w:cs="Times New Roman"/>
          <w:b w:val="0"/>
          <w:bCs/>
          <w:color w:val="auto"/>
          <w:kern w:val="2"/>
          <w:sz w:val="24"/>
          <w:szCs w:val="24"/>
          <w:highlight w:val="none"/>
          <w:lang w:val="en-US" w:eastAsia="zh-CN" w:bidi="ar-SA"/>
        </w:rPr>
        <w:t>本章节所有技术需求、商务要求均为实质性要求，供应商需完全响应，不接受负偏离，否则磋商无效</w:t>
      </w:r>
      <w:r>
        <w:rPr>
          <w:rFonts w:hint="eastAsia" w:ascii="宋体" w:hAnsi="宋体" w:cs="宋体"/>
          <w:b w:val="0"/>
          <w:bCs/>
          <w:color w:val="auto"/>
          <w:kern w:val="0"/>
          <w:sz w:val="24"/>
          <w:szCs w:val="24"/>
          <w:highlight w:val="none"/>
          <w:lang w:val="en-US" w:eastAsia="zh-CN" w:bidi="ar"/>
        </w:rPr>
        <w:t>。</w:t>
      </w:r>
    </w:p>
    <w:p w14:paraId="47E4BA7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bCs w:val="0"/>
          <w:color w:val="auto"/>
          <w:kern w:val="0"/>
          <w:sz w:val="24"/>
          <w:szCs w:val="24"/>
          <w:highlight w:val="none"/>
          <w:lang w:val="en-US" w:eastAsia="zh-CN" w:bidi="ar"/>
        </w:rPr>
      </w:pPr>
      <w:r>
        <w:rPr>
          <w:rFonts w:hint="eastAsia" w:ascii="宋体" w:hAnsi="宋体" w:cs="宋体"/>
          <w:b/>
          <w:bCs w:val="0"/>
          <w:color w:val="auto"/>
          <w:kern w:val="0"/>
          <w:sz w:val="24"/>
          <w:szCs w:val="24"/>
          <w:highlight w:val="none"/>
          <w:lang w:val="en-US" w:eastAsia="zh-CN" w:bidi="ar"/>
        </w:rPr>
        <w:t>标项一：</w:t>
      </w:r>
    </w:p>
    <w:p w14:paraId="5EC37176">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项目概况</w:t>
      </w:r>
    </w:p>
    <w:p w14:paraId="028A9C19">
      <w:pPr>
        <w:keepNext w:val="0"/>
        <w:keepLines w:val="0"/>
        <w:pageBreakBefore w:val="0"/>
        <w:widowControl/>
        <w:numPr>
          <w:ilvl w:val="0"/>
          <w:numId w:val="9"/>
        </w:numPr>
        <w:kinsoku/>
        <w:wordWrap/>
        <w:overflowPunct/>
        <w:topLinePunct w:val="0"/>
        <w:autoSpaceDE/>
        <w:autoSpaceDN/>
        <w:bidi w:val="0"/>
        <w:adjustRightInd w:val="0"/>
        <w:snapToGrid/>
        <w:spacing w:line="480" w:lineRule="exact"/>
        <w:ind w:firstLine="482" w:firstLineChars="20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项目背景</w:t>
      </w:r>
    </w:p>
    <w:p w14:paraId="0C6E9A4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根据《农业农村部关于印发&lt;高标准农田建设项目竣工验收办法（试行）&gt;的通知》（农建发〔2025〕6号）《自治区农业农村厅办公室关于做好高标准农田建设项目竣工验收工作的通知》《自治区农业农村厅 自治区财政厅关于下达2025年财政补助资金支持的农田建设任务的通知》（桂农厅发〔2025〕33号）要求，为规范北海市高标准农田竣工验收、保障农田建设质量与建设规模达标，结合本地实际制定本市级竣工验收工作方案。2025 年自治区下达北海高标准农田建设任务 11.1 万亩，含新建 2.4 万亩、改造提升 8.7 万亩，需统一组织市级竣工验收配套服务工作。</w:t>
      </w:r>
    </w:p>
    <w:p w14:paraId="0839AA33">
      <w:pPr>
        <w:keepNext w:val="0"/>
        <w:keepLines w:val="0"/>
        <w:pageBreakBefore w:val="0"/>
        <w:widowControl/>
        <w:numPr>
          <w:ilvl w:val="0"/>
          <w:numId w:val="10"/>
        </w:numPr>
        <w:kinsoku/>
        <w:wordWrap/>
        <w:overflowPunct/>
        <w:topLinePunct w:val="0"/>
        <w:autoSpaceDE/>
        <w:autoSpaceDN/>
        <w:bidi w:val="0"/>
        <w:adjustRightInd w:val="0"/>
        <w:snapToGrid/>
        <w:spacing w:line="480" w:lineRule="exact"/>
        <w:ind w:left="482" w:left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服务范围</w:t>
      </w:r>
    </w:p>
    <w:p w14:paraId="1EE50E3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建设项目范围：全市 2025 年度全部高标准农田项目，</w:t>
      </w:r>
      <w:r>
        <w:rPr>
          <w:rFonts w:hint="eastAsia" w:ascii="Times New Roman" w:hAnsi="Times New Roman" w:cs="Times New Roman"/>
          <w:b w:val="0"/>
          <w:bCs/>
          <w:color w:val="auto"/>
          <w:kern w:val="2"/>
          <w:sz w:val="24"/>
          <w:szCs w:val="24"/>
          <w:highlight w:val="none"/>
          <w:lang w:val="en-US" w:eastAsia="zh-CN" w:bidi="ar-SA"/>
        </w:rPr>
        <w:t>共计</w:t>
      </w:r>
      <w:r>
        <w:rPr>
          <w:rFonts w:hint="eastAsia" w:ascii="Times New Roman" w:hAnsi="Times New Roman" w:eastAsia="宋体" w:cs="Times New Roman"/>
          <w:b w:val="0"/>
          <w:bCs/>
          <w:color w:val="auto"/>
          <w:kern w:val="2"/>
          <w:sz w:val="24"/>
          <w:szCs w:val="24"/>
          <w:highlight w:val="none"/>
          <w:lang w:val="en-US" w:eastAsia="zh-CN" w:bidi="ar-SA"/>
        </w:rPr>
        <w:t xml:space="preserve"> 5 个项目</w:t>
      </w:r>
      <w:r>
        <w:rPr>
          <w:rFonts w:hint="eastAsia" w:cs="Times New Roman"/>
          <w:b w:val="0"/>
          <w:bCs/>
          <w:color w:val="auto"/>
          <w:kern w:val="2"/>
          <w:sz w:val="24"/>
          <w:szCs w:val="24"/>
          <w:highlight w:val="none"/>
          <w:lang w:val="en-US" w:eastAsia="zh-CN" w:bidi="ar-SA"/>
        </w:rPr>
        <w:t>，分别是：2025年合浦县高标准农田新建和改造项目（石康镇片区）、2025年合浦县高标准农田新建和改造项目（石湾镇片区）、2025年合浦县高标准农田新建和改造项目（廉州镇片区）、2025年合浦县高标准农田新建和改造项目（沙岗镇片区）、2025年合浦县高标准农田新建和改造项目（西场镇片区）</w:t>
      </w:r>
      <w:r>
        <w:rPr>
          <w:rFonts w:hint="eastAsia" w:ascii="Times New Roman" w:hAnsi="Times New Roman" w:eastAsia="宋体" w:cs="Times New Roman"/>
          <w:b w:val="0"/>
          <w:bCs/>
          <w:color w:val="auto"/>
          <w:kern w:val="2"/>
          <w:sz w:val="24"/>
          <w:szCs w:val="24"/>
          <w:highlight w:val="none"/>
          <w:lang w:val="en-US" w:eastAsia="zh-CN" w:bidi="ar-SA"/>
        </w:rPr>
        <w:t>，验收面积以实际建成面积为准。</w:t>
      </w:r>
    </w:p>
    <w:p w14:paraId="3FA7579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验收工作服务范围：</w:t>
      </w:r>
      <w:r>
        <w:rPr>
          <w:rFonts w:hint="eastAsia" w:cs="Times New Roman"/>
          <w:b w:val="0"/>
          <w:bCs/>
          <w:color w:val="auto"/>
          <w:kern w:val="2"/>
          <w:sz w:val="24"/>
          <w:szCs w:val="24"/>
          <w:highlight w:val="none"/>
          <w:lang w:val="en-US" w:eastAsia="zh-CN" w:bidi="ar-SA"/>
        </w:rPr>
        <w:t>对</w:t>
      </w:r>
      <w:r>
        <w:rPr>
          <w:rFonts w:hint="eastAsia" w:ascii="Times New Roman" w:hAnsi="Times New Roman" w:eastAsia="宋体" w:cs="Times New Roman"/>
          <w:b w:val="0"/>
          <w:bCs/>
          <w:color w:val="auto"/>
          <w:kern w:val="2"/>
          <w:sz w:val="24"/>
          <w:szCs w:val="24"/>
          <w:highlight w:val="none"/>
          <w:lang w:val="en-US" w:eastAsia="zh-CN" w:bidi="ar-SA"/>
        </w:rPr>
        <w:t>全市 2025 年度全部高标准农田</w:t>
      </w:r>
      <w:r>
        <w:rPr>
          <w:rFonts w:hint="eastAsia" w:cs="Times New Roman"/>
          <w:b w:val="0"/>
          <w:bCs/>
          <w:color w:val="auto"/>
          <w:kern w:val="2"/>
          <w:sz w:val="24"/>
          <w:szCs w:val="24"/>
          <w:highlight w:val="none"/>
          <w:lang w:val="en-US" w:eastAsia="zh-CN" w:bidi="ar-SA"/>
        </w:rPr>
        <w:t>项目建设任务、建设内容、建设质量、实施管理、建后管护责任落实等进行的全面验收</w:t>
      </w:r>
      <w:r>
        <w:rPr>
          <w:rFonts w:hint="eastAsia" w:ascii="Times New Roman" w:hAnsi="Times New Roman" w:eastAsia="宋体" w:cs="Times New Roman"/>
          <w:b w:val="0"/>
          <w:bCs/>
          <w:color w:val="auto"/>
          <w:kern w:val="2"/>
          <w:sz w:val="24"/>
          <w:szCs w:val="24"/>
          <w:highlight w:val="none"/>
          <w:lang w:val="en-US" w:eastAsia="zh-CN" w:bidi="ar-SA"/>
        </w:rPr>
        <w:t>。</w:t>
      </w:r>
    </w:p>
    <w:p w14:paraId="3CFCE47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行政范围：北海市各区县 2025 年高标准农田建设片区，需完成县级初验合格后的市级复核验收全流程服务。</w:t>
      </w:r>
    </w:p>
    <w:p w14:paraId="0A3D12CC">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bookmarkStart w:id="31" w:name="heading_10"/>
      <w:r>
        <w:rPr>
          <w:rFonts w:hint="eastAsia" w:ascii="宋体" w:hAnsi="宋体" w:cs="宋体"/>
          <w:b/>
          <w:color w:val="auto"/>
          <w:kern w:val="2"/>
          <w:sz w:val="24"/>
          <w:szCs w:val="24"/>
          <w:highlight w:val="none"/>
          <w:lang w:val="en-US" w:eastAsia="zh-CN" w:bidi="ar-SA"/>
        </w:rPr>
        <w:t>验收依据</w:t>
      </w:r>
    </w:p>
    <w:p w14:paraId="31C2CD9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w:t>
      </w:r>
      <w:r>
        <w:rPr>
          <w:rFonts w:hint="default" w:ascii="Times New Roman" w:hAnsi="Times New Roman" w:eastAsia="宋体" w:cs="Times New Roman"/>
          <w:b w:val="0"/>
          <w:bCs/>
          <w:color w:val="auto"/>
          <w:kern w:val="2"/>
          <w:sz w:val="24"/>
          <w:szCs w:val="24"/>
          <w:highlight w:val="none"/>
          <w:lang w:val="en-US" w:eastAsia="zh-CN" w:bidi="ar-SA"/>
        </w:rPr>
        <w:t>国家及有关部门颁布的相关法律法规、规章制度、标准规范等</w:t>
      </w:r>
      <w:r>
        <w:rPr>
          <w:rFonts w:hint="eastAsia" w:ascii="Times New Roman" w:hAnsi="Times New Roman" w:eastAsia="宋体" w:cs="Times New Roman"/>
          <w:b w:val="0"/>
          <w:bCs/>
          <w:color w:val="auto"/>
          <w:kern w:val="2"/>
          <w:sz w:val="24"/>
          <w:szCs w:val="24"/>
          <w:highlight w:val="none"/>
          <w:lang w:val="en-US" w:eastAsia="zh-CN" w:bidi="ar-SA"/>
        </w:rPr>
        <w:t>；</w:t>
      </w:r>
    </w:p>
    <w:p w14:paraId="29C9A1B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2.</w:t>
      </w:r>
      <w:r>
        <w:rPr>
          <w:rFonts w:hint="default" w:ascii="Times New Roman" w:hAnsi="Times New Roman" w:eastAsia="宋体" w:cs="Times New Roman"/>
          <w:b w:val="0"/>
          <w:bCs/>
          <w:color w:val="auto"/>
          <w:kern w:val="2"/>
          <w:sz w:val="24"/>
          <w:szCs w:val="24"/>
          <w:highlight w:val="none"/>
          <w:lang w:val="en-US" w:eastAsia="zh-CN" w:bidi="ar-SA"/>
        </w:rPr>
        <w:t>有关建设规划、项目初步设计文件、批复文件以及项目变更调整、终止批复文件</w:t>
      </w:r>
      <w:r>
        <w:rPr>
          <w:rFonts w:hint="eastAsia" w:ascii="Times New Roman" w:hAnsi="Times New Roman" w:eastAsia="宋体" w:cs="Times New Roman"/>
          <w:b w:val="0"/>
          <w:bCs/>
          <w:color w:val="auto"/>
          <w:kern w:val="2"/>
          <w:sz w:val="24"/>
          <w:szCs w:val="24"/>
          <w:highlight w:val="none"/>
          <w:lang w:val="en-US" w:eastAsia="zh-CN" w:bidi="ar-SA"/>
        </w:rPr>
        <w:t>；</w:t>
      </w:r>
    </w:p>
    <w:p w14:paraId="43FBBBC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项目建设合同、资金下达拨付等文件资料</w:t>
      </w:r>
      <w:r>
        <w:rPr>
          <w:rFonts w:hint="eastAsia" w:ascii="Times New Roman" w:hAnsi="Times New Roman" w:eastAsia="宋体" w:cs="Times New Roman"/>
          <w:b w:val="0"/>
          <w:bCs/>
          <w:color w:val="auto"/>
          <w:kern w:val="2"/>
          <w:sz w:val="24"/>
          <w:szCs w:val="24"/>
          <w:highlight w:val="none"/>
          <w:lang w:val="en-US" w:eastAsia="zh-CN" w:bidi="ar-SA"/>
        </w:rPr>
        <w:t>；</w:t>
      </w:r>
    </w:p>
    <w:p w14:paraId="23733B8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4.</w:t>
      </w:r>
      <w:r>
        <w:rPr>
          <w:rFonts w:hint="default" w:ascii="Times New Roman" w:hAnsi="Times New Roman" w:eastAsia="宋体" w:cs="Times New Roman"/>
          <w:b w:val="0"/>
          <w:bCs/>
          <w:color w:val="auto"/>
          <w:kern w:val="2"/>
          <w:sz w:val="24"/>
          <w:szCs w:val="24"/>
          <w:highlight w:val="none"/>
          <w:lang w:val="en-US" w:eastAsia="zh-CN" w:bidi="ar-SA"/>
        </w:rPr>
        <w:t>按照有关规定应当取得的项目建设其他审批手续</w:t>
      </w:r>
      <w:r>
        <w:rPr>
          <w:rFonts w:hint="eastAsia" w:ascii="Times New Roman" w:hAnsi="Times New Roman" w:eastAsia="宋体" w:cs="Times New Roman"/>
          <w:b w:val="0"/>
          <w:bCs/>
          <w:color w:val="auto"/>
          <w:kern w:val="2"/>
          <w:sz w:val="24"/>
          <w:szCs w:val="24"/>
          <w:highlight w:val="none"/>
          <w:lang w:val="en-US" w:eastAsia="zh-CN" w:bidi="ar-SA"/>
        </w:rPr>
        <w:t>；</w:t>
      </w:r>
    </w:p>
    <w:p w14:paraId="2BB71B1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5.</w:t>
      </w:r>
      <w:r>
        <w:rPr>
          <w:rFonts w:hint="default" w:ascii="Times New Roman" w:hAnsi="Times New Roman" w:eastAsia="宋体" w:cs="Times New Roman"/>
          <w:b w:val="0"/>
          <w:bCs/>
          <w:color w:val="auto"/>
          <w:kern w:val="2"/>
          <w:sz w:val="24"/>
          <w:szCs w:val="24"/>
          <w:highlight w:val="none"/>
          <w:lang w:val="en-US" w:eastAsia="zh-CN" w:bidi="ar-SA"/>
        </w:rPr>
        <w:t>项目建设单位、设计单位、施工单位、监理单位对项目建设的关键工序、关键部位、隐蔽工程等开展四方验收的相关资料</w:t>
      </w:r>
      <w:r>
        <w:rPr>
          <w:rFonts w:hint="eastAsia" w:ascii="Times New Roman" w:hAnsi="Times New Roman" w:eastAsia="宋体" w:cs="Times New Roman"/>
          <w:b w:val="0"/>
          <w:bCs/>
          <w:color w:val="auto"/>
          <w:kern w:val="2"/>
          <w:sz w:val="24"/>
          <w:szCs w:val="24"/>
          <w:highlight w:val="none"/>
          <w:lang w:val="en-US" w:eastAsia="zh-CN" w:bidi="ar-SA"/>
        </w:rPr>
        <w:t>；</w:t>
      </w:r>
    </w:p>
    <w:p w14:paraId="70C7046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6.</w:t>
      </w:r>
      <w:r>
        <w:rPr>
          <w:rFonts w:hint="default" w:ascii="Times New Roman" w:hAnsi="Times New Roman" w:eastAsia="宋体" w:cs="Times New Roman"/>
          <w:b w:val="0"/>
          <w:bCs/>
          <w:color w:val="auto"/>
          <w:kern w:val="2"/>
          <w:sz w:val="24"/>
          <w:szCs w:val="24"/>
          <w:highlight w:val="none"/>
          <w:lang w:val="en-US" w:eastAsia="zh-CN" w:bidi="ar-SA"/>
        </w:rPr>
        <w:t>项目区农村集体经济组织负责人、农民群众代表意见征求情况。</w:t>
      </w:r>
    </w:p>
    <w:p w14:paraId="179CD650">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验收条件</w:t>
      </w:r>
    </w:p>
    <w:p w14:paraId="53F7F88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按批复的项目初步设计文件、项目建设合同约定内容完成各项建设内容并符合质量要求</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有设计、合同调整的，按项目批复变更文件、补充合同约定内容完成各项建设内容并符合质量要求</w:t>
      </w:r>
      <w:r>
        <w:rPr>
          <w:rFonts w:hint="eastAsia" w:cs="Times New Roman"/>
          <w:b w:val="0"/>
          <w:bCs/>
          <w:color w:val="auto"/>
          <w:kern w:val="2"/>
          <w:sz w:val="24"/>
          <w:szCs w:val="24"/>
          <w:highlight w:val="none"/>
          <w:lang w:val="en-US" w:eastAsia="zh-CN" w:bidi="ar-SA"/>
        </w:rPr>
        <w:t>；</w:t>
      </w:r>
    </w:p>
    <w:p w14:paraId="51885D8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完成项目竣工图件绘制，包括竣工总平面图和各单体工程竣工图，应当涵盖项目完工后的所有工程设施，以及项目区地块空间位置信息，由设计单位、施工单位、监理单位签字(盖章)</w:t>
      </w:r>
      <w:r>
        <w:rPr>
          <w:rFonts w:hint="eastAsia" w:cs="Times New Roman"/>
          <w:b w:val="0"/>
          <w:bCs/>
          <w:color w:val="auto"/>
          <w:kern w:val="2"/>
          <w:sz w:val="24"/>
          <w:szCs w:val="24"/>
          <w:highlight w:val="none"/>
          <w:lang w:val="en-US" w:eastAsia="zh-CN" w:bidi="ar-SA"/>
        </w:rPr>
        <w:t>；</w:t>
      </w:r>
    </w:p>
    <w:p w14:paraId="59581F9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项目工程设施能够正常运行，质量达到设计要求</w:t>
      </w:r>
      <w:r>
        <w:rPr>
          <w:rFonts w:hint="eastAsia" w:cs="Times New Roman"/>
          <w:b w:val="0"/>
          <w:bCs/>
          <w:color w:val="auto"/>
          <w:kern w:val="2"/>
          <w:sz w:val="24"/>
          <w:szCs w:val="24"/>
          <w:highlight w:val="none"/>
          <w:lang w:val="en-US" w:eastAsia="zh-CN" w:bidi="ar-SA"/>
        </w:rPr>
        <w:t>；</w:t>
      </w:r>
    </w:p>
    <w:p w14:paraId="11D3A92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4.各单项工程已通过项目建设单位、设计单位、施工单位、监理单位四方验收并合格</w:t>
      </w:r>
      <w:r>
        <w:rPr>
          <w:rFonts w:hint="eastAsia" w:cs="Times New Roman"/>
          <w:b w:val="0"/>
          <w:bCs/>
          <w:color w:val="auto"/>
          <w:kern w:val="2"/>
          <w:sz w:val="24"/>
          <w:szCs w:val="24"/>
          <w:highlight w:val="none"/>
          <w:lang w:val="en-US" w:eastAsia="zh-CN" w:bidi="ar-SA"/>
        </w:rPr>
        <w:t>；</w:t>
      </w:r>
    </w:p>
    <w:p w14:paraId="30D4B4D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5.</w:t>
      </w:r>
      <w:r>
        <w:rPr>
          <w:rFonts w:hint="eastAsia" w:ascii="Times New Roman" w:hAnsi="Times New Roman" w:eastAsia="宋体" w:cs="Times New Roman"/>
          <w:b w:val="0"/>
          <w:bCs/>
          <w:color w:val="auto"/>
          <w:kern w:val="2"/>
          <w:sz w:val="24"/>
          <w:szCs w:val="24"/>
          <w:highlight w:val="none"/>
          <w:lang w:val="en-US" w:eastAsia="zh-CN" w:bidi="ar-SA"/>
        </w:rPr>
        <w:t>已完成项目竣工决算，经有相关资质的中介机构或当地审计机关审计，具有相应的审计报告</w:t>
      </w:r>
      <w:r>
        <w:rPr>
          <w:rFonts w:hint="eastAsia" w:cs="Times New Roman"/>
          <w:b w:val="0"/>
          <w:bCs/>
          <w:color w:val="auto"/>
          <w:kern w:val="2"/>
          <w:sz w:val="24"/>
          <w:szCs w:val="24"/>
          <w:highlight w:val="none"/>
          <w:lang w:val="en-US" w:eastAsia="zh-CN" w:bidi="ar-SA"/>
        </w:rPr>
        <w:t>；</w:t>
      </w:r>
    </w:p>
    <w:p w14:paraId="340BE47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6.</w:t>
      </w:r>
      <w:r>
        <w:rPr>
          <w:rFonts w:hint="eastAsia" w:ascii="Times New Roman" w:hAnsi="Times New Roman" w:eastAsia="宋体" w:cs="Times New Roman"/>
          <w:b w:val="0"/>
          <w:bCs/>
          <w:color w:val="auto"/>
          <w:kern w:val="2"/>
          <w:sz w:val="24"/>
          <w:szCs w:val="24"/>
          <w:highlight w:val="none"/>
          <w:lang w:val="en-US" w:eastAsia="zh-CN" w:bidi="ar-SA"/>
        </w:rPr>
        <w:t>按合同约定完成项目资金支付</w:t>
      </w:r>
      <w:r>
        <w:rPr>
          <w:rFonts w:hint="eastAsia" w:cs="Times New Roman"/>
          <w:b w:val="0"/>
          <w:bCs/>
          <w:color w:val="auto"/>
          <w:kern w:val="2"/>
          <w:sz w:val="24"/>
          <w:szCs w:val="24"/>
          <w:highlight w:val="none"/>
          <w:lang w:val="en-US" w:eastAsia="zh-CN" w:bidi="ar-SA"/>
        </w:rPr>
        <w:t>；</w:t>
      </w:r>
    </w:p>
    <w:p w14:paraId="4F03AD6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7.</w:t>
      </w:r>
      <w:r>
        <w:rPr>
          <w:rFonts w:hint="eastAsia" w:ascii="Times New Roman" w:hAnsi="Times New Roman" w:eastAsia="宋体" w:cs="Times New Roman"/>
          <w:b w:val="0"/>
          <w:bCs/>
          <w:color w:val="auto"/>
          <w:kern w:val="2"/>
          <w:sz w:val="24"/>
          <w:szCs w:val="24"/>
          <w:highlight w:val="none"/>
          <w:lang w:val="en-US" w:eastAsia="zh-CN" w:bidi="ar-SA"/>
        </w:rPr>
        <w:t>前期工作、招投标、合同、监理、施工管理资料及相应的图纸等技术资料齐全、完整，已完成项目有关材料的分类立卷工作</w:t>
      </w:r>
      <w:r>
        <w:rPr>
          <w:rFonts w:hint="eastAsia" w:cs="Times New Roman"/>
          <w:b w:val="0"/>
          <w:bCs/>
          <w:color w:val="auto"/>
          <w:kern w:val="2"/>
          <w:sz w:val="24"/>
          <w:szCs w:val="24"/>
          <w:highlight w:val="none"/>
          <w:lang w:val="en-US" w:eastAsia="zh-CN" w:bidi="ar-SA"/>
        </w:rPr>
        <w:t>；</w:t>
      </w:r>
    </w:p>
    <w:p w14:paraId="24CC01B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8.</w:t>
      </w:r>
      <w:r>
        <w:rPr>
          <w:rFonts w:hint="eastAsia" w:ascii="Times New Roman" w:hAnsi="Times New Roman" w:eastAsia="宋体" w:cs="Times New Roman"/>
          <w:b w:val="0"/>
          <w:bCs/>
          <w:color w:val="auto"/>
          <w:kern w:val="2"/>
          <w:sz w:val="24"/>
          <w:szCs w:val="24"/>
          <w:highlight w:val="none"/>
          <w:lang w:val="en-US" w:eastAsia="zh-CN" w:bidi="ar-SA"/>
        </w:rPr>
        <w:t>已通过工程设施试用</w:t>
      </w:r>
      <w:r>
        <w:rPr>
          <w:rFonts w:hint="eastAsia" w:cs="Times New Roman"/>
          <w:b w:val="0"/>
          <w:bCs/>
          <w:color w:val="auto"/>
          <w:kern w:val="2"/>
          <w:sz w:val="24"/>
          <w:szCs w:val="24"/>
          <w:highlight w:val="none"/>
          <w:lang w:val="en-US" w:eastAsia="zh-CN" w:bidi="ar-SA"/>
        </w:rPr>
        <w:t>；</w:t>
      </w:r>
    </w:p>
    <w:p w14:paraId="0E812BD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9.</w:t>
      </w:r>
      <w:r>
        <w:rPr>
          <w:rFonts w:hint="eastAsia" w:ascii="Times New Roman" w:hAnsi="Times New Roman" w:eastAsia="宋体" w:cs="Times New Roman"/>
          <w:b w:val="0"/>
          <w:bCs/>
          <w:color w:val="auto"/>
          <w:kern w:val="2"/>
          <w:sz w:val="24"/>
          <w:szCs w:val="24"/>
          <w:highlight w:val="none"/>
          <w:lang w:val="en-US" w:eastAsia="zh-CN" w:bidi="ar-SA"/>
        </w:rPr>
        <w:t>已征求项目区农村集体经济组织负责人、农民群众代表意见</w:t>
      </w:r>
      <w:r>
        <w:rPr>
          <w:rFonts w:hint="eastAsia" w:cs="Times New Roman"/>
          <w:b w:val="0"/>
          <w:bCs/>
          <w:color w:val="auto"/>
          <w:kern w:val="2"/>
          <w:sz w:val="24"/>
          <w:szCs w:val="24"/>
          <w:highlight w:val="none"/>
          <w:lang w:val="en-US" w:eastAsia="zh-CN" w:bidi="ar-SA"/>
        </w:rPr>
        <w:t>；</w:t>
      </w:r>
    </w:p>
    <w:p w14:paraId="479C31C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10.</w:t>
      </w:r>
      <w:r>
        <w:rPr>
          <w:rFonts w:hint="eastAsia" w:ascii="Times New Roman" w:hAnsi="Times New Roman" w:eastAsia="宋体" w:cs="Times New Roman"/>
          <w:b w:val="0"/>
          <w:bCs/>
          <w:color w:val="auto"/>
          <w:kern w:val="2"/>
          <w:sz w:val="24"/>
          <w:szCs w:val="24"/>
          <w:highlight w:val="none"/>
          <w:lang w:val="en-US" w:eastAsia="zh-CN" w:bidi="ar-SA"/>
        </w:rPr>
        <w:t>明确工程设施管护主体和管护责任。</w:t>
      </w:r>
    </w:p>
    <w:p w14:paraId="5FAAA1E8">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验收内容</w:t>
      </w:r>
    </w:p>
    <w:p w14:paraId="25BDC98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对项目建设任务、建设内容、建设质量、实施管理、建后管护责任落实等进行的全面验收。</w:t>
      </w:r>
    </w:p>
    <w:p w14:paraId="12BF89F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项目初步设计批复内容或项目调整变更批复内容、项目建设合同或补充合同约定内容的完成情况</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 xml:space="preserve"> </w:t>
      </w:r>
    </w:p>
    <w:p w14:paraId="62CFA94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 xml:space="preserve">各级财政资金和自筹资金按照项目合同落实到位情况； </w:t>
      </w:r>
    </w:p>
    <w:p w14:paraId="4F5005E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资金使用情况，包括项目专账核算、专人管理、入账手续及支出凭证完整性等；</w:t>
      </w:r>
    </w:p>
    <w:p w14:paraId="42786BF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4.</w:t>
      </w:r>
      <w:r>
        <w:rPr>
          <w:rFonts w:hint="eastAsia" w:ascii="Times New Roman" w:hAnsi="Times New Roman" w:eastAsia="宋体" w:cs="Times New Roman"/>
          <w:b w:val="0"/>
          <w:bCs/>
          <w:color w:val="auto"/>
          <w:kern w:val="2"/>
          <w:sz w:val="24"/>
          <w:szCs w:val="24"/>
          <w:highlight w:val="none"/>
          <w:lang w:val="en-US" w:eastAsia="zh-CN" w:bidi="ar-SA"/>
        </w:rPr>
        <w:t xml:space="preserve">项目管理情况，包括法人责任履行、招投标管理、合同管理、施工管理、工程监理、四方验收、工程设施试用、初步验收和档案管理等； </w:t>
      </w:r>
    </w:p>
    <w:p w14:paraId="4087844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5.</w:t>
      </w:r>
      <w:r>
        <w:rPr>
          <w:rFonts w:hint="eastAsia" w:ascii="Times New Roman" w:hAnsi="Times New Roman" w:eastAsia="宋体" w:cs="Times New Roman"/>
          <w:b w:val="0"/>
          <w:bCs/>
          <w:color w:val="auto"/>
          <w:kern w:val="2"/>
          <w:sz w:val="24"/>
          <w:szCs w:val="24"/>
          <w:highlight w:val="none"/>
          <w:lang w:val="en-US" w:eastAsia="zh-CN" w:bidi="ar-SA"/>
        </w:rPr>
        <w:t xml:space="preserve">项目建设情况，包括现场查验灌溉与排水、田间道路、田块整治、农田输配电等工程设施的数量和质量，以及农机作业通行条件等； </w:t>
      </w:r>
    </w:p>
    <w:p w14:paraId="1578B2D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6.</w:t>
      </w:r>
      <w:r>
        <w:rPr>
          <w:rFonts w:hint="eastAsia" w:ascii="Times New Roman" w:hAnsi="Times New Roman" w:eastAsia="宋体" w:cs="Times New Roman"/>
          <w:b w:val="0"/>
          <w:bCs/>
          <w:color w:val="auto"/>
          <w:kern w:val="2"/>
          <w:sz w:val="24"/>
          <w:szCs w:val="24"/>
          <w:highlight w:val="none"/>
          <w:lang w:val="en-US" w:eastAsia="zh-CN" w:bidi="ar-SA"/>
        </w:rPr>
        <w:t xml:space="preserve">工程设施试用情况； </w:t>
      </w:r>
    </w:p>
    <w:p w14:paraId="7B8D71E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7.</w:t>
      </w:r>
      <w:r>
        <w:rPr>
          <w:rFonts w:hint="eastAsia" w:ascii="Times New Roman" w:hAnsi="Times New Roman" w:eastAsia="宋体" w:cs="Times New Roman"/>
          <w:b w:val="0"/>
          <w:bCs/>
          <w:color w:val="auto"/>
          <w:kern w:val="2"/>
          <w:sz w:val="24"/>
          <w:szCs w:val="24"/>
          <w:highlight w:val="none"/>
          <w:lang w:val="en-US" w:eastAsia="zh-CN" w:bidi="ar-SA"/>
        </w:rPr>
        <w:t xml:space="preserve">项目区农村集体经济组织负责人、农民群众代表意见情况； </w:t>
      </w:r>
    </w:p>
    <w:p w14:paraId="5411BB6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8.</w:t>
      </w:r>
      <w:r>
        <w:rPr>
          <w:rFonts w:hint="eastAsia" w:ascii="Times New Roman" w:hAnsi="Times New Roman" w:eastAsia="宋体" w:cs="Times New Roman"/>
          <w:b w:val="0"/>
          <w:bCs/>
          <w:color w:val="auto"/>
          <w:kern w:val="2"/>
          <w:sz w:val="24"/>
          <w:szCs w:val="24"/>
          <w:highlight w:val="none"/>
          <w:lang w:val="en-US" w:eastAsia="zh-CN" w:bidi="ar-SA"/>
        </w:rPr>
        <w:t xml:space="preserve">全国农田建设综合监测监管平台中项目基础信息、地块空间位置等； </w:t>
      </w:r>
    </w:p>
    <w:p w14:paraId="7D993EB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9.</w:t>
      </w:r>
      <w:r>
        <w:rPr>
          <w:rFonts w:hint="eastAsia" w:ascii="Times New Roman" w:hAnsi="Times New Roman" w:eastAsia="宋体" w:cs="Times New Roman"/>
          <w:b w:val="0"/>
          <w:bCs/>
          <w:color w:val="auto"/>
          <w:kern w:val="2"/>
          <w:sz w:val="24"/>
          <w:szCs w:val="24"/>
          <w:highlight w:val="none"/>
          <w:lang w:val="en-US" w:eastAsia="zh-CN" w:bidi="ar-SA"/>
        </w:rPr>
        <w:t>工程设施管护主体落实情况；</w:t>
      </w:r>
    </w:p>
    <w:p w14:paraId="09E8E8F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10.</w:t>
      </w:r>
      <w:r>
        <w:rPr>
          <w:rFonts w:hint="eastAsia" w:ascii="Times New Roman" w:hAnsi="Times New Roman" w:eastAsia="宋体" w:cs="Times New Roman"/>
          <w:b w:val="0"/>
          <w:bCs/>
          <w:color w:val="auto"/>
          <w:kern w:val="2"/>
          <w:sz w:val="24"/>
          <w:szCs w:val="24"/>
          <w:highlight w:val="none"/>
          <w:lang w:val="en-US" w:eastAsia="zh-CN" w:bidi="ar-SA"/>
        </w:rPr>
        <w:t>其他需要验收的内容。</w:t>
      </w:r>
    </w:p>
    <w:p w14:paraId="19FB4F26">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验收工作流程要求</w:t>
      </w:r>
    </w:p>
    <w:p w14:paraId="298ABBE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1.验收准备</w:t>
      </w:r>
    </w:p>
    <w:p w14:paraId="4BF9EA2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采购人</w:t>
      </w:r>
      <w:r>
        <w:rPr>
          <w:rFonts w:hint="eastAsia" w:ascii="Times New Roman" w:hAnsi="Times New Roman" w:eastAsia="宋体" w:cs="Times New Roman"/>
          <w:b w:val="0"/>
          <w:bCs/>
          <w:color w:val="auto"/>
          <w:kern w:val="2"/>
          <w:sz w:val="24"/>
          <w:szCs w:val="24"/>
          <w:highlight w:val="none"/>
          <w:lang w:val="en-US" w:eastAsia="zh-CN" w:bidi="ar-SA"/>
        </w:rPr>
        <w:t>在收到县级竣工验收申请报告后，10个工作日内决定是否同意进行市级竣工验收。对具备市级竣工验收条件的项目，及时成立内业验收组和外业实地核查组，并提前5天下达市级竣工验收通知。</w:t>
      </w:r>
    </w:p>
    <w:p w14:paraId="2EFDFE5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2.实施验收</w:t>
      </w:r>
    </w:p>
    <w:p w14:paraId="50411CF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供应商</w:t>
      </w:r>
      <w:r>
        <w:rPr>
          <w:rFonts w:hint="eastAsia" w:ascii="Times New Roman" w:hAnsi="Times New Roman" w:eastAsia="宋体" w:cs="Times New Roman"/>
          <w:b w:val="0"/>
          <w:bCs/>
          <w:color w:val="auto"/>
          <w:kern w:val="2"/>
          <w:sz w:val="24"/>
          <w:szCs w:val="24"/>
          <w:highlight w:val="none"/>
          <w:lang w:val="en-US" w:eastAsia="zh-CN" w:bidi="ar-SA"/>
        </w:rPr>
        <w:t>内业验收组听取项目建设单位、监理单位和施工单位汇报，审查项目实施总结报告；查看农田建设项目初步验收报告、工程档案资料及资金台账；根据《农业农村部关于印发&lt;高标准农田建设项目竣工验收办法（试行）&gt;的通知》（农建发〔2025〕6号）文件要求，对于竣工验收的工程数量进行</w:t>
      </w:r>
      <w:r>
        <w:rPr>
          <w:rFonts w:hint="eastAsia" w:cs="Times New Roman"/>
          <w:b w:val="0"/>
          <w:bCs/>
          <w:color w:val="auto"/>
          <w:kern w:val="2"/>
          <w:sz w:val="24"/>
          <w:szCs w:val="24"/>
          <w:highlight w:val="none"/>
          <w:lang w:val="en-US" w:eastAsia="zh-CN" w:bidi="ar-SA"/>
        </w:rPr>
        <w:t>全面验收，验收应当覆盖每一处地块、工程、设施，不得有漏项，消除验收“死角”。抽样核查内容包括土地平整、土壤改良、渠道衬砌、管道灌溉工程、喷（微）灌工程、建筑物、小型蓄水工程、田间机耕道、农田防护与生态环境保持工程、输变电线路、设备、其他工程；走访农户，开展满意度调查；检查管护制度及管护责任落实情况。</w:t>
      </w:r>
    </w:p>
    <w:p w14:paraId="07D7D9F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3.验收报告</w:t>
      </w:r>
    </w:p>
    <w:p w14:paraId="7834119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供应商应</w:t>
      </w:r>
      <w:r>
        <w:rPr>
          <w:rFonts w:hint="eastAsia" w:ascii="Times New Roman" w:hAnsi="Times New Roman" w:eastAsia="宋体" w:cs="Times New Roman"/>
          <w:b w:val="0"/>
          <w:bCs/>
          <w:color w:val="auto"/>
          <w:kern w:val="2"/>
          <w:sz w:val="24"/>
          <w:szCs w:val="24"/>
          <w:highlight w:val="none"/>
          <w:lang w:val="en-US" w:eastAsia="zh-CN" w:bidi="ar-SA"/>
        </w:rPr>
        <w:t>召开验收组会商会议，协调处理有关问题，出具竣工验收报告，包括验收工作组织开展情况、建设内容完成情况、工程质量情况、资金到位和使用情况、管理制度执行情况、工程设施试用情况等，以及存在问题和建议，得出</w:t>
      </w:r>
      <w:r>
        <w:rPr>
          <w:rFonts w:hint="eastAsia" w:cs="Times New Roman"/>
          <w:b w:val="0"/>
          <w:bCs/>
          <w:color w:val="auto"/>
          <w:kern w:val="2"/>
          <w:sz w:val="24"/>
          <w:szCs w:val="24"/>
          <w:highlight w:val="none"/>
          <w:lang w:val="en-US" w:eastAsia="zh-CN" w:bidi="ar-SA"/>
        </w:rPr>
        <w:t>的</w:t>
      </w:r>
      <w:r>
        <w:rPr>
          <w:rFonts w:hint="eastAsia" w:ascii="Times New Roman" w:hAnsi="Times New Roman" w:eastAsia="宋体" w:cs="Times New Roman"/>
          <w:b w:val="0"/>
          <w:bCs/>
          <w:color w:val="auto"/>
          <w:kern w:val="2"/>
          <w:sz w:val="24"/>
          <w:szCs w:val="24"/>
          <w:highlight w:val="none"/>
          <w:lang w:val="en-US" w:eastAsia="zh-CN" w:bidi="ar-SA"/>
        </w:rPr>
        <w:t>验收结论由验收组所有成员签字确认；对于竣工验收存在的问题，</w:t>
      </w:r>
      <w:r>
        <w:rPr>
          <w:rFonts w:hint="eastAsia" w:cs="Times New Roman"/>
          <w:b w:val="0"/>
          <w:bCs/>
          <w:color w:val="auto"/>
          <w:kern w:val="2"/>
          <w:sz w:val="24"/>
          <w:szCs w:val="24"/>
          <w:highlight w:val="none"/>
          <w:lang w:val="en-US" w:eastAsia="zh-CN" w:bidi="ar-SA"/>
        </w:rPr>
        <w:t>通知</w:t>
      </w:r>
      <w:r>
        <w:rPr>
          <w:rFonts w:hint="eastAsia" w:ascii="Times New Roman" w:hAnsi="Times New Roman" w:eastAsia="宋体" w:cs="Times New Roman"/>
          <w:b w:val="0"/>
          <w:bCs/>
          <w:color w:val="auto"/>
          <w:kern w:val="2"/>
          <w:sz w:val="24"/>
          <w:szCs w:val="24"/>
          <w:highlight w:val="none"/>
          <w:lang w:val="en-US" w:eastAsia="zh-CN" w:bidi="ar-SA"/>
        </w:rPr>
        <w:t>各县区农业农村局及时落实整改责任，确保整改到位，并及时将整改结果报</w:t>
      </w:r>
      <w:r>
        <w:rPr>
          <w:rFonts w:hint="eastAsia" w:ascii="Times New Roman" w:hAnsi="Times New Roman" w:cs="Times New Roman"/>
          <w:b w:val="0"/>
          <w:bCs/>
          <w:color w:val="auto"/>
          <w:kern w:val="2"/>
          <w:sz w:val="24"/>
          <w:szCs w:val="24"/>
          <w:highlight w:val="none"/>
          <w:lang w:val="en-US" w:eastAsia="zh-CN" w:bidi="ar-SA"/>
        </w:rPr>
        <w:t>采购人</w:t>
      </w:r>
      <w:r>
        <w:rPr>
          <w:rFonts w:hint="eastAsia" w:ascii="Times New Roman" w:hAnsi="Times New Roman" w:eastAsia="宋体" w:cs="Times New Roman"/>
          <w:b w:val="0"/>
          <w:bCs/>
          <w:color w:val="auto"/>
          <w:kern w:val="2"/>
          <w:sz w:val="24"/>
          <w:szCs w:val="24"/>
          <w:highlight w:val="none"/>
          <w:lang w:val="en-US" w:eastAsia="zh-CN" w:bidi="ar-SA"/>
        </w:rPr>
        <w:t>。</w:t>
      </w:r>
    </w:p>
    <w:p w14:paraId="63617FB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4.验收合格</w:t>
      </w:r>
    </w:p>
    <w:p w14:paraId="24F4A9C5">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经验收合格以及完成问题整改后达到合格的项目，</w:t>
      </w:r>
      <w:r>
        <w:rPr>
          <w:rFonts w:hint="eastAsia" w:ascii="Times New Roman" w:hAnsi="Times New Roman" w:cs="Times New Roman"/>
          <w:b w:val="0"/>
          <w:bCs/>
          <w:color w:val="auto"/>
          <w:kern w:val="2"/>
          <w:sz w:val="24"/>
          <w:szCs w:val="24"/>
          <w:highlight w:val="none"/>
          <w:lang w:val="en-US" w:eastAsia="zh-CN" w:bidi="ar-SA"/>
        </w:rPr>
        <w:t>采购人</w:t>
      </w:r>
      <w:r>
        <w:rPr>
          <w:rFonts w:hint="eastAsia" w:ascii="Times New Roman" w:hAnsi="Times New Roman" w:eastAsia="宋体" w:cs="Times New Roman"/>
          <w:b w:val="0"/>
          <w:bCs/>
          <w:color w:val="auto"/>
          <w:kern w:val="2"/>
          <w:sz w:val="24"/>
          <w:szCs w:val="24"/>
          <w:highlight w:val="none"/>
          <w:lang w:val="en-US" w:eastAsia="zh-CN" w:bidi="ar-SA"/>
        </w:rPr>
        <w:t>核发农业农村部统一格式的</w:t>
      </w:r>
      <w:r>
        <w:rPr>
          <w:rFonts w:hint="eastAsia" w:cs="Times New Roman"/>
          <w:b w:val="0"/>
          <w:bCs/>
          <w:color w:val="auto"/>
          <w:kern w:val="2"/>
          <w:sz w:val="24"/>
          <w:szCs w:val="24"/>
          <w:highlight w:val="none"/>
          <w:lang w:val="en-US" w:eastAsia="zh-CN" w:bidi="ar-SA"/>
        </w:rPr>
        <w:t>《高标准农田建设项目竣工验收合格证书》</w:t>
      </w:r>
      <w:r>
        <w:rPr>
          <w:rFonts w:hint="eastAsia" w:ascii="Times New Roman" w:hAnsi="Times New Roman" w:eastAsia="宋体" w:cs="Times New Roman"/>
          <w:b w:val="0"/>
          <w:bCs/>
          <w:color w:val="auto"/>
          <w:kern w:val="2"/>
          <w:sz w:val="24"/>
          <w:szCs w:val="24"/>
          <w:highlight w:val="none"/>
          <w:lang w:val="en-US" w:eastAsia="zh-CN" w:bidi="ar-SA"/>
        </w:rPr>
        <w:t>。</w:t>
      </w:r>
    </w:p>
    <w:p w14:paraId="5E6BAD5A">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验收材料</w:t>
      </w:r>
    </w:p>
    <w:p w14:paraId="40B16F5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1.项目竣工验收申请报告；</w:t>
      </w:r>
    </w:p>
    <w:p w14:paraId="56EA863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2.项目竣工报告(包括规划设计图、竣工图、报告等)</w:t>
      </w:r>
    </w:p>
    <w:p w14:paraId="54E0D15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3.规划设计工作总结报告；</w:t>
      </w:r>
    </w:p>
    <w:p w14:paraId="6C972BE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4.监理工作总结报告；</w:t>
      </w:r>
    </w:p>
    <w:p w14:paraId="0AFB387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5.施工管理工作总结报告；</w:t>
      </w:r>
    </w:p>
    <w:p w14:paraId="3900B1C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6.工程复核和质量检测报告，耕地质量评定报告；</w:t>
      </w:r>
    </w:p>
    <w:p w14:paraId="55FD71A0">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7.项目单元、分部、单位工程质量评定、检验资料；</w:t>
      </w:r>
    </w:p>
    <w:p w14:paraId="60E7A81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8.土地权属工作报告；</w:t>
      </w:r>
    </w:p>
    <w:p w14:paraId="00A4B11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9.有关影像资料；</w:t>
      </w:r>
    </w:p>
    <w:p w14:paraId="6467C620">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10.其他有关资料(包括自验、初验等)；</w:t>
      </w:r>
    </w:p>
    <w:p w14:paraId="0F97AC07">
      <w:pPr>
        <w:widowControl/>
        <w:numPr>
          <w:ilvl w:val="0"/>
          <w:numId w:val="0"/>
        </w:numPr>
        <w:autoSpaceDE/>
        <w:autoSpaceDN/>
        <w:spacing w:line="480" w:lineRule="exact"/>
        <w:ind w:firstLine="482"/>
        <w:jc w:val="left"/>
        <w:rPr>
          <w:rFonts w:hint="default"/>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 xml:space="preserve">11.竣工决算报告。 </w:t>
      </w:r>
      <w:bookmarkEnd w:id="31"/>
    </w:p>
    <w:p w14:paraId="133E1914">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default" w:ascii="宋体" w:hAnsi="宋体" w:cs="宋体"/>
          <w:b/>
          <w:color w:val="auto"/>
          <w:kern w:val="2"/>
          <w:sz w:val="24"/>
          <w:szCs w:val="24"/>
          <w:highlight w:val="none"/>
          <w:lang w:val="en-US" w:eastAsia="zh-CN" w:bidi="ar-SA"/>
        </w:rPr>
      </w:pPr>
      <w:r>
        <w:rPr>
          <w:rFonts w:hint="default" w:ascii="宋体" w:hAnsi="宋体" w:cs="宋体"/>
          <w:b/>
          <w:color w:val="auto"/>
          <w:kern w:val="2"/>
          <w:sz w:val="24"/>
          <w:szCs w:val="24"/>
          <w:highlight w:val="none"/>
          <w:lang w:val="en-US" w:eastAsia="zh-CN" w:bidi="ar-SA"/>
        </w:rPr>
        <w:t>项目人员配置要求</w:t>
      </w:r>
    </w:p>
    <w:p w14:paraId="53AFEBE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w:t>
      </w:r>
      <w:r>
        <w:rPr>
          <w:rFonts w:hint="default" w:ascii="Times New Roman" w:hAnsi="Times New Roman" w:eastAsia="宋体" w:cs="Times New Roman"/>
          <w:b w:val="0"/>
          <w:bCs/>
          <w:color w:val="auto"/>
          <w:kern w:val="2"/>
          <w:sz w:val="24"/>
          <w:szCs w:val="24"/>
          <w:highlight w:val="none"/>
          <w:lang w:val="en-US" w:eastAsia="zh-CN" w:bidi="ar-SA"/>
        </w:rPr>
        <w:t>拟投入专业技术人员</w:t>
      </w:r>
      <w:r>
        <w:rPr>
          <w:rFonts w:hint="eastAsia" w:ascii="Times New Roman" w:hAnsi="Times New Roman" w:eastAsia="宋体" w:cs="Times New Roman"/>
          <w:b w:val="0"/>
          <w:bCs/>
          <w:color w:val="auto"/>
          <w:kern w:val="2"/>
          <w:sz w:val="24"/>
          <w:szCs w:val="24"/>
          <w:highlight w:val="none"/>
          <w:lang w:val="en-US" w:eastAsia="zh-CN" w:bidi="ar-SA"/>
        </w:rPr>
        <w:t>（不包含项目负责人）</w:t>
      </w:r>
      <w:r>
        <w:rPr>
          <w:rFonts w:hint="default" w:ascii="Times New Roman" w:hAnsi="Times New Roman" w:eastAsia="宋体" w:cs="Times New Roman"/>
          <w:b w:val="0"/>
          <w:bCs/>
          <w:color w:val="auto"/>
          <w:kern w:val="2"/>
          <w:sz w:val="24"/>
          <w:szCs w:val="24"/>
          <w:highlight w:val="none"/>
          <w:lang w:val="en-US" w:eastAsia="zh-CN" w:bidi="ar-SA"/>
        </w:rPr>
        <w:t>不少于 5 人</w:t>
      </w:r>
      <w:r>
        <w:rPr>
          <w:rFonts w:hint="eastAsia" w:ascii="Times New Roman" w:hAnsi="Times New Roman" w:eastAsia="宋体" w:cs="Times New Roman"/>
          <w:b w:val="0"/>
          <w:bCs/>
          <w:color w:val="auto"/>
          <w:kern w:val="2"/>
          <w:sz w:val="24"/>
          <w:szCs w:val="24"/>
          <w:highlight w:val="none"/>
          <w:lang w:val="en-US" w:eastAsia="zh-CN" w:bidi="ar-SA"/>
        </w:rPr>
        <w:t>，能够满足本项目全流程验收服务的工作需求，项目实施期间如需更换人员，需提前征得采购人同意后方可调整。</w:t>
      </w:r>
    </w:p>
    <w:p w14:paraId="46BC411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2.</w:t>
      </w:r>
      <w:r>
        <w:rPr>
          <w:rFonts w:hint="eastAsia" w:ascii="宋体" w:hAnsi="宋体" w:cs="宋体"/>
          <w:color w:val="auto"/>
          <w:kern w:val="1"/>
          <w:sz w:val="24"/>
          <w:szCs w:val="24"/>
          <w:highlight w:val="none"/>
          <w:lang w:val="en-US" w:eastAsia="zh-CN"/>
        </w:rPr>
        <w:t>项目负责人具备</w:t>
      </w:r>
      <w:r>
        <w:rPr>
          <w:rFonts w:hint="eastAsia" w:ascii="宋体" w:hAnsi="宋体" w:cs="宋体"/>
          <w:color w:val="auto"/>
          <w:sz w:val="24"/>
          <w:szCs w:val="24"/>
          <w:highlight w:val="none"/>
          <w:lang w:val="en-US" w:eastAsia="zh-CN"/>
        </w:rPr>
        <w:t>工程类相关专业</w:t>
      </w:r>
      <w:r>
        <w:rPr>
          <w:rFonts w:hint="eastAsia" w:ascii="宋体" w:hAnsi="宋体" w:cs="宋体"/>
          <w:color w:val="auto"/>
          <w:kern w:val="1"/>
          <w:sz w:val="24"/>
          <w:szCs w:val="24"/>
          <w:highlight w:val="none"/>
          <w:lang w:val="en-US" w:eastAsia="zh-CN"/>
        </w:rPr>
        <w:t>中级及以上职称</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须熟悉北海市</w:t>
      </w:r>
      <w:r>
        <w:rPr>
          <w:rFonts w:hint="eastAsia" w:ascii="宋体" w:hAnsi="宋体" w:cs="宋体"/>
          <w:b w:val="0"/>
          <w:bCs/>
          <w:color w:val="auto"/>
          <w:kern w:val="0"/>
          <w:sz w:val="24"/>
          <w:szCs w:val="24"/>
          <w:highlight w:val="none"/>
          <w:lang w:val="en-US" w:eastAsia="zh-CN" w:bidi="ar"/>
        </w:rPr>
        <w:t>高标准农田</w:t>
      </w:r>
      <w:r>
        <w:rPr>
          <w:rFonts w:hint="default" w:ascii="宋体" w:hAnsi="宋体" w:cs="宋体"/>
          <w:b w:val="0"/>
          <w:bCs/>
          <w:color w:val="auto"/>
          <w:kern w:val="0"/>
          <w:sz w:val="24"/>
          <w:szCs w:val="24"/>
          <w:highlight w:val="none"/>
          <w:lang w:val="en-US" w:eastAsia="zh-CN" w:bidi="ar"/>
        </w:rPr>
        <w:t>验收政策与工作流程</w:t>
      </w:r>
      <w:r>
        <w:rPr>
          <w:rFonts w:hint="eastAsia" w:ascii="宋体" w:hAnsi="宋体" w:cs="宋体"/>
          <w:b w:val="0"/>
          <w:bCs/>
          <w:color w:val="auto"/>
          <w:kern w:val="0"/>
          <w:sz w:val="24"/>
          <w:szCs w:val="24"/>
          <w:highlight w:val="none"/>
          <w:lang w:val="en-US" w:eastAsia="zh-CN" w:bidi="ar"/>
        </w:rPr>
        <w:t>，能够全程统筹项目实施，及时响应采购人工作要求，全程跟进项目各环节工作进度，协调解决项目推进中的各类问题，未经采购人同意不得擅自更换项目负责人</w:t>
      </w:r>
      <w:r>
        <w:rPr>
          <w:rFonts w:hint="eastAsia"/>
          <w:color w:val="auto"/>
          <w:highlight w:val="none"/>
          <w:lang w:val="en-US" w:eastAsia="zh-CN"/>
        </w:rPr>
        <w:t>。</w:t>
      </w:r>
    </w:p>
    <w:p w14:paraId="735CF850">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拟投入服务团队所有人员须为供应商在岗正式员工，响应文件中须提供所有人员身份证、职称证（如有）、注册 / 资格证（如有），以及本单位为其缴纳的距响应文件递交截止时间前</w:t>
      </w:r>
      <w:r>
        <w:rPr>
          <w:rFonts w:hint="eastAsia" w:ascii="宋体" w:hAnsi="宋体" w:cs="宋体"/>
          <w:b w:val="0"/>
          <w:bCs/>
          <w:color w:val="auto"/>
          <w:kern w:val="0"/>
          <w:sz w:val="24"/>
          <w:szCs w:val="24"/>
          <w:highlight w:val="none"/>
          <w:lang w:val="en-US" w:eastAsia="zh-CN" w:bidi="ar"/>
        </w:rPr>
        <w:t>半年内任意</w:t>
      </w:r>
      <w:r>
        <w:rPr>
          <w:rFonts w:hint="default" w:ascii="宋体" w:hAnsi="宋体" w:cs="宋体"/>
          <w:b w:val="0"/>
          <w:bCs/>
          <w:color w:val="auto"/>
          <w:kern w:val="0"/>
          <w:sz w:val="24"/>
          <w:szCs w:val="24"/>
          <w:highlight w:val="none"/>
          <w:lang w:val="en-US" w:eastAsia="zh-CN" w:bidi="ar"/>
        </w:rPr>
        <w:t>一个月的社保缴纳证明</w:t>
      </w:r>
      <w:r>
        <w:rPr>
          <w:rFonts w:hint="eastAsia" w:ascii="宋体" w:hAnsi="宋体" w:cs="宋体"/>
          <w:b w:val="0"/>
          <w:bCs/>
          <w:color w:val="auto"/>
          <w:kern w:val="0"/>
          <w:sz w:val="24"/>
          <w:szCs w:val="24"/>
          <w:highlight w:val="none"/>
          <w:lang w:val="en-US" w:eastAsia="zh-CN" w:bidi="ar"/>
        </w:rPr>
        <w:t>复印件</w:t>
      </w:r>
      <w:r>
        <w:rPr>
          <w:rFonts w:hint="default" w:ascii="宋体" w:hAnsi="宋体" w:cs="宋体"/>
          <w:b w:val="0"/>
          <w:bCs/>
          <w:color w:val="auto"/>
          <w:kern w:val="0"/>
          <w:sz w:val="24"/>
          <w:szCs w:val="24"/>
          <w:highlight w:val="none"/>
          <w:lang w:val="en-US" w:eastAsia="zh-CN" w:bidi="ar"/>
        </w:rPr>
        <w:t>。</w:t>
      </w:r>
    </w:p>
    <w:p w14:paraId="3CE9CC2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服务期内项目负责人及核心技术人员不得随意更换；确需更换的，须提前 7 个工作日向采购人提交书面申请，替换人员资质不低于原岗位要求，经采购人同意后方可更换。擅自更换核心人员的，采购人有权按每人次扣减相应合同款项。</w:t>
      </w:r>
    </w:p>
    <w:p w14:paraId="082047A8">
      <w:pPr>
        <w:keepNext w:val="0"/>
        <w:keepLines w:val="0"/>
        <w:pageBreakBefore w:val="0"/>
        <w:widowControl/>
        <w:numPr>
          <w:ilvl w:val="0"/>
          <w:numId w:val="8"/>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商务要求</w:t>
      </w:r>
    </w:p>
    <w:p w14:paraId="72060762">
      <w:pPr>
        <w:spacing w:before="29" w:line="360" w:lineRule="auto"/>
        <w:ind w:firstLine="470" w:firstLineChars="200"/>
        <w:rPr>
          <w:rFonts w:hint="eastAsia" w:ascii="宋体" w:hAnsi="宋体" w:eastAsia="宋体" w:cs="宋体"/>
          <w:color w:val="auto"/>
          <w:sz w:val="24"/>
          <w:szCs w:val="24"/>
          <w:highlight w:val="none"/>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一</w:t>
      </w:r>
      <w:r>
        <w:rPr>
          <w:rFonts w:hint="eastAsia" w:ascii="宋体" w:hAnsi="宋体" w:cs="宋体"/>
          <w:b/>
          <w:bCs/>
          <w:color w:val="auto"/>
          <w:spacing w:val="-3"/>
          <w:sz w:val="24"/>
          <w:szCs w:val="24"/>
          <w:highlight w:val="none"/>
          <w:lang w:eastAsia="zh-CN"/>
        </w:rPr>
        <w:t>）</w:t>
      </w:r>
      <w:r>
        <w:rPr>
          <w:rFonts w:hint="eastAsia" w:ascii="宋体" w:hAnsi="宋体" w:eastAsia="宋体" w:cs="宋体"/>
          <w:b/>
          <w:bCs/>
          <w:color w:val="auto"/>
          <w:spacing w:val="-3"/>
          <w:sz w:val="24"/>
          <w:szCs w:val="24"/>
          <w:highlight w:val="none"/>
        </w:rPr>
        <w:t>合同签订期：</w:t>
      </w:r>
      <w:r>
        <w:rPr>
          <w:rFonts w:hint="eastAsia" w:ascii="宋体" w:hAnsi="宋体" w:eastAsia="宋体" w:cs="宋体"/>
          <w:color w:val="auto"/>
          <w:spacing w:val="-1"/>
          <w:sz w:val="24"/>
          <w:szCs w:val="24"/>
          <w:highlight w:val="none"/>
        </w:rPr>
        <w:t>自成交通知书发出之日起</w:t>
      </w:r>
      <w:r>
        <w:rPr>
          <w:rFonts w:hint="eastAsia" w:ascii="宋体" w:hAnsi="宋体" w:eastAsia="宋体" w:cs="宋体"/>
          <w:color w:val="auto"/>
          <w:spacing w:val="-1"/>
          <w:sz w:val="24"/>
          <w:szCs w:val="24"/>
          <w:highlight w:val="none"/>
          <w:lang w:val="en-US" w:eastAsia="zh-CN"/>
        </w:rPr>
        <w:t>25</w:t>
      </w:r>
      <w:r>
        <w:rPr>
          <w:rFonts w:hint="eastAsia" w:ascii="宋体" w:hAnsi="宋体" w:eastAsia="宋体" w:cs="宋体"/>
          <w:color w:val="auto"/>
          <w:spacing w:val="-1"/>
          <w:sz w:val="24"/>
          <w:szCs w:val="24"/>
          <w:highlight w:val="none"/>
        </w:rPr>
        <w:t>日内。</w:t>
      </w:r>
    </w:p>
    <w:p w14:paraId="362F593D">
      <w:pPr>
        <w:keepNext w:val="0"/>
        <w:keepLines w:val="0"/>
        <w:pageBreakBefore w:val="0"/>
        <w:widowControl w:val="0"/>
        <w:kinsoku/>
        <w:wordWrap/>
        <w:overflowPunct/>
        <w:topLinePunct w:val="0"/>
        <w:autoSpaceDE/>
        <w:autoSpaceDN/>
        <w:bidi w:val="0"/>
        <w:adjustRightInd w:val="0"/>
        <w:snapToGrid/>
        <w:spacing w:line="360" w:lineRule="auto"/>
        <w:ind w:left="0" w:firstLine="470" w:firstLineChars="200"/>
        <w:textAlignment w:val="auto"/>
        <w:rPr>
          <w:rFonts w:hint="eastAsia" w:ascii="宋体" w:hAnsi="宋体" w:eastAsia="宋体" w:cs="宋体"/>
          <w:color w:val="auto"/>
          <w:spacing w:val="-1"/>
          <w:sz w:val="24"/>
          <w:szCs w:val="24"/>
          <w:highlight w:val="none"/>
          <w:lang w:eastAsia="zh-CN"/>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二</w:t>
      </w: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合同履行期限</w:t>
      </w:r>
      <w:r>
        <w:rPr>
          <w:rFonts w:hint="eastAsia" w:ascii="宋体" w:hAnsi="宋体" w:eastAsia="宋体" w:cs="宋体"/>
          <w:b/>
          <w:bCs/>
          <w:color w:val="auto"/>
          <w:spacing w:val="-3"/>
          <w:sz w:val="24"/>
          <w:szCs w:val="24"/>
          <w:highlight w:val="none"/>
        </w:rPr>
        <w:t>：</w:t>
      </w:r>
      <w:r>
        <w:rPr>
          <w:rFonts w:hint="eastAsia" w:ascii="宋体" w:hAnsi="宋体" w:eastAsia="宋体" w:cs="宋体"/>
          <w:color w:val="auto"/>
          <w:spacing w:val="-1"/>
          <w:sz w:val="24"/>
          <w:szCs w:val="24"/>
          <w:highlight w:val="none"/>
        </w:rPr>
        <w:t>从合同签订之日起，北海市辖县区农业农村部门向采购人申报</w:t>
      </w:r>
      <w:r>
        <w:rPr>
          <w:rFonts w:hint="eastAsia" w:ascii="宋体" w:hAnsi="宋体" w:eastAsia="宋体" w:cs="宋体"/>
          <w:color w:val="auto"/>
          <w:spacing w:val="-1"/>
          <w:sz w:val="24"/>
          <w:szCs w:val="24"/>
          <w:highlight w:val="none"/>
          <w:lang w:eastAsia="zh-CN"/>
        </w:rPr>
        <w:t>2025 年度高标准农田建设项目市级竣工验收</w:t>
      </w:r>
      <w:r>
        <w:rPr>
          <w:rFonts w:hint="eastAsia" w:ascii="宋体" w:hAnsi="宋体" w:eastAsia="宋体" w:cs="宋体"/>
          <w:color w:val="auto"/>
          <w:spacing w:val="-1"/>
          <w:sz w:val="24"/>
          <w:szCs w:val="24"/>
          <w:highlight w:val="none"/>
        </w:rPr>
        <w:t>后，</w:t>
      </w:r>
      <w:r>
        <w:rPr>
          <w:rFonts w:hint="eastAsia" w:ascii="宋体" w:hAnsi="宋体" w:eastAsia="宋体" w:cs="宋体"/>
          <w:color w:val="auto"/>
          <w:spacing w:val="-1"/>
          <w:sz w:val="24"/>
          <w:szCs w:val="24"/>
          <w:highlight w:val="none"/>
          <w:lang w:val="en-US" w:eastAsia="zh-CN"/>
        </w:rPr>
        <w:t>成交供应商</w:t>
      </w:r>
      <w:r>
        <w:rPr>
          <w:rFonts w:hint="eastAsia" w:ascii="宋体" w:hAnsi="宋体" w:eastAsia="宋体" w:cs="宋体"/>
          <w:color w:val="auto"/>
          <w:spacing w:val="-1"/>
          <w:sz w:val="24"/>
          <w:szCs w:val="24"/>
          <w:highlight w:val="none"/>
        </w:rPr>
        <w:t>应在</w:t>
      </w:r>
      <w:r>
        <w:rPr>
          <w:rFonts w:hint="eastAsia" w:ascii="宋体" w:hAnsi="宋体" w:eastAsia="宋体" w:cs="宋体"/>
          <w:color w:val="auto"/>
          <w:spacing w:val="-1"/>
          <w:sz w:val="24"/>
          <w:szCs w:val="24"/>
          <w:highlight w:val="none"/>
          <w:lang w:val="en-US" w:eastAsia="zh-CN"/>
        </w:rPr>
        <w:t>6个月</w:t>
      </w:r>
      <w:r>
        <w:rPr>
          <w:rFonts w:hint="eastAsia" w:ascii="宋体" w:hAnsi="宋体" w:eastAsia="宋体" w:cs="宋体"/>
          <w:color w:val="auto"/>
          <w:spacing w:val="-1"/>
          <w:sz w:val="24"/>
          <w:szCs w:val="24"/>
          <w:highlight w:val="none"/>
        </w:rPr>
        <w:t>内完成全部验收工作并出具竣工验收报告。</w:t>
      </w:r>
    </w:p>
    <w:p w14:paraId="3C23FB54">
      <w:pPr>
        <w:spacing w:before="120" w:after="120" w:line="288" w:lineRule="auto"/>
        <w:ind w:left="0" w:firstLine="470" w:firstLineChars="200"/>
        <w:jc w:val="left"/>
        <w:rPr>
          <w:rFonts w:hint="eastAsia" w:eastAsia="宋体"/>
          <w:b w:val="0"/>
          <w:bCs w:val="0"/>
          <w:color w:val="auto"/>
          <w:highlight w:val="none"/>
          <w:lang w:eastAsia="zh-CN"/>
        </w:rPr>
      </w:pPr>
      <w:r>
        <w:rPr>
          <w:rFonts w:hint="eastAsia" w:ascii="宋体" w:hAnsi="宋体" w:cs="宋体"/>
          <w:b/>
          <w:bCs/>
          <w:color w:val="auto"/>
          <w:spacing w:val="-3"/>
          <w:sz w:val="24"/>
          <w:szCs w:val="24"/>
          <w:highlight w:val="none"/>
          <w:lang w:val="en-US" w:eastAsia="zh-CN"/>
        </w:rPr>
        <w:t>（三）服务</w:t>
      </w:r>
      <w:r>
        <w:rPr>
          <w:rFonts w:hint="eastAsia" w:ascii="宋体" w:hAnsi="宋体" w:eastAsia="宋体" w:cs="宋体"/>
          <w:b/>
          <w:bCs/>
          <w:color w:val="auto"/>
          <w:spacing w:val="-3"/>
          <w:sz w:val="24"/>
          <w:szCs w:val="24"/>
          <w:highlight w:val="none"/>
        </w:rPr>
        <w:t>地点：</w:t>
      </w:r>
      <w:r>
        <w:rPr>
          <w:rFonts w:hint="eastAsia" w:ascii="宋体" w:hAnsi="宋体" w:eastAsia="宋体" w:cs="宋体"/>
          <w:color w:val="auto"/>
          <w:spacing w:val="-1"/>
          <w:sz w:val="24"/>
          <w:szCs w:val="24"/>
          <w:highlight w:val="none"/>
        </w:rPr>
        <w:t>北海市</w:t>
      </w:r>
      <w:r>
        <w:rPr>
          <w:rFonts w:hint="eastAsia" w:ascii="宋体" w:hAnsi="宋体" w:cs="宋体"/>
          <w:color w:val="auto"/>
          <w:spacing w:val="-1"/>
          <w:sz w:val="24"/>
          <w:szCs w:val="24"/>
          <w:highlight w:val="none"/>
          <w:lang w:eastAsia="zh-CN"/>
        </w:rPr>
        <w:t>。</w:t>
      </w:r>
    </w:p>
    <w:p w14:paraId="0B32EAB4">
      <w:pPr>
        <w:spacing w:before="21" w:line="360" w:lineRule="auto"/>
        <w:ind w:firstLine="470" w:firstLineChars="200"/>
        <w:rPr>
          <w:rFonts w:hint="eastAsia" w:ascii="宋体" w:hAnsi="宋体" w:eastAsia="宋体" w:cs="宋体"/>
          <w:b/>
          <w:bCs/>
          <w:color w:val="auto"/>
          <w:spacing w:val="-4"/>
          <w:sz w:val="24"/>
          <w:szCs w:val="24"/>
          <w:highlight w:val="none"/>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四</w:t>
      </w:r>
      <w:r>
        <w:rPr>
          <w:rFonts w:hint="eastAsia" w:ascii="宋体" w:hAnsi="宋体" w:cs="宋体"/>
          <w:b/>
          <w:bCs/>
          <w:color w:val="auto"/>
          <w:spacing w:val="-3"/>
          <w:sz w:val="24"/>
          <w:szCs w:val="24"/>
          <w:highlight w:val="none"/>
          <w:lang w:eastAsia="zh-CN"/>
        </w:rPr>
        <w:t>）</w:t>
      </w:r>
      <w:r>
        <w:rPr>
          <w:rFonts w:hint="eastAsia" w:ascii="宋体" w:hAnsi="宋体" w:eastAsia="宋体" w:cs="宋体"/>
          <w:b/>
          <w:bCs/>
          <w:color w:val="auto"/>
          <w:spacing w:val="-4"/>
          <w:sz w:val="24"/>
          <w:szCs w:val="24"/>
          <w:highlight w:val="none"/>
          <w:lang w:val="en-US" w:eastAsia="zh-CN"/>
        </w:rPr>
        <w:t>报价</w:t>
      </w:r>
      <w:r>
        <w:rPr>
          <w:rFonts w:hint="eastAsia" w:ascii="宋体" w:hAnsi="宋体" w:eastAsia="宋体" w:cs="宋体"/>
          <w:b/>
          <w:bCs/>
          <w:color w:val="auto"/>
          <w:spacing w:val="-4"/>
          <w:sz w:val="24"/>
          <w:szCs w:val="24"/>
          <w:highlight w:val="none"/>
        </w:rPr>
        <w:t>要求：</w:t>
      </w:r>
    </w:p>
    <w:p w14:paraId="5EC1DB5E">
      <w:pPr>
        <w:pStyle w:val="2"/>
        <w:ind w:firstLine="480" w:firstLineChars="200"/>
        <w:rPr>
          <w:rFonts w:hint="default"/>
          <w:color w:val="auto"/>
          <w:highlight w:val="none"/>
          <w:lang w:val="en-US" w:eastAsia="zh-CN"/>
        </w:rPr>
      </w:pPr>
      <w:r>
        <w:rPr>
          <w:rFonts w:hint="eastAsia"/>
          <w:color w:val="auto"/>
          <w:highlight w:val="none"/>
          <w:lang w:val="en-US" w:eastAsia="zh-CN"/>
        </w:rPr>
        <w:t>本项目为固定总价包干，供应商报价需包含人工、材料、设备、交通、保险、利润、税金、政策性文件规定及合同包含的所有风险、责任等所有相关费用，除最终结算因计费基数调整产生的价款变动外，采购人不再支付其他任何费用。</w:t>
      </w:r>
    </w:p>
    <w:p w14:paraId="7FC26BCE">
      <w:pPr>
        <w:numPr>
          <w:ilvl w:val="0"/>
          <w:numId w:val="11"/>
        </w:num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付款方式</w:t>
      </w:r>
    </w:p>
    <w:p w14:paraId="660EB4D7">
      <w:pPr>
        <w:pStyle w:val="2"/>
        <w:ind w:firstLine="480"/>
        <w:rPr>
          <w:rFonts w:hint="eastAsia" w:ascii="宋体" w:hAnsi="Times New Roman" w:eastAsia="宋体" w:cs="Times New Roman"/>
          <w:b w:val="0"/>
          <w:bCs w:val="0"/>
          <w:color w:val="auto"/>
          <w:kern w:val="2"/>
          <w:sz w:val="24"/>
          <w:szCs w:val="21"/>
          <w:highlight w:val="none"/>
          <w:lang w:val="en-US" w:eastAsia="zh-CN" w:bidi="zh-CN"/>
        </w:rPr>
      </w:pPr>
      <w:r>
        <w:rPr>
          <w:rFonts w:hint="eastAsia" w:ascii="宋体" w:hAnsi="Times New Roman" w:eastAsia="宋体"/>
          <w:color w:val="auto"/>
          <w:sz w:val="24"/>
          <w:szCs w:val="21"/>
          <w:highlight w:val="none"/>
          <w:lang w:val="en-US" w:eastAsia="zh-CN"/>
        </w:rPr>
        <w:t>待经费下达</w:t>
      </w:r>
      <w:r>
        <w:rPr>
          <w:rFonts w:hint="eastAsia"/>
          <w:color w:val="auto"/>
          <w:sz w:val="24"/>
          <w:szCs w:val="21"/>
          <w:highlight w:val="none"/>
          <w:lang w:val="en-US" w:eastAsia="zh-CN"/>
        </w:rPr>
        <w:t>采购人</w:t>
      </w:r>
      <w:r>
        <w:rPr>
          <w:rFonts w:hint="eastAsia" w:ascii="宋体" w:hAnsi="Times New Roman" w:eastAsia="宋体"/>
          <w:color w:val="auto"/>
          <w:sz w:val="24"/>
          <w:szCs w:val="21"/>
          <w:highlight w:val="none"/>
          <w:lang w:val="en-US" w:eastAsia="zh-CN"/>
        </w:rPr>
        <w:t>账户后，7个工作日内</w:t>
      </w:r>
      <w:r>
        <w:rPr>
          <w:rFonts w:hint="eastAsia" w:ascii="宋体" w:hAnsi="Times New Roman" w:eastAsia="宋体" w:cs="Times New Roman"/>
          <w:b w:val="0"/>
          <w:bCs w:val="0"/>
          <w:color w:val="auto"/>
          <w:kern w:val="2"/>
          <w:sz w:val="24"/>
          <w:szCs w:val="21"/>
          <w:highlight w:val="none"/>
          <w:lang w:val="en-US" w:eastAsia="zh-CN" w:bidi="zh-CN"/>
        </w:rPr>
        <w:t>预付款以转账方式支付。</w:t>
      </w:r>
      <w:r>
        <w:rPr>
          <w:rFonts w:hint="eastAsia" w:cs="Times New Roman"/>
          <w:b w:val="0"/>
          <w:bCs w:val="0"/>
          <w:color w:val="auto"/>
          <w:kern w:val="2"/>
          <w:sz w:val="24"/>
          <w:szCs w:val="21"/>
          <w:highlight w:val="none"/>
          <w:lang w:val="en-US" w:eastAsia="zh-CN" w:bidi="zh-CN"/>
        </w:rPr>
        <w:t>支付</w:t>
      </w:r>
      <w:r>
        <w:rPr>
          <w:rFonts w:hint="eastAsia" w:ascii="宋体" w:hAnsi="Times New Roman" w:eastAsia="宋体" w:cs="Times New Roman"/>
          <w:b w:val="0"/>
          <w:bCs w:val="0"/>
          <w:color w:val="auto"/>
          <w:kern w:val="2"/>
          <w:sz w:val="24"/>
          <w:szCs w:val="21"/>
          <w:highlight w:val="none"/>
          <w:lang w:val="en-US" w:eastAsia="zh-CN" w:bidi="zh-CN"/>
        </w:rPr>
        <w:t>合同价款的</w:t>
      </w:r>
      <w:r>
        <w:rPr>
          <w:rFonts w:hint="eastAsia" w:hAnsi="Times New Roman" w:cs="Times New Roman"/>
          <w:b w:val="0"/>
          <w:bCs w:val="0"/>
          <w:color w:val="auto"/>
          <w:kern w:val="2"/>
          <w:sz w:val="24"/>
          <w:szCs w:val="21"/>
          <w:highlight w:val="none"/>
          <w:lang w:val="en-US" w:eastAsia="zh-CN" w:bidi="zh-CN"/>
        </w:rPr>
        <w:t>30</w:t>
      </w:r>
      <w:r>
        <w:rPr>
          <w:rFonts w:hint="eastAsia" w:ascii="宋体" w:hAnsi="Times New Roman" w:eastAsia="宋体" w:cs="Times New Roman"/>
          <w:b w:val="0"/>
          <w:bCs w:val="0"/>
          <w:color w:val="auto"/>
          <w:kern w:val="2"/>
          <w:sz w:val="24"/>
          <w:szCs w:val="21"/>
          <w:highlight w:val="none"/>
          <w:lang w:val="en-US" w:eastAsia="zh-CN" w:bidi="zh-CN"/>
        </w:rPr>
        <w:t>%作为预付款，</w:t>
      </w:r>
      <w:r>
        <w:rPr>
          <w:rFonts w:hint="eastAsia" w:hAnsi="Times New Roman" w:cs="Times New Roman"/>
          <w:b w:val="0"/>
          <w:bCs w:val="0"/>
          <w:color w:val="auto"/>
          <w:kern w:val="2"/>
          <w:sz w:val="24"/>
          <w:szCs w:val="21"/>
          <w:highlight w:val="none"/>
          <w:lang w:val="en-US" w:eastAsia="zh-CN" w:bidi="zh-CN"/>
        </w:rPr>
        <w:t>完成2025年高标准农田建设项目竣工验收抽检工作出具抽检报告后</w:t>
      </w:r>
      <w:r>
        <w:rPr>
          <w:rFonts w:hint="eastAsia" w:cs="Times New Roman"/>
          <w:b w:val="0"/>
          <w:bCs w:val="0"/>
          <w:color w:val="auto"/>
          <w:kern w:val="2"/>
          <w:sz w:val="24"/>
          <w:szCs w:val="21"/>
          <w:highlight w:val="none"/>
          <w:lang w:val="en-US" w:eastAsia="zh-CN" w:bidi="zh-CN"/>
        </w:rPr>
        <w:t>支付</w:t>
      </w:r>
      <w:r>
        <w:rPr>
          <w:rFonts w:hint="eastAsia" w:ascii="宋体" w:hAnsi="Times New Roman" w:eastAsia="宋体" w:cs="Times New Roman"/>
          <w:b w:val="0"/>
          <w:bCs w:val="0"/>
          <w:color w:val="auto"/>
          <w:kern w:val="2"/>
          <w:sz w:val="24"/>
          <w:szCs w:val="21"/>
          <w:highlight w:val="none"/>
          <w:lang w:val="en-US" w:eastAsia="zh-CN" w:bidi="zh-CN"/>
        </w:rPr>
        <w:t>合同价款的</w:t>
      </w:r>
      <w:r>
        <w:rPr>
          <w:rFonts w:hint="eastAsia" w:hAnsi="Times New Roman" w:cs="Times New Roman"/>
          <w:b w:val="0"/>
          <w:bCs w:val="0"/>
          <w:color w:val="auto"/>
          <w:kern w:val="2"/>
          <w:sz w:val="24"/>
          <w:szCs w:val="21"/>
          <w:highlight w:val="none"/>
          <w:lang w:val="en-US" w:eastAsia="zh-CN" w:bidi="zh-CN"/>
        </w:rPr>
        <w:t>20%作为进度款，按</w:t>
      </w:r>
      <w:r>
        <w:rPr>
          <w:rFonts w:hint="eastAsia"/>
          <w:color w:val="auto"/>
          <w:sz w:val="24"/>
          <w:szCs w:val="21"/>
          <w:highlight w:val="none"/>
          <w:lang w:val="en-US" w:eastAsia="zh-CN"/>
        </w:rPr>
        <w:t>采购人</w:t>
      </w:r>
      <w:r>
        <w:rPr>
          <w:rFonts w:hint="eastAsia" w:hAnsi="Times New Roman" w:cs="Times New Roman"/>
          <w:b w:val="0"/>
          <w:bCs w:val="0"/>
          <w:color w:val="auto"/>
          <w:kern w:val="2"/>
          <w:sz w:val="24"/>
          <w:szCs w:val="21"/>
          <w:highlight w:val="none"/>
          <w:lang w:val="en-US" w:eastAsia="zh-CN" w:bidi="zh-CN"/>
        </w:rPr>
        <w:t>要求完成资料归档后</w:t>
      </w:r>
      <w:r>
        <w:rPr>
          <w:rFonts w:hint="eastAsia" w:cs="Times New Roman"/>
          <w:b w:val="0"/>
          <w:bCs w:val="0"/>
          <w:color w:val="auto"/>
          <w:kern w:val="2"/>
          <w:sz w:val="24"/>
          <w:szCs w:val="21"/>
          <w:highlight w:val="none"/>
          <w:lang w:val="en-US" w:eastAsia="zh-CN" w:bidi="zh-CN"/>
        </w:rPr>
        <w:t>支付剩余合同价款</w:t>
      </w:r>
      <w:r>
        <w:rPr>
          <w:rFonts w:hint="eastAsia" w:hAnsi="Times New Roman" w:cs="Times New Roman"/>
          <w:b w:val="0"/>
          <w:bCs w:val="0"/>
          <w:color w:val="auto"/>
          <w:kern w:val="2"/>
          <w:sz w:val="24"/>
          <w:szCs w:val="21"/>
          <w:highlight w:val="none"/>
          <w:lang w:val="en-US" w:eastAsia="zh-CN" w:bidi="zh-CN"/>
        </w:rPr>
        <w:t>。</w:t>
      </w:r>
    </w:p>
    <w:p w14:paraId="6131E7E2">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（六）验收标准</w:t>
      </w:r>
    </w:p>
    <w:p w14:paraId="2F9E0D25">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1.验收主体：由采购人组织验收小组开展验收，必要时邀请行业专家参与。</w:t>
      </w:r>
    </w:p>
    <w:p w14:paraId="67B6A5D6">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2.验收依据：采购文件、响应文件、政府采购合同、国家及行业现行标准规范。</w:t>
      </w:r>
    </w:p>
    <w:p w14:paraId="76BFE8A6">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3.验收流程</w:t>
      </w:r>
    </w:p>
    <w:p w14:paraId="0BA1A2B5">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（1）供应商完成批次/年度工作后，向采购人提交验收申请及全套成果资料；</w:t>
      </w:r>
    </w:p>
    <w:p w14:paraId="5EC160A7">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（2）采购人 10 个工作日内组织验收，对照成果清单逐一核验，核查成果完整性、数据准确性、流程合规性；</w:t>
      </w:r>
    </w:p>
    <w:p w14:paraId="0AE58436">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（3）验收不合格的，供应商须在 15 个工作日内完成整改并重新申请验收；累计 2 次整改仍不合格的，采购人有权单方解除合同，并追究供应商违约责任。</w:t>
      </w:r>
    </w:p>
    <w:p w14:paraId="2AD12CC9">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4.验收结论：验收合格的出具验收意见书，作为款项支付依据。</w:t>
      </w:r>
    </w:p>
    <w:p w14:paraId="6C8307CA">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（七）履约管理</w:t>
      </w:r>
    </w:p>
    <w:p w14:paraId="46C3AAE2">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1.供应商须严格按照合同约定时限交付成果，逾期交付的，每逾期 1 日按当期应付金额的0.05%支付违约金；逾期超过15日的，采购人有权解除合同。</w:t>
      </w:r>
    </w:p>
    <w:p w14:paraId="6C04D6B4">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2.服务期内供应商须无条件配合采购人开展项目调度、质量核查、绩效评价、审计督查、耕地占补平衡考核等工作，按需报送台账、总结、整改报告及佐证材料。</w:t>
      </w:r>
    </w:p>
    <w:p w14:paraId="5ECCA3F9">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（八）保密要求</w:t>
      </w:r>
    </w:p>
    <w:p w14:paraId="7D629194">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供应商对本项目所有项目资料、现场数据、内部台账负有永久保密义务；未经采购人书面授权，不得向任何第三方泄露、传播、使用项目相关资料；服务结束后须完整移交所有涉密资料，不得私自留存或用于其他项目。</w:t>
      </w:r>
    </w:p>
    <w:p w14:paraId="05FA9F9B">
      <w:pPr>
        <w:numPr>
          <w:ilvl w:val="0"/>
          <w:numId w:val="0"/>
        </w:num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（九）廉洁与合规要求</w:t>
      </w:r>
    </w:p>
    <w:p w14:paraId="7E0559F8">
      <w:pPr>
        <w:spacing w:line="360" w:lineRule="auto"/>
        <w:ind w:firstLine="480"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1.供应商及参与本项目的相关人员应当严格遵守廉洁自律相关规定，不得向采购单位及相关工作人员行贿、提供回扣或者给予其他不正当利益，不得与其他供应商相互串通投标、围标，不得通过不正当手段谋取中标成交。</w:t>
      </w:r>
    </w:p>
    <w:p w14:paraId="2AD34930">
      <w:pPr>
        <w:spacing w:line="360" w:lineRule="auto"/>
        <w:ind w:firstLine="480"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2.供应商不得将本项目分包、转包给第三方，一经发现，采购人有权立即终止合同，并要求供应商承担由此造成的全部损失。</w:t>
      </w:r>
    </w:p>
    <w:p w14:paraId="3BF4DBF3">
      <w:pPr>
        <w:spacing w:line="360" w:lineRule="auto"/>
        <w:ind w:firstLine="480"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3.供应商应当严格遵守政府采购相关法律法规及本项目采购要求，自觉接受监督检查，若存在违法违规行为，须承担相应的法律责任和合同违约责任。</w:t>
      </w:r>
    </w:p>
    <w:p w14:paraId="658C50DA">
      <w:pPr>
        <w:spacing w:before="29" w:line="360" w:lineRule="auto"/>
        <w:ind w:firstLine="470" w:firstLineChars="200"/>
        <w:rPr>
          <w:rFonts w:hint="default" w:ascii="宋体" w:hAnsi="宋体" w:cs="宋体"/>
          <w:b/>
          <w:bCs/>
          <w:color w:val="auto"/>
          <w:spacing w:val="-3"/>
          <w:sz w:val="24"/>
          <w:szCs w:val="24"/>
          <w:highlight w:val="none"/>
          <w:lang w:val="en-US" w:eastAsia="zh-CN"/>
        </w:rPr>
      </w:pPr>
      <w:r>
        <w:rPr>
          <w:rFonts w:hint="eastAsia" w:ascii="宋体" w:hAnsi="宋体" w:cs="宋体"/>
          <w:b/>
          <w:bCs/>
          <w:color w:val="auto"/>
          <w:spacing w:val="-3"/>
          <w:sz w:val="24"/>
          <w:szCs w:val="24"/>
          <w:highlight w:val="none"/>
          <w:lang w:val="en-US" w:eastAsia="zh-CN"/>
        </w:rPr>
        <w:t>九、其他要求</w:t>
      </w:r>
    </w:p>
    <w:p w14:paraId="40DFA009">
      <w:pPr>
        <w:spacing w:line="360" w:lineRule="auto"/>
        <w:ind w:firstLine="480" w:firstLineChars="200"/>
        <w:rPr>
          <w:rFonts w:hint="eastAsia"/>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不得</w:t>
      </w:r>
      <w:r>
        <w:rPr>
          <w:rFonts w:hint="eastAsia" w:ascii="宋体" w:hAnsi="宋体" w:eastAsia="宋体" w:cs="宋体"/>
          <w:color w:val="auto"/>
          <w:sz w:val="24"/>
          <w:szCs w:val="24"/>
          <w:highlight w:val="none"/>
          <w:lang w:val="en-US" w:eastAsia="zh-CN"/>
        </w:rPr>
        <w:t>为</w:t>
      </w:r>
      <w:r>
        <w:rPr>
          <w:rFonts w:hint="eastAsia" w:ascii="宋体" w:hAnsi="宋体" w:cs="宋体"/>
          <w:color w:val="auto"/>
          <w:sz w:val="24"/>
          <w:szCs w:val="24"/>
          <w:highlight w:val="none"/>
          <w:lang w:val="en-US" w:eastAsia="zh-CN"/>
        </w:rPr>
        <w:t>所</w:t>
      </w:r>
      <w:r>
        <w:rPr>
          <w:rFonts w:ascii="宋体" w:hAnsi="宋体" w:eastAsia="宋体" w:cs="宋体"/>
          <w:color w:val="auto"/>
          <w:sz w:val="24"/>
          <w:szCs w:val="24"/>
          <w:highlight w:val="none"/>
        </w:rPr>
        <w:t>参与</w:t>
      </w:r>
      <w:r>
        <w:rPr>
          <w:rFonts w:hint="eastAsia" w:ascii="宋体" w:hAnsi="宋体" w:cs="宋体"/>
          <w:color w:val="auto"/>
          <w:sz w:val="24"/>
          <w:szCs w:val="24"/>
          <w:highlight w:val="none"/>
          <w:lang w:val="en-US" w:eastAsia="zh-CN"/>
        </w:rPr>
        <w:t>标项</w:t>
      </w:r>
      <w:r>
        <w:rPr>
          <w:rFonts w:ascii="宋体" w:hAnsi="宋体" w:eastAsia="宋体" w:cs="宋体"/>
          <w:color w:val="auto"/>
          <w:sz w:val="24"/>
          <w:szCs w:val="24"/>
          <w:highlight w:val="none"/>
        </w:rPr>
        <w:t>本年度</w:t>
      </w:r>
      <w:r>
        <w:rPr>
          <w:rFonts w:hint="eastAsia" w:ascii="宋体" w:hAnsi="宋体" w:cs="宋体"/>
          <w:color w:val="auto"/>
          <w:sz w:val="24"/>
          <w:szCs w:val="24"/>
          <w:highlight w:val="none"/>
          <w:lang w:val="en-US" w:eastAsia="zh-CN"/>
        </w:rPr>
        <w:t>的</w:t>
      </w:r>
      <w:r>
        <w:rPr>
          <w:rFonts w:ascii="宋体" w:hAnsi="宋体" w:eastAsia="宋体" w:cs="宋体"/>
          <w:color w:val="auto"/>
          <w:sz w:val="24"/>
          <w:szCs w:val="24"/>
          <w:highlight w:val="none"/>
        </w:rPr>
        <w:t>北海高标准农田</w:t>
      </w:r>
      <w:r>
        <w:rPr>
          <w:rFonts w:hint="eastAsia" w:ascii="宋体" w:hAnsi="宋体" w:cs="宋体"/>
          <w:color w:val="auto"/>
          <w:sz w:val="24"/>
          <w:szCs w:val="24"/>
          <w:highlight w:val="none"/>
          <w:lang w:val="en-US" w:eastAsia="zh-CN"/>
        </w:rPr>
        <w:t>项目</w:t>
      </w:r>
      <w:r>
        <w:rPr>
          <w:rFonts w:ascii="宋体" w:hAnsi="宋体" w:eastAsia="宋体" w:cs="宋体"/>
          <w:color w:val="auto"/>
          <w:sz w:val="24"/>
          <w:szCs w:val="24"/>
          <w:highlight w:val="none"/>
        </w:rPr>
        <w:t>设计、施工、监理、县级初验等前期建设工作</w:t>
      </w:r>
      <w:r>
        <w:rPr>
          <w:rFonts w:hint="eastAsia" w:ascii="宋体" w:hAnsi="宋体" w:eastAsia="宋体" w:cs="宋体"/>
          <w:color w:val="auto"/>
          <w:sz w:val="24"/>
          <w:szCs w:val="24"/>
          <w:highlight w:val="none"/>
          <w:lang w:val="en-US" w:eastAsia="zh-CN"/>
        </w:rPr>
        <w:t>的服务单位</w:t>
      </w:r>
      <w:r>
        <w:rPr>
          <w:rFonts w:hint="eastAsia" w:ascii="宋体" w:hAnsi="宋体" w:cs="宋体"/>
          <w:color w:val="auto"/>
          <w:sz w:val="24"/>
          <w:szCs w:val="24"/>
          <w:highlight w:val="none"/>
          <w:lang w:val="en-US" w:eastAsia="zh-CN"/>
        </w:rPr>
        <w:t>，</w:t>
      </w:r>
      <w:r>
        <w:rPr>
          <w:rFonts w:hint="eastAsia" w:ascii="宋体" w:hAnsi="宋体" w:cs="宋体"/>
          <w:b w:val="0"/>
          <w:bCs/>
          <w:color w:val="auto"/>
          <w:kern w:val="0"/>
          <w:sz w:val="24"/>
          <w:szCs w:val="24"/>
          <w:highlight w:val="none"/>
          <w:lang w:val="en-US" w:eastAsia="zh-CN" w:bidi="ar"/>
        </w:rPr>
        <w:t>若供应商存在上述情形仍参与本次磋商，其响应文件将按无效处理</w:t>
      </w:r>
      <w:r>
        <w:rPr>
          <w:rFonts w:hint="eastAsia"/>
          <w:b w:val="0"/>
          <w:bCs w:val="0"/>
          <w:color w:val="auto"/>
          <w:sz w:val="24"/>
          <w:szCs w:val="24"/>
          <w:highlight w:val="none"/>
          <w:lang w:val="en-US" w:eastAsia="zh-CN"/>
        </w:rPr>
        <w:t>，供应商需在响应文件中提供不存在上述情形的书面承诺函。</w:t>
      </w:r>
    </w:p>
    <w:p w14:paraId="08EF9CAB">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br w:type="page"/>
      </w:r>
    </w:p>
    <w:p w14:paraId="5C0CF6C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bCs w:val="0"/>
          <w:color w:val="auto"/>
          <w:kern w:val="0"/>
          <w:sz w:val="24"/>
          <w:szCs w:val="24"/>
          <w:highlight w:val="none"/>
          <w:lang w:val="en-US" w:eastAsia="zh-CN" w:bidi="ar"/>
        </w:rPr>
      </w:pPr>
      <w:r>
        <w:rPr>
          <w:rFonts w:hint="eastAsia" w:ascii="宋体" w:hAnsi="宋体" w:cs="宋体"/>
          <w:b/>
          <w:bCs w:val="0"/>
          <w:color w:val="auto"/>
          <w:kern w:val="0"/>
          <w:sz w:val="24"/>
          <w:szCs w:val="24"/>
          <w:highlight w:val="none"/>
          <w:lang w:val="en-US" w:eastAsia="zh-CN" w:bidi="ar"/>
        </w:rPr>
        <w:t>标项二：</w:t>
      </w:r>
    </w:p>
    <w:p w14:paraId="09106012">
      <w:pPr>
        <w:keepNext w:val="0"/>
        <w:keepLines w:val="0"/>
        <w:pageBreakBefore w:val="0"/>
        <w:widowControl/>
        <w:numPr>
          <w:ilvl w:val="0"/>
          <w:numId w:val="12"/>
        </w:numPr>
        <w:kinsoku/>
        <w:wordWrap/>
        <w:overflowPunct/>
        <w:topLinePunct w:val="0"/>
        <w:autoSpaceDE/>
        <w:autoSpaceDN/>
        <w:bidi w:val="0"/>
        <w:adjustRightInd w:val="0"/>
        <w:snapToGrid/>
        <w:spacing w:line="480" w:lineRule="exact"/>
        <w:ind w:left="0" w:leftChars="0" w:firstLine="482" w:firstLineChars="0"/>
        <w:jc w:val="left"/>
        <w:textAlignment w:val="auto"/>
        <w:rPr>
          <w:rFonts w:hint="eastAsia" w:ascii="宋体" w:hAnsi="宋体" w:cs="宋体"/>
          <w:b/>
          <w:color w:val="auto"/>
          <w:kern w:val="2"/>
          <w:sz w:val="24"/>
          <w:szCs w:val="24"/>
          <w:highlight w:val="none"/>
          <w:lang w:val="en-US" w:eastAsia="zh-CN" w:bidi="ar-SA"/>
        </w:rPr>
      </w:pPr>
      <w:bookmarkStart w:id="32" w:name="_Toc20242"/>
      <w:r>
        <w:rPr>
          <w:rFonts w:hint="eastAsia" w:ascii="宋体" w:hAnsi="宋体" w:cs="宋体"/>
          <w:b/>
          <w:color w:val="auto"/>
          <w:kern w:val="2"/>
          <w:sz w:val="24"/>
          <w:szCs w:val="24"/>
          <w:highlight w:val="none"/>
          <w:lang w:val="en-US" w:eastAsia="zh-CN" w:bidi="ar-SA"/>
        </w:rPr>
        <w:t>项目概况</w:t>
      </w:r>
    </w:p>
    <w:p w14:paraId="045BE631">
      <w:pPr>
        <w:keepNext w:val="0"/>
        <w:keepLines w:val="0"/>
        <w:pageBreakBefore w:val="0"/>
        <w:widowControl/>
        <w:numPr>
          <w:ilvl w:val="0"/>
          <w:numId w:val="13"/>
        </w:numPr>
        <w:kinsoku/>
        <w:wordWrap/>
        <w:overflowPunct/>
        <w:topLinePunct w:val="0"/>
        <w:autoSpaceDE/>
        <w:autoSpaceDN/>
        <w:bidi w:val="0"/>
        <w:adjustRightInd w:val="0"/>
        <w:snapToGrid/>
        <w:spacing w:line="480" w:lineRule="exact"/>
        <w:ind w:firstLine="482" w:firstLineChars="20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项目背景</w:t>
      </w:r>
    </w:p>
    <w:p w14:paraId="4EE1370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根据《农业农村部关于印发&lt;高标准农田建设项目竣工验收办法（试行）&gt;的通知》（农建发〔2025〕6号）《自治区农业农村厅办公室关于做好高标准农田建设项目竣工验收工作的通知》《自治区农业农村厅 自治区财政厅关于下达2025年财政补助资金支持的农田建设任务的通知》（桂农厅发〔2025〕33号）要求，为规范北海市高标准农田竣工验收、保障农田建设质量与建设规模达标，结合本地实际制定本市级竣工验收工作方案。2025 年自治区下达北海高标准农田建设任务 11.1 万亩，含新建 2.4 万亩、改造提升 8.7 万亩，需统一组织市级竣工验收配套服务工作。</w:t>
      </w:r>
    </w:p>
    <w:p w14:paraId="6C8CF795">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20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（二）服务范围</w:t>
      </w:r>
    </w:p>
    <w:p w14:paraId="3E9FE06C">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建设项目范围：全市 2025 年度全部高标准农田项目，</w:t>
      </w:r>
      <w:r>
        <w:rPr>
          <w:rFonts w:hint="eastAsia" w:ascii="Times New Roman" w:hAnsi="Times New Roman" w:cs="Times New Roman"/>
          <w:b w:val="0"/>
          <w:bCs/>
          <w:color w:val="auto"/>
          <w:kern w:val="2"/>
          <w:sz w:val="24"/>
          <w:szCs w:val="24"/>
          <w:highlight w:val="none"/>
          <w:lang w:val="en-US" w:eastAsia="zh-CN" w:bidi="ar-SA"/>
        </w:rPr>
        <w:t>共计</w:t>
      </w:r>
      <w:r>
        <w:rPr>
          <w:rFonts w:hint="eastAsia" w:ascii="Times New Roman" w:hAnsi="Times New Roman" w:eastAsia="宋体" w:cs="Times New Roman"/>
          <w:b w:val="0"/>
          <w:bCs/>
          <w:color w:val="auto"/>
          <w:kern w:val="2"/>
          <w:sz w:val="24"/>
          <w:szCs w:val="24"/>
          <w:highlight w:val="none"/>
          <w:lang w:val="en-US" w:eastAsia="zh-CN" w:bidi="ar-SA"/>
        </w:rPr>
        <w:t xml:space="preserve"> 6 个项目</w:t>
      </w:r>
      <w:r>
        <w:rPr>
          <w:rFonts w:hint="eastAsia" w:cs="Times New Roman"/>
          <w:b w:val="0"/>
          <w:bCs/>
          <w:color w:val="auto"/>
          <w:kern w:val="2"/>
          <w:sz w:val="24"/>
          <w:szCs w:val="24"/>
          <w:highlight w:val="none"/>
          <w:lang w:val="en-US" w:eastAsia="zh-CN" w:bidi="ar-SA"/>
        </w:rPr>
        <w:t>，分别是：2025年合浦县高标准农田新建和改造项目（常乐镇片区）、2025年合浦县高标准农田新建和改造项目（闸口镇片区）、2025年合浦县高标准农田新建和改造项目（白沙镇片区）、2025年合浦县高标准农田新建和改造项目（公馆镇片区）、银海区2025年高标准农田新建和改造项目（福成镇门头村、松明村、花铺村）铁山港区2025年高标准农田新建和改造项目（营盘镇塘仔村、南康镇火甲村、莲塘村）</w:t>
      </w:r>
      <w:r>
        <w:rPr>
          <w:rFonts w:hint="eastAsia" w:ascii="Times New Roman" w:hAnsi="Times New Roman" w:eastAsia="宋体" w:cs="Times New Roman"/>
          <w:b w:val="0"/>
          <w:bCs/>
          <w:color w:val="auto"/>
          <w:kern w:val="2"/>
          <w:sz w:val="24"/>
          <w:szCs w:val="24"/>
          <w:highlight w:val="none"/>
          <w:lang w:val="en-US" w:eastAsia="zh-CN" w:bidi="ar-SA"/>
        </w:rPr>
        <w:t>，验收面积以实际建成面积为准。</w:t>
      </w:r>
    </w:p>
    <w:p w14:paraId="289C819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验收工作服务范围：全市高标准农田市级竣工验收全流程服务，包含工程质量抽检、竣工复核测绘、上图入库两大核心服务；覆盖内业资料审查、外业现场核查、问题整改复核、决算审计配合、档案整理、项目上图入库、公示标牌配套核验、验收备案等全部验收环节。</w:t>
      </w:r>
    </w:p>
    <w:p w14:paraId="51DECCF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行政范围：北海市各区县 2025 年高标准农田建设片区，需完成县级初验合格后的市级复核验收全流程服务。</w:t>
      </w:r>
    </w:p>
    <w:p w14:paraId="63D73F77">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482" w:leftChars="0" w:firstLine="0"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二、验收依据</w:t>
      </w:r>
    </w:p>
    <w:p w14:paraId="59AD836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w:t>
      </w:r>
      <w:r>
        <w:rPr>
          <w:rFonts w:hint="default" w:ascii="Times New Roman" w:hAnsi="Times New Roman" w:eastAsia="宋体" w:cs="Times New Roman"/>
          <w:b w:val="0"/>
          <w:bCs/>
          <w:color w:val="auto"/>
          <w:kern w:val="2"/>
          <w:sz w:val="24"/>
          <w:szCs w:val="24"/>
          <w:highlight w:val="none"/>
          <w:lang w:val="en-US" w:eastAsia="zh-CN" w:bidi="ar-SA"/>
        </w:rPr>
        <w:t>国家及有关部门颁布的相关法律法规、规章制度、标准规范等</w:t>
      </w:r>
      <w:r>
        <w:rPr>
          <w:rFonts w:hint="eastAsia" w:ascii="Times New Roman" w:hAnsi="Times New Roman" w:eastAsia="宋体" w:cs="Times New Roman"/>
          <w:b w:val="0"/>
          <w:bCs/>
          <w:color w:val="auto"/>
          <w:kern w:val="2"/>
          <w:sz w:val="24"/>
          <w:szCs w:val="24"/>
          <w:highlight w:val="none"/>
          <w:lang w:val="en-US" w:eastAsia="zh-CN" w:bidi="ar-SA"/>
        </w:rPr>
        <w:t>；</w:t>
      </w:r>
    </w:p>
    <w:p w14:paraId="18083EC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2.</w:t>
      </w:r>
      <w:r>
        <w:rPr>
          <w:rFonts w:hint="default" w:ascii="Times New Roman" w:hAnsi="Times New Roman" w:eastAsia="宋体" w:cs="Times New Roman"/>
          <w:b w:val="0"/>
          <w:bCs/>
          <w:color w:val="auto"/>
          <w:kern w:val="2"/>
          <w:sz w:val="24"/>
          <w:szCs w:val="24"/>
          <w:highlight w:val="none"/>
          <w:lang w:val="en-US" w:eastAsia="zh-CN" w:bidi="ar-SA"/>
        </w:rPr>
        <w:t>有关建设规划、项目初步设计文件、批复文件以及项目变更调整、终止批复文件</w:t>
      </w:r>
      <w:r>
        <w:rPr>
          <w:rFonts w:hint="eastAsia" w:ascii="Times New Roman" w:hAnsi="Times New Roman" w:eastAsia="宋体" w:cs="Times New Roman"/>
          <w:b w:val="0"/>
          <w:bCs/>
          <w:color w:val="auto"/>
          <w:kern w:val="2"/>
          <w:sz w:val="24"/>
          <w:szCs w:val="24"/>
          <w:highlight w:val="none"/>
          <w:lang w:val="en-US" w:eastAsia="zh-CN" w:bidi="ar-SA"/>
        </w:rPr>
        <w:t>；</w:t>
      </w:r>
    </w:p>
    <w:p w14:paraId="5C0FF8B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项目建设合同、资金下达拨付等文件资料</w:t>
      </w:r>
      <w:r>
        <w:rPr>
          <w:rFonts w:hint="eastAsia" w:ascii="Times New Roman" w:hAnsi="Times New Roman" w:eastAsia="宋体" w:cs="Times New Roman"/>
          <w:b w:val="0"/>
          <w:bCs/>
          <w:color w:val="auto"/>
          <w:kern w:val="2"/>
          <w:sz w:val="24"/>
          <w:szCs w:val="24"/>
          <w:highlight w:val="none"/>
          <w:lang w:val="en-US" w:eastAsia="zh-CN" w:bidi="ar-SA"/>
        </w:rPr>
        <w:t>；</w:t>
      </w:r>
    </w:p>
    <w:p w14:paraId="0E0F303D">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4.</w:t>
      </w:r>
      <w:r>
        <w:rPr>
          <w:rFonts w:hint="default" w:ascii="Times New Roman" w:hAnsi="Times New Roman" w:eastAsia="宋体" w:cs="Times New Roman"/>
          <w:b w:val="0"/>
          <w:bCs/>
          <w:color w:val="auto"/>
          <w:kern w:val="2"/>
          <w:sz w:val="24"/>
          <w:szCs w:val="24"/>
          <w:highlight w:val="none"/>
          <w:lang w:val="en-US" w:eastAsia="zh-CN" w:bidi="ar-SA"/>
        </w:rPr>
        <w:t>按照有关规定应当取得的项目建设其他审批手续</w:t>
      </w:r>
      <w:r>
        <w:rPr>
          <w:rFonts w:hint="eastAsia" w:ascii="Times New Roman" w:hAnsi="Times New Roman" w:eastAsia="宋体" w:cs="Times New Roman"/>
          <w:b w:val="0"/>
          <w:bCs/>
          <w:color w:val="auto"/>
          <w:kern w:val="2"/>
          <w:sz w:val="24"/>
          <w:szCs w:val="24"/>
          <w:highlight w:val="none"/>
          <w:lang w:val="en-US" w:eastAsia="zh-CN" w:bidi="ar-SA"/>
        </w:rPr>
        <w:t>；</w:t>
      </w:r>
    </w:p>
    <w:p w14:paraId="17DA140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5.</w:t>
      </w:r>
      <w:r>
        <w:rPr>
          <w:rFonts w:hint="default" w:ascii="Times New Roman" w:hAnsi="Times New Roman" w:eastAsia="宋体" w:cs="Times New Roman"/>
          <w:b w:val="0"/>
          <w:bCs/>
          <w:color w:val="auto"/>
          <w:kern w:val="2"/>
          <w:sz w:val="24"/>
          <w:szCs w:val="24"/>
          <w:highlight w:val="none"/>
          <w:lang w:val="en-US" w:eastAsia="zh-CN" w:bidi="ar-SA"/>
        </w:rPr>
        <w:t>项目建设单位、设计单位、施工单位、监理单位对项目建设的关键工序、关键部位、隐蔽工程等开展四方验收的相关资料</w:t>
      </w:r>
      <w:r>
        <w:rPr>
          <w:rFonts w:hint="eastAsia" w:ascii="Times New Roman" w:hAnsi="Times New Roman" w:eastAsia="宋体" w:cs="Times New Roman"/>
          <w:b w:val="0"/>
          <w:bCs/>
          <w:color w:val="auto"/>
          <w:kern w:val="2"/>
          <w:sz w:val="24"/>
          <w:szCs w:val="24"/>
          <w:highlight w:val="none"/>
          <w:lang w:val="en-US" w:eastAsia="zh-CN" w:bidi="ar-SA"/>
        </w:rPr>
        <w:t>；</w:t>
      </w:r>
    </w:p>
    <w:p w14:paraId="203BE7C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6.</w:t>
      </w:r>
      <w:r>
        <w:rPr>
          <w:rFonts w:hint="default" w:ascii="Times New Roman" w:hAnsi="Times New Roman" w:eastAsia="宋体" w:cs="Times New Roman"/>
          <w:b w:val="0"/>
          <w:bCs/>
          <w:color w:val="auto"/>
          <w:kern w:val="2"/>
          <w:sz w:val="24"/>
          <w:szCs w:val="24"/>
          <w:highlight w:val="none"/>
          <w:lang w:val="en-US" w:eastAsia="zh-CN" w:bidi="ar-SA"/>
        </w:rPr>
        <w:t>项目区农村集体经济组织负责人、农民群众代表意见征求情况。</w:t>
      </w:r>
    </w:p>
    <w:p w14:paraId="6CDA741A">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482" w:leftChars="0" w:firstLine="0"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三、验收条件</w:t>
      </w:r>
    </w:p>
    <w:p w14:paraId="5CFE4B4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按批复的项目初步设计文件、项目建设合同约定内容完成各项建设内容并符合质量要求</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有设计、合同调整的，按项目批复变更文件、补充合同约定内容完成各项建设内容并符合质量要求</w:t>
      </w:r>
      <w:r>
        <w:rPr>
          <w:rFonts w:hint="eastAsia" w:cs="Times New Roman"/>
          <w:b w:val="0"/>
          <w:bCs/>
          <w:color w:val="auto"/>
          <w:kern w:val="2"/>
          <w:sz w:val="24"/>
          <w:szCs w:val="24"/>
          <w:highlight w:val="none"/>
          <w:lang w:val="en-US" w:eastAsia="zh-CN" w:bidi="ar-SA"/>
        </w:rPr>
        <w:t>；</w:t>
      </w:r>
    </w:p>
    <w:p w14:paraId="5210FA7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完成项目竣工图件绘制，包括竣工总平面图和各单体工程竣工图，应当涵盖项目完工后的所有工程设施，以及项目区地块空间位置信息，由设计单位、施工单位、监理单位签字(盖章)</w:t>
      </w:r>
      <w:r>
        <w:rPr>
          <w:rFonts w:hint="eastAsia" w:cs="Times New Roman"/>
          <w:b w:val="0"/>
          <w:bCs/>
          <w:color w:val="auto"/>
          <w:kern w:val="2"/>
          <w:sz w:val="24"/>
          <w:szCs w:val="24"/>
          <w:highlight w:val="none"/>
          <w:lang w:val="en-US" w:eastAsia="zh-CN" w:bidi="ar-SA"/>
        </w:rPr>
        <w:t>；</w:t>
      </w:r>
    </w:p>
    <w:p w14:paraId="7A98018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项目工程设施能够正常运行，质量达到设计要求</w:t>
      </w:r>
      <w:r>
        <w:rPr>
          <w:rFonts w:hint="eastAsia" w:cs="Times New Roman"/>
          <w:b w:val="0"/>
          <w:bCs/>
          <w:color w:val="auto"/>
          <w:kern w:val="2"/>
          <w:sz w:val="24"/>
          <w:szCs w:val="24"/>
          <w:highlight w:val="none"/>
          <w:lang w:val="en-US" w:eastAsia="zh-CN" w:bidi="ar-SA"/>
        </w:rPr>
        <w:t>；</w:t>
      </w:r>
    </w:p>
    <w:p w14:paraId="045498E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4.各单项工程已通过项目建设单位、设计单位、施工单位、监理单位四方验收并合格</w:t>
      </w:r>
      <w:r>
        <w:rPr>
          <w:rFonts w:hint="eastAsia" w:cs="Times New Roman"/>
          <w:b w:val="0"/>
          <w:bCs/>
          <w:color w:val="auto"/>
          <w:kern w:val="2"/>
          <w:sz w:val="24"/>
          <w:szCs w:val="24"/>
          <w:highlight w:val="none"/>
          <w:lang w:val="en-US" w:eastAsia="zh-CN" w:bidi="ar-SA"/>
        </w:rPr>
        <w:t>；</w:t>
      </w:r>
    </w:p>
    <w:p w14:paraId="3CACB92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5.</w:t>
      </w:r>
      <w:r>
        <w:rPr>
          <w:rFonts w:hint="eastAsia" w:ascii="Times New Roman" w:hAnsi="Times New Roman" w:eastAsia="宋体" w:cs="Times New Roman"/>
          <w:b w:val="0"/>
          <w:bCs/>
          <w:color w:val="auto"/>
          <w:kern w:val="2"/>
          <w:sz w:val="24"/>
          <w:szCs w:val="24"/>
          <w:highlight w:val="none"/>
          <w:lang w:val="en-US" w:eastAsia="zh-CN" w:bidi="ar-SA"/>
        </w:rPr>
        <w:t>已完成项目竣工决算，经有相关资质的中介机构或当地审计机关审计，具有相应的审计报告</w:t>
      </w:r>
      <w:r>
        <w:rPr>
          <w:rFonts w:hint="eastAsia" w:cs="Times New Roman"/>
          <w:b w:val="0"/>
          <w:bCs/>
          <w:color w:val="auto"/>
          <w:kern w:val="2"/>
          <w:sz w:val="24"/>
          <w:szCs w:val="24"/>
          <w:highlight w:val="none"/>
          <w:lang w:val="en-US" w:eastAsia="zh-CN" w:bidi="ar-SA"/>
        </w:rPr>
        <w:t>；</w:t>
      </w:r>
    </w:p>
    <w:p w14:paraId="4DC4944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6.</w:t>
      </w:r>
      <w:r>
        <w:rPr>
          <w:rFonts w:hint="eastAsia" w:ascii="Times New Roman" w:hAnsi="Times New Roman" w:eastAsia="宋体" w:cs="Times New Roman"/>
          <w:b w:val="0"/>
          <w:bCs/>
          <w:color w:val="auto"/>
          <w:kern w:val="2"/>
          <w:sz w:val="24"/>
          <w:szCs w:val="24"/>
          <w:highlight w:val="none"/>
          <w:lang w:val="en-US" w:eastAsia="zh-CN" w:bidi="ar-SA"/>
        </w:rPr>
        <w:t>按合同约定完成项目资金支付</w:t>
      </w:r>
      <w:r>
        <w:rPr>
          <w:rFonts w:hint="eastAsia" w:cs="Times New Roman"/>
          <w:b w:val="0"/>
          <w:bCs/>
          <w:color w:val="auto"/>
          <w:kern w:val="2"/>
          <w:sz w:val="24"/>
          <w:szCs w:val="24"/>
          <w:highlight w:val="none"/>
          <w:lang w:val="en-US" w:eastAsia="zh-CN" w:bidi="ar-SA"/>
        </w:rPr>
        <w:t>；</w:t>
      </w:r>
    </w:p>
    <w:p w14:paraId="4866DCC5">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7.</w:t>
      </w:r>
      <w:r>
        <w:rPr>
          <w:rFonts w:hint="eastAsia" w:ascii="Times New Roman" w:hAnsi="Times New Roman" w:eastAsia="宋体" w:cs="Times New Roman"/>
          <w:b w:val="0"/>
          <w:bCs/>
          <w:color w:val="auto"/>
          <w:kern w:val="2"/>
          <w:sz w:val="24"/>
          <w:szCs w:val="24"/>
          <w:highlight w:val="none"/>
          <w:lang w:val="en-US" w:eastAsia="zh-CN" w:bidi="ar-SA"/>
        </w:rPr>
        <w:t>前期工作、招投标、合同、监理、施工管理资料及相应的图纸等技术资料齐全、完整，已完成项目有关材料的分类立卷工作</w:t>
      </w:r>
      <w:r>
        <w:rPr>
          <w:rFonts w:hint="eastAsia" w:cs="Times New Roman"/>
          <w:b w:val="0"/>
          <w:bCs/>
          <w:color w:val="auto"/>
          <w:kern w:val="2"/>
          <w:sz w:val="24"/>
          <w:szCs w:val="24"/>
          <w:highlight w:val="none"/>
          <w:lang w:val="en-US" w:eastAsia="zh-CN" w:bidi="ar-SA"/>
        </w:rPr>
        <w:t>；</w:t>
      </w:r>
    </w:p>
    <w:p w14:paraId="7A58A0B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8.</w:t>
      </w:r>
      <w:r>
        <w:rPr>
          <w:rFonts w:hint="eastAsia" w:ascii="Times New Roman" w:hAnsi="Times New Roman" w:eastAsia="宋体" w:cs="Times New Roman"/>
          <w:b w:val="0"/>
          <w:bCs/>
          <w:color w:val="auto"/>
          <w:kern w:val="2"/>
          <w:sz w:val="24"/>
          <w:szCs w:val="24"/>
          <w:highlight w:val="none"/>
          <w:lang w:val="en-US" w:eastAsia="zh-CN" w:bidi="ar-SA"/>
        </w:rPr>
        <w:t>已通过工程设施试用</w:t>
      </w:r>
      <w:r>
        <w:rPr>
          <w:rFonts w:hint="eastAsia" w:cs="Times New Roman"/>
          <w:b w:val="0"/>
          <w:bCs/>
          <w:color w:val="auto"/>
          <w:kern w:val="2"/>
          <w:sz w:val="24"/>
          <w:szCs w:val="24"/>
          <w:highlight w:val="none"/>
          <w:lang w:val="en-US" w:eastAsia="zh-CN" w:bidi="ar-SA"/>
        </w:rPr>
        <w:t>；</w:t>
      </w:r>
    </w:p>
    <w:p w14:paraId="511A435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9.</w:t>
      </w:r>
      <w:r>
        <w:rPr>
          <w:rFonts w:hint="eastAsia" w:ascii="Times New Roman" w:hAnsi="Times New Roman" w:eastAsia="宋体" w:cs="Times New Roman"/>
          <w:b w:val="0"/>
          <w:bCs/>
          <w:color w:val="auto"/>
          <w:kern w:val="2"/>
          <w:sz w:val="24"/>
          <w:szCs w:val="24"/>
          <w:highlight w:val="none"/>
          <w:lang w:val="en-US" w:eastAsia="zh-CN" w:bidi="ar-SA"/>
        </w:rPr>
        <w:t>已征求项目区农村集体经济组织负责人、农民群众代表意见</w:t>
      </w:r>
      <w:r>
        <w:rPr>
          <w:rFonts w:hint="eastAsia" w:cs="Times New Roman"/>
          <w:b w:val="0"/>
          <w:bCs/>
          <w:color w:val="auto"/>
          <w:kern w:val="2"/>
          <w:sz w:val="24"/>
          <w:szCs w:val="24"/>
          <w:highlight w:val="none"/>
          <w:lang w:val="en-US" w:eastAsia="zh-CN" w:bidi="ar-SA"/>
        </w:rPr>
        <w:t>；</w:t>
      </w:r>
    </w:p>
    <w:p w14:paraId="59088EB2">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10.</w:t>
      </w:r>
      <w:r>
        <w:rPr>
          <w:rFonts w:hint="eastAsia" w:ascii="Times New Roman" w:hAnsi="Times New Roman" w:eastAsia="宋体" w:cs="Times New Roman"/>
          <w:b w:val="0"/>
          <w:bCs/>
          <w:color w:val="auto"/>
          <w:kern w:val="2"/>
          <w:sz w:val="24"/>
          <w:szCs w:val="24"/>
          <w:highlight w:val="none"/>
          <w:lang w:val="en-US" w:eastAsia="zh-CN" w:bidi="ar-SA"/>
        </w:rPr>
        <w:t>明确工程设施管护主体和管护责任。</w:t>
      </w:r>
    </w:p>
    <w:p w14:paraId="67DD579D">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482" w:leftChars="0" w:firstLine="0"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四、验收内容</w:t>
      </w:r>
    </w:p>
    <w:p w14:paraId="6016C3E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对项目建设任务、建设内容、建设质量、实施管理、建后管护责任落实等进行的全面验收。</w:t>
      </w:r>
    </w:p>
    <w:p w14:paraId="6B4186D5">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项目初步设计批复内容或项目调整变更批复内容、项目建设合同或补充合同约定内容的完成情况</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 xml:space="preserve"> </w:t>
      </w:r>
    </w:p>
    <w:p w14:paraId="75AB049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 xml:space="preserve">各级财政资金和自筹资金按照项目合同落实到位情况； </w:t>
      </w:r>
    </w:p>
    <w:p w14:paraId="766773F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资金使用情况，包括项目专账核算、专人管理、入账手续及支出凭证完整性等；</w:t>
      </w:r>
    </w:p>
    <w:p w14:paraId="4CA3001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4.</w:t>
      </w:r>
      <w:r>
        <w:rPr>
          <w:rFonts w:hint="eastAsia" w:ascii="Times New Roman" w:hAnsi="Times New Roman" w:eastAsia="宋体" w:cs="Times New Roman"/>
          <w:b w:val="0"/>
          <w:bCs/>
          <w:color w:val="auto"/>
          <w:kern w:val="2"/>
          <w:sz w:val="24"/>
          <w:szCs w:val="24"/>
          <w:highlight w:val="none"/>
          <w:lang w:val="en-US" w:eastAsia="zh-CN" w:bidi="ar-SA"/>
        </w:rPr>
        <w:t xml:space="preserve">项目管理情况，包括法人责任履行、招投标管理、合同管理、施工管理、工程监理、四方验收、工程设施试用、初步验收和档案管理等； </w:t>
      </w:r>
    </w:p>
    <w:p w14:paraId="5A7D364F">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5.</w:t>
      </w:r>
      <w:r>
        <w:rPr>
          <w:rFonts w:hint="eastAsia" w:ascii="Times New Roman" w:hAnsi="Times New Roman" w:eastAsia="宋体" w:cs="Times New Roman"/>
          <w:b w:val="0"/>
          <w:bCs/>
          <w:color w:val="auto"/>
          <w:kern w:val="2"/>
          <w:sz w:val="24"/>
          <w:szCs w:val="24"/>
          <w:highlight w:val="none"/>
          <w:lang w:val="en-US" w:eastAsia="zh-CN" w:bidi="ar-SA"/>
        </w:rPr>
        <w:t xml:space="preserve">项目建设情况，包括现场查验灌溉与排水、田间道路、田块整治、农田输配电等工程设施的数量和质量，以及农机作业通行条件等； </w:t>
      </w:r>
    </w:p>
    <w:p w14:paraId="41FF4F6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6.</w:t>
      </w:r>
      <w:r>
        <w:rPr>
          <w:rFonts w:hint="eastAsia" w:ascii="Times New Roman" w:hAnsi="Times New Roman" w:eastAsia="宋体" w:cs="Times New Roman"/>
          <w:b w:val="0"/>
          <w:bCs/>
          <w:color w:val="auto"/>
          <w:kern w:val="2"/>
          <w:sz w:val="24"/>
          <w:szCs w:val="24"/>
          <w:highlight w:val="none"/>
          <w:lang w:val="en-US" w:eastAsia="zh-CN" w:bidi="ar-SA"/>
        </w:rPr>
        <w:t xml:space="preserve">工程设施试用情况； </w:t>
      </w:r>
    </w:p>
    <w:p w14:paraId="0091919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7.</w:t>
      </w:r>
      <w:r>
        <w:rPr>
          <w:rFonts w:hint="eastAsia" w:ascii="Times New Roman" w:hAnsi="Times New Roman" w:eastAsia="宋体" w:cs="Times New Roman"/>
          <w:b w:val="0"/>
          <w:bCs/>
          <w:color w:val="auto"/>
          <w:kern w:val="2"/>
          <w:sz w:val="24"/>
          <w:szCs w:val="24"/>
          <w:highlight w:val="none"/>
          <w:lang w:val="en-US" w:eastAsia="zh-CN" w:bidi="ar-SA"/>
        </w:rPr>
        <w:t xml:space="preserve">项目区农村集体经济组织负责人、农民群众代表意见情况； </w:t>
      </w:r>
    </w:p>
    <w:p w14:paraId="5DE79CA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8.</w:t>
      </w:r>
      <w:r>
        <w:rPr>
          <w:rFonts w:hint="eastAsia" w:ascii="Times New Roman" w:hAnsi="Times New Roman" w:eastAsia="宋体" w:cs="Times New Roman"/>
          <w:b w:val="0"/>
          <w:bCs/>
          <w:color w:val="auto"/>
          <w:kern w:val="2"/>
          <w:sz w:val="24"/>
          <w:szCs w:val="24"/>
          <w:highlight w:val="none"/>
          <w:lang w:val="en-US" w:eastAsia="zh-CN" w:bidi="ar-SA"/>
        </w:rPr>
        <w:t xml:space="preserve">全国农田建设综合监测监管平台中项目基础信息、地块空间位置等； </w:t>
      </w:r>
    </w:p>
    <w:p w14:paraId="29CB3AD6">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9.</w:t>
      </w:r>
      <w:r>
        <w:rPr>
          <w:rFonts w:hint="eastAsia" w:ascii="Times New Roman" w:hAnsi="Times New Roman" w:eastAsia="宋体" w:cs="Times New Roman"/>
          <w:b w:val="0"/>
          <w:bCs/>
          <w:color w:val="auto"/>
          <w:kern w:val="2"/>
          <w:sz w:val="24"/>
          <w:szCs w:val="24"/>
          <w:highlight w:val="none"/>
          <w:lang w:val="en-US" w:eastAsia="zh-CN" w:bidi="ar-SA"/>
        </w:rPr>
        <w:t>工程设施管护主体落实情况；</w:t>
      </w:r>
    </w:p>
    <w:p w14:paraId="6BDD80D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10.</w:t>
      </w:r>
      <w:r>
        <w:rPr>
          <w:rFonts w:hint="eastAsia" w:ascii="Times New Roman" w:hAnsi="Times New Roman" w:eastAsia="宋体" w:cs="Times New Roman"/>
          <w:b w:val="0"/>
          <w:bCs/>
          <w:color w:val="auto"/>
          <w:kern w:val="2"/>
          <w:sz w:val="24"/>
          <w:szCs w:val="24"/>
          <w:highlight w:val="none"/>
          <w:lang w:val="en-US" w:eastAsia="zh-CN" w:bidi="ar-SA"/>
        </w:rPr>
        <w:t>其他需要验收的内容。</w:t>
      </w:r>
    </w:p>
    <w:p w14:paraId="488F1533">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630" w:leftChars="0" w:firstLine="0" w:firstLineChars="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五、验收工作流程要求</w:t>
      </w:r>
    </w:p>
    <w:p w14:paraId="218550B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1.验收准备</w:t>
      </w:r>
    </w:p>
    <w:p w14:paraId="638EF65E">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采购人</w:t>
      </w:r>
      <w:r>
        <w:rPr>
          <w:rFonts w:hint="eastAsia" w:ascii="Times New Roman" w:hAnsi="Times New Roman" w:eastAsia="宋体" w:cs="Times New Roman"/>
          <w:b w:val="0"/>
          <w:bCs/>
          <w:color w:val="auto"/>
          <w:kern w:val="2"/>
          <w:sz w:val="24"/>
          <w:szCs w:val="24"/>
          <w:highlight w:val="none"/>
          <w:lang w:val="en-US" w:eastAsia="zh-CN" w:bidi="ar-SA"/>
        </w:rPr>
        <w:t>在收到县级竣工验收申请报告后，10个工作日内决定是否同意进行市级竣工验收。对具备市级竣工验收条件的项目，及时成立内业验收组和外业实地核查组，并提前5天下达市级竣工验收通知。</w:t>
      </w:r>
    </w:p>
    <w:p w14:paraId="495EE483">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2.实施验收</w:t>
      </w:r>
    </w:p>
    <w:p w14:paraId="13208E0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供应商</w:t>
      </w:r>
      <w:r>
        <w:rPr>
          <w:rFonts w:hint="eastAsia" w:ascii="Times New Roman" w:hAnsi="Times New Roman" w:eastAsia="宋体" w:cs="Times New Roman"/>
          <w:b w:val="0"/>
          <w:bCs/>
          <w:color w:val="auto"/>
          <w:kern w:val="2"/>
          <w:sz w:val="24"/>
          <w:szCs w:val="24"/>
          <w:highlight w:val="none"/>
          <w:lang w:val="en-US" w:eastAsia="zh-CN" w:bidi="ar-SA"/>
        </w:rPr>
        <w:t>内业验收组听取项目建设单位、监理单位和施工单位汇报，审查项目实施总结报告；查看农田建设项目初步验收报告、工程档案资料及资金台账；根据《农业农村部关于印发&lt;高标准农田建设项目竣工验收办法（试行）&gt;的通知》（农建发〔2025〕6号）文件要求，对于竣工验收的工程数量进行</w:t>
      </w:r>
      <w:r>
        <w:rPr>
          <w:rFonts w:hint="eastAsia" w:cs="Times New Roman"/>
          <w:b w:val="0"/>
          <w:bCs/>
          <w:color w:val="auto"/>
          <w:kern w:val="2"/>
          <w:sz w:val="24"/>
          <w:szCs w:val="24"/>
          <w:highlight w:val="none"/>
          <w:lang w:val="en-US" w:eastAsia="zh-CN" w:bidi="ar-SA"/>
        </w:rPr>
        <w:t>全面验收，验收应当覆盖每一处地块、工程、设施，不得有漏项，消除验收“死角”。抽样核查内容包括土地平整、土壤改良、渠道衬砌、管道灌溉工程、喷（微）灌工程、建筑物、小型蓄水工程、田间机耕道、农田防护与生态环境保持工程、输变电线路、设备、其他工程；走访农户，开展满意度调查；检查管护制度及管护责任落实情况。</w:t>
      </w:r>
    </w:p>
    <w:p w14:paraId="1D7DD0A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3.验收报告</w:t>
      </w:r>
    </w:p>
    <w:p w14:paraId="185C0D7A">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cs="Times New Roman"/>
          <w:b w:val="0"/>
          <w:bCs/>
          <w:color w:val="auto"/>
          <w:kern w:val="2"/>
          <w:sz w:val="24"/>
          <w:szCs w:val="24"/>
          <w:highlight w:val="none"/>
          <w:lang w:val="en-US" w:eastAsia="zh-CN" w:bidi="ar-SA"/>
        </w:rPr>
        <w:t>供应商应</w:t>
      </w:r>
      <w:r>
        <w:rPr>
          <w:rFonts w:hint="eastAsia" w:ascii="Times New Roman" w:hAnsi="Times New Roman" w:eastAsia="宋体" w:cs="Times New Roman"/>
          <w:b w:val="0"/>
          <w:bCs/>
          <w:color w:val="auto"/>
          <w:kern w:val="2"/>
          <w:sz w:val="24"/>
          <w:szCs w:val="24"/>
          <w:highlight w:val="none"/>
          <w:lang w:val="en-US" w:eastAsia="zh-CN" w:bidi="ar-SA"/>
        </w:rPr>
        <w:t>召开验收组会商会议，协调处理有关问题，出具竣工验收报告，包括验收工作组织开展情况、建设内容完成情况、工程质量情况、资金到位和使用情况、管理制度执行情况、工程设施试用情况等，以及存在问题和建议，得出</w:t>
      </w:r>
      <w:r>
        <w:rPr>
          <w:rFonts w:hint="eastAsia" w:cs="Times New Roman"/>
          <w:b w:val="0"/>
          <w:bCs/>
          <w:color w:val="auto"/>
          <w:kern w:val="2"/>
          <w:sz w:val="24"/>
          <w:szCs w:val="24"/>
          <w:highlight w:val="none"/>
          <w:lang w:val="en-US" w:eastAsia="zh-CN" w:bidi="ar-SA"/>
        </w:rPr>
        <w:t>的</w:t>
      </w:r>
      <w:r>
        <w:rPr>
          <w:rFonts w:hint="eastAsia" w:ascii="Times New Roman" w:hAnsi="Times New Roman" w:eastAsia="宋体" w:cs="Times New Roman"/>
          <w:b w:val="0"/>
          <w:bCs/>
          <w:color w:val="auto"/>
          <w:kern w:val="2"/>
          <w:sz w:val="24"/>
          <w:szCs w:val="24"/>
          <w:highlight w:val="none"/>
          <w:lang w:val="en-US" w:eastAsia="zh-CN" w:bidi="ar-SA"/>
        </w:rPr>
        <w:t>验收结论由验收组所有成员签字确认；对于竣工验收存在的问题，</w:t>
      </w:r>
      <w:r>
        <w:rPr>
          <w:rFonts w:hint="eastAsia" w:cs="Times New Roman"/>
          <w:b w:val="0"/>
          <w:bCs/>
          <w:color w:val="auto"/>
          <w:kern w:val="2"/>
          <w:sz w:val="24"/>
          <w:szCs w:val="24"/>
          <w:highlight w:val="none"/>
          <w:lang w:val="en-US" w:eastAsia="zh-CN" w:bidi="ar-SA"/>
        </w:rPr>
        <w:t>通知</w:t>
      </w:r>
      <w:r>
        <w:rPr>
          <w:rFonts w:hint="eastAsia" w:ascii="Times New Roman" w:hAnsi="Times New Roman" w:eastAsia="宋体" w:cs="Times New Roman"/>
          <w:b w:val="0"/>
          <w:bCs/>
          <w:color w:val="auto"/>
          <w:kern w:val="2"/>
          <w:sz w:val="24"/>
          <w:szCs w:val="24"/>
          <w:highlight w:val="none"/>
          <w:lang w:val="en-US" w:eastAsia="zh-CN" w:bidi="ar-SA"/>
        </w:rPr>
        <w:t>各县区农业农村局及时落实整改责任，确保整改到位，并及时将整改结果报</w:t>
      </w:r>
      <w:r>
        <w:rPr>
          <w:rFonts w:hint="eastAsia" w:ascii="Times New Roman" w:hAnsi="Times New Roman" w:cs="Times New Roman"/>
          <w:b w:val="0"/>
          <w:bCs/>
          <w:color w:val="auto"/>
          <w:kern w:val="2"/>
          <w:sz w:val="24"/>
          <w:szCs w:val="24"/>
          <w:highlight w:val="none"/>
          <w:lang w:val="en-US" w:eastAsia="zh-CN" w:bidi="ar-SA"/>
        </w:rPr>
        <w:t>采购人</w:t>
      </w:r>
      <w:r>
        <w:rPr>
          <w:rFonts w:hint="eastAsia" w:ascii="Times New Roman" w:hAnsi="Times New Roman" w:eastAsia="宋体" w:cs="Times New Roman"/>
          <w:b w:val="0"/>
          <w:bCs/>
          <w:color w:val="auto"/>
          <w:kern w:val="2"/>
          <w:sz w:val="24"/>
          <w:szCs w:val="24"/>
          <w:highlight w:val="none"/>
          <w:lang w:val="en-US" w:eastAsia="zh-CN" w:bidi="ar-SA"/>
        </w:rPr>
        <w:t>。</w:t>
      </w:r>
    </w:p>
    <w:p w14:paraId="6C44D12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4.验收合格</w:t>
      </w:r>
    </w:p>
    <w:p w14:paraId="6B68F2E1">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经验收合格以及完成问题整改后达到合格的项目，</w:t>
      </w:r>
      <w:r>
        <w:rPr>
          <w:rFonts w:hint="eastAsia" w:ascii="Times New Roman" w:hAnsi="Times New Roman" w:cs="Times New Roman"/>
          <w:b w:val="0"/>
          <w:bCs/>
          <w:color w:val="auto"/>
          <w:kern w:val="2"/>
          <w:sz w:val="24"/>
          <w:szCs w:val="24"/>
          <w:highlight w:val="none"/>
          <w:lang w:val="en-US" w:eastAsia="zh-CN" w:bidi="ar-SA"/>
        </w:rPr>
        <w:t>采购人</w:t>
      </w:r>
      <w:r>
        <w:rPr>
          <w:rFonts w:hint="eastAsia" w:ascii="Times New Roman" w:hAnsi="Times New Roman" w:eastAsia="宋体" w:cs="Times New Roman"/>
          <w:b w:val="0"/>
          <w:bCs/>
          <w:color w:val="auto"/>
          <w:kern w:val="2"/>
          <w:sz w:val="24"/>
          <w:szCs w:val="24"/>
          <w:highlight w:val="none"/>
          <w:lang w:val="en-US" w:eastAsia="zh-CN" w:bidi="ar-SA"/>
        </w:rPr>
        <w:t>核发农业农村部统一格式的</w:t>
      </w:r>
      <w:r>
        <w:rPr>
          <w:rFonts w:hint="eastAsia" w:cs="Times New Roman"/>
          <w:b w:val="0"/>
          <w:bCs/>
          <w:color w:val="auto"/>
          <w:kern w:val="2"/>
          <w:sz w:val="24"/>
          <w:szCs w:val="24"/>
          <w:highlight w:val="none"/>
          <w:lang w:val="en-US" w:eastAsia="zh-CN" w:bidi="ar-SA"/>
        </w:rPr>
        <w:t>《高标准农田建设项目竣工验收合格证书》</w:t>
      </w:r>
      <w:r>
        <w:rPr>
          <w:rFonts w:hint="eastAsia" w:ascii="Times New Roman" w:hAnsi="Times New Roman" w:eastAsia="宋体" w:cs="Times New Roman"/>
          <w:b w:val="0"/>
          <w:bCs/>
          <w:color w:val="auto"/>
          <w:kern w:val="2"/>
          <w:sz w:val="24"/>
          <w:szCs w:val="24"/>
          <w:highlight w:val="none"/>
          <w:lang w:val="en-US" w:eastAsia="zh-CN" w:bidi="ar-SA"/>
        </w:rPr>
        <w:t>。</w:t>
      </w:r>
    </w:p>
    <w:p w14:paraId="15B5AA4A">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0" w:leftChars="0" w:firstLine="482" w:firstLineChars="20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六、验收材料</w:t>
      </w:r>
    </w:p>
    <w:p w14:paraId="171BFB4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1.项目竣工验收申请报告；</w:t>
      </w:r>
    </w:p>
    <w:p w14:paraId="1E57153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2.项目竣工报告(包括规划设计图、竣工图、报告等)</w:t>
      </w:r>
    </w:p>
    <w:p w14:paraId="47F2CE3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3.规划设计工作总结报告；</w:t>
      </w:r>
    </w:p>
    <w:p w14:paraId="0B3CCB2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4.监理工作总结报告；</w:t>
      </w:r>
    </w:p>
    <w:p w14:paraId="1E0646F5">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5.施工管理工作总结报告；</w:t>
      </w:r>
    </w:p>
    <w:p w14:paraId="715B6157">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6.工程复核和质量检测报告，耕地质量评定报告；</w:t>
      </w:r>
    </w:p>
    <w:p w14:paraId="3C16F22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7.项目单元、分部、单位工程质量评定、检验资料；</w:t>
      </w:r>
    </w:p>
    <w:p w14:paraId="339FB438">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8.土地权属工作报告；</w:t>
      </w:r>
    </w:p>
    <w:p w14:paraId="64192714">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9.有关影像资料；</w:t>
      </w:r>
    </w:p>
    <w:p w14:paraId="0E349B5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10.其他有关资料(包括自验、初验等)；</w:t>
      </w:r>
    </w:p>
    <w:p w14:paraId="5D6189CF">
      <w:pPr>
        <w:widowControl/>
        <w:numPr>
          <w:ilvl w:val="0"/>
          <w:numId w:val="0"/>
        </w:numPr>
        <w:autoSpaceDE/>
        <w:autoSpaceDN/>
        <w:spacing w:line="480" w:lineRule="exact"/>
        <w:ind w:firstLine="482"/>
        <w:jc w:val="left"/>
        <w:rPr>
          <w:rFonts w:hint="default"/>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 xml:space="preserve">11.竣工决算报告。 </w:t>
      </w:r>
    </w:p>
    <w:p w14:paraId="3F54698F">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0" w:leftChars="0" w:firstLine="482" w:firstLineChars="200"/>
        <w:jc w:val="left"/>
        <w:textAlignment w:val="auto"/>
        <w:rPr>
          <w:rFonts w:hint="default"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七、</w:t>
      </w:r>
      <w:r>
        <w:rPr>
          <w:rFonts w:hint="default" w:ascii="宋体" w:hAnsi="宋体" w:cs="宋体"/>
          <w:b/>
          <w:color w:val="auto"/>
          <w:kern w:val="2"/>
          <w:sz w:val="24"/>
          <w:szCs w:val="24"/>
          <w:highlight w:val="none"/>
          <w:lang w:val="en-US" w:eastAsia="zh-CN" w:bidi="ar-SA"/>
        </w:rPr>
        <w:t>项目人员配置要求</w:t>
      </w:r>
    </w:p>
    <w:p w14:paraId="21A094FB">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1.</w:t>
      </w:r>
      <w:r>
        <w:rPr>
          <w:rFonts w:hint="default" w:ascii="Times New Roman" w:hAnsi="Times New Roman" w:eastAsia="宋体" w:cs="Times New Roman"/>
          <w:b w:val="0"/>
          <w:bCs/>
          <w:color w:val="auto"/>
          <w:kern w:val="2"/>
          <w:sz w:val="24"/>
          <w:szCs w:val="24"/>
          <w:highlight w:val="none"/>
          <w:lang w:val="en-US" w:eastAsia="zh-CN" w:bidi="ar-SA"/>
        </w:rPr>
        <w:t>拟投入专业技术人员</w:t>
      </w:r>
      <w:r>
        <w:rPr>
          <w:rFonts w:hint="eastAsia" w:ascii="Times New Roman" w:hAnsi="Times New Roman" w:eastAsia="宋体" w:cs="Times New Roman"/>
          <w:b w:val="0"/>
          <w:bCs/>
          <w:color w:val="auto"/>
          <w:kern w:val="2"/>
          <w:sz w:val="24"/>
          <w:szCs w:val="24"/>
          <w:highlight w:val="none"/>
          <w:lang w:val="en-US" w:eastAsia="zh-CN" w:bidi="ar-SA"/>
        </w:rPr>
        <w:t>（不包含项目负责人）</w:t>
      </w:r>
      <w:r>
        <w:rPr>
          <w:rFonts w:hint="default" w:ascii="Times New Roman" w:hAnsi="Times New Roman" w:eastAsia="宋体" w:cs="Times New Roman"/>
          <w:b w:val="0"/>
          <w:bCs/>
          <w:color w:val="auto"/>
          <w:kern w:val="2"/>
          <w:sz w:val="24"/>
          <w:szCs w:val="24"/>
          <w:highlight w:val="none"/>
          <w:lang w:val="en-US" w:eastAsia="zh-CN" w:bidi="ar-SA"/>
        </w:rPr>
        <w:t>不少于 5 人</w:t>
      </w:r>
      <w:r>
        <w:rPr>
          <w:rFonts w:hint="eastAsia" w:ascii="Times New Roman" w:hAnsi="Times New Roman" w:eastAsia="宋体" w:cs="Times New Roman"/>
          <w:b w:val="0"/>
          <w:bCs/>
          <w:color w:val="auto"/>
          <w:kern w:val="2"/>
          <w:sz w:val="24"/>
          <w:szCs w:val="24"/>
          <w:highlight w:val="none"/>
          <w:lang w:val="en-US" w:eastAsia="zh-CN" w:bidi="ar-SA"/>
        </w:rPr>
        <w:t>，能够满足本项目全流程验收服务的工作需求，项目实施期间如需更换人员，需提前征得采购人同意后方可调整。</w:t>
      </w:r>
    </w:p>
    <w:p w14:paraId="07E1FD45">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eastAsia"/>
          <w:color w:val="auto"/>
          <w:highlight w:val="none"/>
          <w:lang w:val="en-US" w:eastAsia="zh-CN"/>
        </w:rPr>
      </w:pPr>
      <w:r>
        <w:rPr>
          <w:rFonts w:hint="eastAsia" w:ascii="Times New Roman" w:hAnsi="Times New Roman" w:eastAsia="宋体" w:cs="Times New Roman"/>
          <w:b w:val="0"/>
          <w:bCs/>
          <w:color w:val="auto"/>
          <w:kern w:val="2"/>
          <w:sz w:val="24"/>
          <w:szCs w:val="24"/>
          <w:highlight w:val="none"/>
          <w:lang w:val="en-US" w:eastAsia="zh-CN" w:bidi="ar-SA"/>
        </w:rPr>
        <w:t>2.</w:t>
      </w:r>
      <w:r>
        <w:rPr>
          <w:rFonts w:hint="eastAsia" w:ascii="宋体" w:hAnsi="宋体" w:cs="宋体"/>
          <w:color w:val="auto"/>
          <w:kern w:val="1"/>
          <w:sz w:val="24"/>
          <w:szCs w:val="24"/>
          <w:highlight w:val="none"/>
          <w:lang w:val="en-US" w:eastAsia="zh-CN"/>
        </w:rPr>
        <w:t>项目负责人具备</w:t>
      </w:r>
      <w:r>
        <w:rPr>
          <w:rFonts w:hint="eastAsia" w:ascii="宋体" w:hAnsi="宋体" w:cs="宋体"/>
          <w:color w:val="auto"/>
          <w:sz w:val="24"/>
          <w:szCs w:val="24"/>
          <w:highlight w:val="none"/>
          <w:lang w:val="en-US" w:eastAsia="zh-CN"/>
        </w:rPr>
        <w:t>工程类相关专业</w:t>
      </w:r>
      <w:r>
        <w:rPr>
          <w:rFonts w:hint="eastAsia" w:ascii="宋体" w:hAnsi="宋体" w:cs="宋体"/>
          <w:color w:val="auto"/>
          <w:kern w:val="1"/>
          <w:sz w:val="24"/>
          <w:szCs w:val="24"/>
          <w:highlight w:val="none"/>
          <w:lang w:val="en-US" w:eastAsia="zh-CN"/>
        </w:rPr>
        <w:t>中级及以上职称</w:t>
      </w:r>
      <w:r>
        <w:rPr>
          <w:rFonts w:hint="eastAsia" w:ascii="宋体" w:hAnsi="宋体" w:cs="宋体"/>
          <w:b w:val="0"/>
          <w:bCs/>
          <w:color w:val="auto"/>
          <w:kern w:val="0"/>
          <w:sz w:val="24"/>
          <w:szCs w:val="24"/>
          <w:highlight w:val="none"/>
          <w:lang w:val="en-US" w:eastAsia="zh-CN" w:bidi="ar"/>
        </w:rPr>
        <w:t>，</w:t>
      </w:r>
      <w:r>
        <w:rPr>
          <w:rFonts w:hint="default" w:ascii="宋体" w:hAnsi="宋体" w:cs="宋体"/>
          <w:b w:val="0"/>
          <w:bCs/>
          <w:color w:val="auto"/>
          <w:kern w:val="0"/>
          <w:sz w:val="24"/>
          <w:szCs w:val="24"/>
          <w:highlight w:val="none"/>
          <w:lang w:val="en-US" w:eastAsia="zh-CN" w:bidi="ar"/>
        </w:rPr>
        <w:t>须熟悉北海市</w:t>
      </w:r>
      <w:r>
        <w:rPr>
          <w:rFonts w:hint="eastAsia" w:ascii="宋体" w:hAnsi="宋体" w:cs="宋体"/>
          <w:b w:val="0"/>
          <w:bCs/>
          <w:color w:val="auto"/>
          <w:kern w:val="0"/>
          <w:sz w:val="24"/>
          <w:szCs w:val="24"/>
          <w:highlight w:val="none"/>
          <w:lang w:val="en-US" w:eastAsia="zh-CN" w:bidi="ar"/>
        </w:rPr>
        <w:t>高标准农田</w:t>
      </w:r>
      <w:r>
        <w:rPr>
          <w:rFonts w:hint="default" w:ascii="宋体" w:hAnsi="宋体" w:cs="宋体"/>
          <w:b w:val="0"/>
          <w:bCs/>
          <w:color w:val="auto"/>
          <w:kern w:val="0"/>
          <w:sz w:val="24"/>
          <w:szCs w:val="24"/>
          <w:highlight w:val="none"/>
          <w:lang w:val="en-US" w:eastAsia="zh-CN" w:bidi="ar"/>
        </w:rPr>
        <w:t>验收政策与工作流程</w:t>
      </w:r>
      <w:r>
        <w:rPr>
          <w:rFonts w:hint="eastAsia" w:ascii="宋体" w:hAnsi="宋体" w:cs="宋体"/>
          <w:b w:val="0"/>
          <w:bCs/>
          <w:color w:val="auto"/>
          <w:kern w:val="0"/>
          <w:sz w:val="24"/>
          <w:szCs w:val="24"/>
          <w:highlight w:val="none"/>
          <w:lang w:val="en-US" w:eastAsia="zh-CN" w:bidi="ar"/>
        </w:rPr>
        <w:t>，能够全程统筹项目实施，及时响应采购人工作要求，全程跟进项目各环节工作进度，协调解决项目推进中的各类问题，未经采购人同意不得擅自更换项目负责人</w:t>
      </w:r>
      <w:r>
        <w:rPr>
          <w:rFonts w:hint="eastAsia"/>
          <w:color w:val="auto"/>
          <w:highlight w:val="none"/>
          <w:lang w:val="en-US" w:eastAsia="zh-CN"/>
        </w:rPr>
        <w:t>。</w:t>
      </w:r>
    </w:p>
    <w:p w14:paraId="1330AF0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3.</w:t>
      </w:r>
      <w:r>
        <w:rPr>
          <w:rFonts w:hint="default" w:ascii="宋体" w:hAnsi="宋体" w:cs="宋体"/>
          <w:b w:val="0"/>
          <w:bCs/>
          <w:color w:val="auto"/>
          <w:kern w:val="0"/>
          <w:sz w:val="24"/>
          <w:szCs w:val="24"/>
          <w:highlight w:val="none"/>
          <w:lang w:val="en-US" w:eastAsia="zh-CN" w:bidi="ar"/>
        </w:rPr>
        <w:t>拟投入服务团队所有人员须为供应商在岗正式员工，响应文件中须提供所有人员身份证、职称证（如有）、注册 / 资格证（如有），以及本单位为其缴纳的距响应文件递交截止时间前</w:t>
      </w:r>
      <w:r>
        <w:rPr>
          <w:rFonts w:hint="eastAsia" w:ascii="宋体" w:hAnsi="宋体" w:cs="宋体"/>
          <w:b w:val="0"/>
          <w:bCs/>
          <w:color w:val="auto"/>
          <w:kern w:val="0"/>
          <w:sz w:val="24"/>
          <w:szCs w:val="24"/>
          <w:highlight w:val="none"/>
          <w:lang w:val="en-US" w:eastAsia="zh-CN" w:bidi="ar"/>
        </w:rPr>
        <w:t>半年内任意</w:t>
      </w:r>
      <w:r>
        <w:rPr>
          <w:rFonts w:hint="default" w:ascii="宋体" w:hAnsi="宋体" w:cs="宋体"/>
          <w:b w:val="0"/>
          <w:bCs/>
          <w:color w:val="auto"/>
          <w:kern w:val="0"/>
          <w:sz w:val="24"/>
          <w:szCs w:val="24"/>
          <w:highlight w:val="none"/>
          <w:lang w:val="en-US" w:eastAsia="zh-CN" w:bidi="ar"/>
        </w:rPr>
        <w:t>一个月的社保缴纳证明</w:t>
      </w:r>
      <w:r>
        <w:rPr>
          <w:rFonts w:hint="eastAsia" w:ascii="宋体" w:hAnsi="宋体" w:cs="宋体"/>
          <w:b w:val="0"/>
          <w:bCs/>
          <w:color w:val="auto"/>
          <w:kern w:val="0"/>
          <w:sz w:val="24"/>
          <w:szCs w:val="24"/>
          <w:highlight w:val="none"/>
          <w:lang w:val="en-US" w:eastAsia="zh-CN" w:bidi="ar"/>
        </w:rPr>
        <w:t>复印件</w:t>
      </w:r>
      <w:r>
        <w:rPr>
          <w:rFonts w:hint="default" w:ascii="宋体" w:hAnsi="宋体" w:cs="宋体"/>
          <w:b w:val="0"/>
          <w:bCs/>
          <w:color w:val="auto"/>
          <w:kern w:val="0"/>
          <w:sz w:val="24"/>
          <w:szCs w:val="24"/>
          <w:highlight w:val="none"/>
          <w:lang w:val="en-US" w:eastAsia="zh-CN" w:bidi="ar"/>
        </w:rPr>
        <w:t>。</w:t>
      </w:r>
    </w:p>
    <w:p w14:paraId="2E2FA3D9">
      <w:pPr>
        <w:keepNext w:val="0"/>
        <w:keepLines w:val="0"/>
        <w:pageBreakBefore w:val="0"/>
        <w:widowControl/>
        <w:numPr>
          <w:ilvl w:val="0"/>
          <w:numId w:val="0"/>
        </w:numPr>
        <w:kinsoku/>
        <w:wordWrap/>
        <w:overflowPunct/>
        <w:topLinePunct w:val="0"/>
        <w:autoSpaceDE/>
        <w:autoSpaceDN/>
        <w:bidi w:val="0"/>
        <w:adjustRightInd w:val="0"/>
        <w:snapToGrid/>
        <w:spacing w:line="480" w:lineRule="exact"/>
        <w:ind w:firstLine="482" w:firstLineChars="0"/>
        <w:jc w:val="left"/>
        <w:textAlignment w:val="auto"/>
        <w:rPr>
          <w:rFonts w:hint="default" w:ascii="宋体" w:hAnsi="宋体" w:cs="宋体"/>
          <w:b w:val="0"/>
          <w:bCs/>
          <w:color w:val="auto"/>
          <w:kern w:val="0"/>
          <w:sz w:val="24"/>
          <w:szCs w:val="24"/>
          <w:highlight w:val="none"/>
          <w:lang w:val="en-US" w:eastAsia="zh-CN" w:bidi="ar"/>
        </w:rPr>
      </w:pPr>
      <w:r>
        <w:rPr>
          <w:rFonts w:hint="eastAsia" w:ascii="宋体" w:hAnsi="宋体" w:cs="宋体"/>
          <w:b w:val="0"/>
          <w:bCs/>
          <w:color w:val="auto"/>
          <w:kern w:val="0"/>
          <w:sz w:val="24"/>
          <w:szCs w:val="24"/>
          <w:highlight w:val="none"/>
          <w:lang w:val="en-US" w:eastAsia="zh-CN" w:bidi="ar"/>
        </w:rPr>
        <w:t>4.</w:t>
      </w:r>
      <w:r>
        <w:rPr>
          <w:rFonts w:hint="default" w:ascii="宋体" w:hAnsi="宋体" w:cs="宋体"/>
          <w:b w:val="0"/>
          <w:bCs/>
          <w:color w:val="auto"/>
          <w:kern w:val="0"/>
          <w:sz w:val="24"/>
          <w:szCs w:val="24"/>
          <w:highlight w:val="none"/>
          <w:lang w:val="en-US" w:eastAsia="zh-CN" w:bidi="ar"/>
        </w:rPr>
        <w:t>服务期内项目负责人及核心技术人员不得随意更换；确需更换的，须提前 7 个工作日向采购人提交书面申请，替换人员资质不低于原岗位要求，经采购人同意后方可更换。擅自更换核心人员的，采购人有权按每人次扣减相应合同款项。</w:t>
      </w:r>
    </w:p>
    <w:p w14:paraId="2F41652F">
      <w:pPr>
        <w:keepNext w:val="0"/>
        <w:keepLines w:val="0"/>
        <w:pageBreakBefore w:val="0"/>
        <w:widowControl/>
        <w:numPr>
          <w:ilvl w:val="-1"/>
          <w:numId w:val="0"/>
        </w:numPr>
        <w:kinsoku/>
        <w:wordWrap/>
        <w:overflowPunct/>
        <w:topLinePunct w:val="0"/>
        <w:autoSpaceDE/>
        <w:autoSpaceDN/>
        <w:bidi w:val="0"/>
        <w:adjustRightInd w:val="0"/>
        <w:snapToGrid/>
        <w:spacing w:line="480" w:lineRule="exact"/>
        <w:ind w:left="0" w:leftChars="0" w:firstLine="482" w:firstLineChars="200"/>
        <w:jc w:val="left"/>
        <w:textAlignment w:val="auto"/>
        <w:rPr>
          <w:rFonts w:hint="eastAsia" w:ascii="宋体" w:hAnsi="宋体" w:cs="宋体"/>
          <w:b/>
          <w:color w:val="auto"/>
          <w:kern w:val="2"/>
          <w:sz w:val="24"/>
          <w:szCs w:val="24"/>
          <w:highlight w:val="none"/>
          <w:lang w:val="en-US" w:eastAsia="zh-CN" w:bidi="ar-SA"/>
        </w:rPr>
      </w:pPr>
      <w:r>
        <w:rPr>
          <w:rFonts w:hint="eastAsia" w:ascii="宋体" w:hAnsi="宋体" w:cs="宋体"/>
          <w:b/>
          <w:color w:val="auto"/>
          <w:kern w:val="2"/>
          <w:sz w:val="24"/>
          <w:szCs w:val="24"/>
          <w:highlight w:val="none"/>
          <w:lang w:val="en-US" w:eastAsia="zh-CN" w:bidi="ar-SA"/>
        </w:rPr>
        <w:t>八、商务要求</w:t>
      </w:r>
    </w:p>
    <w:p w14:paraId="3EA61AB9">
      <w:pPr>
        <w:spacing w:before="29" w:line="360" w:lineRule="auto"/>
        <w:ind w:firstLine="470" w:firstLineChars="200"/>
        <w:rPr>
          <w:rFonts w:hint="eastAsia" w:ascii="宋体" w:hAnsi="宋体" w:eastAsia="宋体" w:cs="宋体"/>
          <w:color w:val="auto"/>
          <w:sz w:val="24"/>
          <w:szCs w:val="24"/>
          <w:highlight w:val="none"/>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一</w:t>
      </w:r>
      <w:r>
        <w:rPr>
          <w:rFonts w:hint="eastAsia" w:ascii="宋体" w:hAnsi="宋体" w:cs="宋体"/>
          <w:b/>
          <w:bCs/>
          <w:color w:val="auto"/>
          <w:spacing w:val="-3"/>
          <w:sz w:val="24"/>
          <w:szCs w:val="24"/>
          <w:highlight w:val="none"/>
          <w:lang w:eastAsia="zh-CN"/>
        </w:rPr>
        <w:t>）</w:t>
      </w:r>
      <w:r>
        <w:rPr>
          <w:rFonts w:hint="eastAsia" w:ascii="宋体" w:hAnsi="宋体" w:eastAsia="宋体" w:cs="宋体"/>
          <w:b/>
          <w:bCs/>
          <w:color w:val="auto"/>
          <w:spacing w:val="-3"/>
          <w:sz w:val="24"/>
          <w:szCs w:val="24"/>
          <w:highlight w:val="none"/>
        </w:rPr>
        <w:t>合同签订期：</w:t>
      </w:r>
      <w:r>
        <w:rPr>
          <w:rFonts w:hint="eastAsia" w:ascii="宋体" w:hAnsi="宋体" w:eastAsia="宋体" w:cs="宋体"/>
          <w:color w:val="auto"/>
          <w:spacing w:val="-1"/>
          <w:sz w:val="24"/>
          <w:szCs w:val="24"/>
          <w:highlight w:val="none"/>
        </w:rPr>
        <w:t>自成交通知书发出之日起</w:t>
      </w:r>
      <w:r>
        <w:rPr>
          <w:rFonts w:hint="eastAsia" w:ascii="宋体" w:hAnsi="宋体" w:eastAsia="宋体" w:cs="宋体"/>
          <w:color w:val="auto"/>
          <w:spacing w:val="-1"/>
          <w:sz w:val="24"/>
          <w:szCs w:val="24"/>
          <w:highlight w:val="none"/>
          <w:lang w:val="en-US" w:eastAsia="zh-CN"/>
        </w:rPr>
        <w:t>25</w:t>
      </w:r>
      <w:r>
        <w:rPr>
          <w:rFonts w:hint="eastAsia" w:ascii="宋体" w:hAnsi="宋体" w:eastAsia="宋体" w:cs="宋体"/>
          <w:color w:val="auto"/>
          <w:spacing w:val="-1"/>
          <w:sz w:val="24"/>
          <w:szCs w:val="24"/>
          <w:highlight w:val="none"/>
        </w:rPr>
        <w:t>日内。</w:t>
      </w:r>
    </w:p>
    <w:p w14:paraId="48561AF6">
      <w:pPr>
        <w:keepNext w:val="0"/>
        <w:keepLines w:val="0"/>
        <w:pageBreakBefore w:val="0"/>
        <w:widowControl w:val="0"/>
        <w:kinsoku/>
        <w:wordWrap/>
        <w:overflowPunct/>
        <w:topLinePunct w:val="0"/>
        <w:autoSpaceDE/>
        <w:autoSpaceDN/>
        <w:bidi w:val="0"/>
        <w:adjustRightInd w:val="0"/>
        <w:snapToGrid/>
        <w:spacing w:line="360" w:lineRule="auto"/>
        <w:ind w:left="0" w:firstLine="470" w:firstLineChars="200"/>
        <w:textAlignment w:val="auto"/>
        <w:rPr>
          <w:rFonts w:hint="eastAsia" w:ascii="宋体" w:hAnsi="宋体" w:eastAsia="宋体" w:cs="宋体"/>
          <w:color w:val="auto"/>
          <w:spacing w:val="-1"/>
          <w:sz w:val="24"/>
          <w:szCs w:val="24"/>
          <w:highlight w:val="none"/>
          <w:lang w:eastAsia="zh-CN"/>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二</w:t>
      </w: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合同履行期限</w:t>
      </w:r>
      <w:r>
        <w:rPr>
          <w:rFonts w:hint="eastAsia" w:ascii="宋体" w:hAnsi="宋体" w:eastAsia="宋体" w:cs="宋体"/>
          <w:b/>
          <w:bCs/>
          <w:color w:val="auto"/>
          <w:spacing w:val="-3"/>
          <w:sz w:val="24"/>
          <w:szCs w:val="24"/>
          <w:highlight w:val="none"/>
        </w:rPr>
        <w:t>：</w:t>
      </w:r>
      <w:r>
        <w:rPr>
          <w:rFonts w:hint="eastAsia" w:ascii="宋体" w:hAnsi="宋体" w:eastAsia="宋体" w:cs="宋体"/>
          <w:color w:val="auto"/>
          <w:spacing w:val="-1"/>
          <w:sz w:val="24"/>
          <w:szCs w:val="24"/>
          <w:highlight w:val="none"/>
        </w:rPr>
        <w:t>从合同签订之日起，北海市辖县区农业农村部门向采购人申报</w:t>
      </w:r>
      <w:r>
        <w:rPr>
          <w:rFonts w:hint="eastAsia" w:ascii="宋体" w:hAnsi="宋体" w:eastAsia="宋体" w:cs="宋体"/>
          <w:color w:val="auto"/>
          <w:spacing w:val="-1"/>
          <w:sz w:val="24"/>
          <w:szCs w:val="24"/>
          <w:highlight w:val="none"/>
          <w:lang w:eastAsia="zh-CN"/>
        </w:rPr>
        <w:t>2025 年度高标准农田建设项目市级竣工验收</w:t>
      </w:r>
      <w:r>
        <w:rPr>
          <w:rFonts w:hint="eastAsia" w:ascii="宋体" w:hAnsi="宋体" w:eastAsia="宋体" w:cs="宋体"/>
          <w:color w:val="auto"/>
          <w:spacing w:val="-1"/>
          <w:sz w:val="24"/>
          <w:szCs w:val="24"/>
          <w:highlight w:val="none"/>
        </w:rPr>
        <w:t>后，</w:t>
      </w:r>
      <w:r>
        <w:rPr>
          <w:rFonts w:hint="eastAsia" w:ascii="宋体" w:hAnsi="宋体" w:eastAsia="宋体" w:cs="宋体"/>
          <w:color w:val="auto"/>
          <w:spacing w:val="-1"/>
          <w:sz w:val="24"/>
          <w:szCs w:val="24"/>
          <w:highlight w:val="none"/>
          <w:lang w:val="en-US" w:eastAsia="zh-CN"/>
        </w:rPr>
        <w:t>成交供应商</w:t>
      </w:r>
      <w:r>
        <w:rPr>
          <w:rFonts w:hint="eastAsia" w:ascii="宋体" w:hAnsi="宋体" w:eastAsia="宋体" w:cs="宋体"/>
          <w:color w:val="auto"/>
          <w:spacing w:val="-1"/>
          <w:sz w:val="24"/>
          <w:szCs w:val="24"/>
          <w:highlight w:val="none"/>
        </w:rPr>
        <w:t>应在</w:t>
      </w:r>
      <w:r>
        <w:rPr>
          <w:rFonts w:hint="eastAsia" w:ascii="宋体" w:hAnsi="宋体" w:eastAsia="宋体" w:cs="宋体"/>
          <w:color w:val="auto"/>
          <w:spacing w:val="-1"/>
          <w:sz w:val="24"/>
          <w:szCs w:val="24"/>
          <w:highlight w:val="none"/>
          <w:lang w:val="en-US" w:eastAsia="zh-CN"/>
        </w:rPr>
        <w:t>6个月</w:t>
      </w:r>
      <w:r>
        <w:rPr>
          <w:rFonts w:hint="eastAsia" w:ascii="宋体" w:hAnsi="宋体" w:eastAsia="宋体" w:cs="宋体"/>
          <w:color w:val="auto"/>
          <w:spacing w:val="-1"/>
          <w:sz w:val="24"/>
          <w:szCs w:val="24"/>
          <w:highlight w:val="none"/>
        </w:rPr>
        <w:t>内完成全部验收工作并出具竣工验收报告。</w:t>
      </w:r>
    </w:p>
    <w:p w14:paraId="50118CC2">
      <w:pPr>
        <w:spacing w:before="120" w:after="120" w:line="288" w:lineRule="auto"/>
        <w:ind w:left="0" w:firstLine="470" w:firstLineChars="200"/>
        <w:jc w:val="left"/>
        <w:rPr>
          <w:rFonts w:hint="eastAsia" w:eastAsia="宋体"/>
          <w:b w:val="0"/>
          <w:bCs w:val="0"/>
          <w:color w:val="auto"/>
          <w:highlight w:val="none"/>
          <w:lang w:eastAsia="zh-CN"/>
        </w:rPr>
      </w:pPr>
      <w:r>
        <w:rPr>
          <w:rFonts w:hint="eastAsia" w:ascii="宋体" w:hAnsi="宋体" w:cs="宋体"/>
          <w:b/>
          <w:bCs/>
          <w:color w:val="auto"/>
          <w:spacing w:val="-3"/>
          <w:sz w:val="24"/>
          <w:szCs w:val="24"/>
          <w:highlight w:val="none"/>
          <w:lang w:val="en-US" w:eastAsia="zh-CN"/>
        </w:rPr>
        <w:t>（三）服务</w:t>
      </w:r>
      <w:r>
        <w:rPr>
          <w:rFonts w:hint="eastAsia" w:ascii="宋体" w:hAnsi="宋体" w:eastAsia="宋体" w:cs="宋体"/>
          <w:b/>
          <w:bCs/>
          <w:color w:val="auto"/>
          <w:spacing w:val="-3"/>
          <w:sz w:val="24"/>
          <w:szCs w:val="24"/>
          <w:highlight w:val="none"/>
        </w:rPr>
        <w:t>地点：</w:t>
      </w:r>
      <w:r>
        <w:rPr>
          <w:rFonts w:hint="eastAsia" w:ascii="宋体" w:hAnsi="宋体" w:eastAsia="宋体" w:cs="宋体"/>
          <w:color w:val="auto"/>
          <w:spacing w:val="-1"/>
          <w:sz w:val="24"/>
          <w:szCs w:val="24"/>
          <w:highlight w:val="none"/>
        </w:rPr>
        <w:t>北海市</w:t>
      </w:r>
      <w:r>
        <w:rPr>
          <w:rFonts w:hint="eastAsia" w:ascii="宋体" w:hAnsi="宋体" w:cs="宋体"/>
          <w:color w:val="auto"/>
          <w:spacing w:val="-1"/>
          <w:sz w:val="24"/>
          <w:szCs w:val="24"/>
          <w:highlight w:val="none"/>
          <w:lang w:eastAsia="zh-CN"/>
        </w:rPr>
        <w:t>。</w:t>
      </w:r>
    </w:p>
    <w:p w14:paraId="6722A758">
      <w:pPr>
        <w:spacing w:before="21" w:line="360" w:lineRule="auto"/>
        <w:ind w:firstLine="470" w:firstLineChars="200"/>
        <w:rPr>
          <w:rFonts w:hint="eastAsia" w:ascii="宋体" w:hAnsi="宋体" w:eastAsia="宋体" w:cs="宋体"/>
          <w:b/>
          <w:bCs/>
          <w:color w:val="auto"/>
          <w:spacing w:val="-4"/>
          <w:sz w:val="24"/>
          <w:szCs w:val="24"/>
          <w:highlight w:val="none"/>
        </w:rPr>
      </w:pPr>
      <w:r>
        <w:rPr>
          <w:rFonts w:hint="eastAsia" w:ascii="宋体" w:hAnsi="宋体" w:cs="宋体"/>
          <w:b/>
          <w:bCs/>
          <w:color w:val="auto"/>
          <w:spacing w:val="-3"/>
          <w:sz w:val="24"/>
          <w:szCs w:val="24"/>
          <w:highlight w:val="none"/>
          <w:lang w:eastAsia="zh-CN"/>
        </w:rPr>
        <w:t>（</w:t>
      </w:r>
      <w:r>
        <w:rPr>
          <w:rFonts w:hint="eastAsia" w:ascii="宋体" w:hAnsi="宋体" w:cs="宋体"/>
          <w:b/>
          <w:bCs/>
          <w:color w:val="auto"/>
          <w:spacing w:val="-3"/>
          <w:sz w:val="24"/>
          <w:szCs w:val="24"/>
          <w:highlight w:val="none"/>
          <w:lang w:val="en-US" w:eastAsia="zh-CN"/>
        </w:rPr>
        <w:t>四</w:t>
      </w:r>
      <w:r>
        <w:rPr>
          <w:rFonts w:hint="eastAsia" w:ascii="宋体" w:hAnsi="宋体" w:cs="宋体"/>
          <w:b/>
          <w:bCs/>
          <w:color w:val="auto"/>
          <w:spacing w:val="-3"/>
          <w:sz w:val="24"/>
          <w:szCs w:val="24"/>
          <w:highlight w:val="none"/>
          <w:lang w:eastAsia="zh-CN"/>
        </w:rPr>
        <w:t>）</w:t>
      </w:r>
      <w:r>
        <w:rPr>
          <w:rFonts w:hint="eastAsia" w:ascii="宋体" w:hAnsi="宋体" w:eastAsia="宋体" w:cs="宋体"/>
          <w:b/>
          <w:bCs/>
          <w:color w:val="auto"/>
          <w:spacing w:val="-4"/>
          <w:sz w:val="24"/>
          <w:szCs w:val="24"/>
          <w:highlight w:val="none"/>
          <w:lang w:val="en-US" w:eastAsia="zh-CN"/>
        </w:rPr>
        <w:t>报价</w:t>
      </w:r>
      <w:r>
        <w:rPr>
          <w:rFonts w:hint="eastAsia" w:ascii="宋体" w:hAnsi="宋体" w:eastAsia="宋体" w:cs="宋体"/>
          <w:b/>
          <w:bCs/>
          <w:color w:val="auto"/>
          <w:spacing w:val="-4"/>
          <w:sz w:val="24"/>
          <w:szCs w:val="24"/>
          <w:highlight w:val="none"/>
        </w:rPr>
        <w:t>要求：</w:t>
      </w:r>
    </w:p>
    <w:p w14:paraId="5C672F48">
      <w:pPr>
        <w:pStyle w:val="2"/>
        <w:ind w:firstLine="480" w:firstLineChars="200"/>
        <w:rPr>
          <w:rFonts w:hint="default"/>
          <w:color w:val="auto"/>
          <w:highlight w:val="none"/>
          <w:lang w:val="en-US" w:eastAsia="zh-CN"/>
        </w:rPr>
      </w:pPr>
      <w:r>
        <w:rPr>
          <w:rFonts w:hint="eastAsia"/>
          <w:color w:val="auto"/>
          <w:highlight w:val="none"/>
          <w:lang w:val="en-US" w:eastAsia="zh-CN"/>
        </w:rPr>
        <w:t>本项目为固定总价包干，供应商报价需包含人工、材料、设备、交通、保险、利润、税金、政策性文件规定及合同包含的所有风险、责任等所有相关费用，除最终结算因计费基数调整产生的价款变动外，采购人不再支付其他任何费用。</w:t>
      </w:r>
    </w:p>
    <w:p w14:paraId="16AAF025">
      <w:pPr>
        <w:numPr>
          <w:ilvl w:val="0"/>
          <w:numId w:val="11"/>
        </w:num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付款方式</w:t>
      </w:r>
    </w:p>
    <w:p w14:paraId="3A48EE1C">
      <w:pPr>
        <w:pStyle w:val="2"/>
        <w:ind w:firstLine="480"/>
        <w:rPr>
          <w:rFonts w:hint="eastAsia" w:ascii="宋体" w:hAnsi="Times New Roman" w:eastAsia="宋体" w:cs="Times New Roman"/>
          <w:b w:val="0"/>
          <w:bCs w:val="0"/>
          <w:color w:val="auto"/>
          <w:kern w:val="2"/>
          <w:sz w:val="24"/>
          <w:szCs w:val="21"/>
          <w:highlight w:val="none"/>
          <w:lang w:val="en-US" w:eastAsia="zh-CN" w:bidi="zh-CN"/>
        </w:rPr>
      </w:pPr>
      <w:r>
        <w:rPr>
          <w:rFonts w:hint="eastAsia" w:ascii="宋体" w:hAnsi="Times New Roman" w:eastAsia="宋体"/>
          <w:color w:val="auto"/>
          <w:sz w:val="24"/>
          <w:szCs w:val="21"/>
          <w:highlight w:val="none"/>
          <w:lang w:val="en-US" w:eastAsia="zh-CN"/>
        </w:rPr>
        <w:t>待经费下达</w:t>
      </w:r>
      <w:r>
        <w:rPr>
          <w:rFonts w:hint="eastAsia"/>
          <w:color w:val="auto"/>
          <w:sz w:val="24"/>
          <w:szCs w:val="21"/>
          <w:highlight w:val="none"/>
          <w:lang w:val="en-US" w:eastAsia="zh-CN"/>
        </w:rPr>
        <w:t>采购人</w:t>
      </w:r>
      <w:r>
        <w:rPr>
          <w:rFonts w:hint="eastAsia" w:ascii="宋体" w:hAnsi="Times New Roman" w:eastAsia="宋体"/>
          <w:color w:val="auto"/>
          <w:sz w:val="24"/>
          <w:szCs w:val="21"/>
          <w:highlight w:val="none"/>
          <w:lang w:val="en-US" w:eastAsia="zh-CN"/>
        </w:rPr>
        <w:t>账户后，7个工作日内</w:t>
      </w:r>
      <w:r>
        <w:rPr>
          <w:rFonts w:hint="eastAsia" w:ascii="宋体" w:hAnsi="Times New Roman" w:eastAsia="宋体" w:cs="Times New Roman"/>
          <w:b w:val="0"/>
          <w:bCs w:val="0"/>
          <w:color w:val="auto"/>
          <w:kern w:val="2"/>
          <w:sz w:val="24"/>
          <w:szCs w:val="21"/>
          <w:highlight w:val="none"/>
          <w:lang w:val="en-US" w:eastAsia="zh-CN" w:bidi="zh-CN"/>
        </w:rPr>
        <w:t>预付款以转账方式支付。</w:t>
      </w:r>
      <w:r>
        <w:rPr>
          <w:rFonts w:hint="eastAsia" w:cs="Times New Roman"/>
          <w:b w:val="0"/>
          <w:bCs w:val="0"/>
          <w:color w:val="auto"/>
          <w:kern w:val="2"/>
          <w:sz w:val="24"/>
          <w:szCs w:val="21"/>
          <w:highlight w:val="none"/>
          <w:lang w:val="en-US" w:eastAsia="zh-CN" w:bidi="zh-CN"/>
        </w:rPr>
        <w:t>支付</w:t>
      </w:r>
      <w:r>
        <w:rPr>
          <w:rFonts w:hint="eastAsia" w:ascii="宋体" w:hAnsi="Times New Roman" w:eastAsia="宋体" w:cs="Times New Roman"/>
          <w:b w:val="0"/>
          <w:bCs w:val="0"/>
          <w:color w:val="auto"/>
          <w:kern w:val="2"/>
          <w:sz w:val="24"/>
          <w:szCs w:val="21"/>
          <w:highlight w:val="none"/>
          <w:lang w:val="en-US" w:eastAsia="zh-CN" w:bidi="zh-CN"/>
        </w:rPr>
        <w:t>合同价款的</w:t>
      </w:r>
      <w:r>
        <w:rPr>
          <w:rFonts w:hint="eastAsia" w:hAnsi="Times New Roman" w:cs="Times New Roman"/>
          <w:b w:val="0"/>
          <w:bCs w:val="0"/>
          <w:color w:val="auto"/>
          <w:kern w:val="2"/>
          <w:sz w:val="24"/>
          <w:szCs w:val="21"/>
          <w:highlight w:val="none"/>
          <w:lang w:val="en-US" w:eastAsia="zh-CN" w:bidi="zh-CN"/>
        </w:rPr>
        <w:t>30</w:t>
      </w:r>
      <w:r>
        <w:rPr>
          <w:rFonts w:hint="eastAsia" w:ascii="宋体" w:hAnsi="Times New Roman" w:eastAsia="宋体" w:cs="Times New Roman"/>
          <w:b w:val="0"/>
          <w:bCs w:val="0"/>
          <w:color w:val="auto"/>
          <w:kern w:val="2"/>
          <w:sz w:val="24"/>
          <w:szCs w:val="21"/>
          <w:highlight w:val="none"/>
          <w:lang w:val="en-US" w:eastAsia="zh-CN" w:bidi="zh-CN"/>
        </w:rPr>
        <w:t>%作为预付款，</w:t>
      </w:r>
      <w:r>
        <w:rPr>
          <w:rFonts w:hint="eastAsia" w:hAnsi="Times New Roman" w:cs="Times New Roman"/>
          <w:b w:val="0"/>
          <w:bCs w:val="0"/>
          <w:color w:val="auto"/>
          <w:kern w:val="2"/>
          <w:sz w:val="24"/>
          <w:szCs w:val="21"/>
          <w:highlight w:val="none"/>
          <w:lang w:val="en-US" w:eastAsia="zh-CN" w:bidi="zh-CN"/>
        </w:rPr>
        <w:t>完成2025年高标准农田建设项目竣工验收抽检工作出具抽检报告后</w:t>
      </w:r>
      <w:r>
        <w:rPr>
          <w:rFonts w:hint="eastAsia" w:cs="Times New Roman"/>
          <w:b w:val="0"/>
          <w:bCs w:val="0"/>
          <w:color w:val="auto"/>
          <w:kern w:val="2"/>
          <w:sz w:val="24"/>
          <w:szCs w:val="21"/>
          <w:highlight w:val="none"/>
          <w:lang w:val="en-US" w:eastAsia="zh-CN" w:bidi="zh-CN"/>
        </w:rPr>
        <w:t>支付</w:t>
      </w:r>
      <w:r>
        <w:rPr>
          <w:rFonts w:hint="eastAsia" w:ascii="宋体" w:hAnsi="Times New Roman" w:eastAsia="宋体" w:cs="Times New Roman"/>
          <w:b w:val="0"/>
          <w:bCs w:val="0"/>
          <w:color w:val="auto"/>
          <w:kern w:val="2"/>
          <w:sz w:val="24"/>
          <w:szCs w:val="21"/>
          <w:highlight w:val="none"/>
          <w:lang w:val="en-US" w:eastAsia="zh-CN" w:bidi="zh-CN"/>
        </w:rPr>
        <w:t>合同价款的</w:t>
      </w:r>
      <w:r>
        <w:rPr>
          <w:rFonts w:hint="eastAsia" w:hAnsi="Times New Roman" w:cs="Times New Roman"/>
          <w:b w:val="0"/>
          <w:bCs w:val="0"/>
          <w:color w:val="auto"/>
          <w:kern w:val="2"/>
          <w:sz w:val="24"/>
          <w:szCs w:val="21"/>
          <w:highlight w:val="none"/>
          <w:lang w:val="en-US" w:eastAsia="zh-CN" w:bidi="zh-CN"/>
        </w:rPr>
        <w:t>20%作为进度款，按</w:t>
      </w:r>
      <w:r>
        <w:rPr>
          <w:rFonts w:hint="eastAsia"/>
          <w:color w:val="auto"/>
          <w:sz w:val="24"/>
          <w:szCs w:val="21"/>
          <w:highlight w:val="none"/>
          <w:lang w:val="en-US" w:eastAsia="zh-CN"/>
        </w:rPr>
        <w:t>采购人</w:t>
      </w:r>
      <w:r>
        <w:rPr>
          <w:rFonts w:hint="eastAsia" w:hAnsi="Times New Roman" w:cs="Times New Roman"/>
          <w:b w:val="0"/>
          <w:bCs w:val="0"/>
          <w:color w:val="auto"/>
          <w:kern w:val="2"/>
          <w:sz w:val="24"/>
          <w:szCs w:val="21"/>
          <w:highlight w:val="none"/>
          <w:lang w:val="en-US" w:eastAsia="zh-CN" w:bidi="zh-CN"/>
        </w:rPr>
        <w:t>要求完成资料归档后</w:t>
      </w:r>
      <w:r>
        <w:rPr>
          <w:rFonts w:hint="eastAsia" w:cs="Times New Roman"/>
          <w:b w:val="0"/>
          <w:bCs w:val="0"/>
          <w:color w:val="auto"/>
          <w:kern w:val="2"/>
          <w:sz w:val="24"/>
          <w:szCs w:val="21"/>
          <w:highlight w:val="none"/>
          <w:lang w:val="en-US" w:eastAsia="zh-CN" w:bidi="zh-CN"/>
        </w:rPr>
        <w:t>支付剩余合同价款</w:t>
      </w:r>
      <w:r>
        <w:rPr>
          <w:rFonts w:hint="eastAsia" w:hAnsi="Times New Roman" w:cs="Times New Roman"/>
          <w:b w:val="0"/>
          <w:bCs w:val="0"/>
          <w:color w:val="auto"/>
          <w:kern w:val="2"/>
          <w:sz w:val="24"/>
          <w:szCs w:val="21"/>
          <w:highlight w:val="none"/>
          <w:lang w:val="en-US" w:eastAsia="zh-CN" w:bidi="zh-CN"/>
        </w:rPr>
        <w:t>。</w:t>
      </w:r>
    </w:p>
    <w:p w14:paraId="684E02E0">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（六）验收标准</w:t>
      </w:r>
    </w:p>
    <w:p w14:paraId="0C38F311">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1.验收主体：由采购人组织验收小组开展验收，必要时邀请行业专家参与。</w:t>
      </w:r>
    </w:p>
    <w:p w14:paraId="7CE52CB2">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2.验收依据：采购文件、响应文件、政府采购合同、国家及行业现行标准规范。</w:t>
      </w:r>
    </w:p>
    <w:p w14:paraId="5080D90F">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3.验收流程</w:t>
      </w:r>
    </w:p>
    <w:p w14:paraId="6AD5364B">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（1）供应商完成批次/年度工作后，向采购人提交验收申请及全套成果资料；</w:t>
      </w:r>
    </w:p>
    <w:p w14:paraId="35D9F28C">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（2）采购人 10 个工作日内组织验收，对照成果清单逐一核验，核查成果完整性、数据准确性、流程合规性；</w:t>
      </w:r>
    </w:p>
    <w:p w14:paraId="1AAD6F26">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（3）验收不合格的，供应商须在 15 个工作日内完成整改并重新申请验收；累计 2 次整改仍不合格的，采购人有权单方解除合同，并追究供应商违约责任。</w:t>
      </w:r>
    </w:p>
    <w:p w14:paraId="0C828C81">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4.验收结论：验收合格的出具验收意见书，作为款项支付依据。</w:t>
      </w:r>
    </w:p>
    <w:p w14:paraId="39876D05">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（七）履约管理</w:t>
      </w:r>
    </w:p>
    <w:p w14:paraId="68E43A54">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1.供应商须严格按照合同约定时限交付成果，逾期交付的，每逾期 1 日按当期应付金额的0.05%支付违约金；逾期超过15日的，采购人有权解除合同。</w:t>
      </w:r>
    </w:p>
    <w:p w14:paraId="0F61787C">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2.服务期内供应商须无条件配合采购人开展项目调度、质量核查、绩效评价、审计督查、耕地占补平衡考核等工作，按需报送台账、总结、整改报告及佐证材料。</w:t>
      </w:r>
    </w:p>
    <w:p w14:paraId="0B3019AE">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（八）保密要求</w:t>
      </w:r>
    </w:p>
    <w:p w14:paraId="3EA30F4B">
      <w:pPr>
        <w:spacing w:line="360" w:lineRule="auto"/>
        <w:ind w:firstLine="480" w:firstLineChars="200"/>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供应商对本项目所有项目资料、现场数据、内部台账负有永久保密义务；未经采购人书面授权，不得向任何第三方泄露、传播、使用项目相关资料；服务结束后须完整移交所有涉密资料，不得私自留存或用于其他项目。</w:t>
      </w:r>
    </w:p>
    <w:p w14:paraId="74AE3CE3">
      <w:pPr>
        <w:numPr>
          <w:ilvl w:val="0"/>
          <w:numId w:val="0"/>
        </w:num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（九）廉洁与合规要求</w:t>
      </w:r>
    </w:p>
    <w:p w14:paraId="724ACD9C">
      <w:pPr>
        <w:spacing w:line="360" w:lineRule="auto"/>
        <w:ind w:firstLine="480"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1.供应商及参与本项目的相关人员应当严格遵守廉洁自律相关规定，不得向采购单位及相关工作人员行贿、提供回扣或者给予其他不正当利益，不得与其他供应商相互串通投标、围标，不得通过不正当手段谋取中标成交。</w:t>
      </w:r>
    </w:p>
    <w:p w14:paraId="45B2127B">
      <w:pPr>
        <w:spacing w:line="360" w:lineRule="auto"/>
        <w:ind w:firstLine="480"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2.供应商不得将本项目分包、转包给第三方，一经发现，采购人有权立即终止合同，并要求供应商承担由此造成的全部损失。</w:t>
      </w:r>
    </w:p>
    <w:p w14:paraId="0F375BD1">
      <w:pPr>
        <w:spacing w:line="360" w:lineRule="auto"/>
        <w:ind w:firstLine="480"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3.供应商应当严格遵守政府采购相关法律法规及本项目采购要求，自觉接受监督检查，若存在违法违规行为，须承担相应的法律责任和合同违约责任。</w:t>
      </w:r>
    </w:p>
    <w:p w14:paraId="5F3F8C93">
      <w:pPr>
        <w:spacing w:before="29" w:line="360" w:lineRule="auto"/>
        <w:ind w:firstLine="470" w:firstLineChars="200"/>
        <w:rPr>
          <w:rFonts w:hint="default" w:ascii="宋体" w:hAnsi="宋体" w:cs="宋体"/>
          <w:b/>
          <w:bCs/>
          <w:color w:val="auto"/>
          <w:spacing w:val="-3"/>
          <w:sz w:val="24"/>
          <w:szCs w:val="24"/>
          <w:highlight w:val="none"/>
          <w:lang w:val="en-US" w:eastAsia="zh-CN"/>
        </w:rPr>
      </w:pPr>
      <w:r>
        <w:rPr>
          <w:rFonts w:hint="eastAsia" w:ascii="宋体" w:hAnsi="宋体" w:cs="宋体"/>
          <w:b/>
          <w:bCs/>
          <w:color w:val="auto"/>
          <w:spacing w:val="-3"/>
          <w:sz w:val="24"/>
          <w:szCs w:val="24"/>
          <w:highlight w:val="none"/>
          <w:lang w:val="en-US" w:eastAsia="zh-CN"/>
        </w:rPr>
        <w:t>九、其他要求</w:t>
      </w:r>
    </w:p>
    <w:p w14:paraId="327CF41B">
      <w:pPr>
        <w:spacing w:line="360" w:lineRule="auto"/>
        <w:ind w:firstLine="480" w:firstLineChars="200"/>
        <w:rPr>
          <w:rFonts w:hint="eastAsia"/>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不得</w:t>
      </w:r>
      <w:r>
        <w:rPr>
          <w:rFonts w:hint="eastAsia" w:ascii="宋体" w:hAnsi="宋体" w:eastAsia="宋体" w:cs="宋体"/>
          <w:color w:val="auto"/>
          <w:sz w:val="24"/>
          <w:szCs w:val="24"/>
          <w:highlight w:val="none"/>
          <w:lang w:val="en-US" w:eastAsia="zh-CN"/>
        </w:rPr>
        <w:t>为</w:t>
      </w:r>
      <w:r>
        <w:rPr>
          <w:rFonts w:hint="eastAsia" w:ascii="宋体" w:hAnsi="宋体" w:cs="宋体"/>
          <w:color w:val="auto"/>
          <w:sz w:val="24"/>
          <w:szCs w:val="24"/>
          <w:highlight w:val="none"/>
          <w:lang w:val="en-US" w:eastAsia="zh-CN"/>
        </w:rPr>
        <w:t>所</w:t>
      </w:r>
      <w:r>
        <w:rPr>
          <w:rFonts w:ascii="宋体" w:hAnsi="宋体" w:eastAsia="宋体" w:cs="宋体"/>
          <w:color w:val="auto"/>
          <w:sz w:val="24"/>
          <w:szCs w:val="24"/>
          <w:highlight w:val="none"/>
        </w:rPr>
        <w:t>参与</w:t>
      </w:r>
      <w:r>
        <w:rPr>
          <w:rFonts w:hint="eastAsia" w:ascii="宋体" w:hAnsi="宋体" w:cs="宋体"/>
          <w:color w:val="auto"/>
          <w:sz w:val="24"/>
          <w:szCs w:val="24"/>
          <w:highlight w:val="none"/>
          <w:lang w:val="en-US" w:eastAsia="zh-CN"/>
        </w:rPr>
        <w:t>标项</w:t>
      </w:r>
      <w:r>
        <w:rPr>
          <w:rFonts w:ascii="宋体" w:hAnsi="宋体" w:eastAsia="宋体" w:cs="宋体"/>
          <w:color w:val="auto"/>
          <w:sz w:val="24"/>
          <w:szCs w:val="24"/>
          <w:highlight w:val="none"/>
        </w:rPr>
        <w:t>本年度</w:t>
      </w:r>
      <w:r>
        <w:rPr>
          <w:rFonts w:hint="eastAsia" w:ascii="宋体" w:hAnsi="宋体" w:cs="宋体"/>
          <w:color w:val="auto"/>
          <w:sz w:val="24"/>
          <w:szCs w:val="24"/>
          <w:highlight w:val="none"/>
          <w:lang w:val="en-US" w:eastAsia="zh-CN"/>
        </w:rPr>
        <w:t>的</w:t>
      </w:r>
      <w:r>
        <w:rPr>
          <w:rFonts w:ascii="宋体" w:hAnsi="宋体" w:eastAsia="宋体" w:cs="宋体"/>
          <w:color w:val="auto"/>
          <w:sz w:val="24"/>
          <w:szCs w:val="24"/>
          <w:highlight w:val="none"/>
        </w:rPr>
        <w:t>北海高标准农田</w:t>
      </w:r>
      <w:r>
        <w:rPr>
          <w:rFonts w:hint="eastAsia" w:ascii="宋体" w:hAnsi="宋体" w:cs="宋体"/>
          <w:color w:val="auto"/>
          <w:sz w:val="24"/>
          <w:szCs w:val="24"/>
          <w:highlight w:val="none"/>
          <w:lang w:val="en-US" w:eastAsia="zh-CN"/>
        </w:rPr>
        <w:t>项目</w:t>
      </w:r>
      <w:r>
        <w:rPr>
          <w:rFonts w:ascii="宋体" w:hAnsi="宋体" w:eastAsia="宋体" w:cs="宋体"/>
          <w:color w:val="auto"/>
          <w:sz w:val="24"/>
          <w:szCs w:val="24"/>
          <w:highlight w:val="none"/>
        </w:rPr>
        <w:t>设计、施工、监理、县级初验等前期建设工作</w:t>
      </w:r>
      <w:r>
        <w:rPr>
          <w:rFonts w:hint="eastAsia" w:ascii="宋体" w:hAnsi="宋体" w:eastAsia="宋体" w:cs="宋体"/>
          <w:color w:val="auto"/>
          <w:sz w:val="24"/>
          <w:szCs w:val="24"/>
          <w:highlight w:val="none"/>
          <w:lang w:val="en-US" w:eastAsia="zh-CN"/>
        </w:rPr>
        <w:t>的服务单位</w:t>
      </w:r>
      <w:r>
        <w:rPr>
          <w:rFonts w:hint="eastAsia" w:ascii="宋体" w:hAnsi="宋体" w:cs="宋体"/>
          <w:color w:val="auto"/>
          <w:sz w:val="24"/>
          <w:szCs w:val="24"/>
          <w:highlight w:val="none"/>
          <w:lang w:val="en-US" w:eastAsia="zh-CN"/>
        </w:rPr>
        <w:t>，</w:t>
      </w:r>
      <w:r>
        <w:rPr>
          <w:rFonts w:hint="eastAsia" w:ascii="宋体" w:hAnsi="宋体" w:cs="宋体"/>
          <w:b w:val="0"/>
          <w:bCs/>
          <w:color w:val="auto"/>
          <w:kern w:val="0"/>
          <w:sz w:val="24"/>
          <w:szCs w:val="24"/>
          <w:highlight w:val="none"/>
          <w:lang w:val="en-US" w:eastAsia="zh-CN" w:bidi="ar"/>
        </w:rPr>
        <w:t>若供应商存在上述情形仍参与本次磋商，其响应文件将按无效处理</w:t>
      </w:r>
      <w:r>
        <w:rPr>
          <w:rFonts w:hint="eastAsia"/>
          <w:b w:val="0"/>
          <w:bCs w:val="0"/>
          <w:color w:val="auto"/>
          <w:sz w:val="24"/>
          <w:szCs w:val="24"/>
          <w:highlight w:val="none"/>
          <w:lang w:val="en-US" w:eastAsia="zh-CN"/>
        </w:rPr>
        <w:t>，供应商需在响应文件中提供不存在上述情形的书面承诺函。</w:t>
      </w:r>
    </w:p>
    <w:p w14:paraId="042E755D">
      <w:pPr>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br w:type="page"/>
      </w:r>
    </w:p>
    <w:p w14:paraId="78373CB9">
      <w:pPr>
        <w:adjustRightInd/>
        <w:spacing w:line="360" w:lineRule="auto"/>
        <w:jc w:val="center"/>
        <w:outlineLvl w:val="0"/>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 xml:space="preserve">第五部分  </w:t>
      </w:r>
      <w:bookmarkEnd w:id="28"/>
      <w:bookmarkEnd w:id="29"/>
      <w:bookmarkStart w:id="33" w:name="第四部分"/>
      <w:r>
        <w:rPr>
          <w:rFonts w:hint="eastAsia" w:cs="仿宋_GB2312" w:asciiTheme="minorEastAsia" w:hAnsiTheme="minorEastAsia" w:eastAsiaTheme="minorEastAsia"/>
          <w:b/>
          <w:color w:val="auto"/>
          <w:sz w:val="36"/>
          <w:szCs w:val="36"/>
          <w:highlight w:val="none"/>
        </w:rPr>
        <w:t>评审方法及评审标准</w:t>
      </w:r>
      <w:bookmarkEnd w:id="32"/>
    </w:p>
    <w:p w14:paraId="42A5C42F">
      <w:pPr>
        <w:keepNext w:val="0"/>
        <w:keepLines w:val="0"/>
        <w:pageBreakBefore w:val="0"/>
        <w:kinsoku/>
        <w:wordWrap/>
        <w:overflowPunct/>
        <w:topLinePunct w:val="0"/>
        <w:autoSpaceDE/>
        <w:autoSpaceDN/>
        <w:bidi w:val="0"/>
        <w:adjustRightInd w:val="0"/>
        <w:spacing w:line="360" w:lineRule="auto"/>
        <w:jc w:val="center"/>
        <w:textAlignment w:val="auto"/>
        <w:rPr>
          <w:rFonts w:hint="eastAsia" w:ascii="宋体" w:hAnsi="宋体" w:eastAsia="宋体" w:cs="宋体"/>
          <w:b/>
          <w:color w:val="auto"/>
          <w:sz w:val="32"/>
          <w:szCs w:val="32"/>
          <w:highlight w:val="none"/>
        </w:rPr>
      </w:pPr>
    </w:p>
    <w:p w14:paraId="0ED31104">
      <w:pPr>
        <w:keepNext w:val="0"/>
        <w:keepLines w:val="0"/>
        <w:pageBreakBefore w:val="0"/>
        <w:kinsoku/>
        <w:wordWrap/>
        <w:overflowPunct/>
        <w:topLinePunct w:val="0"/>
        <w:autoSpaceDE/>
        <w:autoSpaceDN/>
        <w:bidi w:val="0"/>
        <w:adjustRightInd w:val="0"/>
        <w:spacing w:line="36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一、评审程序和评审方法</w:t>
      </w:r>
    </w:p>
    <w:p w14:paraId="6272C6DA">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1.资格审查</w:t>
      </w:r>
    </w:p>
    <w:p w14:paraId="4381C8F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1.1响应文件开启后，磋商小组依法对供应商的资格证明文件进行审查。</w:t>
      </w:r>
    </w:p>
    <w:p w14:paraId="098391D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注：磋商小组在资格审查结束前，对供应商进行信用查询。</w:t>
      </w:r>
    </w:p>
    <w:p w14:paraId="60F8426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（1）查询渠道：“信用中国”网站（www.creditchina.gov.cn）、中国政府采购网（www.ccgp.gov.cn）。</w:t>
      </w:r>
    </w:p>
    <w:p w14:paraId="1D7F334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（2）信用查询截止时点：资格审查结束前。</w:t>
      </w:r>
    </w:p>
    <w:p w14:paraId="0B7EA8F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（3）查询记录和证据留存方式：在查询网站中直接查询，截图另存为电子文档作为评审资料保存。</w:t>
      </w:r>
    </w:p>
    <w:p w14:paraId="30D3507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3C46A52C">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1.2资格审查标准为本磋商文件中载明对供应商资格要求的条件。资格审查采用合格制，凡符合磋商文件规定的供应商资格要求的响应文件均通过资格审查。</w:t>
      </w:r>
    </w:p>
    <w:p w14:paraId="090498AA">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1.3供应商有下列情形之一的，资格审查不通过，其响应文件按无效响应处理：</w:t>
      </w:r>
    </w:p>
    <w:p w14:paraId="697DF68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（1）不具备磋商文件中规定的资格要求的；</w:t>
      </w:r>
    </w:p>
    <w:p w14:paraId="5A1C9B0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（2）未按磋商文件规定的方式获取本磋商文件的供应商；</w:t>
      </w:r>
    </w:p>
    <w:p w14:paraId="0162095C">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（3）响应文件的资格证明文件缺少任一项“供应商须知前附表”资格证明文件规定的“必须提供”的文件资料的；</w:t>
      </w:r>
    </w:p>
    <w:p w14:paraId="41674D7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（4）响应文件中的资格证明文件出现任一项不符合“供应商须知前附表”资格证明文件规定的“必须提供”的文件资料要求或者无效的；</w:t>
      </w:r>
    </w:p>
    <w:p w14:paraId="67610A6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（5）同一合同项下的不同供应商，单位负责人为同一人或者存在直接控股、管理关系的；为本项目提供过整体设计、规范编制或者项目管理、监理、检测等服务的供应商，再参加该采购项目的其他采购活动的。</w:t>
      </w:r>
    </w:p>
    <w:p w14:paraId="480BAF2D">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1.4通过资格审查的合格供应商不足3家的，不得进入符合性审查环节，采购人或者采购代理机构应当重新开展采购活动。</w:t>
      </w:r>
    </w:p>
    <w:p w14:paraId="37AB939F">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2.符合性审查</w:t>
      </w:r>
    </w:p>
    <w:p w14:paraId="4A8F7529">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2.1由磋商小组对通过资格审查的合格供应商的响应文件的竞标报价、商务、技术等实质性要求进行符合性审查，以确定其是否满足磋商文件的实质性要求。</w:t>
      </w:r>
    </w:p>
    <w:p w14:paraId="70293EEC">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7830619">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签章。</w:t>
      </w:r>
    </w:p>
    <w:p w14:paraId="6A58D468">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63D4258B">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 xml:space="preserve">2.4首次响应文件报价出现前后不一致的，按照下列规定修正： </w:t>
      </w:r>
    </w:p>
    <w:p w14:paraId="4B62DD3D">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（1）响应文件中报价表内容与响应文件中相应内容不一致的，以报价表为准；</w:t>
      </w:r>
    </w:p>
    <w:p w14:paraId="0B31D5A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（2）大写金额和小写金额不一致的，以大写金额为准；</w:t>
      </w:r>
    </w:p>
    <w:p w14:paraId="6E598704">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（3）单价金额小数点或者百分比有明显错位的，以报价表的总价为准，并修改单价；</w:t>
      </w:r>
    </w:p>
    <w:p w14:paraId="7C8548D2">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（4）总价金额与按单价汇总金额不一致的，以单价金额计算结果为准。</w:t>
      </w:r>
    </w:p>
    <w:p w14:paraId="4D54FD3F">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同时出现两种以上不一致的，按照以上（1）-（4）规定的顺序逐条进行修正。修正后的报价经供应商确认后产生约束力，供应商不确认的，其响应文件按无效响应处理。</w:t>
      </w:r>
    </w:p>
    <w:p w14:paraId="4C8B875C">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rPr>
        <w:t>2.5</w:t>
      </w:r>
      <w:r>
        <w:rPr>
          <w:rFonts w:hint="eastAsia" w:ascii="宋体" w:hAnsi="宋体" w:eastAsia="宋体" w:cs="宋体"/>
          <w:b/>
          <w:bCs/>
          <w:color w:val="auto"/>
          <w:kern w:val="0"/>
          <w:sz w:val="24"/>
          <w:szCs w:val="24"/>
          <w:highlight w:val="none"/>
          <w:lang w:val="en-US" w:eastAsia="zh-CN"/>
        </w:rPr>
        <w:t>响应无效</w:t>
      </w:r>
    </w:p>
    <w:p w14:paraId="0440E6FA">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在评审时，如发现下列情形之一的，将被视为响应文件无效处理：</w:t>
      </w:r>
    </w:p>
    <w:p w14:paraId="5D0F7B3D">
      <w:pPr>
        <w:spacing w:line="360" w:lineRule="auto"/>
        <w:ind w:firstLine="480" w:firstLineChars="200"/>
        <w:rPr>
          <w:rFonts w:cs="仿宋_GB2312" w:asciiTheme="minorEastAsia" w:hAnsiTheme="minorEastAsia" w:eastAsiaTheme="minorEastAsia"/>
          <w:color w:val="auto"/>
          <w:sz w:val="24"/>
          <w:szCs w:val="21"/>
          <w:highlight w:val="none"/>
        </w:rPr>
      </w:pPr>
      <w:r>
        <w:rPr>
          <w:rFonts w:hint="eastAsia" w:cs="仿宋_GB2312" w:asciiTheme="minorEastAsia" w:hAnsiTheme="minorEastAsia" w:eastAsiaTheme="minorEastAsia"/>
          <w:color w:val="auto"/>
          <w:sz w:val="24"/>
          <w:szCs w:val="21"/>
          <w:highlight w:val="none"/>
          <w:lang w:val="en-US" w:eastAsia="zh-CN"/>
        </w:rPr>
        <w:t>2.5.1</w:t>
      </w:r>
      <w:r>
        <w:rPr>
          <w:rFonts w:hint="eastAsia" w:cs="仿宋_GB2312" w:asciiTheme="minorEastAsia" w:hAnsiTheme="minorEastAsia" w:eastAsiaTheme="minorEastAsia"/>
          <w:color w:val="auto"/>
          <w:sz w:val="24"/>
          <w:szCs w:val="21"/>
          <w:highlight w:val="none"/>
        </w:rPr>
        <w:t>单位负责人为同一人或者存在直接控股、管理关系的不同供应商参加同一合同项下的政府采购活动的（均无效）；</w:t>
      </w:r>
    </w:p>
    <w:p w14:paraId="07C23A2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2.5.2</w:t>
      </w:r>
      <w:r>
        <w:rPr>
          <w:rFonts w:hint="eastAsia" w:asciiTheme="minorEastAsia" w:hAnsiTheme="minorEastAsia" w:eastAsiaTheme="minorEastAsia"/>
          <w:color w:val="auto"/>
          <w:sz w:val="24"/>
          <w:highlight w:val="none"/>
        </w:rPr>
        <w:t xml:space="preserve">为采购项目提供整体设计、规范编制或者项目管理、监理、检测等服务的供应商再参加该采购项目的其他采购活动的； </w:t>
      </w:r>
    </w:p>
    <w:p w14:paraId="5EC28E98">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2.5.3</w:t>
      </w:r>
      <w:r>
        <w:rPr>
          <w:rFonts w:hint="eastAsia" w:asciiTheme="minorEastAsia" w:hAnsiTheme="minorEastAsia" w:eastAsiaTheme="minorEastAsia"/>
          <w:color w:val="auto"/>
          <w:sz w:val="24"/>
          <w:highlight w:val="none"/>
        </w:rPr>
        <w:t>供应商不具备磋商文件中规定的资格要求的（供应商未提供有效的资格证明文件的，视为供应商不具备磋商文件中规定的资格要求）；</w:t>
      </w:r>
    </w:p>
    <w:p w14:paraId="6309B60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2.5.4</w:t>
      </w:r>
      <w:r>
        <w:rPr>
          <w:rFonts w:hint="eastAsia" w:asciiTheme="minorEastAsia" w:hAnsiTheme="minorEastAsia" w:eastAsiaTheme="minorEastAsia"/>
          <w:color w:val="auto"/>
          <w:sz w:val="24"/>
          <w:highlight w:val="none"/>
        </w:rPr>
        <w:t>如以联合体形式参加政府采购活动的，联合协议不符合磋商文件规定的联合协议要求的；</w:t>
      </w:r>
    </w:p>
    <w:p w14:paraId="5A04AE7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.5响应文件未按磋商文件的澄清、修改的内容编制，又不符合实质性要求的；</w:t>
      </w:r>
    </w:p>
    <w:p w14:paraId="08123BF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.6响应文件组成漏项，内容不全或内容字迹模糊辨认不清的；</w:t>
      </w:r>
    </w:p>
    <w:p w14:paraId="110675E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.7响应文件中法人授权书所载内容与本项目内容有异的；</w:t>
      </w:r>
    </w:p>
    <w:p w14:paraId="5E4B8FC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.8响应文件未按照磋商文件要求签署、盖章的；</w:t>
      </w:r>
    </w:p>
    <w:p w14:paraId="4C4B7B6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.9</w:t>
      </w:r>
      <w:r>
        <w:rPr>
          <w:rFonts w:hint="eastAsia" w:ascii="宋体" w:hAnsi="宋体" w:cs="宋体"/>
          <w:color w:val="auto"/>
          <w:kern w:val="0"/>
          <w:sz w:val="24"/>
          <w:highlight w:val="none"/>
        </w:rPr>
        <w:t>采购人拟采购的产品属于政府强制采购的节能产品品目清单范围的，供应商相应的响应产品未获得国家确定的认证机构出具的、处于有效期之内的节能产品认证证书的；</w:t>
      </w:r>
    </w:p>
    <w:p w14:paraId="18A53A4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.10响应文件含有采购人不能接受的附加条件的；</w:t>
      </w:r>
    </w:p>
    <w:p w14:paraId="6D9C895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.11响应文件中承诺的响应有效期少于磋商文件中载明的响应有效期的；</w:t>
      </w:r>
    </w:p>
    <w:p w14:paraId="6FB5F9A1">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.12供应商所投内容不符合磋商文件中实质性要求的；</w:t>
      </w:r>
    </w:p>
    <w:p w14:paraId="35D8FCB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.13所提交的《最后报价一览表》中出现不是唯一的、有选择性的报价的;</w:t>
      </w:r>
    </w:p>
    <w:p w14:paraId="4EC2CEF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.14最后报价高于本项目采购预算或者最高限价的;</w:t>
      </w:r>
    </w:p>
    <w:p w14:paraId="4C40110B">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.15《最后报价一览表》填写不完整或字迹不能辨认或有漏项的；</w:t>
      </w:r>
    </w:p>
    <w:p w14:paraId="487B6B1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.16供应商对根据修正原则修正后的最后报价不确认的；</w:t>
      </w:r>
    </w:p>
    <w:p w14:paraId="379634E8">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.17供应商提供虚假材料响应的（包括但不限于以下情节）；</w:t>
      </w:r>
    </w:p>
    <w:p w14:paraId="1AC2D97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使用伪造、变造的许可证件；</w:t>
      </w:r>
    </w:p>
    <w:p w14:paraId="36263D7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提供虚假的财务状况或者业绩；</w:t>
      </w:r>
    </w:p>
    <w:p w14:paraId="4C2FDBD8">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提供虚假的项目负责人或者主要技术人员简历、劳动关系证明；</w:t>
      </w:r>
    </w:p>
    <w:p w14:paraId="1BF1BD0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提供虚假的信用状况；</w:t>
      </w:r>
    </w:p>
    <w:p w14:paraId="00A7D0B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其他弄虚作假的行为。</w:t>
      </w:r>
    </w:p>
    <w:p w14:paraId="063CEB9D">
      <w:pPr>
        <w:spacing w:line="360" w:lineRule="auto"/>
        <w:ind w:firstLine="48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.18供应商有恶意串通、妨碍其他供应商的竞争行为、损害采购人或者其他供应商的合法权益情形的。有下列情形之一的，属于或视为恶意串通，其响应无效：</w:t>
      </w:r>
    </w:p>
    <w:p w14:paraId="3844447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供应商直接或者间接从采购人或者采购代理机构处获得其他供应商的相关情况并修改其响应文件；</w:t>
      </w:r>
    </w:p>
    <w:p w14:paraId="3F81914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供应商按照采购人或者采购代理机构的授意撤换、修改投标文件或者响应文件；</w:t>
      </w:r>
    </w:p>
    <w:p w14:paraId="55B0158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供应商之间协商报价、技术方案等投标文件或者响应文件的实质性内容；</w:t>
      </w:r>
    </w:p>
    <w:p w14:paraId="6F02B34C">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属于同一集团、协会、商会等组织成员的供应商按照该组织要求协同参加政府采购活动；</w:t>
      </w:r>
    </w:p>
    <w:p w14:paraId="7A76DE6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供应商之间事先约定由某一特定供应商中标、成交；</w:t>
      </w:r>
    </w:p>
    <w:p w14:paraId="651DE1EC">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供应商之间商定部分供应商放弃参加政府采购活动或者放弃中标、成交；</w:t>
      </w:r>
    </w:p>
    <w:p w14:paraId="0AAAF88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供应商与采购人或者采购代理机构之间、供应商相互之间，为谋求特定供应商中标、成交或者排斥其他供应商的其他串通行为。</w:t>
      </w:r>
    </w:p>
    <w:p w14:paraId="4A6D7FBF">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不同供应商的响应文件由同一单位或者个人编制；</w:t>
      </w:r>
    </w:p>
    <w:p w14:paraId="69D804B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不同供应商委托同一单位或者个人办理响应事宜；</w:t>
      </w:r>
    </w:p>
    <w:p w14:paraId="068996E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10）</w:t>
      </w:r>
      <w:r>
        <w:rPr>
          <w:rFonts w:hint="eastAsia" w:asciiTheme="minorEastAsia" w:hAnsiTheme="minorEastAsia" w:eastAsiaTheme="minorEastAsia"/>
          <w:color w:val="auto"/>
          <w:sz w:val="24"/>
          <w:highlight w:val="none"/>
        </w:rPr>
        <w:t>不同供应商的响应文件载明的项目管理成员或者联系人员为同一人；</w:t>
      </w:r>
    </w:p>
    <w:p w14:paraId="4A49F7A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11）</w:t>
      </w:r>
      <w:r>
        <w:rPr>
          <w:rFonts w:hint="eastAsia" w:asciiTheme="minorEastAsia" w:hAnsiTheme="minorEastAsia" w:eastAsiaTheme="minorEastAsia"/>
          <w:color w:val="auto"/>
          <w:sz w:val="24"/>
          <w:highlight w:val="none"/>
        </w:rPr>
        <w:t>不同供应商的响应文件异常一致或者最后报价呈规律性差异。</w:t>
      </w:r>
    </w:p>
    <w:p w14:paraId="5262594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.19供应商仅提交备份响应文件，没有在电子交易平台传输提交响应文件的，响应无效；</w:t>
      </w:r>
    </w:p>
    <w:p w14:paraId="30C9798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.20法律、法规、规章及省级以上规范性文件规定的其他无效情形。</w:t>
      </w:r>
    </w:p>
    <w:p w14:paraId="5FD2CC93">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3.磋商程序</w:t>
      </w:r>
    </w:p>
    <w:p w14:paraId="49206DA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磋商小组集中与单一供应商分别进行磋商，并给予所有参加磋商的供应商平等的磋商机会。符合磋商资格的供应商必须在接到磋商通知后在规定时间内在广西政府采购云平台上参加磋商，未在规定时间内参加磋商的视同放弃参加磋商权利，其响应文件按无效响应处理。</w:t>
      </w:r>
    </w:p>
    <w:p w14:paraId="20F2255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0BCC608">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3.3对磋商文件作出的实质性变动是磋商文件的有效组成部分，由磋商小组及时以电子澄清函形式同时通知所有参加磋商的供应商。</w:t>
      </w:r>
    </w:p>
    <w:p w14:paraId="49F67260">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5D6D6BA0">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3.5磋商中，</w:t>
      </w:r>
      <w:r>
        <w:rPr>
          <w:rFonts w:hint="eastAsia" w:ascii="宋体" w:hAnsi="宋体" w:eastAsia="宋体" w:cs="宋体"/>
          <w:color w:val="auto"/>
          <w:spacing w:val="-6"/>
          <w:sz w:val="24"/>
          <w:szCs w:val="24"/>
          <w:highlight w:val="none"/>
        </w:rPr>
        <w:t>磋商的任何一方不得透露与磋商有关的其他供应商的技术资料、价格和其他信息。</w:t>
      </w:r>
    </w:p>
    <w:p w14:paraId="126E6B00">
      <w:pPr>
        <w:keepNext w:val="0"/>
        <w:keepLines w:val="0"/>
        <w:pageBreakBefore w:val="0"/>
        <w:widowControl/>
        <w:tabs>
          <w:tab w:val="left" w:pos="540"/>
        </w:tabs>
        <w:kinsoku/>
        <w:wordWrap/>
        <w:overflowPunct/>
        <w:topLinePunct w:val="0"/>
        <w:autoSpaceDE/>
        <w:autoSpaceDN/>
        <w:bidi w:val="0"/>
        <w:adjustRightIn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3.6采购代理机构对磋商过程和重要磋商内容进行记录。</w:t>
      </w:r>
    </w:p>
    <w:p w14:paraId="6440FFB5">
      <w:pPr>
        <w:keepNext w:val="0"/>
        <w:keepLines w:val="0"/>
        <w:pageBreakBefore w:val="0"/>
        <w:widowControl/>
        <w:tabs>
          <w:tab w:val="left" w:pos="540"/>
        </w:tabs>
        <w:kinsoku/>
        <w:wordWrap/>
        <w:overflowPunct/>
        <w:topLinePunct w:val="0"/>
        <w:autoSpaceDE/>
        <w:autoSpaceDN/>
        <w:bidi w:val="0"/>
        <w:adjustRightIn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17DEE41">
      <w:pPr>
        <w:keepNext w:val="0"/>
        <w:keepLines w:val="0"/>
        <w:pageBreakBefore w:val="0"/>
        <w:tabs>
          <w:tab w:val="left" w:pos="2835"/>
        </w:tabs>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3.8除本章第3.7条情形外，对磋商过程提交的响应文件进行有效性、完整性和响应程度审查，通过审查的合格供应商不足3家的，采购人或者采购代理机构应当重新开展采购活动。</w:t>
      </w:r>
    </w:p>
    <w:p w14:paraId="042EFECE">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 最后报价</w:t>
      </w:r>
    </w:p>
    <w:p w14:paraId="20CFF97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14:paraId="776ABCB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43083E7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最后报价是供应商响应文件的有效组成部分。符合《政府采购竞争性磋商采购方式管理暂行办法》（财库〔2014〕214号）第三条第四项“市场竞争不充分的科研项目，以及需要扶持的科技成果转化项目”和本章第3.7条情形的，提交最后报价的供应商可以为2家。</w:t>
      </w:r>
    </w:p>
    <w:p w14:paraId="361D3DC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0A53CA6E">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4.5供应商未在规定时间内提交最后报价的，视同退出磋商，其响应文件按无效处理。</w:t>
      </w:r>
    </w:p>
    <w:p w14:paraId="1FAB0AAA">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4.6最后报价统一开启后，磋商小组对最后报价进行有效性、完整性和响应程度的审查。</w:t>
      </w:r>
    </w:p>
    <w:p w14:paraId="2132F390">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4.7最后报价出现前后不一致的，按照本章第2.4条的规定修正。 </w:t>
      </w:r>
    </w:p>
    <w:p w14:paraId="46E3B766">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4.8修正后的报价出现下列情形的，按无效响应处理：</w:t>
      </w:r>
    </w:p>
    <w:p w14:paraId="4CFE880A">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（1）供应商不确认的（全流程电子化评标采取在线确认）；</w:t>
      </w:r>
    </w:p>
    <w:p w14:paraId="5511406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（2）经供应商确认修正后的竞标报价（包含首次报价、最后报价）超过所竞标分标规定的采购预算金额的；</w:t>
      </w:r>
    </w:p>
    <w:p w14:paraId="7450C3ED">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4.9经供应商确认修正后的最后报价作为评审及签订合同的依据。</w:t>
      </w:r>
    </w:p>
    <w:p w14:paraId="5A7B2349">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4.10供应商出现最后报价按无效响应处理或者响应文件按无效处理时，磋商小组应当告知有关供应商。</w:t>
      </w:r>
    </w:p>
    <w:p w14:paraId="4601895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4.11最后报价结束后，磋商小组不得再与供应商进行任何形式的商谈。</w:t>
      </w:r>
    </w:p>
    <w:p w14:paraId="03DC48FA">
      <w:pPr>
        <w:keepNext w:val="0"/>
        <w:keepLines w:val="0"/>
        <w:pageBreakBefore w:val="0"/>
        <w:kinsoku/>
        <w:wordWrap/>
        <w:overflowPunct/>
        <w:topLinePunct w:val="0"/>
        <w:autoSpaceDE/>
        <w:autoSpaceDN/>
        <w:bidi w:val="0"/>
        <w:adjustRightIn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5.比较与评价</w:t>
      </w:r>
    </w:p>
    <w:p w14:paraId="344EF22B">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5.1评审方法：综合评分法。</w:t>
      </w:r>
    </w:p>
    <w:p w14:paraId="27C73668">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5.2经磋商确定最终采购需求和提交最后报价的供应商后，由磋商小组采用综合评分法对提交最后报价的供应商的响应文件和最后报价进行综合评分。</w:t>
      </w:r>
    </w:p>
    <w:p w14:paraId="4B1BE2A0">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5.3评审时，磋商小组各成员应当独立对每个有效响应的文件进行评价、打分，然后汇总每个供应商每项评分因素的得分。</w:t>
      </w:r>
    </w:p>
    <w:p w14:paraId="60C620F2">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（1）磋商小组按照磋商文件中规定的评审标准计算各供应商的报价得分。项目评审过程中，不得去掉最后报价中的最高报价和最低报价。</w:t>
      </w:r>
    </w:p>
    <w:p w14:paraId="1C503960">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（2）各供应商的得分为磋商小组所有成员的有效评分的算术平均数。</w:t>
      </w:r>
    </w:p>
    <w:p w14:paraId="5F669062">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5.4评审价为供应商的最后报价（如有修正，以确认修正后的最后报价为准）。</w:t>
      </w:r>
    </w:p>
    <w:p w14:paraId="67C62DFC">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5.5由磋商小组根据综合评分情况，按照评审得分由高到低顺序推荐3名以上成交候选供应商，并编写评</w:t>
      </w:r>
      <w:r>
        <w:rPr>
          <w:rFonts w:hint="eastAsia" w:ascii="宋体" w:hAnsi="宋体" w:eastAsia="宋体" w:cs="宋体"/>
          <w:color w:val="auto"/>
          <w:kern w:val="0"/>
          <w:sz w:val="24"/>
          <w:szCs w:val="24"/>
          <w:highlight w:val="none"/>
        </w:rPr>
        <w:t>审报告。符合本章第4.3条情形的，可以推荐2家成交候选供应商。评审得分相同的，按照最后报价由低到高的顺序推荐。评审得分且最后报价相同的，按照技术指标优劣顺序推荐。</w:t>
      </w:r>
    </w:p>
    <w:p w14:paraId="3112D465">
      <w:pPr>
        <w:keepNext w:val="0"/>
        <w:keepLines w:val="0"/>
        <w:pageBreakBefore w:val="0"/>
        <w:kinsoku/>
        <w:wordWrap/>
        <w:overflowPunct/>
        <w:topLinePunct w:val="0"/>
        <w:autoSpaceDE/>
        <w:autoSpaceDN/>
        <w:bidi w:val="0"/>
        <w:adjustRightIn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A681F0">
      <w:pPr>
        <w:pStyle w:val="2"/>
        <w:jc w:val="center"/>
        <w:rPr>
          <w:rFonts w:hint="eastAsia"/>
          <w:b/>
          <w:bCs/>
          <w:color w:val="auto"/>
          <w:sz w:val="24"/>
          <w:szCs w:val="24"/>
          <w:highlight w:val="none"/>
          <w:lang w:val="en-US" w:eastAsia="zh-CN"/>
        </w:rPr>
      </w:pPr>
      <w:r>
        <w:rPr>
          <w:rFonts w:hint="eastAsia"/>
          <w:b/>
          <w:bCs/>
          <w:color w:val="auto"/>
          <w:sz w:val="24"/>
          <w:szCs w:val="24"/>
          <w:highlight w:val="none"/>
          <w:lang w:val="en-US" w:eastAsia="zh-CN"/>
        </w:rPr>
        <w:t>二、评审标准</w:t>
      </w:r>
    </w:p>
    <w:p w14:paraId="51916466">
      <w:pPr>
        <w:snapToGrid w:val="0"/>
        <w:spacing w:line="360" w:lineRule="auto"/>
        <w:jc w:val="left"/>
        <w:outlineLvl w:val="1"/>
        <w:rPr>
          <w:rFonts w:hint="eastAsia" w:ascii="宋体" w:hAnsi="宋体" w:cs="宋体"/>
          <w:b/>
          <w:color w:val="auto"/>
          <w:sz w:val="32"/>
          <w:szCs w:val="20"/>
          <w:highlight w:val="none"/>
        </w:rPr>
      </w:pPr>
      <w:r>
        <w:rPr>
          <w:rFonts w:hint="eastAsia" w:ascii="宋体" w:hAnsi="宋体"/>
          <w:bCs/>
          <w:color w:val="auto"/>
          <w:sz w:val="24"/>
          <w:szCs w:val="24"/>
          <w:highlight w:val="none"/>
        </w:rPr>
        <w:t>6</w:t>
      </w:r>
      <w:r>
        <w:rPr>
          <w:rFonts w:ascii="宋体" w:hAnsi="宋体"/>
          <w:bCs/>
          <w:color w:val="auto"/>
          <w:sz w:val="24"/>
          <w:szCs w:val="24"/>
          <w:highlight w:val="none"/>
        </w:rPr>
        <w:t>.</w:t>
      </w:r>
      <w:r>
        <w:rPr>
          <w:rFonts w:hint="eastAsia" w:ascii="宋体" w:hAnsi="宋体"/>
          <w:bCs/>
          <w:color w:val="auto"/>
          <w:sz w:val="24"/>
          <w:szCs w:val="24"/>
          <w:highlight w:val="none"/>
        </w:rPr>
        <w:t>评审依据：磋商小组将以磋商响应文件为评审依据，对供应商的报价、技术、商务等方面内容按百分制打分。（计分方法按四舍五入取至百分位）</w:t>
      </w:r>
    </w:p>
    <w:p w14:paraId="2EE4E893">
      <w:pPr>
        <w:jc w:val="center"/>
        <w:rPr>
          <w:rFonts w:hint="default" w:ascii="宋体" w:hAnsi="宋体" w:eastAsia="宋体" w:cs="宋体"/>
          <w:b/>
          <w:color w:val="auto"/>
          <w:sz w:val="32"/>
          <w:szCs w:val="20"/>
          <w:highlight w:val="none"/>
          <w:lang w:val="en-US" w:eastAsia="zh-CN"/>
        </w:rPr>
      </w:pPr>
      <w:r>
        <w:rPr>
          <w:rFonts w:hint="eastAsia" w:ascii="宋体" w:hAnsi="宋体" w:cs="宋体"/>
          <w:b/>
          <w:color w:val="auto"/>
          <w:sz w:val="32"/>
          <w:szCs w:val="20"/>
          <w:highlight w:val="none"/>
          <w:lang w:val="en-US" w:eastAsia="zh-CN"/>
        </w:rPr>
        <w:t>标项一、标项二</w:t>
      </w:r>
    </w:p>
    <w:tbl>
      <w:tblPr>
        <w:tblStyle w:val="6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047"/>
        <w:gridCol w:w="6786"/>
        <w:gridCol w:w="815"/>
      </w:tblGrid>
      <w:tr w14:paraId="28CE6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40" w:type="pct"/>
            <w:vAlign w:val="center"/>
          </w:tcPr>
          <w:p w14:paraId="22ABB900">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564" w:type="pct"/>
            <w:vAlign w:val="center"/>
          </w:tcPr>
          <w:p w14:paraId="07936672">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评审分项</w:t>
            </w:r>
          </w:p>
        </w:tc>
        <w:tc>
          <w:tcPr>
            <w:tcW w:w="3655" w:type="pct"/>
            <w:vAlign w:val="center"/>
          </w:tcPr>
          <w:p w14:paraId="3345B4EA">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评审因素</w:t>
            </w:r>
          </w:p>
        </w:tc>
        <w:tc>
          <w:tcPr>
            <w:tcW w:w="439" w:type="pct"/>
            <w:vAlign w:val="center"/>
          </w:tcPr>
          <w:p w14:paraId="52977931">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分值</w:t>
            </w:r>
          </w:p>
        </w:tc>
      </w:tr>
      <w:tr w14:paraId="0B69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0" w:type="pct"/>
            <w:vAlign w:val="center"/>
          </w:tcPr>
          <w:p w14:paraId="790823AD">
            <w:pPr>
              <w:widowControl/>
              <w:spacing w:line="400" w:lineRule="exact"/>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1</w:t>
            </w:r>
          </w:p>
        </w:tc>
        <w:tc>
          <w:tcPr>
            <w:tcW w:w="564" w:type="pct"/>
            <w:vAlign w:val="center"/>
          </w:tcPr>
          <w:p w14:paraId="4545B77E">
            <w:pPr>
              <w:spacing w:line="360" w:lineRule="auto"/>
              <w:jc w:val="center"/>
              <w:rPr>
                <w:rFonts w:hint="eastAsia" w:ascii="宋体" w:hAnsi="宋体" w:cs="宋体"/>
                <w:b/>
                <w:bCs/>
                <w:color w:val="auto"/>
                <w:kern w:val="0"/>
                <w:sz w:val="24"/>
                <w:szCs w:val="24"/>
                <w:highlight w:val="none"/>
              </w:rPr>
            </w:pPr>
            <w:r>
              <w:rPr>
                <w:rFonts w:hint="eastAsia" w:cs="仿宋_GB2312" w:asciiTheme="minorEastAsia" w:hAnsiTheme="minorEastAsia" w:eastAsiaTheme="minorEastAsia"/>
                <w:b/>
                <w:bCs/>
                <w:color w:val="auto"/>
                <w:sz w:val="24"/>
                <w:szCs w:val="24"/>
                <w:highlight w:val="none"/>
              </w:rPr>
              <w:t>价格分</w:t>
            </w:r>
            <w:r>
              <w:rPr>
                <w:rFonts w:hint="eastAsia" w:cs="仿宋_GB2312" w:asciiTheme="minorEastAsia" w:hAnsiTheme="minorEastAsia" w:eastAsiaTheme="minorEastAsia"/>
                <w:b/>
                <w:bCs/>
                <w:color w:val="auto"/>
                <w:sz w:val="24"/>
                <w:szCs w:val="24"/>
                <w:highlight w:val="none"/>
                <w:lang w:eastAsia="zh-CN"/>
              </w:rPr>
              <w:t>（</w:t>
            </w:r>
            <w:r>
              <w:rPr>
                <w:rFonts w:hint="eastAsia" w:cs="仿宋_GB2312" w:asciiTheme="minorEastAsia" w:hAnsiTheme="minorEastAsia" w:eastAsiaTheme="minorEastAsia"/>
                <w:b/>
                <w:bCs/>
                <w:color w:val="auto"/>
                <w:sz w:val="24"/>
                <w:szCs w:val="24"/>
                <w:highlight w:val="none"/>
                <w:lang w:val="en-US" w:eastAsia="zh-CN"/>
              </w:rPr>
              <w:t>满分10分</w:t>
            </w:r>
            <w:r>
              <w:rPr>
                <w:rFonts w:hint="eastAsia" w:cs="仿宋_GB2312" w:asciiTheme="minorEastAsia" w:hAnsiTheme="minorEastAsia" w:eastAsiaTheme="minorEastAsia"/>
                <w:b/>
                <w:bCs/>
                <w:color w:val="auto"/>
                <w:sz w:val="24"/>
                <w:szCs w:val="24"/>
                <w:highlight w:val="none"/>
                <w:lang w:eastAsia="zh-CN"/>
              </w:rPr>
              <w:t>）</w:t>
            </w:r>
          </w:p>
        </w:tc>
        <w:tc>
          <w:tcPr>
            <w:tcW w:w="3655" w:type="pct"/>
            <w:vAlign w:val="top"/>
          </w:tcPr>
          <w:p w14:paraId="747A5100">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价格分：</w:t>
            </w:r>
          </w:p>
          <w:p w14:paraId="0D6A13BB">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（1）评审价为供应商的最后报价，最终成交供应商的成交金额等于最后报价（如有修正，以确认修正后的最后报价为准）。</w:t>
            </w:r>
          </w:p>
          <w:p w14:paraId="6ADA9552">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2</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lang w:eastAsia="zh-CN"/>
              </w:rPr>
              <w:t>对于未预留份额专门面向中小企业采购的政府采购项目，以及预留份额政府采购项目中的非预留部分标项，对小型和微型企业的</w:t>
            </w:r>
            <w:r>
              <w:rPr>
                <w:rFonts w:hint="eastAsia" w:ascii="宋体" w:hAnsi="宋体" w:cs="宋体"/>
                <w:bCs/>
                <w:color w:val="auto"/>
                <w:sz w:val="24"/>
                <w:szCs w:val="24"/>
                <w:highlight w:val="none"/>
                <w:lang w:val="en-US" w:eastAsia="zh-CN"/>
              </w:rPr>
              <w:t>磋商</w:t>
            </w:r>
            <w:r>
              <w:rPr>
                <w:rFonts w:hint="eastAsia" w:ascii="宋体" w:hAnsi="宋体" w:eastAsia="宋体" w:cs="宋体"/>
                <w:bCs/>
                <w:color w:val="auto"/>
                <w:sz w:val="24"/>
                <w:szCs w:val="24"/>
                <w:highlight w:val="none"/>
                <w:lang w:eastAsia="zh-CN"/>
              </w:rPr>
              <w:t>报价给予</w:t>
            </w:r>
            <w:r>
              <w:rPr>
                <w:rFonts w:hint="eastAsia" w:ascii="宋体" w:hAnsi="宋体" w:cs="宋体"/>
                <w:bCs/>
                <w:color w:val="auto"/>
                <w:sz w:val="24"/>
                <w:szCs w:val="24"/>
                <w:highlight w:val="none"/>
                <w:lang w:val="en-US" w:eastAsia="zh-CN"/>
              </w:rPr>
              <w:t>20</w:t>
            </w:r>
            <w:r>
              <w:rPr>
                <w:rFonts w:hint="eastAsia" w:ascii="宋体" w:hAnsi="宋体" w:eastAsia="宋体" w:cs="宋体"/>
                <w:bCs/>
                <w:color w:val="auto"/>
                <w:sz w:val="24"/>
                <w:szCs w:val="24"/>
                <w:highlight w:val="none"/>
                <w:lang w:eastAsia="zh-CN"/>
              </w:rPr>
              <w:t>%的扣除，用扣除后的价格参与评审。</w:t>
            </w:r>
            <w:r>
              <w:rPr>
                <w:rFonts w:hint="eastAsia" w:ascii="宋体" w:hAnsi="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接受大中型企业与小微企业组成联合体，对于联合协议约定小微企业的合同份额占到合同总金额30%以上的，对联合体的报价给予</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lang w:eastAsia="zh-CN"/>
              </w:rPr>
              <w:t>%的扣除，用扣除后的价格参加评审。</w:t>
            </w:r>
          </w:p>
          <w:p w14:paraId="4747A0E3">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 xml:space="preserve">（3）按照《财政部、司法部关于政府采购支持监狱企业发展有关问题的通知》（财库〔2014〕68 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 </w:t>
            </w:r>
          </w:p>
          <w:p w14:paraId="44F873CD">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（4）按照《关于促进残疾人就业政府采购政策的通知》（财库〔2017〕141 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BC9FFEA">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（5）有效磋商报价的最低价作为评标基准价，其最低报价为满分；按［磋商报价得分=（磋商基准价/磋商报价）*10］的计算公式计算。</w:t>
            </w:r>
          </w:p>
          <w:p w14:paraId="0D4622E2">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评审过程中，不得去掉报价中的最高报价和最低报价。</w:t>
            </w:r>
          </w:p>
          <w:p w14:paraId="04E6061E">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（6）异常低价审查处理</w:t>
            </w:r>
          </w:p>
          <w:p w14:paraId="6340CBED">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①政府采购评审中出现下列情形之一的，磋商小组应当启动异常低价投标（响应）审查程序：</w:t>
            </w:r>
          </w:p>
          <w:p w14:paraId="74608DCC">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A.响应报价低于全部通过符合性审查供应商响应报价平均值65%的，即响应报价＜全部通过符合性审查供应商响应报价平均值×65%；</w:t>
            </w:r>
          </w:p>
          <w:p w14:paraId="3D042A4E">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B.响应报价低于通过符合性审查且报价次低供应商响应报价65%的，即响应报价＜通过符合性审查且报价次低供应商响应报价×65%；</w:t>
            </w:r>
          </w:p>
          <w:p w14:paraId="06BD0434">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C.响应报价低于采购项目最高限价65%的，即响应报价＜采购项目最高限价×65%；</w:t>
            </w:r>
          </w:p>
          <w:p w14:paraId="2B49C841">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D.其他磋商小组认为供应商报价过低，有可能影响产品质量或者不能诚信履约的情形。</w:t>
            </w:r>
          </w:p>
          <w:p w14:paraId="00CF3306">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②审查工作流程：</w:t>
            </w:r>
          </w:p>
          <w:p w14:paraId="43A367F3">
            <w:pPr>
              <w:pStyle w:val="38"/>
              <w:widowControl w:val="0"/>
              <w:spacing w:line="400" w:lineRule="exact"/>
              <w:ind w:firstLine="480" w:firstLineChars="200"/>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磋商小组启动异常低价响应审查后，应当要求相关供应商在评审现场合理的时间内对响应价格作出解释，提供项目具体成本测算等与报价合理性相关的书面说明及必要的证明材料，包括但不限于原材料成本、人工成本、制造费用等。</w:t>
            </w:r>
          </w:p>
          <w:p w14:paraId="5586B83C">
            <w:pPr>
              <w:pStyle w:val="38"/>
              <w:widowControl w:val="0"/>
              <w:spacing w:line="400" w:lineRule="exact"/>
              <w:ind w:firstLine="480" w:firstLineChars="200"/>
              <w:rPr>
                <w:rFonts w:hint="eastAsia" w:ascii="宋体" w:hAnsi="宋体" w:cs="宋体"/>
                <w:bCs/>
                <w:color w:val="auto"/>
                <w:sz w:val="24"/>
                <w:szCs w:val="24"/>
                <w:highlight w:val="none"/>
                <w:u w:val="single"/>
              </w:rPr>
            </w:pPr>
            <w:r>
              <w:rPr>
                <w:rFonts w:hint="eastAsia" w:ascii="宋体" w:hAnsi="宋体" w:eastAsia="宋体" w:cs="宋体"/>
                <w:bCs/>
                <w:color w:val="auto"/>
                <w:sz w:val="24"/>
                <w:szCs w:val="24"/>
                <w:highlight w:val="none"/>
                <w:lang w:eastAsia="zh-CN"/>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tc>
        <w:tc>
          <w:tcPr>
            <w:tcW w:w="439" w:type="pct"/>
            <w:vAlign w:val="center"/>
          </w:tcPr>
          <w:p w14:paraId="26C1FED2">
            <w:pPr>
              <w:snapToGrid w:val="0"/>
              <w:spacing w:line="360" w:lineRule="auto"/>
              <w:jc w:val="center"/>
              <w:rPr>
                <w:rFonts w:hint="eastAsia" w:ascii="宋体" w:hAnsi="宋体" w:cs="宋体"/>
                <w:color w:val="auto"/>
                <w:kern w:val="0"/>
                <w:sz w:val="24"/>
                <w:szCs w:val="24"/>
                <w:highlight w:val="none"/>
              </w:rPr>
            </w:pPr>
            <w:r>
              <w:rPr>
                <w:rFonts w:hint="eastAsia" w:cs="仿宋_GB2312" w:asciiTheme="minorEastAsia" w:hAnsiTheme="minorEastAsia" w:eastAsiaTheme="minorEastAsia"/>
                <w:b/>
                <w:bCs w:val="0"/>
                <w:color w:val="auto"/>
                <w:sz w:val="24"/>
                <w:szCs w:val="24"/>
                <w:highlight w:val="none"/>
                <w:lang w:val="en-US" w:eastAsia="zh-CN"/>
              </w:rPr>
              <w:t>10</w:t>
            </w:r>
            <w:r>
              <w:rPr>
                <w:rFonts w:hint="eastAsia" w:cs="仿宋_GB2312" w:asciiTheme="minorEastAsia" w:hAnsiTheme="minorEastAsia" w:eastAsiaTheme="minorEastAsia"/>
                <w:b/>
                <w:bCs w:val="0"/>
                <w:color w:val="auto"/>
                <w:sz w:val="24"/>
                <w:szCs w:val="24"/>
                <w:highlight w:val="none"/>
              </w:rPr>
              <w:t>分</w:t>
            </w:r>
          </w:p>
        </w:tc>
      </w:tr>
      <w:tr w14:paraId="6B4B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40" w:type="pct"/>
            <w:vAlign w:val="center"/>
          </w:tcPr>
          <w:p w14:paraId="59D8BE1B">
            <w:pPr>
              <w:widowControl/>
              <w:spacing w:line="400" w:lineRule="exact"/>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2</w:t>
            </w:r>
          </w:p>
        </w:tc>
        <w:tc>
          <w:tcPr>
            <w:tcW w:w="564" w:type="pct"/>
            <w:vAlign w:val="center"/>
          </w:tcPr>
          <w:p w14:paraId="52C6809F">
            <w:pPr>
              <w:widowControl/>
              <w:spacing w:line="400" w:lineRule="exact"/>
              <w:jc w:val="center"/>
              <w:rPr>
                <w:rFonts w:hint="default"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技术分</w:t>
            </w:r>
          </w:p>
        </w:tc>
        <w:tc>
          <w:tcPr>
            <w:tcW w:w="3655" w:type="pct"/>
            <w:vAlign w:val="center"/>
          </w:tcPr>
          <w:p w14:paraId="17CDDE2C">
            <w:pPr>
              <w:widowControl/>
              <w:spacing w:line="400" w:lineRule="exact"/>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评审因素</w:t>
            </w:r>
          </w:p>
        </w:tc>
        <w:tc>
          <w:tcPr>
            <w:tcW w:w="439" w:type="pct"/>
            <w:vAlign w:val="center"/>
          </w:tcPr>
          <w:p w14:paraId="42F72D87">
            <w:pPr>
              <w:widowControl/>
              <w:spacing w:line="400" w:lineRule="exact"/>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分值</w:t>
            </w:r>
          </w:p>
        </w:tc>
      </w:tr>
      <w:tr w14:paraId="1155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340" w:type="pct"/>
            <w:vAlign w:val="center"/>
          </w:tcPr>
          <w:p w14:paraId="652B6098">
            <w:pPr>
              <w:spacing w:line="400" w:lineRule="exact"/>
              <w:ind w:left="-105" w:leftChars="-50" w:right="-105" w:rightChars="-50"/>
              <w:jc w:val="center"/>
              <w:textAlignment w:val="baseline"/>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2.1</w:t>
            </w:r>
          </w:p>
        </w:tc>
        <w:tc>
          <w:tcPr>
            <w:tcW w:w="564" w:type="pct"/>
            <w:vAlign w:val="center"/>
          </w:tcPr>
          <w:p w14:paraId="3CFC308D">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服务方案总体框架（满分20分）</w:t>
            </w:r>
          </w:p>
        </w:tc>
        <w:tc>
          <w:tcPr>
            <w:tcW w:w="3655" w:type="pct"/>
            <w:vAlign w:val="center"/>
          </w:tcPr>
          <w:p w14:paraId="1979A826">
            <w:pPr>
              <w:autoSpaceDE w:val="0"/>
              <w:autoSpaceDN w:val="0"/>
              <w:spacing w:line="360" w:lineRule="auto"/>
              <w:ind w:firstLine="480" w:firstLineChars="200"/>
              <w:jc w:val="left"/>
              <w:rPr>
                <w:rFonts w:hint="eastAsia"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一档（20分）：①方案完整覆盖验收全流程，明确列出内业审查、外业抽检、整改复核、成果归档四个阶段的具体工作清单；②结合北海市11.1万亩、11个片区的地理分布特点，分区制定验收路线与时间安排；③各模块之间逻辑闭环，明确每个环节的质量控制点（如内业审查的必查资料清单、外业抽检的点位布设规则）；④对农业农村部农建发〔2025〕6号及自治区最新验收政策有逐条对照分析，体现前瞻性。</w:t>
            </w:r>
          </w:p>
          <w:p w14:paraId="2AD8C1C9">
            <w:pPr>
              <w:autoSpaceDE w:val="0"/>
              <w:autoSpaceDN w:val="0"/>
              <w:spacing w:line="360" w:lineRule="auto"/>
              <w:ind w:firstLine="480" w:firstLineChars="200"/>
              <w:jc w:val="left"/>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二档（14分）：①方案覆盖采购需求全部验收环节，框架完整、流程清晰；②有基本的验收路线安排；③各模块之间有衔接说明，能满足项目验收基本要求，无核心内容缺漏</w:t>
            </w:r>
            <w:r>
              <w:rPr>
                <w:rFonts w:hint="eastAsia" w:ascii="宋体" w:hAnsi="宋体" w:eastAsia="宋体" w:cs="宋体"/>
                <w:color w:val="auto"/>
                <w:sz w:val="24"/>
                <w:szCs w:val="24"/>
                <w:highlight w:val="none"/>
                <w:lang w:eastAsia="zh-CN"/>
              </w:rPr>
              <w:t>。</w:t>
            </w:r>
          </w:p>
          <w:p w14:paraId="47682DC7">
            <w:pPr>
              <w:autoSpaceDE w:val="0"/>
              <w:autoSpaceDN w:val="0"/>
              <w:spacing w:line="360" w:lineRule="auto"/>
              <w:ind w:firstLine="480" w:firstLineChars="200"/>
              <w:jc w:val="left"/>
              <w:rPr>
                <w:rFonts w:hint="eastAsia" w:ascii="宋体"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三档（7分）：①方案具备基本框架，仅笼统罗列验收通用流程；②未结合北海项目实际（如未体现11个片区分区安排）；③部分验收环节描述简略，基本满足最低要求</w:t>
            </w:r>
            <w:r>
              <w:rPr>
                <w:rFonts w:hint="eastAsia" w:ascii="宋体" w:hAnsi="宋体" w:eastAsia="宋体" w:cs="宋体"/>
                <w:color w:val="auto"/>
                <w:sz w:val="24"/>
                <w:szCs w:val="24"/>
                <w:highlight w:val="none"/>
                <w:lang w:eastAsia="zh-CN"/>
              </w:rPr>
              <w:t>。</w:t>
            </w:r>
          </w:p>
          <w:p w14:paraId="0066E9A6">
            <w:pPr>
              <w:autoSpaceDE w:val="0"/>
              <w:autoSpaceDN w:val="0"/>
              <w:spacing w:line="360" w:lineRule="auto"/>
              <w:ind w:firstLine="480" w:firstLineChars="200"/>
              <w:jc w:val="left"/>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四档（0分）：未提供</w:t>
            </w:r>
            <w:r>
              <w:rPr>
                <w:rFonts w:hint="eastAsia" w:ascii="宋体" w:hAnsi="宋体" w:cs="宋体"/>
                <w:b w:val="0"/>
                <w:bCs/>
                <w:color w:val="auto"/>
                <w:sz w:val="24"/>
                <w:szCs w:val="24"/>
                <w:highlight w:val="none"/>
                <w:lang w:eastAsia="zh-CN" w:bidi="ar"/>
              </w:rPr>
              <w:t>本项目</w:t>
            </w:r>
            <w:r>
              <w:rPr>
                <w:rFonts w:hint="eastAsia" w:ascii="宋体" w:hAnsi="宋体" w:cs="宋体"/>
                <w:b w:val="0"/>
                <w:bCs/>
                <w:color w:val="auto"/>
                <w:sz w:val="24"/>
                <w:szCs w:val="24"/>
                <w:highlight w:val="none"/>
                <w:lang w:val="en-US" w:eastAsia="zh-CN"/>
              </w:rPr>
              <w:t>服务方案，不得分。</w:t>
            </w:r>
          </w:p>
        </w:tc>
        <w:tc>
          <w:tcPr>
            <w:tcW w:w="439" w:type="pct"/>
            <w:vAlign w:val="center"/>
          </w:tcPr>
          <w:p w14:paraId="531C9C2F">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20</w:t>
            </w:r>
          </w:p>
        </w:tc>
      </w:tr>
      <w:tr w14:paraId="4D69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0" w:type="pct"/>
            <w:vAlign w:val="center"/>
          </w:tcPr>
          <w:p w14:paraId="1210C2B8">
            <w:pPr>
              <w:spacing w:line="400" w:lineRule="exact"/>
              <w:ind w:left="-105" w:leftChars="-50" w:right="-105" w:rightChars="-50"/>
              <w:jc w:val="center"/>
              <w:textAlignment w:val="baseline"/>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2.2</w:t>
            </w:r>
          </w:p>
        </w:tc>
        <w:tc>
          <w:tcPr>
            <w:tcW w:w="564" w:type="pct"/>
            <w:vAlign w:val="center"/>
          </w:tcPr>
          <w:p w14:paraId="2D4A1A3A">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项目实施方案（满分20分）</w:t>
            </w:r>
          </w:p>
        </w:tc>
        <w:tc>
          <w:tcPr>
            <w:tcW w:w="3655" w:type="pct"/>
            <w:vAlign w:val="center"/>
          </w:tcPr>
          <w:p w14:paraId="6EBAB366">
            <w:pPr>
              <w:spacing w:line="400" w:lineRule="exact"/>
              <w:ind w:firstLine="480" w:firstLineChars="200"/>
              <w:rPr>
                <w:rFonts w:hint="eastAsia" w:ascii="宋体" w:hAnsi="宋体" w:eastAsia="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一档（</w:t>
            </w:r>
            <w:r>
              <w:rPr>
                <w:rFonts w:hint="eastAsia" w:ascii="宋体" w:hAnsi="宋体" w:cs="宋体"/>
                <w:b w:val="0"/>
                <w:bCs/>
                <w:color w:val="auto"/>
                <w:sz w:val="24"/>
                <w:szCs w:val="24"/>
                <w:highlight w:val="none"/>
                <w:lang w:val="en-US" w:eastAsia="zh-CN" w:bidi="ar"/>
              </w:rPr>
              <w:t>20</w:t>
            </w:r>
            <w:r>
              <w:rPr>
                <w:rFonts w:hint="eastAsia" w:ascii="宋体" w:hAnsi="宋体" w:cs="宋体"/>
                <w:b w:val="0"/>
                <w:bCs/>
                <w:color w:val="auto"/>
                <w:sz w:val="24"/>
                <w:szCs w:val="24"/>
                <w:highlight w:val="none"/>
                <w:lang w:eastAsia="zh-CN" w:bidi="ar"/>
              </w:rPr>
              <w:t>分）：</w:t>
            </w:r>
            <w:r>
              <w:rPr>
                <w:rFonts w:hint="eastAsia" w:ascii="宋体" w:hAnsi="宋体" w:cs="宋体"/>
                <w:b w:val="0"/>
                <w:bCs/>
                <w:color w:val="auto"/>
                <w:sz w:val="24"/>
                <w:szCs w:val="24"/>
                <w:highlight w:val="none"/>
                <w:lang w:val="en-US" w:eastAsia="zh-CN" w:bidi="ar"/>
              </w:rPr>
              <w:t>实</w:t>
            </w:r>
            <w:r>
              <w:rPr>
                <w:rFonts w:ascii="宋体" w:hAnsi="宋体" w:eastAsia="宋体" w:cs="宋体"/>
                <w:color w:val="auto"/>
                <w:sz w:val="24"/>
                <w:szCs w:val="24"/>
                <w:highlight w:val="none"/>
              </w:rPr>
              <w:t>施方案详实可落地，明确内业资料审查清单、外业抽检点位布设规则、</w:t>
            </w:r>
            <w:r>
              <w:rPr>
                <w:rFonts w:hint="eastAsia"/>
                <w:bCs/>
                <w:color w:val="auto"/>
                <w:sz w:val="24"/>
                <w:highlight w:val="none"/>
              </w:rPr>
              <w:t>抽样核查</w:t>
            </w:r>
            <w:r>
              <w:rPr>
                <w:rFonts w:ascii="宋体" w:hAnsi="宋体" w:eastAsia="宋体" w:cs="宋体"/>
                <w:color w:val="auto"/>
                <w:sz w:val="24"/>
                <w:szCs w:val="24"/>
                <w:highlight w:val="none"/>
              </w:rPr>
              <w:t>执行标准；细化工程质量抽检、竣工复核测绘两大核心工作的操作步骤、技术方法、人员分工；针对</w:t>
            </w:r>
            <w:r>
              <w:rPr>
                <w:rFonts w:hint="eastAsia" w:ascii="宋体" w:hAnsi="宋体" w:cs="宋体"/>
                <w:color w:val="auto"/>
                <w:sz w:val="24"/>
                <w:szCs w:val="24"/>
                <w:highlight w:val="none"/>
                <w:lang w:val="en-US" w:eastAsia="zh-CN"/>
              </w:rPr>
              <w:t>各个验收项目</w:t>
            </w:r>
            <w:r>
              <w:rPr>
                <w:rFonts w:ascii="宋体" w:hAnsi="宋体" w:eastAsia="宋体" w:cs="宋体"/>
                <w:color w:val="auto"/>
                <w:sz w:val="24"/>
                <w:szCs w:val="24"/>
                <w:highlight w:val="none"/>
              </w:rPr>
              <w:t>制定差异化实施计划，进度节点清晰可控</w:t>
            </w:r>
            <w:r>
              <w:rPr>
                <w:rFonts w:hint="eastAsia" w:ascii="宋体" w:hAnsi="宋体" w:eastAsia="宋体" w:cs="宋体"/>
                <w:color w:val="auto"/>
                <w:sz w:val="24"/>
                <w:szCs w:val="24"/>
                <w:highlight w:val="none"/>
                <w:lang w:eastAsia="zh-CN"/>
              </w:rPr>
              <w:t>。</w:t>
            </w:r>
          </w:p>
          <w:p w14:paraId="28B73FCE">
            <w:pPr>
              <w:spacing w:line="400" w:lineRule="exact"/>
              <w:ind w:firstLine="480" w:firstLineChars="200"/>
              <w:rPr>
                <w:rFonts w:hint="eastAsia" w:ascii="宋体" w:hAnsi="宋体" w:eastAsia="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二档（</w:t>
            </w:r>
            <w:r>
              <w:rPr>
                <w:rFonts w:hint="eastAsia" w:ascii="宋体" w:hAnsi="宋体" w:cs="宋体"/>
                <w:b w:val="0"/>
                <w:bCs/>
                <w:color w:val="auto"/>
                <w:sz w:val="24"/>
                <w:szCs w:val="24"/>
                <w:highlight w:val="none"/>
                <w:lang w:val="en-US" w:eastAsia="zh-CN" w:bidi="ar"/>
              </w:rPr>
              <w:t>14</w:t>
            </w:r>
            <w:r>
              <w:rPr>
                <w:rFonts w:hint="eastAsia" w:ascii="宋体" w:hAnsi="宋体" w:cs="宋体"/>
                <w:b w:val="0"/>
                <w:bCs/>
                <w:color w:val="auto"/>
                <w:sz w:val="24"/>
                <w:szCs w:val="24"/>
                <w:highlight w:val="none"/>
                <w:lang w:eastAsia="zh-CN" w:bidi="ar"/>
              </w:rPr>
              <w:t>分）：</w:t>
            </w:r>
            <w:r>
              <w:rPr>
                <w:rFonts w:ascii="宋体" w:hAnsi="宋体" w:eastAsia="宋体" w:cs="宋体"/>
                <w:color w:val="auto"/>
                <w:sz w:val="24"/>
                <w:szCs w:val="24"/>
                <w:highlight w:val="none"/>
              </w:rPr>
              <w:t>实施方案包含内业、外业主要工作内容，明确核心验收环节的操作方法与进度安排，能保障项目按期完成</w:t>
            </w:r>
            <w:r>
              <w:rPr>
                <w:rFonts w:hint="eastAsia" w:ascii="宋体" w:hAnsi="宋体" w:eastAsia="宋体" w:cs="宋体"/>
                <w:color w:val="auto"/>
                <w:sz w:val="24"/>
                <w:szCs w:val="24"/>
                <w:highlight w:val="none"/>
                <w:lang w:eastAsia="zh-CN"/>
              </w:rPr>
              <w:t>。</w:t>
            </w:r>
          </w:p>
          <w:p w14:paraId="0F01DF46">
            <w:pPr>
              <w:spacing w:line="400" w:lineRule="exact"/>
              <w:ind w:firstLine="480" w:firstLineChars="200"/>
              <w:rPr>
                <w:rFonts w:hint="eastAsia" w:ascii="宋体" w:hAnsi="宋体" w:eastAsia="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三档（7分）：</w:t>
            </w:r>
            <w:r>
              <w:rPr>
                <w:rFonts w:ascii="宋体" w:hAnsi="宋体" w:eastAsia="宋体" w:cs="宋体"/>
                <w:color w:val="auto"/>
                <w:sz w:val="24"/>
                <w:szCs w:val="24"/>
                <w:highlight w:val="none"/>
              </w:rPr>
              <w:t>实施方案有基本工作步骤，但内容笼统，抽检规则、技术方法、进度节点不明确，可操作性一般</w:t>
            </w:r>
            <w:r>
              <w:rPr>
                <w:rFonts w:hint="eastAsia" w:ascii="宋体" w:hAnsi="宋体" w:eastAsia="宋体" w:cs="宋体"/>
                <w:color w:val="auto"/>
                <w:sz w:val="24"/>
                <w:szCs w:val="24"/>
                <w:highlight w:val="none"/>
                <w:lang w:eastAsia="zh-CN"/>
              </w:rPr>
              <w:t>。</w:t>
            </w:r>
          </w:p>
          <w:p w14:paraId="0B059C87">
            <w:pPr>
              <w:spacing w:line="400" w:lineRule="exact"/>
              <w:ind w:firstLine="480" w:firstLineChars="200"/>
              <w:rPr>
                <w:rFonts w:hint="eastAsia" w:ascii="宋体" w:hAnsi="宋体" w:cs="宋体"/>
                <w:b w:val="0"/>
                <w:bCs/>
                <w:color w:val="auto"/>
                <w:sz w:val="24"/>
                <w:szCs w:val="24"/>
                <w:highlight w:val="none"/>
                <w:lang w:eastAsia="zh-CN" w:bidi="ar"/>
              </w:rPr>
            </w:pPr>
            <w:r>
              <w:rPr>
                <w:rFonts w:hint="eastAsia" w:ascii="宋体" w:hAnsi="宋体" w:cs="宋体"/>
                <w:b w:val="0"/>
                <w:bCs/>
                <w:color w:val="auto"/>
                <w:sz w:val="24"/>
                <w:szCs w:val="24"/>
                <w:highlight w:val="none"/>
                <w:lang w:eastAsia="zh-CN" w:bidi="ar"/>
              </w:rPr>
              <w:t>四档（0分）：未提供本项目实施方案，不得分。</w:t>
            </w:r>
          </w:p>
        </w:tc>
        <w:tc>
          <w:tcPr>
            <w:tcW w:w="439" w:type="pct"/>
            <w:vAlign w:val="center"/>
          </w:tcPr>
          <w:p w14:paraId="76777433">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20</w:t>
            </w:r>
          </w:p>
        </w:tc>
      </w:tr>
      <w:tr w14:paraId="2D64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0" w:type="pct"/>
            <w:vAlign w:val="center"/>
          </w:tcPr>
          <w:p w14:paraId="3BD3EE1A">
            <w:pPr>
              <w:spacing w:line="400" w:lineRule="exact"/>
              <w:ind w:left="-105" w:leftChars="-50" w:right="-105" w:rightChars="-50"/>
              <w:jc w:val="center"/>
              <w:textAlignment w:val="baseline"/>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2.3</w:t>
            </w:r>
          </w:p>
        </w:tc>
        <w:tc>
          <w:tcPr>
            <w:tcW w:w="564" w:type="pct"/>
            <w:vAlign w:val="center"/>
          </w:tcPr>
          <w:p w14:paraId="43B5D558">
            <w:pPr>
              <w:spacing w:line="400" w:lineRule="exact"/>
              <w:jc w:val="center"/>
              <w:textAlignment w:val="baseline"/>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服务保障措施方案（满分15分）</w:t>
            </w:r>
          </w:p>
        </w:tc>
        <w:tc>
          <w:tcPr>
            <w:tcW w:w="3655" w:type="pct"/>
            <w:vAlign w:val="center"/>
          </w:tcPr>
          <w:p w14:paraId="38D40689">
            <w:pPr>
              <w:spacing w:line="400" w:lineRule="exact"/>
              <w:ind w:firstLine="480" w:firstLineChars="200"/>
              <w:rPr>
                <w:rFonts w:hint="eastAsia" w:ascii="宋体" w:hAnsi="宋体" w:eastAsia="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一档（15分）：①同时具备五项保障措施：质量保障、进度保障、组织协调、保密管理、应急处置；②质量管控建立三级复核机制（自检→互检→专检）；③进度管控设置关键节点预警（如内业审查完成时限、外业抽检完成时限、报告出具时限）；④保密制度符合政府采购涉密资料管理要求，明确涉密资料交接签收、存放保管、销毁流程；⑤针对验收异议、突发疫情、极端天气等制定具体应急预案，明确责任人、处置流程、替代方案</w:t>
            </w:r>
            <w:r>
              <w:rPr>
                <w:rFonts w:hint="eastAsia" w:ascii="宋体" w:hAnsi="宋体" w:eastAsia="宋体" w:cs="宋体"/>
                <w:color w:val="auto"/>
                <w:sz w:val="24"/>
                <w:szCs w:val="24"/>
                <w:highlight w:val="none"/>
                <w:lang w:eastAsia="zh-CN"/>
              </w:rPr>
              <w:t>。</w:t>
            </w:r>
          </w:p>
          <w:p w14:paraId="21727E57">
            <w:pPr>
              <w:spacing w:line="400" w:lineRule="exact"/>
              <w:ind w:firstLine="480" w:firstLineChars="200"/>
              <w:rPr>
                <w:rFonts w:hint="eastAsia" w:ascii="宋体" w:hAnsi="宋体" w:eastAsia="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二档（10分）：①具备质量、进度、组织协调三项基本保障措施；②内容完整，能满足项目常规履约需求；③但未设置三级复核机制或关键节点预警</w:t>
            </w:r>
            <w:r>
              <w:rPr>
                <w:rFonts w:hint="eastAsia" w:ascii="宋体" w:hAnsi="宋体" w:eastAsia="宋体" w:cs="宋体"/>
                <w:color w:val="auto"/>
                <w:sz w:val="24"/>
                <w:szCs w:val="24"/>
                <w:highlight w:val="none"/>
                <w:lang w:eastAsia="zh-CN"/>
              </w:rPr>
              <w:t>。</w:t>
            </w:r>
          </w:p>
          <w:p w14:paraId="680BF6AC">
            <w:pPr>
              <w:spacing w:line="400" w:lineRule="exact"/>
              <w:ind w:firstLine="480" w:firstLineChars="200"/>
              <w:rPr>
                <w:rFonts w:hint="eastAsia" w:ascii="宋体" w:hAnsi="宋体" w:eastAsia="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三档（5分）：①仅提及基础保障措施；②内容简略，缺乏可落地的执行细则；③未设置复核机制或应急预案</w:t>
            </w:r>
            <w:r>
              <w:rPr>
                <w:rFonts w:hint="eastAsia" w:ascii="宋体" w:hAnsi="宋体" w:eastAsia="宋体" w:cs="宋体"/>
                <w:color w:val="auto"/>
                <w:sz w:val="24"/>
                <w:szCs w:val="24"/>
                <w:highlight w:val="none"/>
                <w:lang w:eastAsia="zh-CN"/>
              </w:rPr>
              <w:t>。</w:t>
            </w:r>
          </w:p>
          <w:p w14:paraId="31062246">
            <w:pPr>
              <w:spacing w:line="400" w:lineRule="exact"/>
              <w:ind w:firstLine="480" w:firstLineChars="200"/>
              <w:rPr>
                <w:rFonts w:hint="eastAsia" w:ascii="宋体" w:hAnsi="宋体" w:cs="宋体"/>
                <w:b w:val="0"/>
                <w:bCs/>
                <w:color w:val="auto"/>
                <w:sz w:val="24"/>
                <w:szCs w:val="24"/>
                <w:highlight w:val="none"/>
                <w:lang w:val="en-US" w:eastAsia="zh-CN" w:bidi="ar"/>
              </w:rPr>
            </w:pPr>
            <w:r>
              <w:rPr>
                <w:rFonts w:hint="eastAsia" w:ascii="宋体" w:hAnsi="宋体" w:cs="宋体"/>
                <w:b w:val="0"/>
                <w:bCs/>
                <w:color w:val="auto"/>
                <w:sz w:val="24"/>
                <w:szCs w:val="24"/>
                <w:highlight w:val="none"/>
                <w:lang w:val="en-US" w:eastAsia="zh-CN" w:bidi="ar"/>
              </w:rPr>
              <w:t>四档（0分）：未提供成果质量审核管控方案的，不得分。</w:t>
            </w:r>
          </w:p>
        </w:tc>
        <w:tc>
          <w:tcPr>
            <w:tcW w:w="439" w:type="pct"/>
            <w:vAlign w:val="center"/>
          </w:tcPr>
          <w:p w14:paraId="73030D43">
            <w:pPr>
              <w:spacing w:line="400" w:lineRule="exact"/>
              <w:jc w:val="center"/>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15</w:t>
            </w:r>
          </w:p>
        </w:tc>
      </w:tr>
      <w:tr w14:paraId="6A2D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0" w:type="pct"/>
            <w:vAlign w:val="center"/>
          </w:tcPr>
          <w:p w14:paraId="1BEACF38">
            <w:pPr>
              <w:spacing w:line="400" w:lineRule="exact"/>
              <w:ind w:left="-105" w:leftChars="-50" w:right="-105" w:rightChars="-50"/>
              <w:jc w:val="center"/>
              <w:textAlignment w:val="baseline"/>
              <w:rPr>
                <w:rFonts w:hint="eastAsia"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rPr>
              <w:t>2.</w:t>
            </w:r>
            <w:r>
              <w:rPr>
                <w:rFonts w:hint="eastAsia" w:ascii="宋体" w:hAnsi="宋体" w:cs="宋体"/>
                <w:bCs/>
                <w:color w:val="auto"/>
                <w:kern w:val="0"/>
                <w:sz w:val="24"/>
                <w:szCs w:val="24"/>
                <w:highlight w:val="none"/>
                <w:lang w:val="en-US" w:eastAsia="zh-CN"/>
              </w:rPr>
              <w:t>4</w:t>
            </w:r>
          </w:p>
        </w:tc>
        <w:tc>
          <w:tcPr>
            <w:tcW w:w="564" w:type="pct"/>
            <w:vAlign w:val="center"/>
          </w:tcPr>
          <w:p w14:paraId="65032649">
            <w:pPr>
              <w:spacing w:line="400" w:lineRule="exact"/>
              <w:jc w:val="center"/>
              <w:textAlignment w:val="baseline"/>
              <w:rPr>
                <w:rFonts w:hint="eastAsia" w:ascii="宋体" w:hAnsi="宋体" w:cs="宋体"/>
                <w:color w:val="auto"/>
                <w:sz w:val="24"/>
                <w:szCs w:val="24"/>
                <w:highlight w:val="none"/>
              </w:rPr>
            </w:pPr>
            <w:r>
              <w:rPr>
                <w:rFonts w:hint="eastAsia" w:ascii="宋体" w:hAnsi="宋体" w:cs="宋体"/>
                <w:b/>
                <w:bCs/>
                <w:color w:val="auto"/>
                <w:sz w:val="24"/>
                <w:szCs w:val="24"/>
                <w:highlight w:val="none"/>
                <w:lang w:val="en-US" w:eastAsia="zh-CN"/>
              </w:rPr>
              <w:t>服务保障承诺（满分10分）</w:t>
            </w:r>
          </w:p>
        </w:tc>
        <w:tc>
          <w:tcPr>
            <w:tcW w:w="3655" w:type="pct"/>
            <w:vAlign w:val="center"/>
          </w:tcPr>
          <w:p w14:paraId="5B2AF87B">
            <w:pPr>
              <w:spacing w:line="40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一档（10分）：</w:t>
            </w:r>
            <w:r>
              <w:rPr>
                <w:rFonts w:ascii="宋体" w:hAnsi="宋体" w:eastAsia="宋体" w:cs="宋体"/>
                <w:color w:val="auto"/>
                <w:sz w:val="24"/>
                <w:szCs w:val="24"/>
                <w:highlight w:val="none"/>
              </w:rPr>
              <w:t>承诺事项全面且优于采购需求，包含但不限于：7×24 小时响应、现场问题48小时内处置、整改复核免费、成果质量终身负责、配合审计督查及绩效评价、人员稳定性承诺（核心人员中途更换须经采购人书面同意）等，违约追责条款明确</w:t>
            </w:r>
            <w:r>
              <w:rPr>
                <w:rFonts w:hint="eastAsia" w:ascii="宋体" w:hAnsi="宋体" w:eastAsia="宋体" w:cs="宋体"/>
                <w:color w:val="auto"/>
                <w:sz w:val="24"/>
                <w:szCs w:val="24"/>
                <w:highlight w:val="none"/>
                <w:lang w:eastAsia="zh-CN"/>
              </w:rPr>
              <w:t>。</w:t>
            </w:r>
          </w:p>
          <w:p w14:paraId="7A8DA134">
            <w:pPr>
              <w:spacing w:line="40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二档（6分）：</w:t>
            </w:r>
            <w:r>
              <w:rPr>
                <w:rFonts w:ascii="宋体" w:hAnsi="宋体" w:eastAsia="宋体" w:cs="宋体"/>
                <w:color w:val="auto"/>
                <w:sz w:val="24"/>
                <w:szCs w:val="24"/>
                <w:highlight w:val="none"/>
              </w:rPr>
              <w:t>承诺覆盖采购需求基本要求，响应时效、质量责任、配合义务等核心条款清晰</w:t>
            </w:r>
            <w:r>
              <w:rPr>
                <w:rFonts w:hint="eastAsia" w:ascii="宋体" w:hAnsi="宋体" w:eastAsia="宋体" w:cs="宋体"/>
                <w:color w:val="auto"/>
                <w:sz w:val="24"/>
                <w:szCs w:val="24"/>
                <w:highlight w:val="none"/>
                <w:lang w:eastAsia="zh-CN"/>
              </w:rPr>
              <w:t>。</w:t>
            </w:r>
          </w:p>
          <w:p w14:paraId="7FCA752D">
            <w:pPr>
              <w:spacing w:line="40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三档（3分）：</w:t>
            </w:r>
            <w:r>
              <w:rPr>
                <w:rFonts w:ascii="宋体" w:hAnsi="宋体" w:eastAsia="宋体" w:cs="宋体"/>
                <w:color w:val="auto"/>
                <w:sz w:val="24"/>
                <w:szCs w:val="24"/>
                <w:highlight w:val="none"/>
              </w:rPr>
              <w:t>仅作出基础服务承诺，内容笼统，缺乏具体约束标准</w:t>
            </w:r>
            <w:r>
              <w:rPr>
                <w:rFonts w:hint="eastAsia" w:ascii="宋体" w:hAnsi="宋体" w:eastAsia="宋体" w:cs="宋体"/>
                <w:color w:val="auto"/>
                <w:sz w:val="24"/>
                <w:szCs w:val="24"/>
                <w:highlight w:val="none"/>
                <w:lang w:eastAsia="zh-CN"/>
              </w:rPr>
              <w:t>。</w:t>
            </w:r>
          </w:p>
          <w:p w14:paraId="0AF1A962">
            <w:pPr>
              <w:spacing w:line="400" w:lineRule="exact"/>
              <w:ind w:firstLine="480" w:firstLineChars="200"/>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四档（0分）：未提供服务保障承诺，不得分。</w:t>
            </w:r>
          </w:p>
        </w:tc>
        <w:tc>
          <w:tcPr>
            <w:tcW w:w="439" w:type="pct"/>
            <w:vAlign w:val="center"/>
          </w:tcPr>
          <w:p w14:paraId="12F34EB6">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r>
      <w:tr w14:paraId="21AF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0" w:type="pct"/>
            <w:vAlign w:val="center"/>
          </w:tcPr>
          <w:p w14:paraId="6A620997">
            <w:pPr>
              <w:spacing w:line="400" w:lineRule="exact"/>
              <w:ind w:left="-105" w:leftChars="-50" w:right="-105" w:rightChars="-50"/>
              <w:jc w:val="center"/>
              <w:textAlignment w:val="baseline"/>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2.5</w:t>
            </w:r>
          </w:p>
        </w:tc>
        <w:tc>
          <w:tcPr>
            <w:tcW w:w="564" w:type="pct"/>
            <w:vAlign w:val="center"/>
          </w:tcPr>
          <w:p w14:paraId="12EB8640">
            <w:pPr>
              <w:spacing w:line="400" w:lineRule="exact"/>
              <w:jc w:val="center"/>
              <w:textAlignment w:val="baseline"/>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highlight w:val="none"/>
                <w:lang w:val="en-US" w:eastAsia="zh-CN" w:bidi="ar"/>
              </w:rPr>
              <w:t>拟投入</w:t>
            </w:r>
            <w:r>
              <w:rPr>
                <w:rFonts w:hint="eastAsia" w:ascii="宋体" w:hAnsi="宋体" w:eastAsia="宋体" w:cs="宋体"/>
                <w:b/>
                <w:bCs/>
                <w:color w:val="auto"/>
                <w:kern w:val="2"/>
                <w:sz w:val="24"/>
                <w:szCs w:val="24"/>
                <w:highlight w:val="none"/>
                <w:lang w:val="en-US" w:eastAsia="zh-CN" w:bidi="ar"/>
              </w:rPr>
              <w:t>人员配置（满分</w:t>
            </w:r>
            <w:r>
              <w:rPr>
                <w:rFonts w:hint="eastAsia" w:ascii="宋体" w:hAnsi="宋体" w:cs="宋体"/>
                <w:b/>
                <w:bCs/>
                <w:color w:val="auto"/>
                <w:kern w:val="2"/>
                <w:sz w:val="24"/>
                <w:szCs w:val="24"/>
                <w:highlight w:val="none"/>
                <w:lang w:val="en-US" w:eastAsia="zh-CN" w:bidi="ar"/>
              </w:rPr>
              <w:t>15</w:t>
            </w:r>
            <w:r>
              <w:rPr>
                <w:rFonts w:hint="eastAsia" w:ascii="宋体" w:hAnsi="宋体" w:eastAsia="宋体" w:cs="宋体"/>
                <w:b/>
                <w:bCs/>
                <w:color w:val="auto"/>
                <w:kern w:val="2"/>
                <w:sz w:val="24"/>
                <w:szCs w:val="24"/>
                <w:highlight w:val="none"/>
                <w:lang w:val="en-US" w:eastAsia="zh-CN" w:bidi="ar"/>
              </w:rPr>
              <w:t>分）</w:t>
            </w:r>
          </w:p>
        </w:tc>
        <w:tc>
          <w:tcPr>
            <w:tcW w:w="3655" w:type="pct"/>
            <w:vAlign w:val="center"/>
          </w:tcPr>
          <w:p w14:paraId="69390640">
            <w:pPr>
              <w:spacing w:line="400" w:lineRule="exact"/>
              <w:ind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1、项目负责人：</w:t>
            </w:r>
            <w:r>
              <w:rPr>
                <w:rFonts w:ascii="宋体" w:hAnsi="宋体" w:eastAsia="宋体" w:cs="宋体"/>
                <w:color w:val="auto"/>
                <w:sz w:val="24"/>
                <w:szCs w:val="24"/>
                <w:highlight w:val="none"/>
              </w:rPr>
              <w:t>具备</w:t>
            </w:r>
            <w:r>
              <w:rPr>
                <w:rFonts w:hint="eastAsia" w:ascii="宋体" w:hAnsi="宋体" w:cs="宋体"/>
                <w:color w:val="auto"/>
                <w:sz w:val="24"/>
                <w:szCs w:val="24"/>
                <w:highlight w:val="none"/>
                <w:lang w:val="en-US" w:eastAsia="zh-CN"/>
              </w:rPr>
              <w:t>工程类相关专业</w:t>
            </w:r>
            <w:r>
              <w:rPr>
                <w:rFonts w:ascii="宋体" w:hAnsi="宋体" w:eastAsia="宋体" w:cs="宋体"/>
                <w:color w:val="auto"/>
                <w:sz w:val="24"/>
                <w:szCs w:val="24"/>
                <w:highlight w:val="none"/>
              </w:rPr>
              <w:t>高级及以上职称</w:t>
            </w:r>
            <w:r>
              <w:rPr>
                <w:rFonts w:hint="eastAsia" w:ascii="宋体" w:hAnsi="宋体" w:eastAsia="宋体" w:cs="宋体"/>
                <w:color w:val="auto"/>
                <w:kern w:val="2"/>
                <w:sz w:val="24"/>
                <w:szCs w:val="24"/>
                <w:highlight w:val="none"/>
                <w:lang w:val="en-US" w:eastAsia="zh-CN" w:bidi="ar"/>
              </w:rPr>
              <w:t>，得</w:t>
            </w:r>
            <w:r>
              <w:rPr>
                <w:rFonts w:hint="eastAsia" w:ascii="宋体" w:hAnsi="宋体" w:cs="宋体"/>
                <w:color w:val="auto"/>
                <w:kern w:val="2"/>
                <w:sz w:val="24"/>
                <w:szCs w:val="24"/>
                <w:highlight w:val="none"/>
                <w:lang w:val="en-US" w:eastAsia="zh-CN" w:bidi="ar"/>
              </w:rPr>
              <w:t>5</w:t>
            </w:r>
            <w:r>
              <w:rPr>
                <w:rFonts w:hint="eastAsia" w:ascii="宋体" w:hAnsi="宋体" w:eastAsia="宋体" w:cs="宋体"/>
                <w:color w:val="auto"/>
                <w:kern w:val="2"/>
                <w:sz w:val="24"/>
                <w:szCs w:val="24"/>
                <w:highlight w:val="none"/>
                <w:lang w:val="en-US" w:eastAsia="zh-CN" w:bidi="ar"/>
              </w:rPr>
              <w:t>分</w:t>
            </w:r>
            <w:r>
              <w:rPr>
                <w:rFonts w:hint="eastAsia" w:ascii="宋体" w:hAnsi="宋体" w:cs="宋体"/>
                <w:color w:val="auto"/>
                <w:sz w:val="24"/>
                <w:szCs w:val="24"/>
                <w:highlight w:val="none"/>
                <w:lang w:val="en-US" w:eastAsia="zh-CN"/>
              </w:rPr>
              <w:t>，本项满分5分</w:t>
            </w:r>
            <w:r>
              <w:rPr>
                <w:rFonts w:hint="eastAsia" w:ascii="宋体" w:hAnsi="宋体" w:eastAsia="宋体" w:cs="宋体"/>
                <w:color w:val="auto"/>
                <w:kern w:val="2"/>
                <w:sz w:val="24"/>
                <w:szCs w:val="24"/>
                <w:highlight w:val="none"/>
                <w:lang w:val="en-US" w:eastAsia="zh-CN" w:bidi="ar"/>
              </w:rPr>
              <w:t>。</w:t>
            </w:r>
          </w:p>
          <w:p w14:paraId="3D575D76">
            <w:pPr>
              <w:spacing w:line="400" w:lineRule="exact"/>
              <w:ind w:firstLine="480" w:firstLineChars="200"/>
              <w:rPr>
                <w:rFonts w:hint="eastAsia"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、核心技术团队：拟投入技术人员具备</w:t>
            </w:r>
            <w:r>
              <w:rPr>
                <w:rFonts w:hint="eastAsia" w:ascii="宋体" w:hAnsi="宋体" w:cs="宋体"/>
                <w:color w:val="auto"/>
                <w:sz w:val="24"/>
                <w:szCs w:val="24"/>
                <w:highlight w:val="none"/>
                <w:lang w:val="en-US" w:eastAsia="zh-CN"/>
              </w:rPr>
              <w:t>工程类相关专业</w:t>
            </w:r>
            <w:r>
              <w:rPr>
                <w:rFonts w:ascii="宋体" w:hAnsi="宋体" w:eastAsia="宋体" w:cs="宋体"/>
                <w:color w:val="auto"/>
                <w:sz w:val="24"/>
                <w:szCs w:val="24"/>
                <w:highlight w:val="none"/>
              </w:rPr>
              <w:t>中级及以上职称的</w:t>
            </w:r>
            <w:r>
              <w:rPr>
                <w:rFonts w:hint="eastAsia" w:ascii="宋体" w:hAnsi="宋体" w:eastAsia="宋体" w:cs="宋体"/>
                <w:color w:val="auto"/>
                <w:kern w:val="2"/>
                <w:sz w:val="24"/>
                <w:szCs w:val="24"/>
                <w:highlight w:val="none"/>
                <w:lang w:val="en-US" w:eastAsia="zh-CN" w:bidi="ar"/>
              </w:rPr>
              <w:t>，每人得</w:t>
            </w:r>
            <w:r>
              <w:rPr>
                <w:rFonts w:hint="eastAsia" w:ascii="宋体" w:hAnsi="宋体" w:cs="宋体"/>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分，本项满分</w:t>
            </w:r>
            <w:r>
              <w:rPr>
                <w:rFonts w:hint="eastAsia" w:ascii="宋体" w:hAnsi="宋体" w:cs="宋体"/>
                <w:color w:val="auto"/>
                <w:kern w:val="2"/>
                <w:sz w:val="24"/>
                <w:szCs w:val="24"/>
                <w:highlight w:val="none"/>
                <w:lang w:val="en-US" w:eastAsia="zh-CN" w:bidi="ar"/>
              </w:rPr>
              <w:t>10</w:t>
            </w:r>
            <w:r>
              <w:rPr>
                <w:rFonts w:hint="eastAsia" w:ascii="宋体" w:hAnsi="宋体" w:eastAsia="宋体" w:cs="宋体"/>
                <w:color w:val="auto"/>
                <w:kern w:val="2"/>
                <w:sz w:val="24"/>
                <w:szCs w:val="24"/>
                <w:highlight w:val="none"/>
                <w:lang w:val="en-US" w:eastAsia="zh-CN" w:bidi="ar"/>
              </w:rPr>
              <w:t>分。</w:t>
            </w:r>
          </w:p>
          <w:p w14:paraId="5A93AE11">
            <w:pPr>
              <w:spacing w:line="400" w:lineRule="exact"/>
              <w:ind w:firstLine="482" w:firstLineChars="200"/>
              <w:rPr>
                <w:rFonts w:hint="eastAsia" w:ascii="宋体" w:hAnsi="宋体" w:eastAsia="宋体" w:cs="宋体"/>
                <w:b/>
                <w:bCs/>
                <w:color w:val="auto"/>
                <w:kern w:val="2"/>
                <w:sz w:val="24"/>
                <w:szCs w:val="24"/>
                <w:highlight w:val="none"/>
                <w:lang w:val="en-US" w:eastAsia="zh-CN" w:bidi="ar"/>
              </w:rPr>
            </w:pPr>
            <w:r>
              <w:rPr>
                <w:rFonts w:hint="eastAsia"/>
                <w:b/>
                <w:bCs/>
                <w:color w:val="auto"/>
                <w:sz w:val="24"/>
                <w:szCs w:val="24"/>
                <w:highlight w:val="none"/>
                <w:lang w:val="en-US" w:eastAsia="zh-CN" w:bidi="ar"/>
              </w:rPr>
              <w:t>注：拟投入服务团队所有人员需为供应商在岗员工，需提供所有人员身份证、执业资格证（如有）、职称证，以及本单位为其缴纳的距响应文件递交截止时间半年内任意一个月的社保记录，</w:t>
            </w:r>
            <w:r>
              <w:rPr>
                <w:rFonts w:hint="eastAsia" w:ascii="宋体" w:hAnsi="宋体" w:cs="宋体"/>
                <w:b/>
                <w:bCs/>
                <w:color w:val="auto"/>
                <w:kern w:val="2"/>
                <w:sz w:val="24"/>
                <w:szCs w:val="24"/>
                <w:highlight w:val="none"/>
                <w:lang w:val="en-US" w:eastAsia="zh-CN" w:bidi="ar"/>
              </w:rPr>
              <w:t>联合体各方提供均可计算，</w:t>
            </w:r>
            <w:r>
              <w:rPr>
                <w:rFonts w:hint="eastAsia"/>
                <w:b/>
                <w:bCs/>
                <w:color w:val="auto"/>
                <w:sz w:val="24"/>
                <w:szCs w:val="24"/>
                <w:highlight w:val="none"/>
                <w:lang w:val="en-US" w:eastAsia="zh-CN" w:bidi="ar"/>
              </w:rPr>
              <w:t>复印件加盖供应商公章，否则不予计分。</w:t>
            </w:r>
          </w:p>
        </w:tc>
        <w:tc>
          <w:tcPr>
            <w:tcW w:w="439" w:type="pct"/>
            <w:vAlign w:val="center"/>
          </w:tcPr>
          <w:p w14:paraId="0998D0EB">
            <w:pPr>
              <w:spacing w:line="400" w:lineRule="exact"/>
              <w:jc w:val="center"/>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15</w:t>
            </w:r>
          </w:p>
        </w:tc>
      </w:tr>
      <w:tr w14:paraId="41E6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40" w:type="pct"/>
            <w:vAlign w:val="center"/>
          </w:tcPr>
          <w:p w14:paraId="0E623167">
            <w:pPr>
              <w:widowControl/>
              <w:spacing w:line="400" w:lineRule="exact"/>
              <w:jc w:val="center"/>
              <w:rPr>
                <w:rFonts w:hint="eastAsia" w:ascii="宋体" w:hAnsi="宋体" w:cs="宋体"/>
                <w:bCs/>
                <w:color w:val="auto"/>
                <w:kern w:val="0"/>
                <w:sz w:val="24"/>
                <w:szCs w:val="24"/>
                <w:highlight w:val="none"/>
              </w:rPr>
            </w:pPr>
            <w:r>
              <w:rPr>
                <w:rFonts w:hint="eastAsia" w:ascii="宋体" w:hAnsi="宋体" w:cs="宋体"/>
                <w:b/>
                <w:bCs/>
                <w:color w:val="auto"/>
                <w:kern w:val="0"/>
                <w:sz w:val="24"/>
                <w:szCs w:val="24"/>
                <w:highlight w:val="none"/>
              </w:rPr>
              <w:t>3</w:t>
            </w:r>
          </w:p>
        </w:tc>
        <w:tc>
          <w:tcPr>
            <w:tcW w:w="564" w:type="pct"/>
            <w:vAlign w:val="center"/>
          </w:tcPr>
          <w:p w14:paraId="7D267A82">
            <w:pPr>
              <w:widowControl/>
              <w:spacing w:line="400" w:lineRule="exact"/>
              <w:jc w:val="center"/>
              <w:rPr>
                <w:rFonts w:hint="eastAsia" w:ascii="宋体" w:hAnsi="宋体" w:cs="宋体"/>
                <w:color w:val="auto"/>
                <w:sz w:val="24"/>
                <w:szCs w:val="24"/>
                <w:highlight w:val="none"/>
              </w:rPr>
            </w:pPr>
            <w:bookmarkStart w:id="34" w:name="OLE_LINK23"/>
            <w:r>
              <w:rPr>
                <w:rFonts w:hint="eastAsia" w:ascii="宋体" w:hAnsi="宋体" w:cs="宋体"/>
                <w:b/>
                <w:bCs/>
                <w:color w:val="auto"/>
                <w:sz w:val="24"/>
                <w:szCs w:val="24"/>
                <w:highlight w:val="none"/>
                <w:lang w:val="en-US" w:eastAsia="zh-CN"/>
              </w:rPr>
              <w:t>商务</w:t>
            </w:r>
            <w:r>
              <w:rPr>
                <w:rFonts w:hint="eastAsia" w:ascii="宋体" w:hAnsi="宋体" w:cs="宋体"/>
                <w:b/>
                <w:bCs/>
                <w:color w:val="auto"/>
                <w:sz w:val="24"/>
                <w:szCs w:val="24"/>
                <w:highlight w:val="none"/>
              </w:rPr>
              <w:t>分</w:t>
            </w:r>
            <w:bookmarkEnd w:id="34"/>
          </w:p>
        </w:tc>
        <w:tc>
          <w:tcPr>
            <w:tcW w:w="4095" w:type="pct"/>
            <w:gridSpan w:val="2"/>
            <w:vAlign w:val="center"/>
          </w:tcPr>
          <w:p w14:paraId="140DE0F2">
            <w:pPr>
              <w:widowControl/>
              <w:spacing w:line="400" w:lineRule="exact"/>
              <w:jc w:val="center"/>
              <w:rPr>
                <w:rFonts w:hint="eastAsia" w:ascii="宋体" w:hAnsi="宋体" w:cs="宋体"/>
                <w:color w:val="auto"/>
                <w:kern w:val="0"/>
                <w:sz w:val="24"/>
                <w:szCs w:val="24"/>
                <w:highlight w:val="none"/>
              </w:rPr>
            </w:pPr>
            <w:r>
              <w:rPr>
                <w:rFonts w:hint="eastAsia" w:ascii="宋体" w:hAnsi="宋体" w:cs="宋体"/>
                <w:b/>
                <w:bCs/>
                <w:color w:val="auto"/>
                <w:kern w:val="0"/>
                <w:sz w:val="24"/>
                <w:szCs w:val="24"/>
                <w:highlight w:val="none"/>
              </w:rPr>
              <w:t>评审因素</w:t>
            </w:r>
          </w:p>
        </w:tc>
      </w:tr>
      <w:tr w14:paraId="312A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40" w:type="pct"/>
            <w:vAlign w:val="center"/>
          </w:tcPr>
          <w:p w14:paraId="4CA78FF7">
            <w:pPr>
              <w:spacing w:line="400" w:lineRule="exact"/>
              <w:ind w:right="-105" w:rightChars="-50"/>
              <w:textAlignment w:val="baseline"/>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3.1</w:t>
            </w:r>
          </w:p>
        </w:tc>
        <w:tc>
          <w:tcPr>
            <w:tcW w:w="564" w:type="pct"/>
            <w:vAlign w:val="center"/>
          </w:tcPr>
          <w:p w14:paraId="3E689042">
            <w:pPr>
              <w:pStyle w:val="56"/>
              <w:keepNext w:val="0"/>
              <w:keepLines w:val="0"/>
              <w:pageBreakBefore w:val="0"/>
              <w:widowControl w:val="0"/>
              <w:suppressLineNumbers w:val="0"/>
              <w:kinsoku/>
              <w:wordWrap/>
              <w:autoSpaceDE w:val="0"/>
              <w:autoSpaceDN/>
              <w:bidi w:val="0"/>
              <w:spacing w:before="0" w:beforeAutospacing="0" w:after="0" w:afterAutospacing="0" w:line="400" w:lineRule="exact"/>
              <w:ind w:left="0" w:right="0"/>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业绩分</w:t>
            </w:r>
          </w:p>
          <w:p w14:paraId="49A25935">
            <w:pPr>
              <w:pStyle w:val="56"/>
              <w:keepNext w:val="0"/>
              <w:keepLines w:val="0"/>
              <w:pageBreakBefore w:val="0"/>
              <w:widowControl w:val="0"/>
              <w:suppressLineNumbers w:val="0"/>
              <w:kinsoku/>
              <w:wordWrap/>
              <w:autoSpaceDE w:val="0"/>
              <w:autoSpaceDN/>
              <w:bidi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
              </w:rPr>
              <w:t>（满分</w:t>
            </w:r>
            <w:r>
              <w:rPr>
                <w:rFonts w:hint="eastAsia" w:hAnsi="宋体" w:eastAsia="宋体" w:cs="宋体"/>
                <w:b/>
                <w:bCs/>
                <w:color w:val="auto"/>
                <w:kern w:val="2"/>
                <w:sz w:val="24"/>
                <w:szCs w:val="24"/>
                <w:highlight w:val="none"/>
                <w:lang w:val="en-US" w:eastAsia="zh-CN" w:bidi="ar"/>
              </w:rPr>
              <w:t>10</w:t>
            </w:r>
            <w:r>
              <w:rPr>
                <w:rFonts w:hint="eastAsia" w:ascii="宋体" w:hAnsi="宋体" w:eastAsia="宋体" w:cs="宋体"/>
                <w:b/>
                <w:bCs/>
                <w:color w:val="auto"/>
                <w:kern w:val="2"/>
                <w:sz w:val="24"/>
                <w:szCs w:val="24"/>
                <w:highlight w:val="none"/>
                <w:lang w:val="en-US" w:eastAsia="zh-CN" w:bidi="ar"/>
              </w:rPr>
              <w:t>分）</w:t>
            </w:r>
          </w:p>
        </w:tc>
        <w:tc>
          <w:tcPr>
            <w:tcW w:w="3655" w:type="pct"/>
            <w:vAlign w:val="center"/>
          </w:tcPr>
          <w:p w14:paraId="72DB63B0">
            <w:pPr>
              <w:keepNext w:val="0"/>
              <w:keepLines w:val="0"/>
              <w:pageBreakBefore w:val="0"/>
              <w:widowControl w:val="0"/>
              <w:suppressLineNumbers w:val="0"/>
              <w:kinsoku/>
              <w:wordWrap/>
              <w:autoSpaceDE w:val="0"/>
              <w:autoSpaceDN/>
              <w:bidi w:val="0"/>
              <w:spacing w:before="0" w:beforeAutospacing="0" w:after="0" w:afterAutospacing="0" w:line="400" w:lineRule="exact"/>
              <w:ind w:left="0" w:leftChars="0" w:right="0" w:rightChars="0" w:firstLine="0" w:firstLineChars="0"/>
              <w:jc w:val="both"/>
              <w:rPr>
                <w:rFonts w:hint="eastAsia" w:ascii="宋体" w:hAnsi="宋体" w:eastAsia="宋体" w:cs="宋体"/>
                <w:b w:val="0"/>
                <w:bCs w:val="0"/>
                <w:color w:val="auto"/>
                <w:kern w:val="2"/>
                <w:sz w:val="24"/>
                <w:szCs w:val="24"/>
                <w:highlight w:val="none"/>
                <w:lang w:val="en-US" w:eastAsia="zh-CN" w:bidi="ar"/>
              </w:rPr>
            </w:pPr>
            <w:r>
              <w:rPr>
                <w:rFonts w:hint="eastAsia" w:ascii="宋体" w:hAnsi="宋体" w:eastAsia="宋体" w:cs="宋体"/>
                <w:b w:val="0"/>
                <w:bCs w:val="0"/>
                <w:color w:val="auto"/>
                <w:kern w:val="2"/>
                <w:sz w:val="24"/>
                <w:szCs w:val="24"/>
                <w:highlight w:val="none"/>
                <w:lang w:val="en-US" w:eastAsia="zh-CN" w:bidi="ar"/>
              </w:rPr>
              <w:t>供应商自202</w:t>
            </w:r>
            <w:r>
              <w:rPr>
                <w:rFonts w:hint="eastAsia" w:ascii="宋体" w:hAnsi="宋体" w:cs="宋体"/>
                <w:b w:val="0"/>
                <w:bCs w:val="0"/>
                <w:color w:val="auto"/>
                <w:kern w:val="2"/>
                <w:sz w:val="24"/>
                <w:szCs w:val="24"/>
                <w:highlight w:val="none"/>
                <w:lang w:val="en-US" w:eastAsia="zh-CN" w:bidi="ar"/>
              </w:rPr>
              <w:t>3</w:t>
            </w:r>
            <w:r>
              <w:rPr>
                <w:rFonts w:hint="eastAsia" w:ascii="宋体" w:hAnsi="宋体" w:eastAsia="宋体" w:cs="宋体"/>
                <w:b w:val="0"/>
                <w:bCs w:val="0"/>
                <w:color w:val="auto"/>
                <w:kern w:val="2"/>
                <w:sz w:val="24"/>
                <w:szCs w:val="24"/>
                <w:highlight w:val="none"/>
                <w:lang w:val="en-US" w:eastAsia="zh-CN" w:bidi="ar"/>
              </w:rPr>
              <w:t>年 1 月 1 日以来承担过类似</w:t>
            </w:r>
            <w:r>
              <w:rPr>
                <w:rFonts w:hint="eastAsia" w:ascii="宋体" w:hAnsi="宋体" w:cs="宋体"/>
                <w:b w:val="0"/>
                <w:bCs w:val="0"/>
                <w:color w:val="auto"/>
                <w:kern w:val="2"/>
                <w:sz w:val="24"/>
                <w:szCs w:val="24"/>
                <w:highlight w:val="none"/>
                <w:lang w:val="en-US" w:eastAsia="zh-CN" w:bidi="ar"/>
              </w:rPr>
              <w:t>高标准农田建设项目竣工验收或土壤检测</w:t>
            </w:r>
            <w:r>
              <w:rPr>
                <w:rFonts w:hint="eastAsia" w:ascii="宋体" w:hAnsi="宋体" w:eastAsia="宋体" w:cs="宋体"/>
                <w:b w:val="0"/>
                <w:bCs w:val="0"/>
                <w:color w:val="auto"/>
                <w:kern w:val="2"/>
                <w:sz w:val="24"/>
                <w:szCs w:val="24"/>
                <w:highlight w:val="none"/>
                <w:lang w:val="en-US" w:eastAsia="zh-CN" w:bidi="ar"/>
              </w:rPr>
              <w:t>工作的，每项业绩得</w:t>
            </w:r>
            <w:r>
              <w:rPr>
                <w:rFonts w:hint="eastAsia" w:ascii="宋体" w:hAnsi="宋体" w:cs="宋体"/>
                <w:b w:val="0"/>
                <w:bCs w:val="0"/>
                <w:color w:val="auto"/>
                <w:kern w:val="2"/>
                <w:sz w:val="24"/>
                <w:szCs w:val="24"/>
                <w:highlight w:val="none"/>
                <w:lang w:val="en-US" w:eastAsia="zh-CN" w:bidi="ar"/>
              </w:rPr>
              <w:t>5</w:t>
            </w:r>
            <w:r>
              <w:rPr>
                <w:rFonts w:hint="eastAsia" w:ascii="宋体" w:hAnsi="宋体" w:eastAsia="宋体" w:cs="宋体"/>
                <w:b w:val="0"/>
                <w:bCs w:val="0"/>
                <w:color w:val="auto"/>
                <w:kern w:val="2"/>
                <w:sz w:val="24"/>
                <w:szCs w:val="24"/>
                <w:highlight w:val="none"/>
                <w:lang w:val="en-US" w:eastAsia="zh-CN" w:bidi="ar"/>
              </w:rPr>
              <w:t>分，满分10分。</w:t>
            </w:r>
          </w:p>
          <w:p w14:paraId="0B995C53">
            <w:pPr>
              <w:keepNext w:val="0"/>
              <w:keepLines w:val="0"/>
              <w:pageBreakBefore w:val="0"/>
              <w:widowControl w:val="0"/>
              <w:suppressLineNumbers w:val="0"/>
              <w:kinsoku/>
              <w:wordWrap/>
              <w:autoSpaceDE w:val="0"/>
              <w:autoSpaceDN/>
              <w:bidi w:val="0"/>
              <w:spacing w:before="0" w:beforeAutospacing="0" w:after="0" w:afterAutospacing="0" w:line="400" w:lineRule="exact"/>
              <w:ind w:left="0" w:leftChars="0" w:right="0" w:rightChars="0" w:firstLine="0" w:firstLineChars="0"/>
              <w:jc w:val="both"/>
              <w:rPr>
                <w:rFonts w:hint="default" w:ascii="宋体" w:hAnsi="宋体"/>
                <w:color w:val="auto"/>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
              </w:rPr>
              <w:t>注：</w:t>
            </w:r>
            <w:r>
              <w:rPr>
                <w:rFonts w:hint="eastAsia" w:ascii="宋体" w:hAnsi="宋体" w:eastAsia="宋体" w:cs="宋体"/>
                <w:b/>
                <w:bCs/>
                <w:color w:val="auto"/>
                <w:kern w:val="2"/>
                <w:sz w:val="24"/>
                <w:szCs w:val="24"/>
                <w:highlight w:val="none"/>
                <w:lang w:val="en-US" w:eastAsia="zh-CN" w:bidi="ar"/>
              </w:rPr>
              <w:t>须提供有效的合同或中标（成交）通知书复印件</w:t>
            </w:r>
            <w:r>
              <w:rPr>
                <w:rFonts w:hint="eastAsia" w:ascii="宋体" w:hAnsi="宋体" w:cs="宋体"/>
                <w:b/>
                <w:bCs/>
                <w:color w:val="auto"/>
                <w:kern w:val="2"/>
                <w:sz w:val="24"/>
                <w:szCs w:val="24"/>
                <w:highlight w:val="none"/>
                <w:lang w:val="en-US" w:eastAsia="zh-CN" w:bidi="ar"/>
              </w:rPr>
              <w:t>（需清晰体现项目内容）</w:t>
            </w:r>
            <w:r>
              <w:rPr>
                <w:rFonts w:hint="eastAsia" w:ascii="宋体" w:hAnsi="宋体" w:eastAsia="宋体" w:cs="宋体"/>
                <w:b/>
                <w:bCs/>
                <w:color w:val="auto"/>
                <w:kern w:val="2"/>
                <w:sz w:val="24"/>
                <w:szCs w:val="24"/>
                <w:highlight w:val="none"/>
                <w:lang w:val="en-US" w:eastAsia="zh-CN" w:bidi="ar"/>
              </w:rPr>
              <w:t>，</w:t>
            </w:r>
            <w:r>
              <w:rPr>
                <w:rFonts w:hint="eastAsia" w:ascii="宋体" w:hAnsi="宋体" w:cs="宋体"/>
                <w:b/>
                <w:bCs/>
                <w:color w:val="auto"/>
                <w:kern w:val="2"/>
                <w:sz w:val="24"/>
                <w:szCs w:val="24"/>
                <w:highlight w:val="none"/>
                <w:lang w:val="en-US" w:eastAsia="zh-CN" w:bidi="ar"/>
              </w:rPr>
              <w:t>联合体各方提供均可计算，</w:t>
            </w:r>
            <w:r>
              <w:rPr>
                <w:rFonts w:hint="eastAsia"/>
                <w:b/>
                <w:bCs/>
                <w:color w:val="auto"/>
                <w:sz w:val="24"/>
                <w:szCs w:val="24"/>
                <w:highlight w:val="none"/>
                <w:lang w:val="en-US" w:eastAsia="zh-CN" w:bidi="ar"/>
              </w:rPr>
              <w:t>复印件</w:t>
            </w:r>
            <w:r>
              <w:rPr>
                <w:rFonts w:hint="eastAsia" w:ascii="宋体" w:hAnsi="宋体" w:eastAsia="宋体" w:cs="宋体"/>
                <w:b/>
                <w:bCs/>
                <w:color w:val="auto"/>
                <w:kern w:val="2"/>
                <w:sz w:val="24"/>
                <w:szCs w:val="24"/>
                <w:highlight w:val="none"/>
                <w:lang w:val="en-US" w:eastAsia="zh-CN" w:bidi="ar"/>
              </w:rPr>
              <w:t>加盖供应商公章</w:t>
            </w:r>
            <w:r>
              <w:rPr>
                <w:rFonts w:hint="eastAsia" w:ascii="宋体" w:hAnsi="宋体" w:cs="宋体"/>
                <w:b/>
                <w:bCs/>
                <w:color w:val="auto"/>
                <w:kern w:val="2"/>
                <w:sz w:val="24"/>
                <w:szCs w:val="24"/>
                <w:highlight w:val="none"/>
                <w:lang w:val="en-US" w:eastAsia="zh-CN" w:bidi="ar"/>
              </w:rPr>
              <w:t>，否则不予计分</w:t>
            </w:r>
            <w:r>
              <w:rPr>
                <w:rFonts w:hint="eastAsia" w:ascii="宋体" w:hAnsi="宋体" w:eastAsia="宋体" w:cs="宋体"/>
                <w:b/>
                <w:bCs/>
                <w:color w:val="auto"/>
                <w:kern w:val="2"/>
                <w:sz w:val="24"/>
                <w:szCs w:val="24"/>
                <w:highlight w:val="none"/>
                <w:lang w:val="en-US" w:eastAsia="zh-CN" w:bidi="ar"/>
              </w:rPr>
              <w:t>。</w:t>
            </w:r>
          </w:p>
        </w:tc>
        <w:tc>
          <w:tcPr>
            <w:tcW w:w="439" w:type="pct"/>
            <w:vAlign w:val="center"/>
          </w:tcPr>
          <w:p w14:paraId="0182B318">
            <w:pPr>
              <w:spacing w:line="420" w:lineRule="atLeast"/>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10</w:t>
            </w:r>
          </w:p>
        </w:tc>
      </w:tr>
      <w:tr w14:paraId="16EF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560" w:type="pct"/>
            <w:gridSpan w:val="3"/>
            <w:vAlign w:val="center"/>
          </w:tcPr>
          <w:p w14:paraId="7C63729B">
            <w:pPr>
              <w:spacing w:line="400" w:lineRule="exact"/>
              <w:rPr>
                <w:rFonts w:hint="eastAsia" w:ascii="宋体" w:hAnsi="宋体" w:cs="宋体"/>
                <w:bCs/>
                <w:color w:val="auto"/>
                <w:sz w:val="24"/>
                <w:szCs w:val="24"/>
                <w:highlight w:val="none"/>
              </w:rPr>
            </w:pPr>
            <w:r>
              <w:rPr>
                <w:rFonts w:hint="eastAsia" w:ascii="宋体" w:hAnsi="宋体" w:cs="宋体"/>
                <w:b/>
                <w:bCs/>
                <w:color w:val="auto"/>
                <w:sz w:val="24"/>
                <w:szCs w:val="24"/>
                <w:highlight w:val="none"/>
                <w:lang w:bidi="ar"/>
              </w:rPr>
              <w:t>总得分</w:t>
            </w:r>
            <w:r>
              <w:rPr>
                <w:rFonts w:ascii="宋体" w:hAnsi="宋体" w:cs="宋体"/>
                <w:b/>
                <w:bCs/>
                <w:color w:val="auto"/>
                <w:sz w:val="24"/>
                <w:szCs w:val="24"/>
                <w:highlight w:val="none"/>
                <w:lang w:bidi="ar"/>
              </w:rPr>
              <w:t>=</w:t>
            </w:r>
            <w:r>
              <w:rPr>
                <w:rFonts w:hint="eastAsia" w:ascii="宋体" w:hAnsi="宋体" w:cs="宋体"/>
                <w:b/>
                <w:bCs/>
                <w:color w:val="auto"/>
                <w:sz w:val="24"/>
                <w:szCs w:val="24"/>
                <w:highlight w:val="none"/>
                <w:lang w:val="en-US" w:eastAsia="zh-CN" w:bidi="ar"/>
              </w:rPr>
              <w:t>价格分</w:t>
            </w:r>
            <w:r>
              <w:rPr>
                <w:rFonts w:hint="eastAsia" w:ascii="宋体" w:hAnsi="宋体" w:cs="宋体"/>
                <w:b/>
                <w:bCs/>
                <w:color w:val="auto"/>
                <w:sz w:val="24"/>
                <w:szCs w:val="24"/>
                <w:highlight w:val="none"/>
                <w:lang w:bidi="ar"/>
              </w:rPr>
              <w:t>＋</w:t>
            </w:r>
            <w:r>
              <w:rPr>
                <w:rFonts w:hint="eastAsia" w:ascii="宋体" w:hAnsi="宋体" w:cs="宋体"/>
                <w:b/>
                <w:bCs/>
                <w:color w:val="auto"/>
                <w:sz w:val="24"/>
                <w:szCs w:val="24"/>
                <w:highlight w:val="none"/>
                <w:lang w:val="en-US" w:eastAsia="zh-CN" w:bidi="ar"/>
              </w:rPr>
              <w:t>技术分</w:t>
            </w:r>
            <w:r>
              <w:rPr>
                <w:rFonts w:hint="eastAsia" w:ascii="宋体" w:hAnsi="宋体" w:cs="宋体"/>
                <w:b/>
                <w:bCs/>
                <w:color w:val="auto"/>
                <w:sz w:val="24"/>
                <w:szCs w:val="24"/>
                <w:highlight w:val="none"/>
                <w:lang w:bidi="ar"/>
              </w:rPr>
              <w:t>+</w:t>
            </w:r>
            <w:r>
              <w:rPr>
                <w:rFonts w:hint="eastAsia" w:ascii="宋体" w:hAnsi="宋体" w:cs="宋体"/>
                <w:b/>
                <w:bCs/>
                <w:color w:val="auto"/>
                <w:sz w:val="24"/>
                <w:szCs w:val="24"/>
                <w:highlight w:val="none"/>
                <w:lang w:val="en-US" w:eastAsia="zh-CN" w:bidi="ar"/>
              </w:rPr>
              <w:t>商务分</w:t>
            </w:r>
          </w:p>
        </w:tc>
        <w:tc>
          <w:tcPr>
            <w:tcW w:w="439" w:type="pct"/>
            <w:vAlign w:val="center"/>
          </w:tcPr>
          <w:p w14:paraId="337F7FEF">
            <w:pPr>
              <w:widowControl/>
              <w:spacing w:line="400" w:lineRule="exac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100分</w:t>
            </w:r>
          </w:p>
        </w:tc>
      </w:tr>
    </w:tbl>
    <w:p w14:paraId="6BA88633">
      <w:pPr>
        <w:rPr>
          <w:color w:val="auto"/>
          <w:highlight w:val="none"/>
        </w:rPr>
      </w:pPr>
    </w:p>
    <w:p w14:paraId="690E9586">
      <w:pPr>
        <w:spacing w:line="360" w:lineRule="auto"/>
        <w:ind w:firstLine="480" w:firstLineChars="200"/>
        <w:rPr>
          <w:rFonts w:ascii="宋体" w:hAnsi="宋体"/>
          <w:color w:val="auto"/>
          <w:sz w:val="24"/>
          <w:szCs w:val="24"/>
          <w:highlight w:val="none"/>
        </w:rPr>
      </w:pPr>
      <w:r>
        <w:rPr>
          <w:rFonts w:ascii="宋体" w:hAnsi="宋体"/>
          <w:bCs/>
          <w:color w:val="auto"/>
          <w:sz w:val="24"/>
          <w:szCs w:val="24"/>
          <w:highlight w:val="none"/>
        </w:rPr>
        <w:t>7.</w:t>
      </w:r>
      <w:r>
        <w:rPr>
          <w:rFonts w:hint="eastAsia" w:ascii="宋体" w:hAnsi="宋体"/>
          <w:bCs/>
          <w:color w:val="auto"/>
          <w:sz w:val="24"/>
          <w:szCs w:val="24"/>
          <w:highlight w:val="none"/>
        </w:rPr>
        <w:t>由磋商小组根据综合评分情况，按照评审得分由高到低顺序推荐3名以上成交候选供应商，并编写评审报告，</w:t>
      </w:r>
      <w:r>
        <w:rPr>
          <w:rFonts w:hint="eastAsia" w:ascii="宋体" w:hAnsi="宋体" w:cs="宋体"/>
          <w:color w:val="auto"/>
          <w:sz w:val="24"/>
          <w:szCs w:val="24"/>
          <w:highlight w:val="none"/>
        </w:rPr>
        <w:t>评审报告</w:t>
      </w:r>
      <w:r>
        <w:rPr>
          <w:rFonts w:hint="eastAsia" w:hAnsi="宋体"/>
          <w:color w:val="auto"/>
          <w:sz w:val="24"/>
          <w:szCs w:val="24"/>
          <w:highlight w:val="none"/>
        </w:rPr>
        <w:t>通过电子交易平台向采购人、采购代理机构提交。</w:t>
      </w:r>
      <w:r>
        <w:rPr>
          <w:rFonts w:hint="eastAsia" w:ascii="宋体" w:hAnsi="宋体"/>
          <w:bCs/>
          <w:color w:val="auto"/>
          <w:sz w:val="24"/>
          <w:szCs w:val="24"/>
          <w:highlight w:val="none"/>
        </w:rPr>
        <w:t>评审得分相同的，按照最后报价由低到高的顺序推荐。评审得分且最后报价相同的，按照技术指标优劣顺序推荐（按技术得分由高到低排序，技术得分相同的按照</w:t>
      </w:r>
      <w:r>
        <w:rPr>
          <w:rFonts w:hint="eastAsia" w:ascii="宋体" w:hAnsi="宋体"/>
          <w:bCs/>
          <w:color w:val="auto"/>
          <w:sz w:val="24"/>
          <w:szCs w:val="24"/>
          <w:highlight w:val="none"/>
          <w:lang w:val="en-US" w:eastAsia="zh-CN"/>
        </w:rPr>
        <w:t>商务得</w:t>
      </w:r>
      <w:r>
        <w:rPr>
          <w:rFonts w:hint="eastAsia" w:ascii="宋体" w:hAnsi="宋体"/>
          <w:bCs/>
          <w:color w:val="auto"/>
          <w:sz w:val="24"/>
          <w:szCs w:val="24"/>
          <w:highlight w:val="none"/>
        </w:rPr>
        <w:t>分由高到低排序）。评审得分、最后报价、技术得分、</w:t>
      </w:r>
      <w:r>
        <w:rPr>
          <w:rFonts w:hint="eastAsia" w:ascii="宋体" w:hAnsi="宋体"/>
          <w:bCs/>
          <w:color w:val="auto"/>
          <w:sz w:val="24"/>
          <w:szCs w:val="24"/>
          <w:highlight w:val="none"/>
          <w:lang w:val="en-US" w:eastAsia="zh-CN"/>
        </w:rPr>
        <w:t>商务得</w:t>
      </w:r>
      <w:r>
        <w:rPr>
          <w:rFonts w:hint="eastAsia" w:ascii="宋体" w:hAnsi="宋体"/>
          <w:bCs/>
          <w:color w:val="auto"/>
          <w:sz w:val="24"/>
          <w:szCs w:val="24"/>
          <w:highlight w:val="none"/>
        </w:rPr>
        <w:t>分均相同的，由</w:t>
      </w:r>
      <w:r>
        <w:rPr>
          <w:rFonts w:hint="eastAsia" w:ascii="宋体" w:hAnsi="宋体"/>
          <w:bCs/>
          <w:color w:val="auto"/>
          <w:sz w:val="24"/>
          <w:szCs w:val="24"/>
          <w:highlight w:val="none"/>
          <w:lang w:val="en-US" w:eastAsia="zh-CN"/>
        </w:rPr>
        <w:t>磋商小组集体讨论推选</w:t>
      </w:r>
      <w:r>
        <w:rPr>
          <w:rFonts w:hint="eastAsia" w:ascii="宋体" w:hAnsi="宋体"/>
          <w:bCs/>
          <w:color w:val="auto"/>
          <w:sz w:val="24"/>
          <w:szCs w:val="24"/>
          <w:highlight w:val="none"/>
        </w:rPr>
        <w:t>。</w:t>
      </w:r>
    </w:p>
    <w:p w14:paraId="6BAC3765">
      <w:pPr>
        <w:adjustRightInd/>
        <w:spacing w:line="360" w:lineRule="auto"/>
        <w:ind w:firstLine="482" w:firstLineChars="200"/>
        <w:rPr>
          <w:rFonts w:hint="eastAsia" w:cs="Arial" w:asciiTheme="minorEastAsia" w:hAnsiTheme="minorEastAsia" w:eastAsiaTheme="minorEastAsia"/>
          <w:b/>
          <w:color w:val="auto"/>
          <w:kern w:val="0"/>
          <w:sz w:val="24"/>
          <w:highlight w:val="none"/>
        </w:rPr>
      </w:pPr>
    </w:p>
    <w:p w14:paraId="68AC1DA6">
      <w:pPr>
        <w:rPr>
          <w:rFonts w:hint="eastAsia" w:cs="仿宋_GB2312" w:asciiTheme="minorEastAsia" w:hAnsiTheme="minorEastAsia" w:eastAsiaTheme="minorEastAsia"/>
          <w:b/>
          <w:color w:val="auto"/>
          <w:sz w:val="36"/>
          <w:szCs w:val="36"/>
          <w:highlight w:val="none"/>
        </w:rPr>
      </w:pPr>
      <w:bookmarkStart w:id="35" w:name="_Toc12398"/>
      <w:r>
        <w:rPr>
          <w:rFonts w:hint="eastAsia" w:cs="仿宋_GB2312" w:asciiTheme="minorEastAsia" w:hAnsiTheme="minorEastAsia" w:eastAsiaTheme="minorEastAsia"/>
          <w:b/>
          <w:color w:val="auto"/>
          <w:sz w:val="36"/>
          <w:szCs w:val="36"/>
          <w:highlight w:val="none"/>
        </w:rPr>
        <w:br w:type="page"/>
      </w:r>
    </w:p>
    <w:p w14:paraId="566F8F63">
      <w:pPr>
        <w:spacing w:line="360" w:lineRule="auto"/>
        <w:jc w:val="center"/>
        <w:outlineLvl w:val="0"/>
        <w:rPr>
          <w:rFonts w:hint="eastAsia" w:cs="仿宋_GB2312" w:asciiTheme="minorEastAsia" w:hAnsiTheme="minorEastAsia" w:eastAsiaTheme="minorEastAsia"/>
          <w:b/>
          <w:color w:val="auto"/>
          <w:sz w:val="36"/>
          <w:szCs w:val="36"/>
          <w:highlight w:val="none"/>
        </w:rPr>
      </w:pPr>
      <w:r>
        <w:rPr>
          <w:rFonts w:hint="eastAsia" w:cs="仿宋_GB2312" w:asciiTheme="minorEastAsia" w:hAnsiTheme="minorEastAsia" w:eastAsiaTheme="minorEastAsia"/>
          <w:b/>
          <w:color w:val="auto"/>
          <w:sz w:val="36"/>
          <w:szCs w:val="36"/>
          <w:highlight w:val="none"/>
        </w:rPr>
        <w:t>第六部分</w:t>
      </w:r>
      <w:bookmarkEnd w:id="33"/>
      <w:r>
        <w:rPr>
          <w:rFonts w:hint="eastAsia" w:cs="仿宋_GB2312" w:asciiTheme="minorEastAsia" w:hAnsiTheme="minorEastAsia" w:eastAsiaTheme="minorEastAsia"/>
          <w:b/>
          <w:color w:val="auto"/>
          <w:sz w:val="36"/>
          <w:szCs w:val="36"/>
          <w:highlight w:val="none"/>
        </w:rPr>
        <w:t xml:space="preserve">  拟签订的合同文本</w:t>
      </w:r>
      <w:bookmarkEnd w:id="35"/>
    </w:p>
    <w:p w14:paraId="649B5D6D">
      <w:pPr>
        <w:pStyle w:val="32"/>
        <w:spacing w:line="360" w:lineRule="auto"/>
        <w:jc w:val="center"/>
        <w:rPr>
          <w:rFonts w:hint="eastAsia" w:ascii="宋体" w:hAnsi="宋体" w:eastAsia="宋体" w:cs="宋体"/>
          <w:b/>
          <w:color w:val="auto"/>
          <w:sz w:val="52"/>
          <w:szCs w:val="52"/>
          <w:highlight w:val="none"/>
        </w:rPr>
      </w:pPr>
      <w:bookmarkStart w:id="36" w:name="第五部分"/>
      <w:bookmarkStart w:id="37" w:name="_Toc86217003"/>
    </w:p>
    <w:p w14:paraId="78A9D368">
      <w:pPr>
        <w:spacing w:line="48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lang w:val="en-US" w:eastAsia="zh-CN"/>
        </w:rPr>
        <w:t>政府</w:t>
      </w:r>
      <w:r>
        <w:rPr>
          <w:rFonts w:hint="eastAsia" w:ascii="宋体" w:hAnsi="宋体" w:cs="宋体"/>
          <w:b/>
          <w:color w:val="auto"/>
          <w:sz w:val="36"/>
          <w:szCs w:val="36"/>
          <w:highlight w:val="none"/>
        </w:rPr>
        <w:t>采购合同参考范本</w:t>
      </w:r>
    </w:p>
    <w:p w14:paraId="53939A34">
      <w:pPr>
        <w:spacing w:line="48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（服务类）</w:t>
      </w:r>
    </w:p>
    <w:p w14:paraId="215A6D18">
      <w:pPr>
        <w:pStyle w:val="282"/>
        <w:ind w:firstLine="2843" w:firstLineChars="1180"/>
        <w:rPr>
          <w:rFonts w:ascii="宋体" w:hAnsi="宋体" w:cs="宋体"/>
          <w:b/>
          <w:color w:val="auto"/>
          <w:szCs w:val="24"/>
          <w:highlight w:val="none"/>
        </w:rPr>
      </w:pPr>
    </w:p>
    <w:p w14:paraId="1CA2DA7E">
      <w:pPr>
        <w:pStyle w:val="24"/>
        <w:spacing w:after="120"/>
        <w:rPr>
          <w:color w:val="auto"/>
          <w:highlight w:val="none"/>
        </w:rPr>
      </w:pPr>
    </w:p>
    <w:p w14:paraId="5F5D73BD">
      <w:pPr>
        <w:pStyle w:val="24"/>
        <w:spacing w:after="120"/>
        <w:rPr>
          <w:color w:val="auto"/>
          <w:highlight w:val="none"/>
        </w:rPr>
      </w:pPr>
    </w:p>
    <w:p w14:paraId="7C75466B">
      <w:pPr>
        <w:pStyle w:val="24"/>
        <w:spacing w:after="120"/>
        <w:rPr>
          <w:color w:val="auto"/>
          <w:highlight w:val="none"/>
        </w:rPr>
      </w:pPr>
    </w:p>
    <w:p w14:paraId="7C4AB7B2">
      <w:pPr>
        <w:pStyle w:val="24"/>
        <w:spacing w:after="120"/>
        <w:rPr>
          <w:color w:val="auto"/>
          <w:highlight w:val="none"/>
        </w:rPr>
      </w:pPr>
    </w:p>
    <w:p w14:paraId="3AFB8515">
      <w:pPr>
        <w:adjustRightInd/>
        <w:spacing w:line="360" w:lineRule="auto"/>
        <w:ind w:left="1680" w:leftChars="800"/>
        <w:rPr>
          <w:color w:val="auto"/>
          <w:sz w:val="21"/>
          <w:szCs w:val="21"/>
          <w:highlight w:val="none"/>
        </w:rPr>
      </w:pPr>
      <w:r>
        <w:rPr>
          <w:rFonts w:hint="eastAsia" w:ascii="宋体" w:hAnsi="宋体" w:cs="宋体"/>
          <w:color w:val="auto"/>
          <w:kern w:val="0"/>
          <w:sz w:val="21"/>
          <w:szCs w:val="21"/>
          <w:highlight w:val="none"/>
        </w:rPr>
        <w:t>项目名称：</w:t>
      </w:r>
      <w:r>
        <w:rPr>
          <w:color w:val="auto"/>
          <w:sz w:val="21"/>
          <w:szCs w:val="21"/>
          <w:highlight w:val="none"/>
          <w:u w:val="single"/>
        </w:rPr>
        <w:t xml:space="preserve">                             </w:t>
      </w:r>
    </w:p>
    <w:p w14:paraId="4FAF5269">
      <w:pPr>
        <w:adjustRightInd/>
        <w:spacing w:line="360" w:lineRule="auto"/>
        <w:ind w:left="1680" w:leftChars="800"/>
        <w:rPr>
          <w:color w:val="auto"/>
          <w:sz w:val="21"/>
          <w:szCs w:val="21"/>
          <w:highlight w:val="none"/>
          <w:u w:val="single"/>
        </w:rPr>
      </w:pPr>
      <w:r>
        <w:rPr>
          <w:rFonts w:hint="eastAsia"/>
          <w:color w:val="auto"/>
          <w:sz w:val="21"/>
          <w:szCs w:val="21"/>
          <w:highlight w:val="none"/>
        </w:rPr>
        <w:t>合同编号：</w:t>
      </w:r>
      <w:r>
        <w:rPr>
          <w:color w:val="auto"/>
          <w:sz w:val="21"/>
          <w:szCs w:val="21"/>
          <w:highlight w:val="none"/>
          <w:u w:val="single"/>
        </w:rPr>
        <w:t xml:space="preserve">                             </w:t>
      </w:r>
    </w:p>
    <w:p w14:paraId="1B7C6E18">
      <w:pPr>
        <w:adjustRightInd/>
        <w:spacing w:line="360" w:lineRule="auto"/>
        <w:ind w:left="1680" w:leftChars="800"/>
        <w:rPr>
          <w:color w:val="auto"/>
          <w:sz w:val="21"/>
          <w:szCs w:val="21"/>
          <w:highlight w:val="none"/>
        </w:rPr>
      </w:pPr>
      <w:r>
        <w:rPr>
          <w:rFonts w:hint="eastAsia"/>
          <w:color w:val="auto"/>
          <w:sz w:val="21"/>
          <w:szCs w:val="21"/>
          <w:highlight w:val="none"/>
        </w:rPr>
        <w:t>甲</w:t>
      </w:r>
      <w:r>
        <w:rPr>
          <w:color w:val="auto"/>
          <w:sz w:val="21"/>
          <w:szCs w:val="21"/>
          <w:highlight w:val="none"/>
        </w:rPr>
        <w:t xml:space="preserve">    </w:t>
      </w:r>
      <w:r>
        <w:rPr>
          <w:rFonts w:hint="eastAsia"/>
          <w:color w:val="auto"/>
          <w:sz w:val="21"/>
          <w:szCs w:val="21"/>
          <w:highlight w:val="none"/>
        </w:rPr>
        <w:t>方：</w:t>
      </w:r>
      <w:r>
        <w:rPr>
          <w:color w:val="auto"/>
          <w:sz w:val="21"/>
          <w:szCs w:val="21"/>
          <w:highlight w:val="none"/>
          <w:u w:val="single"/>
        </w:rPr>
        <w:t xml:space="preserve">                             </w:t>
      </w:r>
    </w:p>
    <w:p w14:paraId="1501553D">
      <w:pPr>
        <w:adjustRightInd/>
        <w:spacing w:line="360" w:lineRule="auto"/>
        <w:ind w:left="1680" w:leftChars="800"/>
        <w:rPr>
          <w:color w:val="auto"/>
          <w:sz w:val="21"/>
          <w:szCs w:val="21"/>
          <w:highlight w:val="none"/>
          <w:u w:val="single"/>
        </w:rPr>
      </w:pPr>
      <w:r>
        <w:rPr>
          <w:rFonts w:hint="eastAsia"/>
          <w:color w:val="auto"/>
          <w:sz w:val="21"/>
          <w:szCs w:val="21"/>
          <w:highlight w:val="none"/>
        </w:rPr>
        <w:t>乙</w:t>
      </w:r>
      <w:r>
        <w:rPr>
          <w:color w:val="auto"/>
          <w:sz w:val="21"/>
          <w:szCs w:val="21"/>
          <w:highlight w:val="none"/>
        </w:rPr>
        <w:t xml:space="preserve">    </w:t>
      </w:r>
      <w:r>
        <w:rPr>
          <w:rFonts w:hint="eastAsia"/>
          <w:color w:val="auto"/>
          <w:sz w:val="21"/>
          <w:szCs w:val="21"/>
          <w:highlight w:val="none"/>
        </w:rPr>
        <w:t>方：</w:t>
      </w:r>
      <w:r>
        <w:rPr>
          <w:color w:val="auto"/>
          <w:sz w:val="21"/>
          <w:szCs w:val="21"/>
          <w:highlight w:val="none"/>
          <w:u w:val="single"/>
        </w:rPr>
        <w:t xml:space="preserve">                             </w:t>
      </w:r>
    </w:p>
    <w:p w14:paraId="73BA5B93">
      <w:pPr>
        <w:adjustRightInd/>
        <w:ind w:left="1680" w:leftChars="800"/>
        <w:rPr>
          <w:rFonts w:hint="eastAsia" w:ascii="宋体" w:hAnsi="宋体" w:eastAsia="宋体" w:cs="宋体"/>
          <w:color w:val="auto"/>
          <w:kern w:val="0"/>
          <w:szCs w:val="21"/>
          <w:highlight w:val="none"/>
          <w:lang w:val="en-US" w:eastAsia="zh-CN"/>
        </w:rPr>
      </w:pPr>
      <w:r>
        <w:rPr>
          <w:rFonts w:hint="eastAsia" w:ascii="宋体" w:hAnsi="宋体" w:cs="宋体"/>
          <w:color w:val="auto"/>
          <w:kern w:val="0"/>
          <w:sz w:val="21"/>
          <w:szCs w:val="21"/>
          <w:highlight w:val="none"/>
          <w:u w:val="none"/>
          <w:lang w:val="en-US" w:eastAsia="zh-CN"/>
        </w:rPr>
        <w:t>日    期：</w:t>
      </w:r>
      <w:r>
        <w:rPr>
          <w:color w:val="auto"/>
          <w:sz w:val="21"/>
          <w:szCs w:val="21"/>
          <w:highlight w:val="none"/>
          <w:u w:val="single"/>
        </w:rPr>
        <w:t xml:space="preserve">                             </w:t>
      </w:r>
    </w:p>
    <w:p w14:paraId="24968BAD">
      <w:pPr>
        <w:pStyle w:val="633"/>
        <w:rPr>
          <w:color w:val="auto"/>
          <w:sz w:val="21"/>
          <w:szCs w:val="21"/>
          <w:highlight w:val="none"/>
        </w:rPr>
      </w:pPr>
    </w:p>
    <w:p w14:paraId="21176F24">
      <w:pPr>
        <w:pStyle w:val="633"/>
        <w:rPr>
          <w:color w:val="auto"/>
          <w:sz w:val="21"/>
          <w:szCs w:val="21"/>
          <w:highlight w:val="none"/>
        </w:rPr>
      </w:pPr>
    </w:p>
    <w:p w14:paraId="31F679F9">
      <w:pPr>
        <w:pStyle w:val="633"/>
        <w:rPr>
          <w:color w:val="auto"/>
          <w:sz w:val="21"/>
          <w:szCs w:val="21"/>
          <w:highlight w:val="none"/>
        </w:rPr>
      </w:pPr>
    </w:p>
    <w:p w14:paraId="73F04B0B">
      <w:pPr>
        <w:pStyle w:val="633"/>
        <w:rPr>
          <w:color w:val="auto"/>
          <w:sz w:val="21"/>
          <w:szCs w:val="21"/>
          <w:highlight w:val="none"/>
        </w:rPr>
      </w:pPr>
    </w:p>
    <w:p w14:paraId="7A935397">
      <w:pPr>
        <w:pStyle w:val="633"/>
        <w:jc w:val="center"/>
        <w:rPr>
          <w:rFonts w:ascii="宋体" w:hAnsi="宋体" w:cs="宋体"/>
          <w:b/>
          <w:color w:val="auto"/>
          <w:sz w:val="24"/>
          <w:szCs w:val="24"/>
          <w:highlight w:val="none"/>
        </w:rPr>
      </w:pPr>
      <w:r>
        <w:rPr>
          <w:color w:val="auto"/>
          <w:sz w:val="21"/>
          <w:szCs w:val="21"/>
          <w:highlight w:val="none"/>
        </w:rPr>
        <w:br w:type="page"/>
      </w:r>
      <w:bookmarkStart w:id="38" w:name="_Toc22209"/>
      <w:r>
        <w:rPr>
          <w:rFonts w:hint="eastAsia" w:ascii="宋体" w:hAnsi="宋体"/>
          <w:b/>
          <w:color w:val="auto"/>
          <w:sz w:val="24"/>
          <w:szCs w:val="24"/>
          <w:highlight w:val="none"/>
        </w:rPr>
        <w:t>第一节 政府采购合同协议书</w:t>
      </w:r>
      <w:bookmarkEnd w:id="38"/>
    </w:p>
    <w:p w14:paraId="03389AC2">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u w:val="single"/>
          <w:lang w:val="zh-CN"/>
        </w:rPr>
        <w:t xml:space="preserve">      </w:t>
      </w:r>
      <w:r>
        <w:rPr>
          <w:rFonts w:hint="eastAsia" w:ascii="宋体" w:hAnsi="宋体"/>
          <w:color w:val="auto"/>
          <w:sz w:val="24"/>
          <w:szCs w:val="24"/>
          <w:highlight w:val="none"/>
          <w:lang w:val="zh-CN"/>
        </w:rPr>
        <w:t>年</w:t>
      </w:r>
      <w:r>
        <w:rPr>
          <w:rFonts w:ascii="宋体" w:hAnsi="宋体"/>
          <w:color w:val="auto"/>
          <w:sz w:val="24"/>
          <w:szCs w:val="24"/>
          <w:highlight w:val="none"/>
          <w:u w:val="single"/>
          <w:lang w:val="zh-CN"/>
        </w:rPr>
        <w:t xml:space="preserve">    </w:t>
      </w:r>
      <w:r>
        <w:rPr>
          <w:rFonts w:hint="eastAsia" w:ascii="宋体" w:hAnsi="宋体"/>
          <w:color w:val="auto"/>
          <w:sz w:val="24"/>
          <w:szCs w:val="24"/>
          <w:highlight w:val="none"/>
          <w:lang w:val="zh-CN"/>
        </w:rPr>
        <w:t>月</w:t>
      </w:r>
      <w:r>
        <w:rPr>
          <w:rFonts w:ascii="宋体" w:hAnsi="宋体"/>
          <w:color w:val="auto"/>
          <w:sz w:val="24"/>
          <w:szCs w:val="24"/>
          <w:highlight w:val="none"/>
          <w:u w:val="single"/>
          <w:lang w:val="zh-CN"/>
        </w:rPr>
        <w:t xml:space="preserve">    </w:t>
      </w:r>
      <w:r>
        <w:rPr>
          <w:rFonts w:hint="eastAsia" w:ascii="宋体" w:hAnsi="宋体"/>
          <w:color w:val="auto"/>
          <w:sz w:val="24"/>
          <w:szCs w:val="24"/>
          <w:highlight w:val="none"/>
          <w:lang w:val="zh-CN"/>
        </w:rPr>
        <w:t>日</w:t>
      </w:r>
      <w:r>
        <w:rPr>
          <w:rFonts w:hint="eastAsia" w:ascii="宋体" w:hAnsi="宋体"/>
          <w:color w:val="auto"/>
          <w:sz w:val="24"/>
          <w:szCs w:val="24"/>
          <w:highlight w:val="none"/>
        </w:rPr>
        <w:t>，</w:t>
      </w:r>
      <w:r>
        <w:rPr>
          <w:rFonts w:hint="eastAsia" w:ascii="宋体" w:hAnsi="宋体"/>
          <w:color w:val="auto"/>
          <w:sz w:val="24"/>
          <w:szCs w:val="24"/>
          <w:highlight w:val="none"/>
          <w:u w:val="none"/>
          <w:lang w:eastAsia="zh-CN"/>
        </w:rPr>
        <w:t>北海市农业农村局</w:t>
      </w:r>
      <w:r>
        <w:rPr>
          <w:rFonts w:hint="eastAsia" w:ascii="宋体" w:hAnsi="宋体"/>
          <w:color w:val="auto"/>
          <w:sz w:val="24"/>
          <w:szCs w:val="24"/>
          <w:highlight w:val="none"/>
          <w:u w:val="none"/>
        </w:rPr>
        <w:t>以</w:t>
      </w:r>
      <w:r>
        <w:rPr>
          <w:rFonts w:hint="eastAsia" w:ascii="宋体" w:hAnsi="宋体"/>
          <w:color w:val="auto"/>
          <w:sz w:val="24"/>
          <w:szCs w:val="24"/>
          <w:highlight w:val="none"/>
          <w:u w:val="none"/>
          <w:lang w:val="en-US" w:eastAsia="zh-CN"/>
        </w:rPr>
        <w:t>竞争性磋商方式</w:t>
      </w:r>
      <w:r>
        <w:rPr>
          <w:rFonts w:hint="eastAsia" w:ascii="宋体" w:hAnsi="宋体"/>
          <w:color w:val="auto"/>
          <w:sz w:val="24"/>
          <w:szCs w:val="24"/>
          <w:highlight w:val="none"/>
          <w:u w:val="none"/>
        </w:rPr>
        <w:t>对</w:t>
      </w:r>
      <w:r>
        <w:rPr>
          <w:rFonts w:hint="eastAsia" w:ascii="宋体" w:hAnsi="宋体"/>
          <w:color w:val="auto"/>
          <w:sz w:val="24"/>
          <w:szCs w:val="24"/>
          <w:highlight w:val="none"/>
          <w:u w:val="none"/>
          <w:lang w:eastAsia="zh-CN"/>
        </w:rPr>
        <w:t>北海市2025 年度高标准农田建设项目市级竣工验收</w:t>
      </w:r>
      <w:r>
        <w:rPr>
          <w:rFonts w:hint="eastAsia" w:ascii="宋体" w:hAnsi="宋体"/>
          <w:color w:val="auto"/>
          <w:sz w:val="24"/>
          <w:szCs w:val="24"/>
          <w:highlight w:val="none"/>
          <w:u w:val="none"/>
        </w:rPr>
        <w:t>进行了采购。经</w:t>
      </w:r>
      <w:r>
        <w:rPr>
          <w:rFonts w:hint="eastAsia" w:ascii="宋体" w:hAnsi="宋体"/>
          <w:color w:val="auto"/>
          <w:sz w:val="24"/>
          <w:szCs w:val="24"/>
          <w:highlight w:val="none"/>
          <w:u w:val="none"/>
          <w:lang w:val="en-US" w:eastAsia="zh-CN"/>
        </w:rPr>
        <w:t>磋商小组</w:t>
      </w:r>
      <w:r>
        <w:rPr>
          <w:rFonts w:hint="eastAsia" w:ascii="宋体" w:hAnsi="宋体"/>
          <w:color w:val="auto"/>
          <w:sz w:val="24"/>
          <w:szCs w:val="24"/>
          <w:highlight w:val="none"/>
          <w:u w:val="none"/>
        </w:rPr>
        <w:t>评定，</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成交</w:t>
      </w:r>
      <w:r>
        <w:rPr>
          <w:rFonts w:ascii="宋体" w:hAnsi="宋体"/>
          <w:color w:val="auto"/>
          <w:sz w:val="24"/>
          <w:szCs w:val="24"/>
          <w:highlight w:val="none"/>
          <w:u w:val="single"/>
        </w:rPr>
        <w:t xml:space="preserve">供应商名称） </w:t>
      </w:r>
      <w:r>
        <w:rPr>
          <w:rFonts w:hint="eastAsia" w:ascii="宋体" w:hAnsi="宋体"/>
          <w:color w:val="auto"/>
          <w:sz w:val="24"/>
          <w:szCs w:val="24"/>
          <w:highlight w:val="none"/>
        </w:rPr>
        <w:t>为该项目</w:t>
      </w:r>
      <w:r>
        <w:rPr>
          <w:rFonts w:hint="eastAsia" w:ascii="宋体" w:hAnsi="宋体" w:cs="宋体"/>
          <w:color w:val="auto"/>
          <w:sz w:val="24"/>
          <w:szCs w:val="24"/>
          <w:highlight w:val="none"/>
        </w:rPr>
        <w:t>成交供应商</w:t>
      </w:r>
      <w:r>
        <w:rPr>
          <w:rFonts w:hint="eastAsia" w:ascii="宋体" w:hAnsi="宋体"/>
          <w:color w:val="auto"/>
          <w:sz w:val="24"/>
          <w:szCs w:val="24"/>
          <w:highlight w:val="none"/>
        </w:rPr>
        <w:t>。现于</w:t>
      </w:r>
      <w:r>
        <w:rPr>
          <w:rFonts w:hint="eastAsia" w:ascii="宋体" w:hAnsi="宋体" w:cs="宋体"/>
          <w:color w:val="auto"/>
          <w:sz w:val="24"/>
          <w:szCs w:val="24"/>
          <w:highlight w:val="none"/>
        </w:rPr>
        <w:t>成交通知书</w:t>
      </w:r>
      <w:r>
        <w:rPr>
          <w:rFonts w:hint="eastAsia" w:ascii="宋体" w:hAnsi="宋体"/>
          <w:color w:val="auto"/>
          <w:sz w:val="24"/>
          <w:szCs w:val="24"/>
          <w:highlight w:val="none"/>
        </w:rPr>
        <w:t>发出之日起</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个</w:t>
      </w:r>
      <w:r>
        <w:rPr>
          <w:rFonts w:hint="eastAsia" w:ascii="宋体" w:hAnsi="宋体"/>
          <w:color w:val="auto"/>
          <w:sz w:val="24"/>
          <w:szCs w:val="24"/>
          <w:highlight w:val="none"/>
          <w:lang w:val="en-US" w:eastAsia="zh-CN"/>
        </w:rPr>
        <w:t>日历日</w:t>
      </w:r>
      <w:r>
        <w:rPr>
          <w:rFonts w:hint="eastAsia" w:ascii="宋体" w:hAnsi="宋体"/>
          <w:color w:val="auto"/>
          <w:sz w:val="24"/>
          <w:szCs w:val="24"/>
          <w:highlight w:val="none"/>
        </w:rPr>
        <w:t>内，按照采购文件确定的事项签订本合同。</w:t>
      </w:r>
    </w:p>
    <w:p w14:paraId="218C14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lang w:val="zh-CN"/>
        </w:rPr>
        <w:t>根据《中华人民共和国民法典》《中华人民共和国政府采购法》等相关法律法规之规定，按照平等、自愿、公平和诚实信用的原则，经</w:t>
      </w:r>
      <w:r>
        <w:rPr>
          <w:rFonts w:hint="eastAsia" w:ascii="宋体" w:hAnsi="宋体"/>
          <w:color w:val="auto"/>
          <w:sz w:val="24"/>
          <w:szCs w:val="24"/>
          <w:highlight w:val="none"/>
          <w:lang w:val="zh-CN" w:eastAsia="zh-CN"/>
        </w:rPr>
        <w:t>北海市农业农村局</w:t>
      </w:r>
      <w:r>
        <w:rPr>
          <w:rFonts w:ascii="宋体" w:hAnsi="宋体"/>
          <w:color w:val="auto"/>
          <w:sz w:val="24"/>
          <w:szCs w:val="24"/>
          <w:highlight w:val="none"/>
          <w:lang w:val="zh-CN"/>
        </w:rPr>
        <w:t>(以下简称：甲方)和</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成交</w:t>
      </w:r>
      <w:r>
        <w:rPr>
          <w:rFonts w:ascii="宋体" w:hAnsi="宋体"/>
          <w:color w:val="auto"/>
          <w:sz w:val="24"/>
          <w:szCs w:val="24"/>
          <w:highlight w:val="none"/>
          <w:u w:val="single"/>
        </w:rPr>
        <w:t xml:space="preserve">标供应商名称）   </w:t>
      </w:r>
      <w:r>
        <w:rPr>
          <w:rFonts w:ascii="宋体" w:hAnsi="宋体"/>
          <w:color w:val="auto"/>
          <w:sz w:val="24"/>
          <w:szCs w:val="24"/>
          <w:highlight w:val="none"/>
          <w:lang w:val="zh-CN"/>
        </w:rPr>
        <w:t>(以下简称：乙方)协商一致，约定以下合同</w:t>
      </w:r>
      <w:r>
        <w:rPr>
          <w:rFonts w:hint="eastAsia" w:ascii="宋体" w:hAnsi="宋体"/>
          <w:color w:val="auto"/>
          <w:sz w:val="24"/>
          <w:szCs w:val="24"/>
          <w:highlight w:val="none"/>
        </w:rPr>
        <w:t>条款，以兹共同遵守、全面履行。</w:t>
      </w:r>
    </w:p>
    <w:p w14:paraId="57890CD0">
      <w:pPr>
        <w:spacing w:line="360" w:lineRule="auto"/>
        <w:ind w:firstLine="482" w:firstLineChars="200"/>
        <w:rPr>
          <w:rFonts w:ascii="宋体" w:hAnsi="宋体"/>
          <w:color w:val="auto"/>
          <w:sz w:val="24"/>
          <w:szCs w:val="24"/>
          <w:highlight w:val="none"/>
        </w:rPr>
      </w:pPr>
      <w:bookmarkStart w:id="39" w:name="_Toc20421"/>
      <w:bookmarkStart w:id="40" w:name="_Toc15367"/>
      <w:bookmarkStart w:id="41" w:name="_Toc28855"/>
      <w:bookmarkStart w:id="42" w:name="_Toc19273"/>
      <w:bookmarkStart w:id="43" w:name="_Toc22967"/>
      <w:r>
        <w:rPr>
          <w:rFonts w:ascii="宋体" w:hAnsi="宋体"/>
          <w:b/>
          <w:color w:val="auto"/>
          <w:sz w:val="24"/>
          <w:szCs w:val="24"/>
          <w:highlight w:val="none"/>
        </w:rPr>
        <w:t xml:space="preserve">1.1 </w:t>
      </w:r>
      <w:r>
        <w:rPr>
          <w:rFonts w:hint="eastAsia" w:ascii="宋体" w:hAnsi="宋体"/>
          <w:b/>
          <w:color w:val="auto"/>
          <w:sz w:val="24"/>
          <w:szCs w:val="24"/>
          <w:highlight w:val="none"/>
        </w:rPr>
        <w:t>合同组成部分</w:t>
      </w:r>
      <w:bookmarkEnd w:id="39"/>
      <w:bookmarkEnd w:id="40"/>
      <w:bookmarkEnd w:id="41"/>
      <w:bookmarkEnd w:id="42"/>
      <w:bookmarkEnd w:id="43"/>
    </w:p>
    <w:p w14:paraId="246A5F8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86AA4C9">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1.1.1 </w:t>
      </w:r>
      <w:r>
        <w:rPr>
          <w:rFonts w:hint="eastAsia" w:ascii="宋体" w:hAnsi="宋体"/>
          <w:color w:val="auto"/>
          <w:sz w:val="24"/>
          <w:szCs w:val="24"/>
          <w:highlight w:val="none"/>
        </w:rPr>
        <w:t>本合同及其补充合同、变更协议；</w:t>
      </w:r>
    </w:p>
    <w:p w14:paraId="318E9889">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1.1.2 </w:t>
      </w:r>
      <w:r>
        <w:rPr>
          <w:rFonts w:hint="eastAsia" w:ascii="宋体" w:hAnsi="宋体"/>
          <w:color w:val="auto"/>
          <w:sz w:val="24"/>
          <w:szCs w:val="24"/>
          <w:highlight w:val="none"/>
        </w:rPr>
        <w:t>成交通知书；</w:t>
      </w:r>
    </w:p>
    <w:p w14:paraId="58B7BABB">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1.1.3 </w:t>
      </w:r>
      <w:r>
        <w:rPr>
          <w:rFonts w:hint="eastAsia" w:ascii="宋体" w:hAnsi="宋体"/>
          <w:color w:val="auto"/>
          <w:sz w:val="24"/>
          <w:szCs w:val="24"/>
          <w:highlight w:val="none"/>
        </w:rPr>
        <w:t>响应文件（含澄清或者说明文件）；</w:t>
      </w:r>
    </w:p>
    <w:p w14:paraId="3365139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1.1.4 </w:t>
      </w:r>
      <w:r>
        <w:rPr>
          <w:rFonts w:hint="eastAsia" w:ascii="宋体" w:hAnsi="宋体"/>
          <w:color w:val="auto"/>
          <w:sz w:val="24"/>
          <w:szCs w:val="24"/>
          <w:highlight w:val="none"/>
        </w:rPr>
        <w:t>采购文件（含澄清或者修改文件）；</w:t>
      </w:r>
    </w:p>
    <w:p w14:paraId="0B472EE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1.1.5 </w:t>
      </w:r>
      <w:r>
        <w:rPr>
          <w:rFonts w:hint="eastAsia" w:ascii="宋体" w:hAnsi="宋体"/>
          <w:color w:val="auto"/>
          <w:sz w:val="24"/>
          <w:szCs w:val="24"/>
          <w:highlight w:val="none"/>
        </w:rPr>
        <w:t>其他相关采购文件。</w:t>
      </w:r>
    </w:p>
    <w:p w14:paraId="43B284A9">
      <w:pPr>
        <w:spacing w:line="360" w:lineRule="auto"/>
        <w:ind w:firstLine="482" w:firstLineChars="200"/>
        <w:rPr>
          <w:rFonts w:ascii="宋体" w:hAnsi="宋体"/>
          <w:b/>
          <w:color w:val="auto"/>
          <w:sz w:val="24"/>
          <w:szCs w:val="24"/>
          <w:highlight w:val="none"/>
        </w:rPr>
      </w:pPr>
      <w:bookmarkStart w:id="44" w:name="_Toc6773"/>
      <w:bookmarkStart w:id="45" w:name="_Toc22185"/>
      <w:bookmarkStart w:id="46" w:name="_Toc6311"/>
      <w:bookmarkStart w:id="47" w:name="_Toc2918"/>
      <w:bookmarkStart w:id="48" w:name="_Toc18585"/>
      <w:r>
        <w:rPr>
          <w:rFonts w:ascii="宋体" w:hAnsi="宋体"/>
          <w:b/>
          <w:color w:val="auto"/>
          <w:sz w:val="24"/>
          <w:szCs w:val="24"/>
          <w:highlight w:val="none"/>
        </w:rPr>
        <w:t xml:space="preserve">1.2 </w:t>
      </w:r>
      <w:r>
        <w:rPr>
          <w:rFonts w:hint="eastAsia" w:ascii="宋体" w:hAnsi="宋体"/>
          <w:b/>
          <w:color w:val="auto"/>
          <w:sz w:val="24"/>
          <w:szCs w:val="24"/>
          <w:highlight w:val="none"/>
        </w:rPr>
        <w:t>标的</w:t>
      </w:r>
      <w:bookmarkEnd w:id="44"/>
      <w:bookmarkEnd w:id="45"/>
      <w:bookmarkEnd w:id="46"/>
      <w:bookmarkEnd w:id="47"/>
      <w:bookmarkEnd w:id="48"/>
    </w:p>
    <w:p w14:paraId="326FDB29">
      <w:pPr>
        <w:spacing w:line="360" w:lineRule="auto"/>
        <w:ind w:firstLine="480" w:firstLineChars="200"/>
        <w:rPr>
          <w:rFonts w:hint="eastAsia" w:ascii="宋体" w:hAnsi="宋体" w:eastAsia="宋体"/>
          <w:color w:val="auto"/>
          <w:sz w:val="24"/>
          <w:szCs w:val="24"/>
          <w:highlight w:val="none"/>
          <w:u w:val="single"/>
          <w:lang w:eastAsia="zh-CN"/>
        </w:rPr>
      </w:pPr>
      <w:r>
        <w:rPr>
          <w:rFonts w:ascii="宋体" w:hAnsi="宋体"/>
          <w:color w:val="auto"/>
          <w:sz w:val="24"/>
          <w:szCs w:val="24"/>
          <w:highlight w:val="none"/>
        </w:rPr>
        <w:t xml:space="preserve">1.2.1 </w:t>
      </w:r>
      <w:r>
        <w:rPr>
          <w:rFonts w:hint="eastAsia" w:ascii="宋体" w:hAnsi="宋体"/>
          <w:color w:val="auto"/>
          <w:sz w:val="24"/>
          <w:szCs w:val="24"/>
          <w:highlight w:val="none"/>
        </w:rPr>
        <w:t>服务内容</w:t>
      </w:r>
      <w:r>
        <w:rPr>
          <w:rFonts w:ascii="宋体" w:hAnsi="宋体"/>
          <w:color w:val="auto"/>
          <w:sz w:val="24"/>
          <w:szCs w:val="24"/>
          <w:highlight w:val="none"/>
        </w:rPr>
        <w:t>：</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lang w:eastAsia="zh-CN"/>
        </w:rPr>
        <w:t>。</w:t>
      </w:r>
    </w:p>
    <w:p w14:paraId="029FD38B">
      <w:pPr>
        <w:spacing w:line="360" w:lineRule="auto"/>
        <w:ind w:firstLine="480" w:firstLineChars="200"/>
        <w:rPr>
          <w:rFonts w:ascii="宋体" w:hAnsi="宋体" w:eastAsia="宋体" w:cs="Times New Roman"/>
          <w:b w:val="0"/>
          <w:bCs w:val="0"/>
          <w:color w:val="auto"/>
          <w:kern w:val="2"/>
          <w:sz w:val="24"/>
          <w:szCs w:val="24"/>
          <w:highlight w:val="none"/>
          <w:u w:val="single"/>
          <w:lang w:val="en-US" w:eastAsia="zh-CN" w:bidi="ar-SA"/>
        </w:rPr>
      </w:pPr>
      <w:r>
        <w:rPr>
          <w:rFonts w:ascii="宋体" w:hAnsi="宋体"/>
          <w:color w:val="auto"/>
          <w:sz w:val="24"/>
          <w:szCs w:val="24"/>
          <w:highlight w:val="none"/>
        </w:rPr>
        <w:t xml:space="preserve">1.2.2 </w:t>
      </w:r>
      <w:r>
        <w:rPr>
          <w:rFonts w:hint="eastAsia" w:ascii="宋体" w:hAnsi="宋体"/>
          <w:color w:val="auto"/>
          <w:sz w:val="24"/>
          <w:szCs w:val="24"/>
          <w:highlight w:val="none"/>
        </w:rPr>
        <w:t>服务标准</w:t>
      </w:r>
      <w:r>
        <w:rPr>
          <w:rFonts w:ascii="宋体" w:hAnsi="宋体"/>
          <w:color w:val="auto"/>
          <w:sz w:val="24"/>
          <w:szCs w:val="24"/>
          <w:highlight w:val="none"/>
        </w:rPr>
        <w:t>：</w:t>
      </w:r>
      <w:r>
        <w:rPr>
          <w:rFonts w:hint="eastAsia" w:ascii="宋体" w:hAnsi="宋体"/>
          <w:color w:val="auto"/>
          <w:sz w:val="24"/>
          <w:szCs w:val="24"/>
          <w:highlight w:val="none"/>
          <w:u w:val="single"/>
          <w:lang w:val="en-US" w:eastAsia="zh-CN"/>
        </w:rPr>
        <w:t xml:space="preserve">       </w:t>
      </w:r>
      <w:r>
        <w:rPr>
          <w:rFonts w:hint="eastAsia" w:ascii="宋体" w:hAnsi="宋体" w:eastAsia="宋体" w:cs="Times New Roman"/>
          <w:b w:val="0"/>
          <w:bCs w:val="0"/>
          <w:color w:val="auto"/>
          <w:kern w:val="2"/>
          <w:sz w:val="24"/>
          <w:szCs w:val="24"/>
          <w:highlight w:val="none"/>
          <w:u w:val="single"/>
          <w:lang w:val="en-US" w:eastAsia="zh-CN" w:bidi="ar-SA"/>
        </w:rPr>
        <w:t>。</w:t>
      </w:r>
    </w:p>
    <w:p w14:paraId="7A4F9775">
      <w:pPr>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 xml:space="preserve"> 服务人员组成：</w:t>
      </w:r>
      <w:r>
        <w:rPr>
          <w:rFonts w:hint="eastAsia" w:ascii="宋体" w:hAnsi="宋体"/>
          <w:color w:val="auto"/>
          <w:sz w:val="24"/>
          <w:szCs w:val="24"/>
          <w:highlight w:val="none"/>
          <w:u w:val="single"/>
          <w:lang w:val="en-US" w:eastAsia="zh-CN"/>
        </w:rPr>
        <w:t>项目负责人：         ；身份证号码：      联系方式：</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3A205463">
      <w:pPr>
        <w:spacing w:line="360" w:lineRule="auto"/>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u w:val="single"/>
          <w:lang w:val="en-US" w:eastAsia="zh-CN"/>
        </w:rPr>
        <w:t>项目组成员：         ；身份证号码：      联系方式：</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1D9420CC">
      <w:pPr>
        <w:pStyle w:val="2"/>
        <w:ind w:firstLine="480" w:firstLineChars="200"/>
        <w:rPr>
          <w:rFonts w:hint="eastAsia" w:eastAsia="宋体"/>
          <w:color w:val="auto"/>
          <w:highlight w:val="none"/>
          <w:lang w:eastAsia="zh-CN"/>
        </w:rPr>
      </w:pPr>
      <w:r>
        <w:rPr>
          <w:rFonts w:hint="eastAsia" w:ascii="宋体" w:hAnsi="宋体"/>
          <w:color w:val="auto"/>
          <w:sz w:val="24"/>
          <w:szCs w:val="24"/>
          <w:highlight w:val="none"/>
          <w:u w:val="single"/>
          <w:lang w:val="en-US" w:eastAsia="zh-CN"/>
        </w:rPr>
        <w:t>项目组成员：         ；身份证号码：      联系方式：</w:t>
      </w:r>
      <w:r>
        <w:rPr>
          <w:rFonts w:ascii="宋体" w:hAnsi="宋体"/>
          <w:color w:val="auto"/>
          <w:sz w:val="24"/>
          <w:szCs w:val="24"/>
          <w:highlight w:val="none"/>
          <w:u w:val="single"/>
        </w:rPr>
        <w:t xml:space="preserve"> </w:t>
      </w:r>
      <w:r>
        <w:rPr>
          <w:rFonts w:hint="eastAsia" w:hAnsi="宋体"/>
          <w:color w:val="auto"/>
          <w:sz w:val="24"/>
          <w:szCs w:val="24"/>
          <w:highlight w:val="none"/>
          <w:u w:val="single"/>
          <w:lang w:eastAsia="zh-CN"/>
        </w:rPr>
        <w:t>。</w:t>
      </w:r>
    </w:p>
    <w:p w14:paraId="3C59392A">
      <w:pPr>
        <w:spacing w:line="360" w:lineRule="auto"/>
        <w:ind w:firstLine="480" w:firstLineChars="200"/>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1.2.</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 xml:space="preserve">合同 </w:t>
      </w:r>
      <w:r>
        <w:rPr>
          <w:rFonts w:hint="eastAsia" w:ascii="宋体" w:hAnsi="宋体" w:eastAsia="宋体" w:cs="Times New Roman"/>
          <w:color w:val="auto"/>
          <w:sz w:val="24"/>
          <w:szCs w:val="24"/>
          <w:highlight w:val="none"/>
          <w:lang w:val="en-US" w:eastAsia="zh-CN"/>
        </w:rPr>
        <w:t>否</w:t>
      </w:r>
      <w:r>
        <w:rPr>
          <w:rFonts w:hint="eastAsia" w:ascii="宋体" w:hAnsi="宋体" w:eastAsia="宋体" w:cs="Times New Roman"/>
          <w:color w:val="auto"/>
          <w:sz w:val="24"/>
          <w:szCs w:val="24"/>
          <w:highlight w:val="none"/>
        </w:rPr>
        <w:t xml:space="preserve"> （是/否）涉及货物。</w:t>
      </w:r>
      <w:bookmarkStart w:id="49" w:name="_Toc21124"/>
      <w:bookmarkStart w:id="50" w:name="_Toc4929"/>
      <w:bookmarkStart w:id="51" w:name="_Toc1386"/>
      <w:bookmarkStart w:id="52" w:name="_Toc5635"/>
      <w:bookmarkStart w:id="53" w:name="_Toc13918"/>
    </w:p>
    <w:p w14:paraId="3D2B2B3D">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1.3 价款</w:t>
      </w:r>
      <w:bookmarkEnd w:id="49"/>
      <w:bookmarkEnd w:id="50"/>
      <w:bookmarkEnd w:id="51"/>
      <w:bookmarkEnd w:id="52"/>
      <w:bookmarkEnd w:id="53"/>
    </w:p>
    <w:p w14:paraId="6DB41BD5">
      <w:pPr>
        <w:spacing w:line="360" w:lineRule="auto"/>
        <w:ind w:firstLine="480" w:firstLineChars="200"/>
        <w:rPr>
          <w:rFonts w:ascii="宋体" w:hAnsi="宋体"/>
          <w:color w:val="auto"/>
          <w:sz w:val="24"/>
          <w:szCs w:val="24"/>
          <w:highlight w:val="none"/>
        </w:rPr>
      </w:pPr>
      <w:r>
        <w:rPr>
          <w:rFonts w:hint="eastAsia" w:ascii="宋体" w:hAnsi="宋体" w:cs="宋体"/>
          <w:color w:val="auto"/>
          <w:sz w:val="24"/>
          <w:szCs w:val="24"/>
          <w:highlight w:val="none"/>
        </w:rPr>
        <w:t>本项目采用以下第</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1.3.1</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条款规定的计价方式计价。</w:t>
      </w:r>
    </w:p>
    <w:p w14:paraId="028B0C6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1.3.1总价合同，</w:t>
      </w:r>
      <w:r>
        <w:rPr>
          <w:rFonts w:ascii="宋体" w:hAnsi="宋体"/>
          <w:color w:val="auto"/>
          <w:sz w:val="24"/>
          <w:szCs w:val="24"/>
          <w:highlight w:val="none"/>
        </w:rPr>
        <w:t>本合同总价</w:t>
      </w:r>
      <w:r>
        <w:rPr>
          <w:rFonts w:hint="eastAsia" w:ascii="宋体" w:hAnsi="宋体"/>
          <w:color w:val="auto"/>
          <w:sz w:val="24"/>
          <w:szCs w:val="24"/>
          <w:highlight w:val="none"/>
        </w:rPr>
        <w:t>（含税）</w:t>
      </w:r>
      <w:r>
        <w:rPr>
          <w:rFonts w:ascii="宋体" w:hAnsi="宋体"/>
          <w:color w:val="auto"/>
          <w:sz w:val="24"/>
          <w:szCs w:val="24"/>
          <w:highlight w:val="none"/>
        </w:rPr>
        <w:t>为</w:t>
      </w:r>
      <w:r>
        <w:rPr>
          <w:rFonts w:hint="eastAsia" w:ascii="宋体" w:hAnsi="宋体"/>
          <w:color w:val="auto"/>
          <w:sz w:val="24"/>
          <w:szCs w:val="24"/>
          <w:highlight w:val="none"/>
        </w:rPr>
        <w:t>：￥</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hint="eastAsia" w:ascii="宋体" w:hAnsi="宋体"/>
          <w:color w:val="auto"/>
          <w:sz w:val="24"/>
          <w:szCs w:val="24"/>
          <w:highlight w:val="none"/>
        </w:rPr>
        <w:t>（大写：</w:t>
      </w:r>
      <w:r>
        <w:rPr>
          <w:rFonts w:ascii="宋体" w:hAnsi="宋体"/>
          <w:color w:val="auto"/>
          <w:sz w:val="24"/>
          <w:szCs w:val="24"/>
          <w:highlight w:val="none"/>
          <w:u w:val="single"/>
        </w:rPr>
        <w:t xml:space="preserve">                 </w:t>
      </w:r>
      <w:r>
        <w:rPr>
          <w:rFonts w:hint="eastAsia" w:ascii="宋体" w:hAnsi="宋体"/>
          <w:color w:val="auto"/>
          <w:sz w:val="24"/>
          <w:szCs w:val="24"/>
          <w:highlight w:val="none"/>
        </w:rPr>
        <w:t>元人民币）</w:t>
      </w:r>
      <w:r>
        <w:rPr>
          <w:rFonts w:ascii="宋体" w:hAnsi="宋体"/>
          <w:color w:val="auto"/>
          <w:sz w:val="24"/>
          <w:szCs w:val="24"/>
          <w:highlight w:val="none"/>
        </w:rPr>
        <w:t>。</w:t>
      </w:r>
    </w:p>
    <w:p w14:paraId="712D51F3">
      <w:pPr>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rPr>
        <w:t>分项价格：</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CA4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1F904D0">
            <w:pPr>
              <w:pStyle w:val="623"/>
              <w:spacing w:line="360" w:lineRule="auto"/>
              <w:jc w:val="center"/>
              <w:rPr>
                <w:rFonts w:hAnsi="宋体"/>
                <w:color w:val="auto"/>
                <w:sz w:val="24"/>
                <w:szCs w:val="24"/>
                <w:highlight w:val="none"/>
              </w:rPr>
            </w:pPr>
            <w:r>
              <w:rPr>
                <w:rFonts w:hAnsi="宋体"/>
                <w:color w:val="auto"/>
                <w:sz w:val="24"/>
                <w:szCs w:val="24"/>
                <w:highlight w:val="none"/>
              </w:rPr>
              <w:t>序号</w:t>
            </w:r>
          </w:p>
        </w:tc>
        <w:tc>
          <w:tcPr>
            <w:tcW w:w="3402" w:type="dxa"/>
            <w:noWrap w:val="0"/>
            <w:vAlign w:val="center"/>
          </w:tcPr>
          <w:p w14:paraId="44FA3B3F">
            <w:pPr>
              <w:pStyle w:val="623"/>
              <w:spacing w:line="360" w:lineRule="auto"/>
              <w:ind w:firstLine="200"/>
              <w:jc w:val="center"/>
              <w:rPr>
                <w:rFonts w:hAnsi="宋体"/>
                <w:color w:val="auto"/>
                <w:sz w:val="24"/>
                <w:szCs w:val="24"/>
                <w:highlight w:val="none"/>
              </w:rPr>
            </w:pPr>
            <w:r>
              <w:rPr>
                <w:rFonts w:hint="eastAsia" w:hAnsi="宋体"/>
                <w:color w:val="auto"/>
                <w:sz w:val="24"/>
                <w:szCs w:val="24"/>
                <w:highlight w:val="none"/>
              </w:rPr>
              <w:t>分项名称</w:t>
            </w:r>
          </w:p>
        </w:tc>
        <w:tc>
          <w:tcPr>
            <w:tcW w:w="2552" w:type="dxa"/>
            <w:noWrap w:val="0"/>
            <w:vAlign w:val="center"/>
          </w:tcPr>
          <w:p w14:paraId="553DFB41">
            <w:pPr>
              <w:pStyle w:val="623"/>
              <w:spacing w:line="360" w:lineRule="auto"/>
              <w:jc w:val="center"/>
              <w:rPr>
                <w:rFonts w:hAnsi="宋体"/>
                <w:color w:val="auto"/>
                <w:sz w:val="24"/>
                <w:szCs w:val="24"/>
                <w:highlight w:val="none"/>
              </w:rPr>
            </w:pPr>
            <w:r>
              <w:rPr>
                <w:rFonts w:hAnsi="宋体"/>
                <w:color w:val="auto"/>
                <w:sz w:val="24"/>
                <w:szCs w:val="24"/>
                <w:highlight w:val="none"/>
              </w:rPr>
              <w:t>分项价格</w:t>
            </w:r>
          </w:p>
        </w:tc>
      </w:tr>
      <w:tr w14:paraId="6338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630A1C1D">
            <w:pPr>
              <w:pStyle w:val="623"/>
              <w:spacing w:line="360" w:lineRule="auto"/>
              <w:ind w:firstLine="200"/>
              <w:jc w:val="center"/>
              <w:rPr>
                <w:rFonts w:hAnsi="宋体"/>
                <w:color w:val="auto"/>
                <w:sz w:val="24"/>
                <w:szCs w:val="24"/>
                <w:highlight w:val="none"/>
              </w:rPr>
            </w:pPr>
          </w:p>
        </w:tc>
        <w:tc>
          <w:tcPr>
            <w:tcW w:w="3402" w:type="dxa"/>
            <w:noWrap w:val="0"/>
            <w:vAlign w:val="center"/>
          </w:tcPr>
          <w:p w14:paraId="2363F16E">
            <w:pPr>
              <w:pStyle w:val="623"/>
              <w:spacing w:line="360" w:lineRule="auto"/>
              <w:ind w:firstLine="200"/>
              <w:jc w:val="center"/>
              <w:rPr>
                <w:rFonts w:hAnsi="宋体"/>
                <w:color w:val="auto"/>
                <w:sz w:val="24"/>
                <w:szCs w:val="24"/>
                <w:highlight w:val="none"/>
              </w:rPr>
            </w:pPr>
          </w:p>
        </w:tc>
        <w:tc>
          <w:tcPr>
            <w:tcW w:w="2552" w:type="dxa"/>
            <w:noWrap w:val="0"/>
            <w:vAlign w:val="center"/>
          </w:tcPr>
          <w:p w14:paraId="56A07831">
            <w:pPr>
              <w:pStyle w:val="623"/>
              <w:spacing w:line="360" w:lineRule="auto"/>
              <w:ind w:firstLine="200"/>
              <w:jc w:val="center"/>
              <w:rPr>
                <w:rFonts w:hAnsi="宋体"/>
                <w:color w:val="auto"/>
                <w:sz w:val="24"/>
                <w:szCs w:val="24"/>
                <w:highlight w:val="none"/>
              </w:rPr>
            </w:pPr>
          </w:p>
        </w:tc>
      </w:tr>
      <w:tr w14:paraId="3E2D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E33B8DC">
            <w:pPr>
              <w:pStyle w:val="623"/>
              <w:spacing w:line="360" w:lineRule="auto"/>
              <w:ind w:firstLine="200"/>
              <w:jc w:val="center"/>
              <w:rPr>
                <w:rFonts w:hAnsi="宋体"/>
                <w:color w:val="auto"/>
                <w:sz w:val="24"/>
                <w:szCs w:val="24"/>
                <w:highlight w:val="none"/>
              </w:rPr>
            </w:pPr>
          </w:p>
        </w:tc>
        <w:tc>
          <w:tcPr>
            <w:tcW w:w="3402" w:type="dxa"/>
            <w:noWrap w:val="0"/>
            <w:vAlign w:val="center"/>
          </w:tcPr>
          <w:p w14:paraId="42355A87">
            <w:pPr>
              <w:pStyle w:val="623"/>
              <w:spacing w:line="360" w:lineRule="auto"/>
              <w:ind w:firstLine="200"/>
              <w:jc w:val="center"/>
              <w:rPr>
                <w:rFonts w:hAnsi="宋体"/>
                <w:color w:val="auto"/>
                <w:sz w:val="24"/>
                <w:szCs w:val="24"/>
                <w:highlight w:val="none"/>
              </w:rPr>
            </w:pPr>
          </w:p>
        </w:tc>
        <w:tc>
          <w:tcPr>
            <w:tcW w:w="2552" w:type="dxa"/>
            <w:noWrap w:val="0"/>
            <w:vAlign w:val="center"/>
          </w:tcPr>
          <w:p w14:paraId="10DA2296">
            <w:pPr>
              <w:pStyle w:val="623"/>
              <w:spacing w:line="360" w:lineRule="auto"/>
              <w:ind w:firstLine="200"/>
              <w:jc w:val="center"/>
              <w:rPr>
                <w:rFonts w:hAnsi="宋体"/>
                <w:color w:val="auto"/>
                <w:sz w:val="24"/>
                <w:szCs w:val="24"/>
                <w:highlight w:val="none"/>
              </w:rPr>
            </w:pPr>
          </w:p>
        </w:tc>
      </w:tr>
      <w:tr w14:paraId="152D0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216850CD">
            <w:pPr>
              <w:pStyle w:val="623"/>
              <w:spacing w:line="360" w:lineRule="auto"/>
              <w:ind w:firstLine="200"/>
              <w:jc w:val="center"/>
              <w:rPr>
                <w:rFonts w:hAnsi="宋体"/>
                <w:color w:val="auto"/>
                <w:sz w:val="24"/>
                <w:szCs w:val="24"/>
                <w:highlight w:val="none"/>
              </w:rPr>
            </w:pPr>
          </w:p>
        </w:tc>
        <w:tc>
          <w:tcPr>
            <w:tcW w:w="3402" w:type="dxa"/>
            <w:noWrap w:val="0"/>
            <w:vAlign w:val="center"/>
          </w:tcPr>
          <w:p w14:paraId="544A2E20">
            <w:pPr>
              <w:pStyle w:val="623"/>
              <w:spacing w:line="360" w:lineRule="auto"/>
              <w:ind w:firstLine="200"/>
              <w:jc w:val="center"/>
              <w:rPr>
                <w:rFonts w:hAnsi="宋体"/>
                <w:color w:val="auto"/>
                <w:sz w:val="24"/>
                <w:szCs w:val="24"/>
                <w:highlight w:val="none"/>
              </w:rPr>
            </w:pPr>
          </w:p>
        </w:tc>
        <w:tc>
          <w:tcPr>
            <w:tcW w:w="2552" w:type="dxa"/>
            <w:noWrap w:val="0"/>
            <w:vAlign w:val="center"/>
          </w:tcPr>
          <w:p w14:paraId="24AEB8B1">
            <w:pPr>
              <w:pStyle w:val="623"/>
              <w:spacing w:line="360" w:lineRule="auto"/>
              <w:ind w:firstLine="200"/>
              <w:jc w:val="center"/>
              <w:rPr>
                <w:rFonts w:hAnsi="宋体"/>
                <w:color w:val="auto"/>
                <w:sz w:val="24"/>
                <w:szCs w:val="24"/>
                <w:highlight w:val="none"/>
              </w:rPr>
            </w:pPr>
          </w:p>
        </w:tc>
      </w:tr>
      <w:tr w14:paraId="41D0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72211639">
            <w:pPr>
              <w:pStyle w:val="623"/>
              <w:spacing w:line="360" w:lineRule="auto"/>
              <w:ind w:firstLine="200"/>
              <w:jc w:val="center"/>
              <w:rPr>
                <w:rFonts w:hAnsi="宋体"/>
                <w:color w:val="auto"/>
                <w:sz w:val="24"/>
                <w:szCs w:val="24"/>
                <w:highlight w:val="none"/>
              </w:rPr>
            </w:pPr>
          </w:p>
        </w:tc>
        <w:tc>
          <w:tcPr>
            <w:tcW w:w="3402" w:type="dxa"/>
            <w:noWrap w:val="0"/>
            <w:vAlign w:val="center"/>
          </w:tcPr>
          <w:p w14:paraId="43F85B6B">
            <w:pPr>
              <w:pStyle w:val="623"/>
              <w:spacing w:line="360" w:lineRule="auto"/>
              <w:ind w:firstLine="200"/>
              <w:jc w:val="center"/>
              <w:rPr>
                <w:rFonts w:hAnsi="宋体"/>
                <w:color w:val="auto"/>
                <w:sz w:val="24"/>
                <w:szCs w:val="24"/>
                <w:highlight w:val="none"/>
              </w:rPr>
            </w:pPr>
          </w:p>
        </w:tc>
        <w:tc>
          <w:tcPr>
            <w:tcW w:w="2552" w:type="dxa"/>
            <w:noWrap w:val="0"/>
            <w:vAlign w:val="center"/>
          </w:tcPr>
          <w:p w14:paraId="4D0688AE">
            <w:pPr>
              <w:pStyle w:val="623"/>
              <w:spacing w:line="360" w:lineRule="auto"/>
              <w:ind w:firstLine="200"/>
              <w:jc w:val="center"/>
              <w:rPr>
                <w:rFonts w:hAnsi="宋体"/>
                <w:color w:val="auto"/>
                <w:sz w:val="24"/>
                <w:szCs w:val="24"/>
                <w:highlight w:val="none"/>
              </w:rPr>
            </w:pPr>
          </w:p>
        </w:tc>
      </w:tr>
      <w:tr w14:paraId="2725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59B5915E">
            <w:pPr>
              <w:pStyle w:val="623"/>
              <w:spacing w:line="360" w:lineRule="auto"/>
              <w:ind w:firstLine="200"/>
              <w:jc w:val="center"/>
              <w:rPr>
                <w:rFonts w:hAnsi="宋体"/>
                <w:color w:val="auto"/>
                <w:sz w:val="24"/>
                <w:szCs w:val="24"/>
                <w:highlight w:val="none"/>
              </w:rPr>
            </w:pPr>
            <w:r>
              <w:rPr>
                <w:rFonts w:hint="eastAsia" w:hAnsi="宋体"/>
                <w:color w:val="auto"/>
                <w:sz w:val="24"/>
                <w:szCs w:val="24"/>
                <w:highlight w:val="none"/>
              </w:rPr>
              <w:t>总价</w:t>
            </w:r>
          </w:p>
        </w:tc>
        <w:tc>
          <w:tcPr>
            <w:tcW w:w="2552" w:type="dxa"/>
            <w:noWrap w:val="0"/>
            <w:vAlign w:val="center"/>
          </w:tcPr>
          <w:p w14:paraId="574FE998">
            <w:pPr>
              <w:pStyle w:val="623"/>
              <w:spacing w:line="360" w:lineRule="auto"/>
              <w:ind w:firstLine="200"/>
              <w:jc w:val="center"/>
              <w:rPr>
                <w:rFonts w:hAnsi="宋体"/>
                <w:color w:val="auto"/>
                <w:sz w:val="24"/>
                <w:szCs w:val="24"/>
                <w:highlight w:val="none"/>
              </w:rPr>
            </w:pPr>
          </w:p>
        </w:tc>
      </w:tr>
    </w:tbl>
    <w:p w14:paraId="60270BBB">
      <w:pPr>
        <w:spacing w:line="360" w:lineRule="auto"/>
        <w:ind w:firstLine="480" w:firstLineChars="200"/>
        <w:rPr>
          <w:rFonts w:ascii="宋体" w:hAnsi="宋体"/>
          <w:color w:val="auto"/>
          <w:sz w:val="24"/>
          <w:szCs w:val="24"/>
          <w:highlight w:val="none"/>
        </w:rPr>
      </w:pPr>
      <w:bookmarkStart w:id="54" w:name="_Toc14993"/>
      <w:bookmarkStart w:id="55" w:name="_Toc30158"/>
      <w:bookmarkStart w:id="56" w:name="_Toc30506"/>
      <w:bookmarkStart w:id="57" w:name="_Toc3654"/>
      <w:bookmarkStart w:id="58" w:name="_Toc26916"/>
      <w:r>
        <w:rPr>
          <w:rFonts w:hint="eastAsia" w:ascii="宋体" w:hAnsi="宋体"/>
          <w:bCs/>
          <w:color w:val="auto"/>
          <w:sz w:val="24"/>
          <w:szCs w:val="24"/>
          <w:highlight w:val="none"/>
        </w:rPr>
        <w:t>1.3.2单价合同，本合同单价（含税）标准为：</w:t>
      </w:r>
      <w:r>
        <w:rPr>
          <w:rFonts w:hint="eastAsia" w:ascii="宋体" w:hAnsi="宋体"/>
          <w:bCs/>
          <w:color w:val="auto"/>
          <w:sz w:val="24"/>
          <w:szCs w:val="24"/>
          <w:highlight w:val="none"/>
          <w:u w:val="single"/>
        </w:rPr>
        <w:t xml:space="preserve"> </w:t>
      </w:r>
      <w:r>
        <w:rPr>
          <w:rFonts w:hint="eastAsia" w:ascii="宋体" w:hAnsi="宋体"/>
          <w:bCs/>
          <w:color w:val="auto"/>
          <w:sz w:val="24"/>
          <w:szCs w:val="24"/>
          <w:highlight w:val="none"/>
          <w:u w:val="single"/>
          <w:lang w:val="en-US" w:eastAsia="zh-CN"/>
        </w:rPr>
        <w:t xml:space="preserve">    </w:t>
      </w:r>
      <w:r>
        <w:rPr>
          <w:rFonts w:ascii="宋体" w:hAnsi="宋体"/>
          <w:color w:val="auto"/>
          <w:sz w:val="24"/>
          <w:szCs w:val="24"/>
          <w:highlight w:val="none"/>
        </w:rPr>
        <w:t>。</w:t>
      </w:r>
      <w:r>
        <w:rPr>
          <w:rFonts w:hint="eastAsia" w:ascii="宋体" w:hAnsi="宋体"/>
          <w:color w:val="auto"/>
          <w:sz w:val="24"/>
          <w:szCs w:val="24"/>
          <w:highlight w:val="none"/>
        </w:rPr>
        <w:t>服务工作量的计量方式为：</w:t>
      </w:r>
      <w:r>
        <w:rPr>
          <w:rFonts w:hint="eastAsia" w:ascii="宋体" w:hAnsi="宋体"/>
          <w:bCs/>
          <w:color w:val="auto"/>
          <w:sz w:val="24"/>
          <w:szCs w:val="24"/>
          <w:highlight w:val="none"/>
          <w:u w:val="single"/>
        </w:rPr>
        <w:t xml:space="preserve">  </w:t>
      </w:r>
      <w:r>
        <w:rPr>
          <w:rFonts w:hint="eastAsia" w:ascii="宋体" w:hAnsi="宋体" w:cs="宋体"/>
          <w:b/>
          <w:color w:val="auto"/>
          <w:sz w:val="24"/>
          <w:szCs w:val="24"/>
          <w:highlight w:val="none"/>
          <w:u w:val="single"/>
        </w:rPr>
        <w:t>合同专用条款</w:t>
      </w:r>
      <w:r>
        <w:rPr>
          <w:rFonts w:hint="eastAsia" w:ascii="宋体" w:hAnsi="宋体"/>
          <w:bCs/>
          <w:color w:val="auto"/>
          <w:sz w:val="24"/>
          <w:szCs w:val="24"/>
          <w:highlight w:val="none"/>
          <w:u w:val="single"/>
        </w:rPr>
        <w:t xml:space="preserve">  </w:t>
      </w:r>
      <w:r>
        <w:rPr>
          <w:rFonts w:ascii="宋体" w:hAnsi="宋体"/>
          <w:color w:val="auto"/>
          <w:sz w:val="24"/>
          <w:szCs w:val="24"/>
          <w:highlight w:val="none"/>
        </w:rPr>
        <w:t>。</w:t>
      </w:r>
    </w:p>
    <w:p w14:paraId="6424EDF1">
      <w:pPr>
        <w:pStyle w:val="633"/>
        <w:rPr>
          <w:color w:val="auto"/>
          <w:sz w:val="24"/>
          <w:szCs w:val="24"/>
          <w:highlight w:val="none"/>
        </w:rPr>
      </w:pPr>
      <w:r>
        <w:rPr>
          <w:rFonts w:hint="eastAsia"/>
          <w:color w:val="auto"/>
          <w:sz w:val="24"/>
          <w:szCs w:val="24"/>
          <w:highlight w:val="none"/>
        </w:rPr>
        <w:t>1.3.3其他计价方式：</w:t>
      </w:r>
      <w:r>
        <w:rPr>
          <w:rFonts w:hint="eastAsia"/>
          <w:color w:val="auto"/>
          <w:sz w:val="24"/>
          <w:szCs w:val="24"/>
          <w:highlight w:val="none"/>
          <w:u w:val="single"/>
        </w:rPr>
        <w:t xml:space="preserve">                   </w:t>
      </w:r>
      <w:r>
        <w:rPr>
          <w:rFonts w:hint="eastAsia"/>
          <w:color w:val="auto"/>
          <w:sz w:val="24"/>
          <w:szCs w:val="24"/>
          <w:highlight w:val="none"/>
        </w:rPr>
        <w:t>。</w:t>
      </w:r>
    </w:p>
    <w:bookmarkEnd w:id="54"/>
    <w:bookmarkEnd w:id="55"/>
    <w:bookmarkEnd w:id="56"/>
    <w:bookmarkEnd w:id="57"/>
    <w:bookmarkEnd w:id="58"/>
    <w:p w14:paraId="5D3A76C8">
      <w:pPr>
        <w:pStyle w:val="631"/>
        <w:spacing w:before="0" w:beforeAutospacing="0" w:after="0" w:afterAutospacing="0" w:line="360" w:lineRule="auto"/>
        <w:ind w:firstLine="480"/>
        <w:rPr>
          <w:b/>
          <w:color w:val="auto"/>
          <w:sz w:val="24"/>
          <w:szCs w:val="24"/>
          <w:highlight w:val="none"/>
        </w:rPr>
      </w:pPr>
      <w:bookmarkStart w:id="59" w:name="_Toc10340"/>
      <w:bookmarkStart w:id="60" w:name="_Toc1814"/>
      <w:bookmarkStart w:id="61" w:name="_Toc22618"/>
      <w:bookmarkStart w:id="62" w:name="_Toc4760"/>
      <w:bookmarkStart w:id="63" w:name="_Toc11108"/>
      <w:bookmarkStart w:id="64" w:name="_Toc31421"/>
      <w:bookmarkStart w:id="65" w:name="_Toc8772"/>
      <w:bookmarkStart w:id="66" w:name="_Toc3625"/>
      <w:r>
        <w:rPr>
          <w:rFonts w:hint="eastAsia"/>
          <w:b/>
          <w:color w:val="auto"/>
          <w:sz w:val="24"/>
          <w:szCs w:val="24"/>
          <w:highlight w:val="none"/>
        </w:rPr>
        <w:t>1.4履约保证金</w:t>
      </w:r>
    </w:p>
    <w:p w14:paraId="548CE9F0">
      <w:pPr>
        <w:pStyle w:val="631"/>
        <w:spacing w:before="0" w:beforeAutospacing="0" w:after="0" w:afterAutospacing="0" w:line="360" w:lineRule="auto"/>
        <w:ind w:firstLine="480"/>
        <w:rPr>
          <w:rFonts w:hint="eastAsia"/>
          <w:color w:val="auto"/>
          <w:sz w:val="24"/>
          <w:szCs w:val="24"/>
          <w:highlight w:val="none"/>
        </w:rPr>
      </w:pPr>
      <w:r>
        <w:rPr>
          <w:rFonts w:hint="eastAsia"/>
          <w:color w:val="auto"/>
          <w:sz w:val="24"/>
          <w:szCs w:val="24"/>
          <w:highlight w:val="none"/>
        </w:rPr>
        <w:t>1.4.1履约保证金的比例为合同金额的</w:t>
      </w:r>
      <w:r>
        <w:rPr>
          <w:rFonts w:hint="eastAsia"/>
          <w:color w:val="auto"/>
          <w:sz w:val="24"/>
          <w:szCs w:val="24"/>
          <w:highlight w:val="none"/>
          <w:u w:val="single"/>
          <w:lang w:val="en-US" w:eastAsia="zh-CN"/>
        </w:rPr>
        <w:t xml:space="preserve"> 2 </w:t>
      </w:r>
      <w:r>
        <w:rPr>
          <w:rFonts w:hint="eastAsia"/>
          <w:color w:val="auto"/>
          <w:sz w:val="24"/>
          <w:szCs w:val="24"/>
          <w:highlight w:val="none"/>
        </w:rPr>
        <w:t>%:</w:t>
      </w:r>
    </w:p>
    <w:p w14:paraId="025ED23E">
      <w:pPr>
        <w:pStyle w:val="631"/>
        <w:spacing w:before="0" w:beforeAutospacing="0" w:after="0" w:afterAutospacing="0" w:line="360" w:lineRule="auto"/>
        <w:ind w:firstLine="480"/>
        <w:rPr>
          <w:rFonts w:hint="eastAsia"/>
          <w:color w:val="auto"/>
          <w:sz w:val="24"/>
          <w:szCs w:val="24"/>
          <w:highlight w:val="none"/>
        </w:rPr>
      </w:pPr>
      <w:r>
        <w:rPr>
          <w:rFonts w:hint="eastAsia"/>
          <w:color w:val="auto"/>
          <w:sz w:val="24"/>
          <w:szCs w:val="24"/>
          <w:highlight w:val="none"/>
        </w:rPr>
        <w:t>乙方</w:t>
      </w:r>
      <w:r>
        <w:rPr>
          <w:rFonts w:hint="eastAsia"/>
          <w:color w:val="auto"/>
          <w:sz w:val="24"/>
          <w:szCs w:val="24"/>
          <w:highlight w:val="none"/>
          <w:u w:val="single"/>
          <w:lang w:val="en-US" w:eastAsia="zh-CN"/>
        </w:rPr>
        <w:t xml:space="preserve"> 是 </w:t>
      </w:r>
      <w:r>
        <w:rPr>
          <w:rFonts w:hint="eastAsia"/>
          <w:color w:val="auto"/>
          <w:sz w:val="24"/>
          <w:szCs w:val="24"/>
          <w:highlight w:val="none"/>
        </w:rPr>
        <w:t>(是/否)需要支付履约保证金。若需要支付履约保证金的，则:</w:t>
      </w:r>
    </w:p>
    <w:p w14:paraId="0F95DEB6">
      <w:pPr>
        <w:pStyle w:val="631"/>
        <w:spacing w:before="0" w:beforeAutospacing="0" w:after="0" w:afterAutospacing="0" w:line="360" w:lineRule="auto"/>
        <w:ind w:firstLine="480"/>
        <w:rPr>
          <w:rFonts w:hint="eastAsia"/>
          <w:color w:val="auto"/>
          <w:sz w:val="24"/>
          <w:szCs w:val="24"/>
          <w:highlight w:val="none"/>
        </w:rPr>
      </w:pPr>
      <w:r>
        <w:rPr>
          <w:rFonts w:hint="eastAsia"/>
          <w:color w:val="auto"/>
          <w:sz w:val="24"/>
          <w:szCs w:val="24"/>
          <w:highlight w:val="none"/>
        </w:rPr>
        <w:t>1.4.2履约保证金支付方式详见 合同专用条款:</w:t>
      </w:r>
    </w:p>
    <w:p w14:paraId="276F0DB6">
      <w:pPr>
        <w:pStyle w:val="631"/>
        <w:spacing w:before="0" w:beforeAutospacing="0" w:after="0" w:afterAutospacing="0" w:line="360" w:lineRule="auto"/>
        <w:ind w:firstLine="480"/>
        <w:rPr>
          <w:rFonts w:hint="default" w:eastAsia="宋体"/>
          <w:color w:val="auto"/>
          <w:sz w:val="24"/>
          <w:szCs w:val="24"/>
          <w:highlight w:val="none"/>
          <w:lang w:val="en-US" w:eastAsia="zh-CN"/>
        </w:rPr>
      </w:pPr>
      <w:r>
        <w:rPr>
          <w:rFonts w:hint="eastAsia"/>
          <w:color w:val="auto"/>
          <w:sz w:val="24"/>
          <w:szCs w:val="24"/>
          <w:highlight w:val="none"/>
        </w:rPr>
        <w:t>1.4.3如果乙方不履行合同，履约保证金不予退还:如果乙方未能按合同约定全面履行义务，那么甲方有权从履约保证金中取得补偿或赔偿，同时不影响甲方要求乙方承</w:t>
      </w:r>
      <w:r>
        <w:rPr>
          <w:rFonts w:hint="eastAsia"/>
          <w:color w:val="auto"/>
          <w:sz w:val="24"/>
          <w:szCs w:val="24"/>
          <w:highlight w:val="none"/>
          <w:lang w:val="en-US" w:eastAsia="zh-CN"/>
        </w:rPr>
        <w:t>担合同约定的超过履约保证金的违约责任的权利；</w:t>
      </w:r>
    </w:p>
    <w:p w14:paraId="027A038F">
      <w:pPr>
        <w:spacing w:line="360" w:lineRule="auto"/>
        <w:ind w:firstLine="480" w:firstLineChars="200"/>
        <w:rPr>
          <w:rFonts w:hint="eastAsia" w:ascii="宋体" w:hAnsi="宋体" w:cs="宋体"/>
          <w:b/>
          <w:color w:val="auto"/>
          <w:sz w:val="24"/>
          <w:szCs w:val="24"/>
          <w:highlight w:val="none"/>
        </w:rPr>
      </w:pPr>
      <w:r>
        <w:rPr>
          <w:rFonts w:hint="eastAsia"/>
          <w:color w:val="auto"/>
          <w:sz w:val="24"/>
          <w:szCs w:val="24"/>
          <w:highlight w:val="none"/>
        </w:rPr>
        <w:t>1.4.4甲方在项目验收结束后及时退还履约保证金。甲方在项目通过验收之日起个工作日内将履约保证金无息退还乙方，逾期退还的，乙方可要求甲方支付违约金，违约金按每迟延退还一日的应退还而未退还金额的 0.05(可根据情况修改)%计算，最高限额为本合同履约保证金的 20</w:t>
      </w:r>
      <w:r>
        <w:rPr>
          <w:rFonts w:hint="eastAsia"/>
          <w:color w:val="auto"/>
          <w:sz w:val="24"/>
          <w:szCs w:val="24"/>
          <w:highlight w:val="none"/>
          <w:lang w:val="en-US" w:eastAsia="zh-CN"/>
        </w:rPr>
        <w:t>%。</w:t>
      </w:r>
    </w:p>
    <w:p w14:paraId="3E42CC66">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1.5</w:t>
      </w:r>
      <w:bookmarkEnd w:id="59"/>
      <w:bookmarkEnd w:id="60"/>
      <w:bookmarkEnd w:id="61"/>
      <w:r>
        <w:rPr>
          <w:rFonts w:hint="eastAsia" w:ascii="宋体" w:hAnsi="宋体" w:cs="宋体"/>
          <w:b/>
          <w:color w:val="auto"/>
          <w:sz w:val="24"/>
          <w:szCs w:val="24"/>
          <w:highlight w:val="none"/>
        </w:rPr>
        <w:t>预付款</w:t>
      </w:r>
    </w:p>
    <w:p w14:paraId="02B485A2">
      <w:pPr>
        <w:pStyle w:val="631"/>
        <w:spacing w:before="0" w:beforeAutospacing="0" w:after="0" w:afterAutospacing="0" w:line="360" w:lineRule="auto"/>
        <w:ind w:firstLine="480"/>
        <w:rPr>
          <w:color w:val="auto"/>
          <w:sz w:val="24"/>
          <w:szCs w:val="24"/>
          <w:highlight w:val="none"/>
        </w:rPr>
      </w:pPr>
      <w:r>
        <w:rPr>
          <w:rFonts w:hint="eastAsia"/>
          <w:color w:val="auto"/>
          <w:sz w:val="24"/>
          <w:szCs w:val="24"/>
          <w:highlight w:val="none"/>
        </w:rPr>
        <w:t>甲方</w:t>
      </w:r>
      <w:r>
        <w:rPr>
          <w:rFonts w:hint="eastAsia"/>
          <w:color w:val="auto"/>
          <w:sz w:val="24"/>
          <w:szCs w:val="24"/>
          <w:highlight w:val="none"/>
          <w:u w:val="single"/>
          <w:lang w:val="en-US" w:eastAsia="zh-CN"/>
        </w:rPr>
        <w:t xml:space="preserve"> 是 </w:t>
      </w:r>
      <w:r>
        <w:rPr>
          <w:rFonts w:hint="eastAsia"/>
          <w:color w:val="auto"/>
          <w:sz w:val="24"/>
          <w:szCs w:val="24"/>
          <w:highlight w:val="none"/>
        </w:rPr>
        <w:t>（是</w:t>
      </w:r>
      <w:r>
        <w:rPr>
          <w:rFonts w:hint="eastAsia" w:ascii="仿宋" w:hAnsi="仿宋" w:eastAsia="仿宋" w:cs="仿宋"/>
          <w:color w:val="auto"/>
          <w:sz w:val="24"/>
          <w:szCs w:val="24"/>
          <w:highlight w:val="none"/>
        </w:rPr>
        <w:t>/</w:t>
      </w:r>
      <w:r>
        <w:rPr>
          <w:rFonts w:hint="eastAsia"/>
          <w:color w:val="auto"/>
          <w:sz w:val="24"/>
          <w:szCs w:val="24"/>
          <w:highlight w:val="none"/>
        </w:rPr>
        <w:t>否）需要支付预付款。若需要支付预付款的，则：</w:t>
      </w:r>
    </w:p>
    <w:p w14:paraId="37DEC46B">
      <w:pPr>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1.5.1预付款比例、支付方式、时间详见</w:t>
      </w:r>
      <w:r>
        <w:rPr>
          <w:rFonts w:hint="eastAsia" w:ascii="宋体" w:hAnsi="宋体" w:cs="宋体"/>
          <w:color w:val="auto"/>
          <w:kern w:val="0"/>
          <w:sz w:val="24"/>
          <w:szCs w:val="24"/>
          <w:highlight w:val="none"/>
          <w:u w:val="single"/>
        </w:rPr>
        <w:t xml:space="preserve">    </w:t>
      </w:r>
      <w:r>
        <w:rPr>
          <w:rFonts w:hint="eastAsia" w:ascii="宋体" w:hAnsi="宋体" w:cs="宋体"/>
          <w:b/>
          <w:color w:val="auto"/>
          <w:sz w:val="24"/>
          <w:szCs w:val="24"/>
          <w:highlight w:val="none"/>
          <w:u w:val="single"/>
        </w:rPr>
        <w:t>合同专用条款</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w:t>
      </w:r>
    </w:p>
    <w:p w14:paraId="39CA02AE">
      <w:pPr>
        <w:pStyle w:val="631"/>
        <w:spacing w:before="0" w:beforeAutospacing="0" w:after="0" w:afterAutospacing="0" w:line="360" w:lineRule="auto"/>
        <w:ind w:firstLine="480"/>
        <w:rPr>
          <w:color w:val="auto"/>
          <w:sz w:val="24"/>
          <w:szCs w:val="24"/>
          <w:highlight w:val="none"/>
        </w:rPr>
      </w:pPr>
      <w:r>
        <w:rPr>
          <w:rFonts w:hint="eastAsia"/>
          <w:color w:val="auto"/>
          <w:sz w:val="24"/>
          <w:szCs w:val="24"/>
          <w:highlight w:val="none"/>
        </w:rPr>
        <w:t>1.5.2预付款的扣回方式详见</w:t>
      </w:r>
      <w:r>
        <w:rPr>
          <w:rFonts w:hint="eastAsia"/>
          <w:color w:val="auto"/>
          <w:sz w:val="24"/>
          <w:szCs w:val="24"/>
          <w:highlight w:val="none"/>
          <w:u w:val="single"/>
        </w:rPr>
        <w:t xml:space="preserve">    </w:t>
      </w:r>
      <w:r>
        <w:rPr>
          <w:rFonts w:hint="eastAsia"/>
          <w:b/>
          <w:color w:val="auto"/>
          <w:sz w:val="24"/>
          <w:szCs w:val="24"/>
          <w:highlight w:val="none"/>
          <w:u w:val="single"/>
        </w:rPr>
        <w:t>合同专用条款</w:t>
      </w:r>
      <w:r>
        <w:rPr>
          <w:rFonts w:hint="eastAsia"/>
          <w:color w:val="auto"/>
          <w:sz w:val="24"/>
          <w:szCs w:val="24"/>
          <w:highlight w:val="none"/>
          <w:u w:val="single"/>
        </w:rPr>
        <w:t xml:space="preserve">           </w:t>
      </w:r>
      <w:r>
        <w:rPr>
          <w:rFonts w:hint="eastAsia"/>
          <w:color w:val="auto"/>
          <w:sz w:val="24"/>
          <w:szCs w:val="24"/>
          <w:highlight w:val="none"/>
        </w:rPr>
        <w:t>；</w:t>
      </w:r>
    </w:p>
    <w:p w14:paraId="528C3267">
      <w:pPr>
        <w:pStyle w:val="631"/>
        <w:spacing w:before="0" w:beforeAutospacing="0" w:after="0" w:afterAutospacing="0" w:line="360" w:lineRule="auto"/>
        <w:ind w:firstLine="480"/>
        <w:rPr>
          <w:color w:val="auto"/>
          <w:sz w:val="24"/>
          <w:szCs w:val="24"/>
          <w:highlight w:val="none"/>
          <w:u w:val="single"/>
        </w:rPr>
      </w:pPr>
      <w:r>
        <w:rPr>
          <w:rFonts w:hint="eastAsia"/>
          <w:color w:val="auto"/>
          <w:sz w:val="24"/>
          <w:szCs w:val="24"/>
          <w:highlight w:val="none"/>
        </w:rPr>
        <w:t>1.5.3预付款的担保措施详见</w:t>
      </w:r>
      <w:r>
        <w:rPr>
          <w:rFonts w:hint="eastAsia"/>
          <w:color w:val="auto"/>
          <w:sz w:val="24"/>
          <w:szCs w:val="24"/>
          <w:highlight w:val="none"/>
          <w:u w:val="single"/>
        </w:rPr>
        <w:t xml:space="preserve">    </w:t>
      </w:r>
      <w:r>
        <w:rPr>
          <w:rFonts w:hint="eastAsia"/>
          <w:b/>
          <w:color w:val="auto"/>
          <w:sz w:val="24"/>
          <w:szCs w:val="24"/>
          <w:highlight w:val="none"/>
          <w:u w:val="single"/>
        </w:rPr>
        <w:t>合同专用条款</w:t>
      </w:r>
      <w:r>
        <w:rPr>
          <w:rFonts w:hint="eastAsia"/>
          <w:color w:val="auto"/>
          <w:sz w:val="24"/>
          <w:szCs w:val="24"/>
          <w:highlight w:val="none"/>
          <w:u w:val="single"/>
        </w:rPr>
        <w:t xml:space="preserve">          </w:t>
      </w:r>
      <w:r>
        <w:rPr>
          <w:rFonts w:hint="eastAsia"/>
          <w:color w:val="auto"/>
          <w:sz w:val="24"/>
          <w:szCs w:val="24"/>
          <w:highlight w:val="none"/>
        </w:rPr>
        <w:t>。</w:t>
      </w:r>
    </w:p>
    <w:p w14:paraId="077B283C">
      <w:pPr>
        <w:pStyle w:val="631"/>
        <w:spacing w:before="0" w:beforeAutospacing="0" w:after="0" w:afterAutospacing="0" w:line="360" w:lineRule="auto"/>
        <w:ind w:firstLine="480"/>
        <w:rPr>
          <w:b/>
          <w:bCs/>
          <w:color w:val="auto"/>
          <w:sz w:val="24"/>
          <w:szCs w:val="24"/>
          <w:highlight w:val="none"/>
        </w:rPr>
      </w:pPr>
      <w:r>
        <w:rPr>
          <w:rFonts w:hint="eastAsia"/>
          <w:b/>
          <w:bCs/>
          <w:color w:val="auto"/>
          <w:sz w:val="24"/>
          <w:szCs w:val="24"/>
          <w:highlight w:val="none"/>
        </w:rPr>
        <w:t>1.6资金支付</w:t>
      </w:r>
    </w:p>
    <w:p w14:paraId="2AFF7C81">
      <w:pPr>
        <w:pStyle w:val="631"/>
        <w:spacing w:before="0" w:beforeAutospacing="0" w:after="0" w:afterAutospacing="0" w:line="360" w:lineRule="auto"/>
        <w:ind w:firstLine="480"/>
        <w:rPr>
          <w:color w:val="auto"/>
          <w:sz w:val="24"/>
          <w:szCs w:val="24"/>
          <w:highlight w:val="none"/>
        </w:rPr>
      </w:pPr>
      <w:r>
        <w:rPr>
          <w:rFonts w:hint="eastAsia"/>
          <w:color w:val="auto"/>
          <w:sz w:val="24"/>
          <w:szCs w:val="24"/>
          <w:highlight w:val="none"/>
        </w:rPr>
        <w:t>1.6.1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14:paraId="3164ADE3">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1.6.2资金支付的方式、时间和条件详见</w:t>
      </w:r>
      <w:r>
        <w:rPr>
          <w:rFonts w:hint="eastAsia" w:ascii="宋体" w:hAnsi="宋体" w:cs="宋体"/>
          <w:b/>
          <w:color w:val="auto"/>
          <w:sz w:val="24"/>
          <w:szCs w:val="24"/>
          <w:highlight w:val="none"/>
          <w:u w:val="single"/>
        </w:rPr>
        <w:t>合同专用条款</w:t>
      </w:r>
      <w:r>
        <w:rPr>
          <w:rFonts w:hint="eastAsia" w:ascii="宋体" w:hAnsi="宋体" w:cs="宋体"/>
          <w:color w:val="auto"/>
          <w:sz w:val="24"/>
          <w:szCs w:val="24"/>
          <w:highlight w:val="none"/>
        </w:rPr>
        <w:t>。</w:t>
      </w:r>
    </w:p>
    <w:p w14:paraId="45778CD5">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1.</w:t>
      </w:r>
      <w:r>
        <w:rPr>
          <w:rFonts w:hint="eastAsia" w:ascii="宋体" w:hAnsi="宋体"/>
          <w:b/>
          <w:color w:val="auto"/>
          <w:sz w:val="24"/>
          <w:szCs w:val="24"/>
          <w:highlight w:val="none"/>
        </w:rPr>
        <w:t>7</w:t>
      </w:r>
      <w:r>
        <w:rPr>
          <w:rFonts w:ascii="宋体" w:hAnsi="宋体"/>
          <w:b/>
          <w:color w:val="auto"/>
          <w:sz w:val="24"/>
          <w:szCs w:val="24"/>
          <w:highlight w:val="none"/>
        </w:rPr>
        <w:t xml:space="preserve"> 履行期限</w:t>
      </w:r>
      <w:r>
        <w:rPr>
          <w:rFonts w:hint="eastAsia" w:ascii="宋体" w:hAnsi="宋体"/>
          <w:b/>
          <w:color w:val="auto"/>
          <w:sz w:val="24"/>
          <w:szCs w:val="24"/>
          <w:highlight w:val="none"/>
        </w:rPr>
        <w:t>、地点和方式</w:t>
      </w:r>
      <w:bookmarkEnd w:id="62"/>
      <w:bookmarkEnd w:id="63"/>
      <w:bookmarkEnd w:id="64"/>
      <w:bookmarkEnd w:id="65"/>
      <w:bookmarkEnd w:id="66"/>
    </w:p>
    <w:p w14:paraId="0D229292">
      <w:pPr>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rPr>
        <w:t>1.</w:t>
      </w:r>
      <w:r>
        <w:rPr>
          <w:rFonts w:hint="eastAsia" w:ascii="宋体" w:hAnsi="宋体"/>
          <w:color w:val="auto"/>
          <w:sz w:val="24"/>
          <w:szCs w:val="24"/>
          <w:highlight w:val="none"/>
        </w:rPr>
        <w:t>7</w:t>
      </w:r>
      <w:r>
        <w:rPr>
          <w:rFonts w:ascii="宋体" w:hAnsi="宋体"/>
          <w:color w:val="auto"/>
          <w:sz w:val="24"/>
          <w:szCs w:val="24"/>
          <w:highlight w:val="none"/>
        </w:rPr>
        <w:t xml:space="preserve">.1 </w:t>
      </w:r>
      <w:r>
        <w:rPr>
          <w:rFonts w:hint="eastAsia" w:ascii="宋体" w:hAnsi="宋体"/>
          <w:color w:val="auto"/>
          <w:sz w:val="24"/>
          <w:szCs w:val="24"/>
          <w:highlight w:val="none"/>
        </w:rPr>
        <w:t>服务交付（实施）的时间（期限）</w:t>
      </w:r>
      <w:r>
        <w:rPr>
          <w:rFonts w:ascii="宋体" w:hAnsi="宋体"/>
          <w:color w:val="auto"/>
          <w:sz w:val="24"/>
          <w:szCs w:val="24"/>
          <w:highlight w:val="none"/>
        </w:rPr>
        <w:t>：</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16BB5EA1">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7</w:t>
      </w:r>
      <w:r>
        <w:rPr>
          <w:rFonts w:ascii="宋体" w:hAnsi="宋体"/>
          <w:color w:val="auto"/>
          <w:sz w:val="24"/>
          <w:szCs w:val="24"/>
          <w:highlight w:val="none"/>
        </w:rPr>
        <w:t xml:space="preserve">.2 </w:t>
      </w:r>
      <w:r>
        <w:rPr>
          <w:rFonts w:hint="eastAsia" w:ascii="宋体" w:hAnsi="宋体"/>
          <w:color w:val="auto"/>
          <w:sz w:val="24"/>
          <w:szCs w:val="24"/>
          <w:highlight w:val="none"/>
        </w:rPr>
        <w:t>服</w:t>
      </w:r>
      <w:r>
        <w:rPr>
          <w:rFonts w:hint="eastAsia" w:ascii="宋体" w:hAnsi="宋体" w:cs="宋体"/>
          <w:color w:val="auto"/>
          <w:sz w:val="24"/>
          <w:szCs w:val="24"/>
          <w:highlight w:val="none"/>
        </w:rPr>
        <w:t>务交付（实施）的地点（地域范围）：</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7FE8C09F">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7</w:t>
      </w:r>
      <w:r>
        <w:rPr>
          <w:rFonts w:ascii="宋体" w:hAnsi="宋体"/>
          <w:color w:val="auto"/>
          <w:sz w:val="24"/>
          <w:szCs w:val="24"/>
          <w:highlight w:val="none"/>
        </w:rPr>
        <w:t xml:space="preserve">.3 </w:t>
      </w:r>
      <w:r>
        <w:rPr>
          <w:rFonts w:hint="eastAsia" w:ascii="宋体" w:hAnsi="宋体"/>
          <w:color w:val="auto"/>
          <w:sz w:val="24"/>
          <w:szCs w:val="24"/>
          <w:highlight w:val="none"/>
        </w:rPr>
        <w:t>服务交付（实施）的方式：</w:t>
      </w:r>
      <w:r>
        <w:rPr>
          <w:rFonts w:hint="eastAsia" w:ascii="宋体" w:hAnsi="宋体"/>
          <w:b/>
          <w:color w:val="auto"/>
          <w:sz w:val="24"/>
          <w:szCs w:val="24"/>
          <w:highlight w:val="none"/>
          <w:u w:val="single"/>
        </w:rPr>
        <w:t>合同专用条款</w:t>
      </w:r>
      <w:r>
        <w:rPr>
          <w:rFonts w:hint="eastAsia" w:ascii="宋体" w:hAnsi="宋体"/>
          <w:color w:val="auto"/>
          <w:sz w:val="24"/>
          <w:szCs w:val="24"/>
          <w:highlight w:val="none"/>
        </w:rPr>
        <w:t>。</w:t>
      </w:r>
    </w:p>
    <w:p w14:paraId="19E8E08B">
      <w:pPr>
        <w:spacing w:line="360" w:lineRule="auto"/>
        <w:ind w:firstLine="482" w:firstLineChars="200"/>
        <w:rPr>
          <w:rFonts w:ascii="宋体" w:hAnsi="宋体"/>
          <w:color w:val="auto"/>
          <w:sz w:val="24"/>
          <w:szCs w:val="24"/>
          <w:highlight w:val="none"/>
          <w:u w:val="single"/>
        </w:rPr>
      </w:pPr>
      <w:bookmarkStart w:id="67" w:name="_Toc2375"/>
      <w:bookmarkStart w:id="68" w:name="_Toc5698"/>
      <w:bookmarkStart w:id="69" w:name="_Toc24662"/>
      <w:bookmarkStart w:id="70" w:name="_Toc8586"/>
      <w:bookmarkStart w:id="71" w:name="_Toc3079"/>
      <w:r>
        <w:rPr>
          <w:rFonts w:ascii="宋体" w:hAnsi="宋体"/>
          <w:b/>
          <w:color w:val="auto"/>
          <w:sz w:val="24"/>
          <w:szCs w:val="24"/>
          <w:highlight w:val="none"/>
        </w:rPr>
        <w:t>1.</w:t>
      </w:r>
      <w:r>
        <w:rPr>
          <w:rFonts w:hint="eastAsia" w:ascii="宋体" w:hAnsi="宋体"/>
          <w:b/>
          <w:color w:val="auto"/>
          <w:sz w:val="24"/>
          <w:szCs w:val="24"/>
          <w:highlight w:val="none"/>
        </w:rPr>
        <w:t>8违约责任</w:t>
      </w:r>
      <w:bookmarkEnd w:id="67"/>
      <w:bookmarkEnd w:id="68"/>
      <w:bookmarkEnd w:id="69"/>
      <w:bookmarkEnd w:id="70"/>
      <w:bookmarkEnd w:id="71"/>
    </w:p>
    <w:p w14:paraId="34B160C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8</w:t>
      </w:r>
      <w:r>
        <w:rPr>
          <w:rFonts w:ascii="宋体" w:hAnsi="宋体"/>
          <w:color w:val="auto"/>
          <w:sz w:val="24"/>
          <w:szCs w:val="24"/>
          <w:highlight w:val="none"/>
        </w:rPr>
        <w:t>.1 除不可抗力外，如果乙方没有按照本合同约定的期限</w:t>
      </w:r>
      <w:r>
        <w:rPr>
          <w:rFonts w:hint="eastAsia" w:ascii="宋体" w:hAnsi="宋体"/>
          <w:color w:val="auto"/>
          <w:sz w:val="24"/>
          <w:szCs w:val="24"/>
          <w:highlight w:val="none"/>
        </w:rPr>
        <w:t>、</w:t>
      </w:r>
      <w:r>
        <w:rPr>
          <w:rFonts w:ascii="宋体" w:hAnsi="宋体"/>
          <w:color w:val="auto"/>
          <w:sz w:val="24"/>
          <w:szCs w:val="24"/>
          <w:highlight w:val="none"/>
        </w:rPr>
        <w:t>地点和方式</w:t>
      </w:r>
      <w:r>
        <w:rPr>
          <w:rFonts w:hint="eastAsia" w:ascii="宋体" w:hAnsi="宋体"/>
          <w:color w:val="auto"/>
          <w:sz w:val="24"/>
          <w:szCs w:val="24"/>
          <w:highlight w:val="none"/>
        </w:rPr>
        <w:t>交付服务成果或者实施服务</w:t>
      </w:r>
      <w:r>
        <w:rPr>
          <w:rFonts w:ascii="宋体" w:hAnsi="宋体"/>
          <w:color w:val="auto"/>
          <w:sz w:val="24"/>
          <w:szCs w:val="24"/>
          <w:highlight w:val="none"/>
        </w:rPr>
        <w:t>，那么甲方可要求乙方支付违约金</w:t>
      </w:r>
      <w:r>
        <w:rPr>
          <w:rFonts w:hint="eastAsia" w:ascii="宋体" w:hAnsi="宋体"/>
          <w:color w:val="auto"/>
          <w:sz w:val="24"/>
          <w:szCs w:val="24"/>
          <w:highlight w:val="none"/>
        </w:rPr>
        <w:t>，迟延履行</w:t>
      </w:r>
      <w:r>
        <w:rPr>
          <w:rFonts w:ascii="宋体" w:hAnsi="宋体"/>
          <w:color w:val="auto"/>
          <w:sz w:val="24"/>
          <w:szCs w:val="24"/>
          <w:highlight w:val="none"/>
        </w:rPr>
        <w:t>违约金按每迟延</w:t>
      </w:r>
      <w:r>
        <w:rPr>
          <w:rFonts w:hint="eastAsia" w:ascii="宋体" w:hAnsi="宋体"/>
          <w:color w:val="auto"/>
          <w:sz w:val="24"/>
          <w:szCs w:val="24"/>
          <w:highlight w:val="none"/>
        </w:rPr>
        <w:t>履行</w:t>
      </w:r>
      <w:r>
        <w:rPr>
          <w:rFonts w:ascii="宋体" w:hAnsi="宋体"/>
          <w:color w:val="auto"/>
          <w:sz w:val="24"/>
          <w:szCs w:val="24"/>
          <w:highlight w:val="none"/>
        </w:rPr>
        <w:t>一日的应提供而未</w:t>
      </w:r>
      <w:r>
        <w:rPr>
          <w:rFonts w:hint="eastAsia" w:ascii="宋体" w:hAnsi="宋体"/>
          <w:color w:val="auto"/>
          <w:sz w:val="24"/>
          <w:szCs w:val="24"/>
          <w:highlight w:val="none"/>
        </w:rPr>
        <w:t>提供</w:t>
      </w:r>
      <w:r>
        <w:rPr>
          <w:rFonts w:ascii="宋体" w:hAnsi="宋体"/>
          <w:color w:val="auto"/>
          <w:sz w:val="24"/>
          <w:szCs w:val="24"/>
          <w:highlight w:val="none"/>
        </w:rPr>
        <w:t>服务价格的</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0.05</w:t>
      </w:r>
      <w:r>
        <w:rPr>
          <w:rFonts w:ascii="宋体" w:hAnsi="宋体"/>
          <w:color w:val="auto"/>
          <w:sz w:val="24"/>
          <w:szCs w:val="24"/>
          <w:highlight w:val="none"/>
          <w:u w:val="single"/>
        </w:rPr>
        <w:t xml:space="preserve"> </w:t>
      </w:r>
      <w:r>
        <w:rPr>
          <w:rFonts w:ascii="宋体" w:hAnsi="宋体"/>
          <w:color w:val="auto"/>
          <w:sz w:val="24"/>
          <w:szCs w:val="24"/>
          <w:highlight w:val="none"/>
        </w:rPr>
        <w:t>%计算</w:t>
      </w:r>
      <w:r>
        <w:rPr>
          <w:rFonts w:hint="eastAsia" w:ascii="宋体" w:hAnsi="宋体"/>
          <w:color w:val="auto"/>
          <w:sz w:val="24"/>
          <w:szCs w:val="24"/>
          <w:highlight w:val="none"/>
        </w:rPr>
        <w:t>，</w:t>
      </w:r>
      <w:r>
        <w:rPr>
          <w:rFonts w:ascii="宋体" w:hAnsi="宋体"/>
          <w:color w:val="auto"/>
          <w:sz w:val="24"/>
          <w:szCs w:val="24"/>
          <w:highlight w:val="none"/>
        </w:rPr>
        <w:t>最高限额为</w:t>
      </w:r>
      <w:r>
        <w:rPr>
          <w:rFonts w:hint="eastAsia" w:ascii="宋体" w:hAnsi="宋体"/>
          <w:color w:val="auto"/>
          <w:sz w:val="24"/>
          <w:szCs w:val="24"/>
          <w:highlight w:val="none"/>
        </w:rPr>
        <w:t>本</w:t>
      </w:r>
      <w:r>
        <w:rPr>
          <w:rFonts w:ascii="宋体" w:hAnsi="宋体"/>
          <w:color w:val="auto"/>
          <w:sz w:val="24"/>
          <w:szCs w:val="24"/>
          <w:highlight w:val="none"/>
        </w:rPr>
        <w:t>合同总价的</w:t>
      </w:r>
      <w:r>
        <w:rPr>
          <w:rFonts w:ascii="宋体" w:hAnsi="宋体"/>
          <w:color w:val="auto"/>
          <w:sz w:val="24"/>
          <w:szCs w:val="24"/>
          <w:highlight w:val="none"/>
          <w:u w:val="single"/>
        </w:rPr>
        <w:t xml:space="preserve">  20   </w:t>
      </w:r>
      <w:r>
        <w:rPr>
          <w:rFonts w:ascii="宋体" w:hAnsi="宋体"/>
          <w:color w:val="auto"/>
          <w:sz w:val="24"/>
          <w:szCs w:val="24"/>
          <w:highlight w:val="none"/>
        </w:rPr>
        <w:t>%</w:t>
      </w:r>
      <w:r>
        <w:rPr>
          <w:rFonts w:hint="eastAsia" w:ascii="宋体" w:hAnsi="宋体"/>
          <w:color w:val="auto"/>
          <w:sz w:val="24"/>
          <w:szCs w:val="24"/>
          <w:highlight w:val="none"/>
        </w:rPr>
        <w:t>；</w:t>
      </w:r>
      <w:r>
        <w:rPr>
          <w:rFonts w:ascii="宋体" w:hAnsi="宋体"/>
          <w:color w:val="auto"/>
          <w:sz w:val="24"/>
          <w:szCs w:val="24"/>
          <w:highlight w:val="none"/>
        </w:rPr>
        <w:t>迟延</w:t>
      </w:r>
      <w:r>
        <w:rPr>
          <w:rFonts w:hint="eastAsia" w:ascii="宋体" w:hAnsi="宋体"/>
          <w:color w:val="auto"/>
          <w:sz w:val="24"/>
          <w:szCs w:val="24"/>
          <w:highlight w:val="none"/>
        </w:rPr>
        <w:t>履行</w:t>
      </w:r>
      <w:r>
        <w:rPr>
          <w:rFonts w:ascii="宋体" w:hAnsi="宋体"/>
          <w:color w:val="auto"/>
          <w:sz w:val="24"/>
          <w:szCs w:val="24"/>
          <w:highlight w:val="none"/>
        </w:rPr>
        <w:t>的违约金计算数额达到前述最高限额之日起</w:t>
      </w:r>
      <w:r>
        <w:rPr>
          <w:rFonts w:hint="eastAsia" w:ascii="宋体" w:hAnsi="宋体"/>
          <w:color w:val="auto"/>
          <w:sz w:val="24"/>
          <w:szCs w:val="24"/>
          <w:highlight w:val="none"/>
        </w:rPr>
        <w:t>，</w:t>
      </w:r>
      <w:r>
        <w:rPr>
          <w:rFonts w:ascii="宋体" w:hAnsi="宋体"/>
          <w:color w:val="auto"/>
          <w:sz w:val="24"/>
          <w:szCs w:val="24"/>
          <w:highlight w:val="none"/>
        </w:rPr>
        <w:t>甲方有权在要求乙方支付违约金的同时</w:t>
      </w:r>
      <w:r>
        <w:rPr>
          <w:rFonts w:hint="eastAsia" w:ascii="宋体" w:hAnsi="宋体"/>
          <w:color w:val="auto"/>
          <w:sz w:val="24"/>
          <w:szCs w:val="24"/>
          <w:highlight w:val="none"/>
        </w:rPr>
        <w:t>，书面通知乙方</w:t>
      </w:r>
      <w:r>
        <w:rPr>
          <w:rFonts w:ascii="宋体" w:hAnsi="宋体"/>
          <w:color w:val="auto"/>
          <w:sz w:val="24"/>
          <w:szCs w:val="24"/>
          <w:highlight w:val="none"/>
        </w:rPr>
        <w:t>解除本合同</w:t>
      </w:r>
      <w:r>
        <w:rPr>
          <w:rFonts w:hint="eastAsia" w:ascii="宋体" w:hAnsi="宋体"/>
          <w:color w:val="auto"/>
          <w:sz w:val="24"/>
          <w:szCs w:val="24"/>
          <w:highlight w:val="none"/>
        </w:rPr>
        <w:t>；</w:t>
      </w:r>
    </w:p>
    <w:p w14:paraId="49149514">
      <w:pPr>
        <w:pStyle w:val="633"/>
        <w:rPr>
          <w:b/>
          <w:bCs/>
          <w:color w:val="auto"/>
          <w:sz w:val="24"/>
          <w:szCs w:val="24"/>
          <w:highlight w:val="none"/>
        </w:rPr>
      </w:pPr>
      <w:r>
        <w:rPr>
          <w:rFonts w:hint="eastAsia"/>
          <w:color w:val="auto"/>
          <w:sz w:val="24"/>
          <w:szCs w:val="24"/>
          <w:highlight w:val="none"/>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color w:val="auto"/>
          <w:sz w:val="24"/>
          <w:szCs w:val="24"/>
          <w:highlight w:val="none"/>
          <w:u w:val="single"/>
        </w:rPr>
        <w:t xml:space="preserve">  0.05</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r>
        <w:rPr>
          <w:rFonts w:hint="eastAsia"/>
          <w:color w:val="auto"/>
          <w:sz w:val="24"/>
          <w:szCs w:val="24"/>
          <w:highlight w:val="none"/>
        </w:rPr>
        <w:t>%计算，最高限额为本合同总价的</w:t>
      </w:r>
      <w:r>
        <w:rPr>
          <w:rFonts w:hint="eastAsia"/>
          <w:color w:val="auto"/>
          <w:sz w:val="24"/>
          <w:szCs w:val="24"/>
          <w:highlight w:val="none"/>
          <w:u w:val="single"/>
        </w:rPr>
        <w:t xml:space="preserve">  20  </w:t>
      </w:r>
      <w:r>
        <w:rPr>
          <w:rFonts w:hint="eastAsia"/>
          <w:color w:val="auto"/>
          <w:sz w:val="24"/>
          <w:szCs w:val="24"/>
          <w:highlight w:val="none"/>
        </w:rPr>
        <w:t>%；迟延交付货物的违约金计算数额达到前述最高限额之日起，甲方有权在要求乙方支付违约金的同时，书面通知乙方解除本合同；</w:t>
      </w:r>
    </w:p>
    <w:p w14:paraId="0093D69F">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1.</w:t>
      </w:r>
      <w:r>
        <w:rPr>
          <w:rFonts w:hint="eastAsia" w:ascii="宋体" w:hAnsi="宋体"/>
          <w:color w:val="auto"/>
          <w:sz w:val="24"/>
          <w:szCs w:val="24"/>
          <w:highlight w:val="none"/>
        </w:rPr>
        <w:t>8</w:t>
      </w:r>
      <w:r>
        <w:rPr>
          <w:rFonts w:ascii="宋体" w:hAnsi="宋体"/>
          <w:color w:val="auto"/>
          <w:sz w:val="24"/>
          <w:szCs w:val="24"/>
          <w:highlight w:val="none"/>
        </w:rPr>
        <w:t>.</w:t>
      </w:r>
      <w:r>
        <w:rPr>
          <w:rFonts w:hint="eastAsia" w:ascii="宋体" w:hAnsi="宋体"/>
          <w:color w:val="auto"/>
          <w:sz w:val="24"/>
          <w:szCs w:val="24"/>
          <w:highlight w:val="none"/>
        </w:rPr>
        <w:t>3</w:t>
      </w:r>
      <w:r>
        <w:rPr>
          <w:rFonts w:hint="eastAsia" w:ascii="宋体" w:hAnsi="宋体" w:cs="宋体"/>
          <w:color w:val="auto"/>
          <w:sz w:val="24"/>
          <w:szCs w:val="24"/>
          <w:highlight w:val="none"/>
        </w:rPr>
        <w:t>除不可抗力外，如果甲方没有按照本合同约定的付款方式付款，那么乙方可要求甲方支付违约金，违约金按每迟延付款一日的应付而未付款的</w:t>
      </w:r>
      <w:r>
        <w:rPr>
          <w:rFonts w:hint="eastAsia" w:ascii="宋体" w:hAnsi="宋体" w:cs="宋体"/>
          <w:color w:val="auto"/>
          <w:sz w:val="24"/>
          <w:szCs w:val="24"/>
          <w:highlight w:val="none"/>
          <w:u w:val="single"/>
        </w:rPr>
        <w:t xml:space="preserve">   0.05   </w:t>
      </w:r>
      <w:r>
        <w:rPr>
          <w:rFonts w:hint="eastAsia" w:ascii="宋体" w:hAnsi="宋体" w:cs="宋体"/>
          <w:color w:val="auto"/>
          <w:sz w:val="24"/>
          <w:szCs w:val="24"/>
          <w:highlight w:val="none"/>
        </w:rPr>
        <w:t>%计算，最高限额为本合同总价的</w:t>
      </w:r>
      <w:r>
        <w:rPr>
          <w:rFonts w:hint="eastAsia" w:ascii="宋体" w:hAnsi="宋体" w:cs="宋体"/>
          <w:color w:val="auto"/>
          <w:sz w:val="24"/>
          <w:szCs w:val="24"/>
          <w:highlight w:val="none"/>
          <w:u w:val="single"/>
        </w:rPr>
        <w:t xml:space="preserve">   20   </w:t>
      </w:r>
      <w:r>
        <w:rPr>
          <w:rFonts w:hint="eastAsia" w:ascii="宋体" w:hAnsi="宋体" w:cs="宋体"/>
          <w:color w:val="auto"/>
          <w:sz w:val="24"/>
          <w:szCs w:val="24"/>
          <w:highlight w:val="none"/>
        </w:rPr>
        <w:t>%；迟延付款的违约金计算数额达到前述最高限额之日起，乙方有权在要求甲方支付违约金的同时，书面通知甲方解除本合同</w:t>
      </w:r>
      <w:r>
        <w:rPr>
          <w:rFonts w:hint="eastAsia" w:ascii="宋体" w:hAnsi="宋体"/>
          <w:color w:val="auto"/>
          <w:sz w:val="24"/>
          <w:szCs w:val="24"/>
          <w:highlight w:val="none"/>
        </w:rPr>
        <w:t>；</w:t>
      </w:r>
    </w:p>
    <w:p w14:paraId="25589067">
      <w:pPr>
        <w:spacing w:line="360" w:lineRule="auto"/>
        <w:ind w:firstLine="480" w:firstLineChars="200"/>
        <w:rPr>
          <w:rFonts w:ascii="宋体" w:hAnsi="宋体" w:cs="宋体"/>
          <w:color w:val="auto"/>
          <w:sz w:val="24"/>
          <w:szCs w:val="24"/>
          <w:highlight w:val="none"/>
        </w:rPr>
      </w:pPr>
      <w:bookmarkStart w:id="72" w:name="_Toc32454"/>
      <w:bookmarkStart w:id="73" w:name="_Toc30329"/>
      <w:bookmarkStart w:id="74" w:name="_Toc26807"/>
      <w:bookmarkStart w:id="75" w:name="_Toc9497"/>
      <w:bookmarkStart w:id="76" w:name="_Toc18683"/>
      <w:r>
        <w:rPr>
          <w:rFonts w:hint="eastAsia" w:ascii="宋体" w:hAnsi="宋体" w:cs="宋体"/>
          <w:color w:val="auto"/>
          <w:sz w:val="24"/>
          <w:szCs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0FEF31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6C04668A">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388F3692">
      <w:pPr>
        <w:spacing w:line="360" w:lineRule="auto"/>
        <w:ind w:right="-420" w:rightChars="-20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1.8.7违约责任</w:t>
      </w:r>
      <w:r>
        <w:rPr>
          <w:rFonts w:hint="eastAsia" w:ascii="宋体" w:hAnsi="宋体" w:cs="宋体"/>
          <w:b/>
          <w:color w:val="auto"/>
          <w:sz w:val="24"/>
          <w:szCs w:val="24"/>
          <w:highlight w:val="none"/>
          <w:u w:val="single"/>
        </w:rPr>
        <w:t>合同专用条款</w:t>
      </w:r>
      <w:r>
        <w:rPr>
          <w:rFonts w:hint="eastAsia" w:ascii="宋体" w:hAnsi="宋体" w:cs="宋体"/>
          <w:color w:val="auto"/>
          <w:sz w:val="24"/>
          <w:szCs w:val="24"/>
          <w:highlight w:val="none"/>
        </w:rPr>
        <w:t>另有约定的，从其约定。</w:t>
      </w:r>
    </w:p>
    <w:bookmarkEnd w:id="72"/>
    <w:bookmarkEnd w:id="73"/>
    <w:bookmarkEnd w:id="74"/>
    <w:bookmarkEnd w:id="75"/>
    <w:bookmarkEnd w:id="76"/>
    <w:p w14:paraId="73F5C193">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1.9合同争议的解决</w:t>
      </w:r>
    </w:p>
    <w:p w14:paraId="1B9C6866">
      <w:pPr>
        <w:spacing w:line="360" w:lineRule="auto"/>
        <w:ind w:left="-61" w:leftChars="-29" w:right="-420" w:rightChars="-200" w:firstLine="240" w:firstLineChars="100"/>
        <w:rPr>
          <w:rFonts w:ascii="宋体" w:hAnsi="宋体" w:cs="宋体"/>
          <w:color w:val="auto"/>
          <w:sz w:val="24"/>
          <w:szCs w:val="24"/>
          <w:highlight w:val="none"/>
        </w:rPr>
      </w:pPr>
      <w:r>
        <w:rPr>
          <w:rFonts w:hint="eastAsia" w:ascii="宋体" w:hAnsi="宋体" w:cs="宋体"/>
          <w:color w:val="auto"/>
          <w:sz w:val="24"/>
          <w:szCs w:val="24"/>
          <w:highlight w:val="none"/>
        </w:rPr>
        <w:t xml:space="preserve">  本合同履行过程中发生的任何争议，双方当事人均可通过和解或者调解解决；不愿和解、调解或者和解、调解不成的，可以选择以下第</w:t>
      </w:r>
      <w:r>
        <w:rPr>
          <w:rFonts w:hint="eastAsia" w:ascii="宋体" w:hAnsi="宋体" w:cs="宋体"/>
          <w:b/>
          <w:color w:val="auto"/>
          <w:sz w:val="24"/>
          <w:szCs w:val="24"/>
          <w:highlight w:val="none"/>
          <w:u w:val="single"/>
        </w:rPr>
        <w:t xml:space="preserve"> </w:t>
      </w:r>
      <w:r>
        <w:rPr>
          <w:rFonts w:hint="eastAsia" w:ascii="宋体" w:hAnsi="宋体" w:cs="宋体"/>
          <w:b/>
          <w:color w:val="auto"/>
          <w:sz w:val="24"/>
          <w:szCs w:val="24"/>
          <w:highlight w:val="none"/>
          <w:u w:val="single"/>
          <w:lang w:val="en-US" w:eastAsia="zh-CN"/>
        </w:rPr>
        <w:t>1.9.2</w:t>
      </w:r>
      <w:r>
        <w:rPr>
          <w:rFonts w:hint="eastAsia" w:ascii="宋体" w:hAnsi="宋体" w:cs="宋体"/>
          <w:b/>
          <w:color w:val="auto"/>
          <w:sz w:val="24"/>
          <w:szCs w:val="24"/>
          <w:highlight w:val="none"/>
          <w:u w:val="single"/>
        </w:rPr>
        <w:t xml:space="preserve"> </w:t>
      </w:r>
      <w:r>
        <w:rPr>
          <w:rFonts w:hint="eastAsia" w:ascii="宋体" w:hAnsi="宋体" w:cs="宋体"/>
          <w:color w:val="auto"/>
          <w:sz w:val="24"/>
          <w:szCs w:val="24"/>
          <w:highlight w:val="none"/>
        </w:rPr>
        <w:t>条款规定的方式解决：</w:t>
      </w:r>
    </w:p>
    <w:p w14:paraId="7A9DF9F0">
      <w:pPr>
        <w:spacing w:line="360" w:lineRule="auto"/>
        <w:ind w:firstLine="600" w:firstLineChars="250"/>
        <w:rPr>
          <w:rFonts w:ascii="宋体" w:hAnsi="宋体" w:cs="宋体"/>
          <w:color w:val="auto"/>
          <w:sz w:val="24"/>
          <w:szCs w:val="24"/>
          <w:highlight w:val="none"/>
        </w:rPr>
      </w:pPr>
      <w:r>
        <w:rPr>
          <w:rFonts w:hint="eastAsia" w:ascii="宋体" w:hAnsi="宋体" w:cs="宋体"/>
          <w:color w:val="auto"/>
          <w:sz w:val="24"/>
          <w:szCs w:val="24"/>
          <w:highlight w:val="none"/>
        </w:rPr>
        <w:t>1.9.1 将争议提交</w:t>
      </w:r>
      <w:r>
        <w:rPr>
          <w:rFonts w:hint="eastAsia" w:ascii="宋体" w:hAnsi="宋体" w:cs="宋体"/>
          <w:b/>
          <w:color w:val="auto"/>
          <w:sz w:val="24"/>
          <w:szCs w:val="24"/>
          <w:highlight w:val="none"/>
          <w:u w:val="single"/>
          <w:lang w:val="en-US" w:eastAsia="zh-CN"/>
        </w:rPr>
        <w:t>北海</w:t>
      </w:r>
      <w:r>
        <w:rPr>
          <w:rFonts w:hint="eastAsia" w:ascii="宋体" w:hAnsi="宋体" w:cs="宋体"/>
          <w:color w:val="auto"/>
          <w:sz w:val="24"/>
          <w:szCs w:val="24"/>
          <w:highlight w:val="none"/>
        </w:rPr>
        <w:t>仲裁委员会依申请仲裁时其现行有效的仲裁规则裁决；</w:t>
      </w:r>
    </w:p>
    <w:p w14:paraId="11A61C41">
      <w:pPr>
        <w:spacing w:line="360" w:lineRule="auto"/>
        <w:ind w:firstLine="600" w:firstLineChars="250"/>
        <w:rPr>
          <w:rFonts w:ascii="宋体" w:hAnsi="宋体" w:cs="宋体"/>
          <w:color w:val="auto"/>
          <w:sz w:val="24"/>
          <w:szCs w:val="24"/>
          <w:highlight w:val="none"/>
        </w:rPr>
      </w:pPr>
      <w:r>
        <w:rPr>
          <w:rFonts w:hint="eastAsia" w:ascii="宋体" w:hAnsi="宋体" w:cs="宋体"/>
          <w:color w:val="auto"/>
          <w:sz w:val="24"/>
          <w:szCs w:val="24"/>
          <w:highlight w:val="none"/>
        </w:rPr>
        <w:t>1.9.2 向</w:t>
      </w:r>
      <w:r>
        <w:rPr>
          <w:rFonts w:hint="eastAsia" w:ascii="宋体" w:hAnsi="宋体" w:cs="宋体"/>
          <w:b/>
          <w:color w:val="auto"/>
          <w:sz w:val="24"/>
          <w:szCs w:val="24"/>
          <w:highlight w:val="none"/>
          <w:u w:val="single"/>
          <w:lang w:val="en-US" w:eastAsia="zh-CN"/>
        </w:rPr>
        <w:t>甲方所在地</w:t>
      </w:r>
      <w:r>
        <w:rPr>
          <w:rFonts w:hint="eastAsia" w:ascii="宋体" w:hAnsi="宋体" w:cs="宋体"/>
          <w:color w:val="auto"/>
          <w:sz w:val="24"/>
          <w:szCs w:val="24"/>
          <w:highlight w:val="none"/>
        </w:rPr>
        <w:t>人民法院起诉。</w:t>
      </w:r>
    </w:p>
    <w:p w14:paraId="6749B2F3">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2.0 合同生效</w:t>
      </w:r>
    </w:p>
    <w:p w14:paraId="11C4EB5D">
      <w:pPr>
        <w:spacing w:line="360" w:lineRule="auto"/>
        <w:ind w:firstLine="480" w:firstLineChars="200"/>
        <w:rPr>
          <w:rFonts w:ascii="宋体" w:hAnsi="宋体" w:cs="宋体"/>
          <w:b/>
          <w:color w:val="auto"/>
          <w:sz w:val="24"/>
          <w:szCs w:val="24"/>
          <w:highlight w:val="none"/>
        </w:rPr>
      </w:pPr>
      <w:r>
        <w:rPr>
          <w:rFonts w:hint="eastAsia" w:ascii="宋体" w:hAnsi="宋体" w:cs="宋体"/>
          <w:color w:val="auto"/>
          <w:sz w:val="24"/>
          <w:szCs w:val="24"/>
          <w:highlight w:val="none"/>
        </w:rPr>
        <w:t>本合同自双方当事人盖章签字时生效。</w:t>
      </w:r>
    </w:p>
    <w:p w14:paraId="5AB6320C">
      <w:pPr>
        <w:autoSpaceDE w:val="0"/>
        <w:autoSpaceDN w:val="0"/>
        <w:spacing w:line="360" w:lineRule="auto"/>
        <w:rPr>
          <w:rFonts w:ascii="宋体" w:hAnsi="宋体"/>
          <w:color w:val="auto"/>
          <w:sz w:val="24"/>
          <w:szCs w:val="24"/>
          <w:highlight w:val="none"/>
          <w:lang w:val="zh-CN"/>
        </w:rPr>
      </w:pPr>
    </w:p>
    <w:tbl>
      <w:tblPr>
        <w:tblStyle w:val="6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9"/>
        <w:gridCol w:w="2156"/>
        <w:gridCol w:w="2307"/>
      </w:tblGrid>
      <w:tr w14:paraId="5AE299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noWrap w:val="0"/>
            <w:vAlign w:val="center"/>
          </w:tcPr>
          <w:p w14:paraId="09090665">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甲方（采购人</w:t>
            </w:r>
            <w:r>
              <w:rPr>
                <w:rFonts w:hint="eastAsia" w:ascii="宋体" w:hAnsi="宋体"/>
                <w:color w:val="auto"/>
                <w:sz w:val="24"/>
                <w:szCs w:val="24"/>
                <w:highlight w:val="none"/>
              </w:rPr>
              <w:t>、受采购人委托签订合同的单位或</w:t>
            </w:r>
            <w:r>
              <w:rPr>
                <w:rFonts w:hint="eastAsia" w:ascii="Calibri" w:hAnsi="Calibri"/>
                <w:color w:val="auto"/>
                <w:sz w:val="24"/>
                <w:szCs w:val="24"/>
                <w:highlight w:val="none"/>
              </w:rPr>
              <w:t>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noWrap w:val="0"/>
            <w:vAlign w:val="center"/>
          </w:tcPr>
          <w:p w14:paraId="0BE2CC01">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乙方（供应商）</w:t>
            </w:r>
          </w:p>
        </w:tc>
      </w:tr>
      <w:tr w14:paraId="0D9689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6569DF51">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C5DB5A3">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0E4C892">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单位名称（公章或合同章）</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687611B5">
            <w:pPr>
              <w:snapToGrid w:val="0"/>
              <w:spacing w:line="360" w:lineRule="auto"/>
              <w:jc w:val="center"/>
              <w:rPr>
                <w:rFonts w:ascii="Calibri" w:hAnsi="Calibri"/>
                <w:color w:val="auto"/>
                <w:spacing w:val="20"/>
                <w:sz w:val="24"/>
                <w:szCs w:val="24"/>
                <w:highlight w:val="none"/>
              </w:rPr>
            </w:pPr>
          </w:p>
        </w:tc>
      </w:tr>
      <w:tr w14:paraId="76AD6D6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noWrap w:val="0"/>
            <w:vAlign w:val="center"/>
          </w:tcPr>
          <w:p w14:paraId="607DFFBC">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法定代表人</w:t>
            </w:r>
          </w:p>
          <w:p w14:paraId="02548993">
            <w:pPr>
              <w:snapToGrid w:val="0"/>
              <w:spacing w:line="360" w:lineRule="auto"/>
              <w:ind w:firstLine="115" w:firstLineChars="48"/>
              <w:jc w:val="center"/>
              <w:rPr>
                <w:rFonts w:ascii="Calibri" w:hAnsi="Calibri"/>
                <w:color w:val="auto"/>
                <w:sz w:val="24"/>
                <w:szCs w:val="24"/>
                <w:highlight w:val="none"/>
              </w:rPr>
            </w:pPr>
            <w:r>
              <w:rPr>
                <w:rFonts w:hint="eastAsia" w:ascii="Calibri" w:hAnsi="Calibri"/>
                <w:color w:val="auto"/>
                <w:sz w:val="24"/>
                <w:szCs w:val="24"/>
                <w:highlight w:val="none"/>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noWrap w:val="0"/>
            <w:vAlign w:val="center"/>
          </w:tcPr>
          <w:p w14:paraId="4B0836E6">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F66E1BA">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法定代表人</w:t>
            </w:r>
          </w:p>
          <w:p w14:paraId="42D13907">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或其委托代理人（签章）</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3932942F">
            <w:pPr>
              <w:snapToGrid w:val="0"/>
              <w:spacing w:line="360" w:lineRule="auto"/>
              <w:jc w:val="center"/>
              <w:rPr>
                <w:rFonts w:ascii="Calibri" w:hAnsi="Calibri"/>
                <w:color w:val="auto"/>
                <w:sz w:val="24"/>
                <w:szCs w:val="24"/>
                <w:highlight w:val="none"/>
              </w:rPr>
            </w:pPr>
          </w:p>
        </w:tc>
      </w:tr>
      <w:tr w14:paraId="68F7E8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noWrap w:val="0"/>
            <w:vAlign w:val="center"/>
          </w:tcPr>
          <w:p w14:paraId="1473BA11">
            <w:pPr>
              <w:widowControl/>
              <w:adjustRightInd/>
              <w:spacing w:line="360" w:lineRule="auto"/>
              <w:jc w:val="left"/>
              <w:rPr>
                <w:rFonts w:ascii="Calibri" w:hAnsi="Calibri"/>
                <w:color w:val="auto"/>
                <w:sz w:val="24"/>
                <w:szCs w:val="24"/>
                <w:highlight w:val="none"/>
              </w:rPr>
            </w:pPr>
          </w:p>
        </w:tc>
        <w:tc>
          <w:tcPr>
            <w:tcW w:w="0" w:type="auto"/>
            <w:vMerge w:val="continue"/>
            <w:tcBorders>
              <w:top w:val="single" w:color="auto" w:sz="2" w:space="0"/>
              <w:left w:val="single" w:color="auto" w:sz="2" w:space="0"/>
              <w:bottom w:val="single" w:color="auto" w:sz="2" w:space="0"/>
              <w:right w:val="single" w:color="auto" w:sz="2" w:space="0"/>
            </w:tcBorders>
            <w:noWrap w:val="0"/>
            <w:vAlign w:val="center"/>
          </w:tcPr>
          <w:p w14:paraId="7AF5C4E2">
            <w:pPr>
              <w:widowControl/>
              <w:adjustRightInd/>
              <w:spacing w:line="360" w:lineRule="auto"/>
              <w:jc w:val="left"/>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69DADF8">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拥有者性别</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3A962C7B">
            <w:pPr>
              <w:snapToGrid w:val="0"/>
              <w:spacing w:line="360" w:lineRule="auto"/>
              <w:jc w:val="center"/>
              <w:rPr>
                <w:rFonts w:ascii="Calibri" w:hAnsi="Calibri"/>
                <w:color w:val="auto"/>
                <w:spacing w:val="20"/>
                <w:sz w:val="24"/>
                <w:szCs w:val="24"/>
                <w:highlight w:val="none"/>
              </w:rPr>
            </w:pPr>
          </w:p>
        </w:tc>
      </w:tr>
      <w:tr w14:paraId="045753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EA4CBE0">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住</w:t>
            </w:r>
            <w:r>
              <w:rPr>
                <w:rFonts w:ascii="Calibri" w:hAnsi="Calibri"/>
                <w:color w:val="auto"/>
                <w:sz w:val="24"/>
                <w:szCs w:val="24"/>
                <w:highlight w:val="none"/>
              </w:rPr>
              <w:t xml:space="preserve">  </w:t>
            </w:r>
            <w:r>
              <w:rPr>
                <w:rFonts w:hint="eastAsia" w:ascii="Calibri" w:hAnsi="Calibri"/>
                <w:color w:val="auto"/>
                <w:sz w:val="24"/>
                <w:szCs w:val="24"/>
                <w:highlight w:val="none"/>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8CD2348">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08ABDD3">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住</w:t>
            </w:r>
            <w:r>
              <w:rPr>
                <w:rFonts w:ascii="Calibri" w:hAnsi="Calibri"/>
                <w:color w:val="auto"/>
                <w:sz w:val="24"/>
                <w:szCs w:val="24"/>
                <w:highlight w:val="none"/>
              </w:rPr>
              <w:t xml:space="preserve">  </w:t>
            </w:r>
            <w:r>
              <w:rPr>
                <w:rFonts w:hint="eastAsia" w:ascii="Calibri" w:hAnsi="Calibri"/>
                <w:color w:val="auto"/>
                <w:sz w:val="24"/>
                <w:szCs w:val="24"/>
                <w:highlight w:val="none"/>
              </w:rPr>
              <w:t>所</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34748F38">
            <w:pPr>
              <w:snapToGrid w:val="0"/>
              <w:spacing w:line="360" w:lineRule="auto"/>
              <w:jc w:val="center"/>
              <w:rPr>
                <w:rFonts w:ascii="Calibri" w:hAnsi="Calibri"/>
                <w:color w:val="auto"/>
                <w:spacing w:val="20"/>
                <w:sz w:val="24"/>
                <w:szCs w:val="24"/>
                <w:highlight w:val="none"/>
              </w:rPr>
            </w:pPr>
          </w:p>
        </w:tc>
      </w:tr>
      <w:tr w14:paraId="1CFE20B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2B85EC07">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w:t>
            </w:r>
            <w:r>
              <w:rPr>
                <w:rFonts w:ascii="Calibri" w:hAnsi="Calibri"/>
                <w:color w:val="auto"/>
                <w:sz w:val="24"/>
                <w:szCs w:val="24"/>
                <w:highlight w:val="none"/>
              </w:rPr>
              <w:t xml:space="preserve"> </w:t>
            </w:r>
            <w:r>
              <w:rPr>
                <w:rFonts w:hint="eastAsia" w:ascii="Calibri" w:hAnsi="Calibri"/>
                <w:color w:val="auto"/>
                <w:sz w:val="24"/>
                <w:szCs w:val="24"/>
                <w:highlight w:val="none"/>
              </w:rPr>
              <w:t>系</w:t>
            </w:r>
            <w:r>
              <w:rPr>
                <w:rFonts w:ascii="Calibri" w:hAnsi="Calibri"/>
                <w:color w:val="auto"/>
                <w:sz w:val="24"/>
                <w:szCs w:val="24"/>
                <w:highlight w:val="none"/>
              </w:rPr>
              <w:t xml:space="preserve"> </w:t>
            </w:r>
            <w:r>
              <w:rPr>
                <w:rFonts w:hint="eastAsia" w:ascii="Calibri" w:hAnsi="Calibri"/>
                <w:color w:val="auto"/>
                <w:sz w:val="24"/>
                <w:szCs w:val="24"/>
                <w:highlight w:val="none"/>
              </w:rPr>
              <w:t>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EAC9641">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F65CE30">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w:t>
            </w:r>
            <w:r>
              <w:rPr>
                <w:rFonts w:ascii="Calibri" w:hAnsi="Calibri"/>
                <w:color w:val="auto"/>
                <w:sz w:val="24"/>
                <w:szCs w:val="24"/>
                <w:highlight w:val="none"/>
              </w:rPr>
              <w:t xml:space="preserve"> </w:t>
            </w:r>
            <w:r>
              <w:rPr>
                <w:rFonts w:hint="eastAsia" w:ascii="Calibri" w:hAnsi="Calibri"/>
                <w:color w:val="auto"/>
                <w:sz w:val="24"/>
                <w:szCs w:val="24"/>
                <w:highlight w:val="none"/>
              </w:rPr>
              <w:t>系</w:t>
            </w:r>
            <w:r>
              <w:rPr>
                <w:rFonts w:ascii="Calibri" w:hAnsi="Calibri"/>
                <w:color w:val="auto"/>
                <w:sz w:val="24"/>
                <w:szCs w:val="24"/>
                <w:highlight w:val="none"/>
              </w:rPr>
              <w:t xml:space="preserve"> </w:t>
            </w:r>
            <w:r>
              <w:rPr>
                <w:rFonts w:hint="eastAsia" w:ascii="Calibri" w:hAnsi="Calibri"/>
                <w:color w:val="auto"/>
                <w:sz w:val="24"/>
                <w:szCs w:val="24"/>
                <w:highlight w:val="none"/>
              </w:rPr>
              <w:t>人</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2CD7E18F">
            <w:pPr>
              <w:snapToGrid w:val="0"/>
              <w:spacing w:line="360" w:lineRule="auto"/>
              <w:jc w:val="center"/>
              <w:rPr>
                <w:rFonts w:ascii="Calibri" w:hAnsi="Calibri"/>
                <w:color w:val="auto"/>
                <w:spacing w:val="20"/>
                <w:sz w:val="24"/>
                <w:szCs w:val="24"/>
                <w:highlight w:val="none"/>
              </w:rPr>
            </w:pPr>
          </w:p>
        </w:tc>
      </w:tr>
      <w:tr w14:paraId="671FD86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BC7F1AA">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4DF0813">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BD7EA76">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联系电话</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10574E61">
            <w:pPr>
              <w:snapToGrid w:val="0"/>
              <w:spacing w:line="360" w:lineRule="auto"/>
              <w:jc w:val="center"/>
              <w:rPr>
                <w:rFonts w:ascii="Calibri" w:hAnsi="Calibri"/>
                <w:color w:val="auto"/>
                <w:spacing w:val="20"/>
                <w:sz w:val="24"/>
                <w:szCs w:val="24"/>
                <w:highlight w:val="none"/>
              </w:rPr>
            </w:pPr>
          </w:p>
        </w:tc>
      </w:tr>
      <w:tr w14:paraId="210C38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51F6297A">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87BE43A">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0BAE263">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通信地址</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029F4087">
            <w:pPr>
              <w:snapToGrid w:val="0"/>
              <w:spacing w:line="360" w:lineRule="auto"/>
              <w:jc w:val="center"/>
              <w:rPr>
                <w:rFonts w:ascii="Calibri" w:hAnsi="Calibri"/>
                <w:color w:val="auto"/>
                <w:spacing w:val="20"/>
                <w:sz w:val="24"/>
                <w:szCs w:val="24"/>
                <w:highlight w:val="none"/>
              </w:rPr>
            </w:pPr>
          </w:p>
        </w:tc>
      </w:tr>
      <w:tr w14:paraId="014099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72E7FD3F">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9C52797">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1B2CE84">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邮政编码</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78C4AA10">
            <w:pPr>
              <w:snapToGrid w:val="0"/>
              <w:spacing w:line="360" w:lineRule="auto"/>
              <w:jc w:val="center"/>
              <w:rPr>
                <w:rFonts w:ascii="Calibri" w:hAnsi="Calibri"/>
                <w:color w:val="auto"/>
                <w:spacing w:val="20"/>
                <w:sz w:val="24"/>
                <w:szCs w:val="24"/>
                <w:highlight w:val="none"/>
              </w:rPr>
            </w:pPr>
          </w:p>
        </w:tc>
      </w:tr>
      <w:tr w14:paraId="6878C6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3B91DB8C">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B4F7E25">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428D38E">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电子邮箱</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4947EF26">
            <w:pPr>
              <w:snapToGrid w:val="0"/>
              <w:spacing w:line="360" w:lineRule="auto"/>
              <w:jc w:val="center"/>
              <w:rPr>
                <w:rFonts w:ascii="Calibri" w:hAnsi="Calibri"/>
                <w:color w:val="auto"/>
                <w:spacing w:val="20"/>
                <w:sz w:val="24"/>
                <w:szCs w:val="24"/>
                <w:highlight w:val="none"/>
              </w:rPr>
            </w:pPr>
          </w:p>
        </w:tc>
      </w:tr>
      <w:tr w14:paraId="2FA828F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3AA69584">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70B1A912">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5FB4B2E">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统一社会信用代码</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4908563B">
            <w:pPr>
              <w:snapToGrid w:val="0"/>
              <w:spacing w:line="360" w:lineRule="auto"/>
              <w:jc w:val="center"/>
              <w:rPr>
                <w:rFonts w:ascii="Calibri" w:hAnsi="Calibri"/>
                <w:color w:val="auto"/>
                <w:spacing w:val="20"/>
                <w:sz w:val="24"/>
                <w:szCs w:val="24"/>
                <w:highlight w:val="none"/>
              </w:rPr>
            </w:pPr>
          </w:p>
        </w:tc>
      </w:tr>
      <w:tr w14:paraId="510C91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6B8A1873">
            <w:pPr>
              <w:snapToGrid w:val="0"/>
              <w:spacing w:line="360" w:lineRule="auto"/>
              <w:jc w:val="center"/>
              <w:rPr>
                <w:rFonts w:ascii="Calibri" w:hAnsi="Calibri"/>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BADBD3C">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6E210F6">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开户名称</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7FFB3D9A">
            <w:pPr>
              <w:snapToGrid w:val="0"/>
              <w:spacing w:line="360" w:lineRule="auto"/>
              <w:jc w:val="center"/>
              <w:rPr>
                <w:rFonts w:ascii="Calibri" w:hAnsi="Calibri"/>
                <w:color w:val="auto"/>
                <w:spacing w:val="20"/>
                <w:sz w:val="24"/>
                <w:szCs w:val="24"/>
                <w:highlight w:val="none"/>
              </w:rPr>
            </w:pPr>
          </w:p>
        </w:tc>
      </w:tr>
      <w:tr w14:paraId="2C553BD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734F07F">
            <w:pPr>
              <w:snapToGrid w:val="0"/>
              <w:spacing w:line="360" w:lineRule="auto"/>
              <w:jc w:val="center"/>
              <w:rPr>
                <w:rFonts w:ascii="Calibri" w:hAnsi="Calibri"/>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B9B148E">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556AA07">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开户银行</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34B435A4">
            <w:pPr>
              <w:snapToGrid w:val="0"/>
              <w:spacing w:line="360" w:lineRule="auto"/>
              <w:jc w:val="center"/>
              <w:rPr>
                <w:rFonts w:ascii="Calibri" w:hAnsi="Calibri"/>
                <w:color w:val="auto"/>
                <w:spacing w:val="20"/>
                <w:sz w:val="24"/>
                <w:szCs w:val="24"/>
                <w:highlight w:val="none"/>
              </w:rPr>
            </w:pPr>
          </w:p>
        </w:tc>
      </w:tr>
      <w:tr w14:paraId="760FF40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noWrap w:val="0"/>
            <w:vAlign w:val="center"/>
          </w:tcPr>
          <w:p w14:paraId="1F4E6C17">
            <w:pPr>
              <w:snapToGrid w:val="0"/>
              <w:spacing w:line="360" w:lineRule="auto"/>
              <w:jc w:val="center"/>
              <w:rPr>
                <w:rFonts w:ascii="Calibri" w:hAnsi="Calibri"/>
                <w:color w:val="auto"/>
                <w:sz w:val="24"/>
                <w:szCs w:val="24"/>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F875F27">
            <w:pPr>
              <w:snapToGrid w:val="0"/>
              <w:spacing w:line="360" w:lineRule="auto"/>
              <w:jc w:val="center"/>
              <w:rPr>
                <w:rFonts w:ascii="Calibri" w:hAnsi="Calibri"/>
                <w:color w:val="auto"/>
                <w:sz w:val="24"/>
                <w:szCs w:val="24"/>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0A35E98">
            <w:pPr>
              <w:snapToGrid w:val="0"/>
              <w:spacing w:line="360" w:lineRule="auto"/>
              <w:jc w:val="center"/>
              <w:rPr>
                <w:rFonts w:ascii="Calibri" w:hAnsi="Calibri"/>
                <w:color w:val="auto"/>
                <w:sz w:val="24"/>
                <w:szCs w:val="24"/>
                <w:highlight w:val="none"/>
              </w:rPr>
            </w:pPr>
            <w:r>
              <w:rPr>
                <w:rFonts w:hint="eastAsia" w:ascii="Calibri" w:hAnsi="Calibri"/>
                <w:color w:val="auto"/>
                <w:sz w:val="24"/>
                <w:szCs w:val="24"/>
                <w:highlight w:val="none"/>
              </w:rPr>
              <w:t>银行账号</w:t>
            </w:r>
          </w:p>
        </w:tc>
        <w:tc>
          <w:tcPr>
            <w:tcW w:w="1259" w:type="pct"/>
            <w:tcBorders>
              <w:top w:val="single" w:color="auto" w:sz="2" w:space="0"/>
              <w:left w:val="single" w:color="auto" w:sz="2" w:space="0"/>
              <w:bottom w:val="single" w:color="auto" w:sz="2" w:space="0"/>
              <w:right w:val="single" w:color="auto" w:sz="4" w:space="0"/>
            </w:tcBorders>
            <w:noWrap w:val="0"/>
            <w:vAlign w:val="center"/>
          </w:tcPr>
          <w:p w14:paraId="5584587C">
            <w:pPr>
              <w:snapToGrid w:val="0"/>
              <w:spacing w:line="360" w:lineRule="auto"/>
              <w:jc w:val="center"/>
              <w:rPr>
                <w:rFonts w:ascii="Calibri" w:hAnsi="Calibri"/>
                <w:color w:val="auto"/>
                <w:spacing w:val="20"/>
                <w:sz w:val="24"/>
                <w:szCs w:val="24"/>
                <w:highlight w:val="none"/>
              </w:rPr>
            </w:pPr>
          </w:p>
        </w:tc>
      </w:tr>
      <w:tr w14:paraId="6A47A12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noWrap w:val="0"/>
            <w:vAlign w:val="center"/>
          </w:tcPr>
          <w:p w14:paraId="12FC2B78">
            <w:pPr>
              <w:snapToGrid w:val="0"/>
              <w:spacing w:line="360" w:lineRule="auto"/>
              <w:jc w:val="left"/>
              <w:rPr>
                <w:rFonts w:ascii="Calibri" w:hAnsi="Calibri"/>
                <w:color w:val="auto"/>
                <w:spacing w:val="20"/>
                <w:sz w:val="24"/>
                <w:szCs w:val="24"/>
                <w:highlight w:val="none"/>
              </w:rPr>
            </w:pPr>
            <w:r>
              <w:rPr>
                <w:rFonts w:hint="eastAsia" w:ascii="宋体" w:hAnsi="宋体"/>
                <w:color w:val="auto"/>
                <w:sz w:val="24"/>
                <w:szCs w:val="24"/>
                <w:highlight w:val="none"/>
              </w:rPr>
              <w:t>注：涉及联合体或其他合同主体的信息应按上表格式加列。</w:t>
            </w:r>
          </w:p>
        </w:tc>
      </w:tr>
    </w:tbl>
    <w:p w14:paraId="0B3E95A1">
      <w:pPr>
        <w:widowControl/>
        <w:spacing w:line="360" w:lineRule="auto"/>
        <w:jc w:val="left"/>
        <w:rPr>
          <w:rFonts w:ascii="宋体" w:hAnsi="宋体"/>
          <w:b/>
          <w:color w:val="auto"/>
          <w:sz w:val="24"/>
          <w:szCs w:val="24"/>
          <w:highlight w:val="none"/>
        </w:rPr>
      </w:pPr>
    </w:p>
    <w:p w14:paraId="39DE1E9C">
      <w:pPr>
        <w:pStyle w:val="282"/>
        <w:spacing w:after="0"/>
        <w:ind w:firstLine="482"/>
        <w:jc w:val="center"/>
        <w:outlineLvl w:val="1"/>
        <w:rPr>
          <w:rFonts w:ascii="宋体" w:hAnsi="宋体"/>
          <w:b/>
          <w:color w:val="auto"/>
          <w:sz w:val="24"/>
          <w:szCs w:val="24"/>
          <w:highlight w:val="none"/>
        </w:rPr>
      </w:pPr>
      <w:r>
        <w:rPr>
          <w:rFonts w:hint="eastAsia" w:ascii="宋体" w:hAnsi="宋体"/>
          <w:b/>
          <w:color w:val="auto"/>
          <w:sz w:val="24"/>
          <w:szCs w:val="24"/>
          <w:highlight w:val="none"/>
        </w:rPr>
        <w:br w:type="page"/>
      </w:r>
      <w:r>
        <w:rPr>
          <w:rFonts w:hint="eastAsia" w:ascii="宋体" w:hAnsi="宋体"/>
          <w:b/>
          <w:color w:val="auto"/>
          <w:sz w:val="24"/>
          <w:szCs w:val="24"/>
          <w:highlight w:val="none"/>
        </w:rPr>
        <w:t>第二节</w:t>
      </w:r>
      <w:r>
        <w:rPr>
          <w:rFonts w:ascii="宋体" w:hAnsi="宋体"/>
          <w:b/>
          <w:color w:val="auto"/>
          <w:sz w:val="24"/>
          <w:szCs w:val="24"/>
          <w:highlight w:val="none"/>
        </w:rPr>
        <w:t xml:space="preserve"> </w:t>
      </w:r>
      <w:r>
        <w:rPr>
          <w:rFonts w:hint="eastAsia" w:ascii="宋体" w:hAnsi="宋体"/>
          <w:b/>
          <w:color w:val="auto"/>
          <w:sz w:val="24"/>
          <w:szCs w:val="24"/>
          <w:highlight w:val="none"/>
        </w:rPr>
        <w:t>合同一般条款</w:t>
      </w:r>
    </w:p>
    <w:p w14:paraId="46AFE198">
      <w:pPr>
        <w:spacing w:line="360" w:lineRule="auto"/>
        <w:ind w:firstLine="482" w:firstLineChars="200"/>
        <w:rPr>
          <w:rFonts w:ascii="宋体" w:hAnsi="宋体"/>
          <w:b/>
          <w:color w:val="auto"/>
          <w:sz w:val="24"/>
          <w:szCs w:val="24"/>
          <w:highlight w:val="none"/>
        </w:rPr>
      </w:pPr>
      <w:bookmarkStart w:id="77" w:name="_Toc5228"/>
      <w:bookmarkStart w:id="78" w:name="_Toc19680"/>
      <w:bookmarkStart w:id="79" w:name="_Toc31297"/>
      <w:bookmarkStart w:id="80" w:name="_Toc25079"/>
      <w:bookmarkStart w:id="81" w:name="_Toc14021"/>
      <w:r>
        <w:rPr>
          <w:rFonts w:ascii="宋体" w:hAnsi="宋体"/>
          <w:b/>
          <w:color w:val="auto"/>
          <w:sz w:val="24"/>
          <w:szCs w:val="24"/>
          <w:highlight w:val="none"/>
        </w:rPr>
        <w:t>2.1 定义</w:t>
      </w:r>
      <w:bookmarkEnd w:id="77"/>
      <w:bookmarkEnd w:id="78"/>
      <w:bookmarkEnd w:id="79"/>
      <w:bookmarkEnd w:id="80"/>
      <w:bookmarkEnd w:id="81"/>
    </w:p>
    <w:p w14:paraId="16735554">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本合同中的下列</w:t>
      </w:r>
      <w:r>
        <w:rPr>
          <w:rFonts w:hint="eastAsia" w:ascii="宋体" w:hAnsi="宋体"/>
          <w:color w:val="auto"/>
          <w:sz w:val="24"/>
          <w:szCs w:val="24"/>
          <w:highlight w:val="none"/>
        </w:rPr>
        <w:t>词</w:t>
      </w:r>
      <w:r>
        <w:rPr>
          <w:rFonts w:ascii="宋体" w:hAnsi="宋体"/>
          <w:color w:val="auto"/>
          <w:sz w:val="24"/>
          <w:szCs w:val="24"/>
          <w:highlight w:val="none"/>
        </w:rPr>
        <w:t>语应</w:t>
      </w:r>
      <w:r>
        <w:rPr>
          <w:rFonts w:hint="eastAsia" w:ascii="宋体" w:hAnsi="宋体"/>
          <w:color w:val="auto"/>
          <w:sz w:val="24"/>
          <w:szCs w:val="24"/>
          <w:highlight w:val="none"/>
        </w:rPr>
        <w:t>按以下内容进行</w:t>
      </w:r>
      <w:r>
        <w:rPr>
          <w:rFonts w:ascii="宋体" w:hAnsi="宋体"/>
          <w:color w:val="auto"/>
          <w:sz w:val="24"/>
          <w:szCs w:val="24"/>
          <w:highlight w:val="none"/>
        </w:rPr>
        <w:t>解释：</w:t>
      </w:r>
    </w:p>
    <w:p w14:paraId="2735E521">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2.1.1 “合同”系指采购人和</w:t>
      </w:r>
      <w:r>
        <w:rPr>
          <w:rFonts w:hint="eastAsia" w:ascii="宋体" w:hAnsi="宋体" w:cs="宋体"/>
          <w:color w:val="auto"/>
          <w:sz w:val="24"/>
          <w:szCs w:val="24"/>
          <w:highlight w:val="none"/>
        </w:rPr>
        <w:t>成交</w:t>
      </w:r>
      <w:r>
        <w:rPr>
          <w:rFonts w:ascii="宋体" w:hAnsi="宋体"/>
          <w:color w:val="auto"/>
          <w:sz w:val="24"/>
          <w:szCs w:val="24"/>
          <w:highlight w:val="none"/>
        </w:rPr>
        <w:t>供应商签订的载明双方当事人所达成的协议，并包括所有的附件、附录和构成合同的其他文件。</w:t>
      </w:r>
    </w:p>
    <w:p w14:paraId="572DE8E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2.1.2 “合同价”系指根据合同约定，</w:t>
      </w:r>
      <w:r>
        <w:rPr>
          <w:rFonts w:hint="eastAsia" w:ascii="宋体" w:hAnsi="宋体" w:cs="宋体"/>
          <w:color w:val="auto"/>
          <w:sz w:val="24"/>
          <w:szCs w:val="24"/>
          <w:highlight w:val="none"/>
        </w:rPr>
        <w:t>中标或成交</w:t>
      </w:r>
      <w:r>
        <w:rPr>
          <w:rFonts w:ascii="宋体" w:hAnsi="宋体"/>
          <w:color w:val="auto"/>
          <w:sz w:val="24"/>
          <w:szCs w:val="24"/>
          <w:highlight w:val="none"/>
        </w:rPr>
        <w:t>供应商在完全履行合同义务后</w:t>
      </w:r>
      <w:r>
        <w:rPr>
          <w:rFonts w:hint="eastAsia" w:ascii="宋体" w:hAnsi="宋体"/>
          <w:color w:val="auto"/>
          <w:sz w:val="24"/>
          <w:szCs w:val="24"/>
          <w:highlight w:val="none"/>
        </w:rPr>
        <w:t>，</w:t>
      </w:r>
      <w:r>
        <w:rPr>
          <w:rFonts w:ascii="宋体" w:hAnsi="宋体"/>
          <w:color w:val="auto"/>
          <w:sz w:val="24"/>
          <w:szCs w:val="24"/>
          <w:highlight w:val="none"/>
        </w:rPr>
        <w:t>采购人应支付给</w:t>
      </w:r>
      <w:r>
        <w:rPr>
          <w:rFonts w:hint="eastAsia" w:ascii="宋体" w:hAnsi="宋体" w:cs="宋体"/>
          <w:color w:val="auto"/>
          <w:sz w:val="24"/>
          <w:szCs w:val="24"/>
          <w:highlight w:val="none"/>
        </w:rPr>
        <w:t>中标或成交</w:t>
      </w:r>
      <w:r>
        <w:rPr>
          <w:rFonts w:ascii="宋体" w:hAnsi="宋体"/>
          <w:color w:val="auto"/>
          <w:sz w:val="24"/>
          <w:szCs w:val="24"/>
          <w:highlight w:val="none"/>
        </w:rPr>
        <w:t>供应商的价格。</w:t>
      </w:r>
    </w:p>
    <w:p w14:paraId="5E021F8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2.1.3 “</w:t>
      </w:r>
      <w:r>
        <w:rPr>
          <w:rFonts w:hint="eastAsia" w:ascii="宋体" w:hAnsi="宋体"/>
          <w:color w:val="auto"/>
          <w:sz w:val="24"/>
          <w:szCs w:val="24"/>
          <w:highlight w:val="none"/>
        </w:rPr>
        <w:t>服务</w:t>
      </w:r>
      <w:r>
        <w:rPr>
          <w:rFonts w:ascii="宋体" w:hAnsi="宋体"/>
          <w:color w:val="auto"/>
          <w:sz w:val="24"/>
          <w:szCs w:val="24"/>
          <w:highlight w:val="none"/>
        </w:rPr>
        <w:t>”系指</w:t>
      </w:r>
      <w:r>
        <w:rPr>
          <w:rFonts w:hint="eastAsia" w:ascii="宋体" w:hAnsi="宋体" w:cs="宋体"/>
          <w:color w:val="auto"/>
          <w:sz w:val="24"/>
          <w:szCs w:val="24"/>
          <w:highlight w:val="none"/>
        </w:rPr>
        <w:t>中标或成交</w:t>
      </w:r>
      <w:r>
        <w:rPr>
          <w:rFonts w:hint="eastAsia" w:ascii="宋体" w:hAnsi="宋体"/>
          <w:color w:val="auto"/>
          <w:sz w:val="24"/>
          <w:szCs w:val="24"/>
          <w:highlight w:val="none"/>
        </w:rPr>
        <w:t>供应商</w:t>
      </w:r>
      <w:r>
        <w:rPr>
          <w:rFonts w:ascii="宋体" w:hAnsi="宋体"/>
          <w:color w:val="auto"/>
          <w:sz w:val="24"/>
          <w:szCs w:val="24"/>
          <w:highlight w:val="none"/>
        </w:rPr>
        <w:t>根据合同约定应向采购人</w:t>
      </w:r>
      <w:r>
        <w:rPr>
          <w:rFonts w:hint="eastAsia" w:ascii="宋体" w:hAnsi="宋体"/>
          <w:color w:val="auto"/>
          <w:sz w:val="24"/>
          <w:szCs w:val="24"/>
          <w:highlight w:val="none"/>
        </w:rPr>
        <w:t>履行</w:t>
      </w:r>
      <w:r>
        <w:rPr>
          <w:rFonts w:ascii="宋体" w:hAnsi="宋体"/>
          <w:color w:val="auto"/>
          <w:sz w:val="24"/>
          <w:szCs w:val="24"/>
          <w:highlight w:val="none"/>
        </w:rPr>
        <w:t>的</w:t>
      </w:r>
      <w:r>
        <w:rPr>
          <w:rFonts w:hint="eastAsia" w:ascii="宋体" w:hAnsi="宋体"/>
          <w:color w:val="auto"/>
          <w:sz w:val="24"/>
          <w:szCs w:val="24"/>
          <w:highlight w:val="none"/>
        </w:rPr>
        <w:t>除货物和工程以外的其他政府采购对象，包括采购人自身需要的服务和向社会公众提供的公共服务。</w:t>
      </w:r>
    </w:p>
    <w:p w14:paraId="61960B8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2.1.4 “</w:t>
      </w:r>
      <w:r>
        <w:rPr>
          <w:rFonts w:hint="eastAsia" w:ascii="宋体" w:hAnsi="宋体"/>
          <w:color w:val="auto"/>
          <w:sz w:val="24"/>
          <w:szCs w:val="24"/>
          <w:highlight w:val="none"/>
        </w:rPr>
        <w:t>甲方</w:t>
      </w:r>
      <w:r>
        <w:rPr>
          <w:rFonts w:ascii="宋体" w:hAnsi="宋体"/>
          <w:color w:val="auto"/>
          <w:sz w:val="24"/>
          <w:szCs w:val="24"/>
          <w:highlight w:val="none"/>
        </w:rPr>
        <w:t>”系指与</w:t>
      </w:r>
      <w:r>
        <w:rPr>
          <w:rFonts w:hint="eastAsia" w:ascii="宋体" w:hAnsi="宋体" w:cs="宋体"/>
          <w:color w:val="auto"/>
          <w:sz w:val="24"/>
          <w:szCs w:val="24"/>
          <w:highlight w:val="none"/>
        </w:rPr>
        <w:t>中标或成交</w:t>
      </w:r>
      <w:r>
        <w:rPr>
          <w:rFonts w:hint="eastAsia" w:ascii="宋体" w:hAnsi="宋体"/>
          <w:color w:val="auto"/>
          <w:sz w:val="24"/>
          <w:szCs w:val="24"/>
          <w:highlight w:val="none"/>
        </w:rPr>
        <w:t>供应商</w:t>
      </w:r>
      <w:r>
        <w:rPr>
          <w:rFonts w:ascii="宋体" w:hAnsi="宋体"/>
          <w:color w:val="auto"/>
          <w:sz w:val="24"/>
          <w:szCs w:val="24"/>
          <w:highlight w:val="none"/>
        </w:rPr>
        <w:t>签署合同的采购人</w:t>
      </w:r>
      <w:r>
        <w:rPr>
          <w:rFonts w:hint="eastAsia" w:ascii="宋体" w:hAnsi="宋体"/>
          <w:color w:val="auto"/>
          <w:sz w:val="24"/>
          <w:szCs w:val="24"/>
          <w:highlight w:val="none"/>
        </w:rPr>
        <w:t>；采购人委托采购代理机构代表其与乙方签订合同的，采购人的授权委托书作为合同附件。</w:t>
      </w:r>
    </w:p>
    <w:p w14:paraId="460B486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2.1.5 “乙方”系指根据合同约定提供服务的</w:t>
      </w:r>
      <w:r>
        <w:rPr>
          <w:rFonts w:hint="eastAsia" w:ascii="宋体" w:hAnsi="宋体" w:cs="宋体"/>
          <w:color w:val="auto"/>
          <w:sz w:val="24"/>
          <w:szCs w:val="24"/>
          <w:highlight w:val="none"/>
        </w:rPr>
        <w:t>中标或成交</w:t>
      </w:r>
      <w:r>
        <w:rPr>
          <w:rFonts w:ascii="宋体" w:hAnsi="宋体"/>
          <w:color w:val="auto"/>
          <w:sz w:val="24"/>
          <w:szCs w:val="24"/>
          <w:highlight w:val="none"/>
        </w:rPr>
        <w:t>供应商</w:t>
      </w:r>
      <w:r>
        <w:rPr>
          <w:rFonts w:hint="eastAsia" w:ascii="宋体" w:hAnsi="宋体"/>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25F02A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2.1.6 “现场”系指合同约定提供服务的地点。</w:t>
      </w:r>
    </w:p>
    <w:p w14:paraId="08F7B730">
      <w:pPr>
        <w:spacing w:line="360" w:lineRule="auto"/>
        <w:ind w:firstLine="482" w:firstLineChars="200"/>
        <w:rPr>
          <w:rFonts w:ascii="宋体" w:hAnsi="宋体"/>
          <w:b/>
          <w:color w:val="auto"/>
          <w:sz w:val="24"/>
          <w:szCs w:val="24"/>
          <w:highlight w:val="none"/>
        </w:rPr>
      </w:pPr>
      <w:bookmarkStart w:id="82" w:name="_Toc3769"/>
      <w:bookmarkStart w:id="83" w:name="_Toc31402"/>
      <w:bookmarkStart w:id="84" w:name="_Toc19539"/>
      <w:bookmarkStart w:id="85" w:name="_Toc16752"/>
      <w:bookmarkStart w:id="86" w:name="_Toc23289"/>
      <w:r>
        <w:rPr>
          <w:rFonts w:ascii="宋体" w:hAnsi="宋体"/>
          <w:b/>
          <w:color w:val="auto"/>
          <w:sz w:val="24"/>
          <w:szCs w:val="24"/>
          <w:highlight w:val="none"/>
        </w:rPr>
        <w:t>2.2 技术规范</w:t>
      </w:r>
      <w:bookmarkEnd w:id="82"/>
      <w:bookmarkEnd w:id="83"/>
      <w:bookmarkEnd w:id="84"/>
      <w:bookmarkEnd w:id="85"/>
      <w:bookmarkEnd w:id="86"/>
    </w:p>
    <w:p w14:paraId="72B4F3B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服务</w:t>
      </w:r>
      <w:r>
        <w:rPr>
          <w:rFonts w:ascii="宋体" w:hAnsi="宋体"/>
          <w:color w:val="auto"/>
          <w:sz w:val="24"/>
          <w:szCs w:val="24"/>
          <w:highlight w:val="none"/>
        </w:rPr>
        <w:t>所应遵守的技术规范应与采购文件规定的技术规范和技术规范附件(如果有的话)及其技术规范偏差表(如果被甲方接受的话)相一致</w:t>
      </w:r>
      <w:r>
        <w:rPr>
          <w:rFonts w:hint="eastAsia" w:ascii="宋体" w:hAnsi="宋体"/>
          <w:color w:val="auto"/>
          <w:sz w:val="24"/>
          <w:szCs w:val="24"/>
          <w:highlight w:val="none"/>
        </w:rPr>
        <w:t>；</w:t>
      </w:r>
      <w:r>
        <w:rPr>
          <w:rFonts w:ascii="宋体" w:hAnsi="宋体"/>
          <w:color w:val="auto"/>
          <w:sz w:val="24"/>
          <w:szCs w:val="24"/>
          <w:highlight w:val="none"/>
        </w:rPr>
        <w:t>如果采购文件中没有技术规范的相应说明，那么应以国家有关部门最新颁布的相应标准</w:t>
      </w:r>
      <w:r>
        <w:rPr>
          <w:rFonts w:hint="eastAsia" w:ascii="宋体" w:hAnsi="宋体"/>
          <w:color w:val="auto"/>
          <w:sz w:val="24"/>
          <w:szCs w:val="24"/>
          <w:highlight w:val="none"/>
        </w:rPr>
        <w:t>和</w:t>
      </w:r>
      <w:r>
        <w:rPr>
          <w:rFonts w:ascii="宋体" w:hAnsi="宋体"/>
          <w:color w:val="auto"/>
          <w:sz w:val="24"/>
          <w:szCs w:val="24"/>
          <w:highlight w:val="none"/>
        </w:rPr>
        <w:t>规范为准。</w:t>
      </w:r>
    </w:p>
    <w:p w14:paraId="20F5F10A">
      <w:pPr>
        <w:spacing w:line="360" w:lineRule="auto"/>
        <w:ind w:firstLine="482" w:firstLineChars="200"/>
        <w:rPr>
          <w:rFonts w:ascii="宋体" w:hAnsi="宋体"/>
          <w:b/>
          <w:color w:val="auto"/>
          <w:sz w:val="24"/>
          <w:szCs w:val="24"/>
          <w:highlight w:val="none"/>
        </w:rPr>
      </w:pPr>
      <w:bookmarkStart w:id="87" w:name="_Toc27945"/>
      <w:bookmarkStart w:id="88" w:name="_Toc4133"/>
      <w:bookmarkStart w:id="89" w:name="_Toc12412"/>
      <w:bookmarkStart w:id="90" w:name="_Toc13673"/>
      <w:bookmarkStart w:id="91" w:name="_Toc9161"/>
      <w:r>
        <w:rPr>
          <w:rFonts w:ascii="宋体" w:hAnsi="宋体"/>
          <w:b/>
          <w:color w:val="auto"/>
          <w:sz w:val="24"/>
          <w:szCs w:val="24"/>
          <w:highlight w:val="none"/>
        </w:rPr>
        <w:t>2.3 知识产权</w:t>
      </w:r>
      <w:bookmarkEnd w:id="87"/>
      <w:bookmarkEnd w:id="88"/>
      <w:bookmarkEnd w:id="89"/>
      <w:bookmarkEnd w:id="90"/>
      <w:bookmarkEnd w:id="91"/>
    </w:p>
    <w:p w14:paraId="5BD50468">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2.3.1 </w:t>
      </w:r>
      <w:r>
        <w:rPr>
          <w:rFonts w:hint="eastAsia" w:ascii="宋体" w:hAnsi="宋体"/>
          <w:color w:val="auto"/>
          <w:sz w:val="24"/>
          <w:szCs w:val="24"/>
          <w:highlight w:val="none"/>
        </w:rPr>
        <w:t>乙</w:t>
      </w:r>
      <w:r>
        <w:rPr>
          <w:rFonts w:ascii="宋体" w:hAnsi="宋体"/>
          <w:color w:val="auto"/>
          <w:sz w:val="24"/>
          <w:szCs w:val="24"/>
          <w:highlight w:val="none"/>
        </w:rPr>
        <w:t>方应保证</w:t>
      </w:r>
      <w:r>
        <w:rPr>
          <w:rFonts w:hint="eastAsia" w:ascii="宋体" w:hAnsi="宋体"/>
          <w:color w:val="auto"/>
          <w:sz w:val="24"/>
          <w:szCs w:val="24"/>
          <w:highlight w:val="none"/>
        </w:rPr>
        <w:t>其提供的服务</w:t>
      </w:r>
      <w:r>
        <w:rPr>
          <w:rFonts w:ascii="宋体" w:hAnsi="宋体"/>
          <w:color w:val="auto"/>
          <w:sz w:val="24"/>
          <w:szCs w:val="24"/>
          <w:highlight w:val="none"/>
        </w:rPr>
        <w:t>不受任何第三方提出的侵犯其著作权、商标权、专利权等知识产权方面的起诉</w:t>
      </w:r>
      <w:r>
        <w:rPr>
          <w:rFonts w:hint="eastAsia" w:ascii="宋体" w:hAnsi="宋体"/>
          <w:color w:val="auto"/>
          <w:sz w:val="24"/>
          <w:szCs w:val="24"/>
          <w:highlight w:val="none"/>
        </w:rPr>
        <w:t>；</w:t>
      </w:r>
      <w:r>
        <w:rPr>
          <w:rFonts w:ascii="宋体" w:hAnsi="宋体"/>
          <w:color w:val="auto"/>
          <w:sz w:val="24"/>
          <w:szCs w:val="24"/>
          <w:highlight w:val="none"/>
        </w:rPr>
        <w:t>如果任何第三方提出侵权</w:t>
      </w:r>
      <w:r>
        <w:rPr>
          <w:rFonts w:hint="eastAsia" w:ascii="宋体" w:hAnsi="宋体"/>
          <w:color w:val="auto"/>
          <w:sz w:val="24"/>
          <w:szCs w:val="24"/>
          <w:highlight w:val="none"/>
        </w:rPr>
        <w:t>指控</w:t>
      </w:r>
      <w:r>
        <w:rPr>
          <w:rFonts w:ascii="宋体" w:hAnsi="宋体"/>
          <w:color w:val="auto"/>
          <w:sz w:val="24"/>
          <w:szCs w:val="24"/>
          <w:highlight w:val="none"/>
        </w:rPr>
        <w:t>，那么乙方须与该第三方交涉并承担由此发生的一切责任、费用和赔偿</w:t>
      </w:r>
      <w:r>
        <w:rPr>
          <w:rFonts w:hint="eastAsia" w:ascii="宋体" w:hAnsi="宋体"/>
          <w:color w:val="auto"/>
          <w:sz w:val="24"/>
          <w:szCs w:val="24"/>
          <w:highlight w:val="none"/>
        </w:rPr>
        <w:t>，乙方还应及时澄清相关信息，使甲方声誉免受损害，甲方保留追责的权利。</w:t>
      </w:r>
    </w:p>
    <w:p w14:paraId="4D7E5F1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2.3.2 </w:t>
      </w:r>
      <w:r>
        <w:rPr>
          <w:rFonts w:hint="eastAsia" w:ascii="宋体" w:hAnsi="宋体"/>
          <w:color w:val="auto"/>
          <w:sz w:val="24"/>
          <w:szCs w:val="24"/>
          <w:highlight w:val="none"/>
        </w:rPr>
        <w:t>合同涉及技术成果的归属和收益的分成办法的，</w:t>
      </w:r>
      <w:r>
        <w:rPr>
          <w:rFonts w:ascii="宋体" w:hAnsi="宋体"/>
          <w:color w:val="auto"/>
          <w:sz w:val="24"/>
          <w:szCs w:val="24"/>
          <w:highlight w:val="none"/>
        </w:rPr>
        <w:t>详见</w:t>
      </w:r>
      <w:r>
        <w:rPr>
          <w:rFonts w:ascii="宋体" w:hAnsi="宋体"/>
          <w:b/>
          <w:color w:val="auto"/>
          <w:sz w:val="24"/>
          <w:szCs w:val="24"/>
          <w:highlight w:val="none"/>
          <w:u w:val="single"/>
        </w:rPr>
        <w:t>合同专用条款</w:t>
      </w:r>
      <w:r>
        <w:rPr>
          <w:rFonts w:ascii="宋体" w:hAnsi="宋体"/>
          <w:color w:val="auto"/>
          <w:sz w:val="24"/>
          <w:szCs w:val="24"/>
          <w:highlight w:val="none"/>
        </w:rPr>
        <w:t>。</w:t>
      </w:r>
    </w:p>
    <w:p w14:paraId="16C3A5AD">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 xml:space="preserve">2.4 </w:t>
      </w:r>
      <w:r>
        <w:rPr>
          <w:rFonts w:hint="eastAsia" w:ascii="宋体" w:hAnsi="宋体"/>
          <w:b/>
          <w:color w:val="auto"/>
          <w:sz w:val="24"/>
          <w:szCs w:val="24"/>
          <w:highlight w:val="none"/>
        </w:rPr>
        <w:t>履约检查和问题反馈</w:t>
      </w:r>
    </w:p>
    <w:p w14:paraId="01377C5C">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2.4.1甲方</w:t>
      </w:r>
      <w:r>
        <w:rPr>
          <w:rFonts w:hint="eastAsia" w:ascii="宋体" w:hAnsi="宋体"/>
          <w:color w:val="auto"/>
          <w:sz w:val="24"/>
          <w:szCs w:val="24"/>
          <w:highlight w:val="none"/>
        </w:rPr>
        <w:t>有权</w:t>
      </w:r>
      <w:r>
        <w:rPr>
          <w:rFonts w:ascii="宋体" w:hAnsi="宋体"/>
          <w:color w:val="auto"/>
          <w:sz w:val="24"/>
          <w:szCs w:val="24"/>
          <w:highlight w:val="none"/>
        </w:rPr>
        <w:t>在其认为必要时</w:t>
      </w:r>
      <w:r>
        <w:rPr>
          <w:rFonts w:hint="eastAsia" w:ascii="宋体" w:hAnsi="宋体"/>
          <w:color w:val="auto"/>
          <w:sz w:val="24"/>
          <w:szCs w:val="24"/>
          <w:highlight w:val="none"/>
        </w:rPr>
        <w:t>，对乙方是否能够按照合同约定提供服务进行履约检查，以确保乙方所提供的服务能够依约满足甲方之项目需求，但不得因履约检查妨碍乙方的正常工作，乙方应予积极配合；</w:t>
      </w:r>
    </w:p>
    <w:p w14:paraId="144A158D">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2.4.2 </w:t>
      </w:r>
      <w:r>
        <w:rPr>
          <w:rFonts w:hint="eastAsia" w:ascii="宋体" w:hAnsi="宋体"/>
          <w:color w:val="auto"/>
          <w:sz w:val="24"/>
          <w:szCs w:val="24"/>
          <w:highlight w:val="none"/>
        </w:rPr>
        <w:t>合同履行期间，甲方有权将履行过程中出现的问题反馈给乙方，双方当事人应以书面形式约定需要完善和改进的内容。</w:t>
      </w:r>
    </w:p>
    <w:p w14:paraId="7E0CC1E3">
      <w:pPr>
        <w:spacing w:line="360" w:lineRule="auto"/>
        <w:ind w:firstLine="482" w:firstLineChars="200"/>
        <w:rPr>
          <w:rFonts w:ascii="宋体" w:hAnsi="宋体"/>
          <w:b/>
          <w:color w:val="auto"/>
          <w:sz w:val="24"/>
          <w:szCs w:val="24"/>
          <w:highlight w:val="none"/>
        </w:rPr>
      </w:pPr>
      <w:bookmarkStart w:id="92" w:name="_Toc31233"/>
      <w:bookmarkStart w:id="93" w:name="_Toc26555"/>
      <w:bookmarkStart w:id="94" w:name="_Toc32670"/>
      <w:bookmarkStart w:id="95" w:name="_Toc15447"/>
      <w:bookmarkStart w:id="96" w:name="_Toc22011"/>
      <w:r>
        <w:rPr>
          <w:rFonts w:ascii="宋体" w:hAnsi="宋体"/>
          <w:b/>
          <w:color w:val="auto"/>
          <w:sz w:val="24"/>
          <w:szCs w:val="24"/>
          <w:highlight w:val="none"/>
        </w:rPr>
        <w:t>2.5 结算方式和付款条件</w:t>
      </w:r>
      <w:bookmarkEnd w:id="92"/>
      <w:bookmarkEnd w:id="93"/>
      <w:bookmarkEnd w:id="94"/>
      <w:bookmarkEnd w:id="95"/>
      <w:bookmarkEnd w:id="96"/>
    </w:p>
    <w:p w14:paraId="02F52C8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详见</w:t>
      </w:r>
      <w:r>
        <w:rPr>
          <w:rFonts w:ascii="宋体" w:hAnsi="宋体"/>
          <w:b/>
          <w:color w:val="auto"/>
          <w:sz w:val="24"/>
          <w:szCs w:val="24"/>
          <w:highlight w:val="none"/>
          <w:u w:val="single"/>
        </w:rPr>
        <w:t>合同专用条款</w:t>
      </w:r>
      <w:r>
        <w:rPr>
          <w:rFonts w:ascii="宋体" w:hAnsi="宋体"/>
          <w:color w:val="auto"/>
          <w:sz w:val="24"/>
          <w:szCs w:val="24"/>
          <w:highlight w:val="none"/>
        </w:rPr>
        <w:t>。</w:t>
      </w:r>
    </w:p>
    <w:p w14:paraId="06D7958D">
      <w:pPr>
        <w:spacing w:line="360" w:lineRule="auto"/>
        <w:ind w:firstLine="482" w:firstLineChars="200"/>
        <w:rPr>
          <w:rFonts w:ascii="宋体" w:hAnsi="宋体"/>
          <w:b/>
          <w:color w:val="auto"/>
          <w:sz w:val="24"/>
          <w:szCs w:val="24"/>
          <w:highlight w:val="none"/>
        </w:rPr>
      </w:pPr>
      <w:bookmarkStart w:id="97" w:name="_Toc30507"/>
      <w:bookmarkStart w:id="98" w:name="_Toc13154"/>
      <w:bookmarkStart w:id="99" w:name="_Toc13467"/>
      <w:bookmarkStart w:id="100" w:name="_Toc16163"/>
      <w:bookmarkStart w:id="101" w:name="_Toc18990"/>
      <w:r>
        <w:rPr>
          <w:rFonts w:ascii="宋体" w:hAnsi="宋体"/>
          <w:b/>
          <w:color w:val="auto"/>
          <w:sz w:val="24"/>
          <w:szCs w:val="24"/>
          <w:highlight w:val="none"/>
        </w:rPr>
        <w:t>2.6 技术资料和保密义务</w:t>
      </w:r>
      <w:bookmarkEnd w:id="97"/>
      <w:bookmarkEnd w:id="98"/>
      <w:bookmarkEnd w:id="99"/>
      <w:bookmarkEnd w:id="100"/>
      <w:bookmarkEnd w:id="101"/>
    </w:p>
    <w:p w14:paraId="1258401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2.6.1 乙方有权依据合同约定和项目需要，向甲方了解有关情况，调阅有关资料等，甲方应予积极配合；</w:t>
      </w:r>
    </w:p>
    <w:p w14:paraId="3A9967DB">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2.6.2 </w:t>
      </w:r>
      <w:r>
        <w:rPr>
          <w:rFonts w:hint="eastAsia" w:ascii="宋体" w:hAnsi="宋体"/>
          <w:color w:val="auto"/>
          <w:sz w:val="24"/>
          <w:szCs w:val="24"/>
          <w:highlight w:val="none"/>
        </w:rPr>
        <w:t>乙方有义务妥善保管和保护由甲方提供的前款信息和资料等；</w:t>
      </w:r>
    </w:p>
    <w:p w14:paraId="275A56C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2.6.3 </w:t>
      </w:r>
      <w:r>
        <w:rPr>
          <w:rFonts w:hint="eastAsia" w:ascii="宋体" w:hAnsi="宋体"/>
          <w:color w:val="auto"/>
          <w:sz w:val="24"/>
          <w:szCs w:val="24"/>
          <w:highlight w:val="none"/>
        </w:rPr>
        <w:t>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color w:val="auto"/>
          <w:sz w:val="24"/>
          <w:szCs w:val="24"/>
          <w:highlight w:val="none"/>
        </w:rPr>
        <w:t>技术情报</w:t>
      </w:r>
      <w:r>
        <w:rPr>
          <w:rFonts w:hint="eastAsia" w:ascii="宋体" w:hAnsi="宋体"/>
          <w:color w:val="auto"/>
          <w:sz w:val="24"/>
          <w:szCs w:val="24"/>
          <w:highlight w:val="none"/>
        </w:rPr>
        <w:t>、</w:t>
      </w:r>
      <w:r>
        <w:rPr>
          <w:rFonts w:ascii="宋体" w:hAnsi="宋体"/>
          <w:color w:val="auto"/>
          <w:sz w:val="24"/>
          <w:szCs w:val="24"/>
          <w:highlight w:val="none"/>
        </w:rPr>
        <w:t>技术资料</w:t>
      </w:r>
      <w:r>
        <w:rPr>
          <w:rFonts w:hint="eastAsia" w:ascii="宋体" w:hAnsi="宋体"/>
          <w:color w:val="auto"/>
          <w:sz w:val="24"/>
          <w:szCs w:val="24"/>
          <w:highlight w:val="none"/>
        </w:rPr>
        <w:t>、商业秘密和商业信息等，并采取一切合理和必要措施和方式防止任何第三方接触到对方当事人的上述保密信息和资料。</w:t>
      </w:r>
    </w:p>
    <w:p w14:paraId="523D8D87">
      <w:pPr>
        <w:spacing w:line="360" w:lineRule="auto"/>
        <w:ind w:firstLine="482" w:firstLineChars="200"/>
        <w:rPr>
          <w:rFonts w:ascii="宋体" w:hAnsi="宋体"/>
          <w:b/>
          <w:color w:val="auto"/>
          <w:sz w:val="24"/>
          <w:szCs w:val="24"/>
          <w:highlight w:val="none"/>
        </w:rPr>
      </w:pPr>
      <w:bookmarkStart w:id="102" w:name="_Toc19069"/>
      <w:r>
        <w:rPr>
          <w:rFonts w:ascii="宋体" w:hAnsi="宋体"/>
          <w:b/>
          <w:color w:val="auto"/>
          <w:sz w:val="24"/>
          <w:szCs w:val="24"/>
          <w:highlight w:val="none"/>
        </w:rPr>
        <w:t xml:space="preserve">2.7 </w:t>
      </w:r>
      <w:r>
        <w:rPr>
          <w:rFonts w:hint="eastAsia" w:ascii="宋体" w:hAnsi="宋体"/>
          <w:b/>
          <w:color w:val="auto"/>
          <w:sz w:val="24"/>
          <w:szCs w:val="24"/>
          <w:highlight w:val="none"/>
        </w:rPr>
        <w:t>质量保证</w:t>
      </w:r>
      <w:bookmarkEnd w:id="102"/>
    </w:p>
    <w:p w14:paraId="1634905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2.7.1 </w:t>
      </w:r>
      <w:r>
        <w:rPr>
          <w:rFonts w:hint="eastAsia" w:ascii="宋体" w:hAnsi="宋体"/>
          <w:color w:val="auto"/>
          <w:sz w:val="24"/>
          <w:szCs w:val="24"/>
          <w:highlight w:val="none"/>
        </w:rPr>
        <w:t>乙方应建立和完善履行合同的内部质量保证体系，并提供相关内部规章制度给甲方，以便甲方进行监督检查；</w:t>
      </w:r>
    </w:p>
    <w:p w14:paraId="484EE89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2.7.2 </w:t>
      </w:r>
      <w:r>
        <w:rPr>
          <w:rFonts w:hint="eastAsia" w:ascii="宋体" w:hAnsi="宋体"/>
          <w:color w:val="auto"/>
          <w:sz w:val="24"/>
          <w:szCs w:val="24"/>
          <w:highlight w:val="none"/>
        </w:rPr>
        <w:t>乙方应保证履行合同的人员数量和素质、软件和硬件设备的配置、场地、环境和设施等满足全面履行合同的要求，并应接受甲方的监督检查。</w:t>
      </w:r>
    </w:p>
    <w:p w14:paraId="1C455562">
      <w:pPr>
        <w:spacing w:line="360" w:lineRule="auto"/>
        <w:ind w:firstLine="482" w:firstLineChars="200"/>
        <w:rPr>
          <w:rFonts w:ascii="宋体" w:hAnsi="宋体"/>
          <w:b/>
          <w:color w:val="auto"/>
          <w:sz w:val="24"/>
          <w:szCs w:val="24"/>
          <w:highlight w:val="none"/>
        </w:rPr>
      </w:pPr>
      <w:bookmarkStart w:id="103" w:name="_Toc22267"/>
      <w:r>
        <w:rPr>
          <w:rFonts w:ascii="宋体" w:hAnsi="宋体"/>
          <w:b/>
          <w:color w:val="auto"/>
          <w:sz w:val="24"/>
          <w:szCs w:val="24"/>
          <w:highlight w:val="none"/>
        </w:rPr>
        <w:t xml:space="preserve">2.8 </w:t>
      </w:r>
      <w:r>
        <w:rPr>
          <w:rFonts w:hint="eastAsia" w:ascii="宋体" w:hAnsi="宋体"/>
          <w:b/>
          <w:color w:val="auto"/>
          <w:sz w:val="24"/>
          <w:szCs w:val="24"/>
          <w:highlight w:val="none"/>
        </w:rPr>
        <w:t>延迟履行</w:t>
      </w:r>
      <w:bookmarkEnd w:id="103"/>
    </w:p>
    <w:p w14:paraId="4664678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甲乙双方签订合同后，乙方应按照合同约定履行合同义务，除不可抗力外，乙方不得延迟履行。</w:t>
      </w:r>
      <w:r>
        <w:rPr>
          <w:rFonts w:ascii="宋体" w:hAnsi="宋体"/>
          <w:color w:val="auto"/>
          <w:sz w:val="24"/>
          <w:szCs w:val="24"/>
          <w:highlight w:val="none"/>
        </w:rPr>
        <w:t>在合同履行过程中，如果</w:t>
      </w:r>
      <w:r>
        <w:rPr>
          <w:rFonts w:hint="eastAsia" w:ascii="宋体" w:hAnsi="宋体"/>
          <w:color w:val="auto"/>
          <w:sz w:val="24"/>
          <w:szCs w:val="24"/>
          <w:highlight w:val="none"/>
        </w:rPr>
        <w:t>因不可抗力，</w:t>
      </w:r>
      <w:r>
        <w:rPr>
          <w:rFonts w:ascii="宋体" w:hAnsi="宋体"/>
          <w:color w:val="auto"/>
          <w:sz w:val="24"/>
          <w:szCs w:val="24"/>
          <w:highlight w:val="none"/>
        </w:rPr>
        <w:t>乙方遇到不能按时</w:t>
      </w:r>
      <w:r>
        <w:rPr>
          <w:rFonts w:hint="eastAsia" w:ascii="宋体" w:hAnsi="宋体"/>
          <w:color w:val="auto"/>
          <w:sz w:val="24"/>
          <w:szCs w:val="24"/>
          <w:highlight w:val="none"/>
        </w:rPr>
        <w:t>提供服务</w:t>
      </w:r>
      <w:r>
        <w:rPr>
          <w:rFonts w:ascii="宋体" w:hAnsi="宋体"/>
          <w:color w:val="auto"/>
          <w:sz w:val="24"/>
          <w:szCs w:val="24"/>
          <w:highlight w:val="none"/>
        </w:rPr>
        <w:t>的情况，应及时以书面形式将不能按时</w:t>
      </w:r>
      <w:r>
        <w:rPr>
          <w:rFonts w:hint="eastAsia" w:ascii="宋体" w:hAnsi="宋体"/>
          <w:color w:val="auto"/>
          <w:sz w:val="24"/>
          <w:szCs w:val="24"/>
          <w:highlight w:val="none"/>
        </w:rPr>
        <w:t>提供服务</w:t>
      </w:r>
      <w:r>
        <w:rPr>
          <w:rFonts w:ascii="宋体" w:hAnsi="宋体"/>
          <w:color w:val="auto"/>
          <w:sz w:val="24"/>
          <w:szCs w:val="24"/>
          <w:highlight w:val="none"/>
        </w:rPr>
        <w:t>的理由、预期延误时间通知甲方</w:t>
      </w:r>
      <w:r>
        <w:rPr>
          <w:rFonts w:hint="eastAsia" w:ascii="宋体" w:hAnsi="宋体"/>
          <w:color w:val="auto"/>
          <w:sz w:val="24"/>
          <w:szCs w:val="24"/>
          <w:highlight w:val="none"/>
        </w:rPr>
        <w:t>；甲</w:t>
      </w:r>
      <w:r>
        <w:rPr>
          <w:rFonts w:ascii="宋体" w:hAnsi="宋体"/>
          <w:color w:val="auto"/>
          <w:sz w:val="24"/>
          <w:szCs w:val="24"/>
          <w:highlight w:val="none"/>
        </w:rPr>
        <w:t>方收到乙方通知后，认为其理由正当的，可以书面形式酌情同意乙方可以延长</w:t>
      </w:r>
      <w:r>
        <w:rPr>
          <w:rFonts w:hint="eastAsia" w:ascii="宋体" w:hAnsi="宋体"/>
          <w:color w:val="auto"/>
          <w:sz w:val="24"/>
          <w:szCs w:val="24"/>
          <w:highlight w:val="none"/>
        </w:rPr>
        <w:t>履行</w:t>
      </w:r>
      <w:r>
        <w:rPr>
          <w:rFonts w:ascii="宋体" w:hAnsi="宋体"/>
          <w:color w:val="auto"/>
          <w:sz w:val="24"/>
          <w:szCs w:val="24"/>
          <w:highlight w:val="none"/>
        </w:rPr>
        <w:t>的具体时间。</w:t>
      </w:r>
    </w:p>
    <w:p w14:paraId="0F098B62">
      <w:pPr>
        <w:spacing w:line="360" w:lineRule="auto"/>
        <w:ind w:firstLine="482" w:firstLineChars="200"/>
        <w:rPr>
          <w:rFonts w:ascii="宋体" w:hAnsi="宋体"/>
          <w:b/>
          <w:color w:val="auto"/>
          <w:sz w:val="24"/>
          <w:szCs w:val="24"/>
          <w:highlight w:val="none"/>
        </w:rPr>
      </w:pPr>
      <w:bookmarkStart w:id="104" w:name="_Toc10611"/>
      <w:r>
        <w:rPr>
          <w:rFonts w:ascii="宋体" w:hAnsi="宋体"/>
          <w:b/>
          <w:color w:val="auto"/>
          <w:sz w:val="24"/>
          <w:szCs w:val="24"/>
          <w:highlight w:val="none"/>
        </w:rPr>
        <w:t xml:space="preserve">2.9 </w:t>
      </w:r>
      <w:r>
        <w:rPr>
          <w:rFonts w:hint="eastAsia" w:ascii="宋体" w:hAnsi="宋体"/>
          <w:b/>
          <w:color w:val="auto"/>
          <w:sz w:val="24"/>
          <w:szCs w:val="24"/>
          <w:highlight w:val="none"/>
        </w:rPr>
        <w:t>合同变更</w:t>
      </w:r>
      <w:bookmarkEnd w:id="104"/>
    </w:p>
    <w:p w14:paraId="4E3B7BB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合同继续履行将损害国家利益和社会公共利益的，双方当事人应当以书面形式变更合同。有过错的一方应当承担赔偿责任，双方当事人都有过错的，各自承担相应的责任。</w:t>
      </w:r>
    </w:p>
    <w:p w14:paraId="631E6C27">
      <w:pPr>
        <w:spacing w:line="360" w:lineRule="auto"/>
        <w:ind w:firstLine="482" w:firstLineChars="200"/>
        <w:rPr>
          <w:rFonts w:ascii="宋体" w:hAnsi="宋体"/>
          <w:b/>
          <w:color w:val="auto"/>
          <w:sz w:val="24"/>
          <w:szCs w:val="24"/>
          <w:highlight w:val="none"/>
        </w:rPr>
      </w:pPr>
      <w:bookmarkStart w:id="105" w:name="_Toc26689"/>
      <w:bookmarkStart w:id="106" w:name="_Toc42"/>
      <w:bookmarkStart w:id="107" w:name="_Toc21830"/>
      <w:bookmarkStart w:id="108" w:name="_Toc10663"/>
      <w:r>
        <w:rPr>
          <w:rFonts w:ascii="宋体" w:hAnsi="宋体"/>
          <w:b/>
          <w:color w:val="auto"/>
          <w:sz w:val="24"/>
          <w:szCs w:val="24"/>
          <w:highlight w:val="none"/>
        </w:rPr>
        <w:t>2.10 合同转让和分包</w:t>
      </w:r>
      <w:bookmarkEnd w:id="105"/>
      <w:bookmarkEnd w:id="106"/>
      <w:bookmarkEnd w:id="107"/>
      <w:bookmarkEnd w:id="108"/>
    </w:p>
    <w:p w14:paraId="68D31D38">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合同的权利义务依法不</w:t>
      </w:r>
      <w:r>
        <w:rPr>
          <w:rFonts w:hint="eastAsia" w:ascii="宋体" w:hAnsi="宋体"/>
          <w:color w:val="auto"/>
          <w:sz w:val="24"/>
          <w:szCs w:val="24"/>
          <w:highlight w:val="none"/>
        </w:rPr>
        <w:t>得</w:t>
      </w:r>
      <w:r>
        <w:rPr>
          <w:rFonts w:ascii="宋体" w:hAnsi="宋体"/>
          <w:color w:val="auto"/>
          <w:sz w:val="24"/>
          <w:szCs w:val="24"/>
          <w:highlight w:val="none"/>
        </w:rPr>
        <w:t>转让</w:t>
      </w:r>
      <w:r>
        <w:rPr>
          <w:rFonts w:hint="eastAsia" w:ascii="宋体" w:hAnsi="宋体"/>
          <w:color w:val="auto"/>
          <w:sz w:val="24"/>
          <w:szCs w:val="24"/>
          <w:highlight w:val="none"/>
        </w:rPr>
        <w:t>，</w:t>
      </w:r>
      <w:r>
        <w:rPr>
          <w:rFonts w:ascii="宋体" w:hAnsi="宋体"/>
          <w:color w:val="auto"/>
          <w:sz w:val="24"/>
          <w:szCs w:val="24"/>
          <w:highlight w:val="none"/>
        </w:rPr>
        <w:t>但经甲方</w:t>
      </w:r>
      <w:r>
        <w:rPr>
          <w:rFonts w:hint="eastAsia" w:ascii="宋体" w:hAnsi="宋体"/>
          <w:color w:val="auto"/>
          <w:sz w:val="24"/>
          <w:szCs w:val="24"/>
          <w:highlight w:val="none"/>
        </w:rPr>
        <w:t>同意，乙方可以依法采取分包方式履行合同，即：依法可以</w:t>
      </w:r>
      <w:r>
        <w:rPr>
          <w:rFonts w:ascii="宋体" w:hAnsi="宋体"/>
          <w:color w:val="auto"/>
          <w:sz w:val="24"/>
          <w:szCs w:val="24"/>
          <w:highlight w:val="none"/>
        </w:rPr>
        <w:t>将合同项下的部分非主体、非关键性工作分包给他人完成</w:t>
      </w:r>
      <w:r>
        <w:rPr>
          <w:rFonts w:hint="eastAsia" w:ascii="宋体" w:hAnsi="宋体"/>
          <w:color w:val="auto"/>
          <w:sz w:val="24"/>
          <w:szCs w:val="24"/>
          <w:highlight w:val="none"/>
        </w:rPr>
        <w:t>，</w:t>
      </w:r>
      <w:r>
        <w:rPr>
          <w:rFonts w:ascii="宋体" w:hAnsi="宋体"/>
          <w:color w:val="auto"/>
          <w:sz w:val="24"/>
          <w:szCs w:val="24"/>
          <w:highlight w:val="none"/>
        </w:rPr>
        <w:t>接受分包的人应当具备相应的资格条件，并不得再次分包</w:t>
      </w:r>
      <w:r>
        <w:rPr>
          <w:rFonts w:hint="eastAsia" w:ascii="宋体" w:hAnsi="宋体"/>
          <w:color w:val="auto"/>
          <w:sz w:val="24"/>
          <w:szCs w:val="24"/>
          <w:highlight w:val="none"/>
        </w:rPr>
        <w:t>，</w:t>
      </w:r>
      <w:r>
        <w:rPr>
          <w:rFonts w:ascii="宋体" w:hAnsi="宋体"/>
          <w:color w:val="auto"/>
          <w:sz w:val="24"/>
          <w:szCs w:val="24"/>
          <w:highlight w:val="none"/>
        </w:rPr>
        <w:t>且乙方应就分包项目向甲方负责</w:t>
      </w:r>
      <w:r>
        <w:rPr>
          <w:rFonts w:hint="eastAsia" w:ascii="宋体" w:hAnsi="宋体"/>
          <w:color w:val="auto"/>
          <w:sz w:val="24"/>
          <w:szCs w:val="24"/>
          <w:highlight w:val="none"/>
        </w:rPr>
        <w:t>，</w:t>
      </w:r>
      <w:r>
        <w:rPr>
          <w:rFonts w:ascii="宋体" w:hAnsi="宋体"/>
          <w:color w:val="auto"/>
          <w:sz w:val="24"/>
          <w:szCs w:val="24"/>
          <w:highlight w:val="none"/>
        </w:rPr>
        <w:t>并</w:t>
      </w:r>
      <w:r>
        <w:rPr>
          <w:rFonts w:hint="eastAsia" w:ascii="宋体" w:hAnsi="宋体"/>
          <w:color w:val="auto"/>
          <w:sz w:val="24"/>
          <w:szCs w:val="24"/>
          <w:highlight w:val="none"/>
        </w:rPr>
        <w:t>与分包供应商就分包项目向甲方承担连带责任。</w:t>
      </w:r>
    </w:p>
    <w:p w14:paraId="2055AB38">
      <w:pPr>
        <w:spacing w:line="360" w:lineRule="auto"/>
        <w:ind w:firstLine="482" w:firstLineChars="200"/>
        <w:rPr>
          <w:rFonts w:ascii="宋体" w:hAnsi="宋体"/>
          <w:b/>
          <w:color w:val="auto"/>
          <w:sz w:val="24"/>
          <w:szCs w:val="24"/>
          <w:highlight w:val="none"/>
        </w:rPr>
      </w:pPr>
      <w:bookmarkStart w:id="109" w:name="_Toc25571"/>
      <w:bookmarkStart w:id="110" w:name="_Toc26633"/>
      <w:bookmarkStart w:id="111" w:name="_Toc14371"/>
      <w:bookmarkStart w:id="112" w:name="_Toc4720"/>
      <w:bookmarkStart w:id="113" w:name="_Toc32494"/>
      <w:r>
        <w:rPr>
          <w:rFonts w:ascii="宋体" w:hAnsi="宋体"/>
          <w:b/>
          <w:color w:val="auto"/>
          <w:sz w:val="24"/>
          <w:szCs w:val="24"/>
          <w:highlight w:val="none"/>
        </w:rPr>
        <w:t>2.11 不可抗力</w:t>
      </w:r>
      <w:bookmarkEnd w:id="109"/>
      <w:bookmarkEnd w:id="110"/>
      <w:bookmarkEnd w:id="111"/>
      <w:bookmarkEnd w:id="112"/>
      <w:bookmarkEnd w:id="113"/>
    </w:p>
    <w:p w14:paraId="416DEF07">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2.11.1如果任何一方遭遇法律规定的不可抗力，致使合同履行受阻时，履行合同的期限应予延长，延长的期限应相当于不可抗力所影响的时间</w:t>
      </w:r>
      <w:r>
        <w:rPr>
          <w:rFonts w:hint="eastAsia" w:ascii="宋体" w:hAnsi="宋体"/>
          <w:color w:val="auto"/>
          <w:sz w:val="24"/>
          <w:szCs w:val="24"/>
          <w:highlight w:val="none"/>
        </w:rPr>
        <w:t>；</w:t>
      </w:r>
    </w:p>
    <w:p w14:paraId="179629A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2.11.2 </w:t>
      </w:r>
      <w:r>
        <w:rPr>
          <w:rFonts w:hint="eastAsia" w:ascii="宋体" w:hAnsi="宋体"/>
          <w:color w:val="auto"/>
          <w:sz w:val="24"/>
          <w:szCs w:val="24"/>
          <w:highlight w:val="none"/>
        </w:rPr>
        <w:t>因不可抗力致使不能实现合同目的的，当事人可以解除合同；</w:t>
      </w:r>
    </w:p>
    <w:p w14:paraId="24E9580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2.11.3 </w:t>
      </w:r>
      <w:r>
        <w:rPr>
          <w:rFonts w:hint="eastAsia" w:ascii="宋体" w:hAnsi="宋体"/>
          <w:color w:val="auto"/>
          <w:sz w:val="24"/>
          <w:szCs w:val="24"/>
          <w:highlight w:val="none"/>
        </w:rPr>
        <w:t>因</w:t>
      </w:r>
      <w:r>
        <w:rPr>
          <w:rFonts w:ascii="宋体" w:hAnsi="宋体"/>
          <w:color w:val="auto"/>
          <w:sz w:val="24"/>
          <w:szCs w:val="24"/>
          <w:highlight w:val="none"/>
        </w:rPr>
        <w:t>不可抗力致使合同有变更必要的，双方当事人应在</w:t>
      </w:r>
      <w:r>
        <w:rPr>
          <w:rFonts w:ascii="宋体" w:hAnsi="宋体"/>
          <w:b/>
          <w:color w:val="auto"/>
          <w:sz w:val="24"/>
          <w:szCs w:val="24"/>
          <w:highlight w:val="none"/>
          <w:u w:val="single"/>
        </w:rPr>
        <w:t>合同专用条款</w:t>
      </w:r>
      <w:r>
        <w:rPr>
          <w:rFonts w:ascii="宋体" w:hAnsi="宋体"/>
          <w:color w:val="auto"/>
          <w:sz w:val="24"/>
          <w:szCs w:val="24"/>
          <w:highlight w:val="none"/>
        </w:rPr>
        <w:t>约定时间内以书面形式变更合同</w:t>
      </w:r>
      <w:r>
        <w:rPr>
          <w:rFonts w:hint="eastAsia" w:ascii="宋体" w:hAnsi="宋体"/>
          <w:color w:val="auto"/>
          <w:sz w:val="24"/>
          <w:szCs w:val="24"/>
          <w:highlight w:val="none"/>
        </w:rPr>
        <w:t>；</w:t>
      </w:r>
    </w:p>
    <w:p w14:paraId="6CC06AE0">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2.11.4受</w:t>
      </w:r>
      <w:r>
        <w:rPr>
          <w:rFonts w:hint="eastAsia" w:ascii="宋体" w:hAnsi="宋体"/>
          <w:color w:val="auto"/>
          <w:sz w:val="24"/>
          <w:szCs w:val="24"/>
          <w:highlight w:val="none"/>
        </w:rPr>
        <w:t>不可抗力</w:t>
      </w:r>
      <w:r>
        <w:rPr>
          <w:rFonts w:ascii="宋体" w:hAnsi="宋体"/>
          <w:color w:val="auto"/>
          <w:sz w:val="24"/>
          <w:szCs w:val="24"/>
          <w:highlight w:val="none"/>
        </w:rPr>
        <w:t>影响的一方在不可抗力发生后</w:t>
      </w:r>
      <w:r>
        <w:rPr>
          <w:rFonts w:hint="eastAsia" w:ascii="宋体" w:hAnsi="宋体"/>
          <w:color w:val="auto"/>
          <w:sz w:val="24"/>
          <w:szCs w:val="24"/>
          <w:highlight w:val="none"/>
        </w:rPr>
        <w:t>，</w:t>
      </w:r>
      <w:r>
        <w:rPr>
          <w:rFonts w:ascii="宋体" w:hAnsi="宋体"/>
          <w:color w:val="auto"/>
          <w:sz w:val="24"/>
          <w:szCs w:val="24"/>
          <w:highlight w:val="none"/>
        </w:rPr>
        <w:t>应在</w:t>
      </w:r>
      <w:r>
        <w:rPr>
          <w:rFonts w:ascii="宋体" w:hAnsi="宋体"/>
          <w:b/>
          <w:color w:val="auto"/>
          <w:sz w:val="24"/>
          <w:szCs w:val="24"/>
          <w:highlight w:val="none"/>
          <w:u w:val="single"/>
        </w:rPr>
        <w:t>合同专用条款</w:t>
      </w:r>
      <w:r>
        <w:rPr>
          <w:rFonts w:ascii="宋体" w:hAnsi="宋体"/>
          <w:color w:val="auto"/>
          <w:sz w:val="24"/>
          <w:szCs w:val="24"/>
          <w:highlight w:val="none"/>
        </w:rPr>
        <w:t>约定时间内以书面形式通知</w:t>
      </w:r>
      <w:r>
        <w:rPr>
          <w:rFonts w:hint="eastAsia" w:ascii="宋体" w:hAnsi="宋体"/>
          <w:color w:val="auto"/>
          <w:sz w:val="24"/>
          <w:szCs w:val="24"/>
          <w:highlight w:val="none"/>
        </w:rPr>
        <w:t>对</w:t>
      </w:r>
      <w:r>
        <w:rPr>
          <w:rFonts w:ascii="宋体" w:hAnsi="宋体"/>
          <w:color w:val="auto"/>
          <w:sz w:val="24"/>
          <w:szCs w:val="24"/>
          <w:highlight w:val="none"/>
        </w:rPr>
        <w:t>方当事人，并在</w:t>
      </w:r>
      <w:r>
        <w:rPr>
          <w:rFonts w:ascii="宋体" w:hAnsi="宋体"/>
          <w:b/>
          <w:color w:val="auto"/>
          <w:sz w:val="24"/>
          <w:szCs w:val="24"/>
          <w:highlight w:val="none"/>
          <w:u w:val="single"/>
        </w:rPr>
        <w:t>合同专用条款</w:t>
      </w:r>
      <w:r>
        <w:rPr>
          <w:rFonts w:ascii="宋体" w:hAnsi="宋体"/>
          <w:color w:val="auto"/>
          <w:sz w:val="24"/>
          <w:szCs w:val="24"/>
          <w:highlight w:val="none"/>
        </w:rPr>
        <w:t>约定时间内，将有关部门出具的证明文件送达</w:t>
      </w:r>
      <w:r>
        <w:rPr>
          <w:rFonts w:hint="eastAsia" w:ascii="宋体" w:hAnsi="宋体"/>
          <w:color w:val="auto"/>
          <w:sz w:val="24"/>
          <w:szCs w:val="24"/>
          <w:highlight w:val="none"/>
        </w:rPr>
        <w:t>对方当事人</w:t>
      </w:r>
      <w:r>
        <w:rPr>
          <w:rFonts w:ascii="宋体" w:hAnsi="宋体"/>
          <w:color w:val="auto"/>
          <w:sz w:val="24"/>
          <w:szCs w:val="24"/>
          <w:highlight w:val="none"/>
        </w:rPr>
        <w:t>。</w:t>
      </w:r>
    </w:p>
    <w:p w14:paraId="757057D2">
      <w:pPr>
        <w:spacing w:line="360" w:lineRule="auto"/>
        <w:ind w:firstLine="482" w:firstLineChars="200"/>
        <w:rPr>
          <w:rFonts w:ascii="宋体" w:hAnsi="宋体"/>
          <w:b/>
          <w:color w:val="auto"/>
          <w:sz w:val="24"/>
          <w:szCs w:val="24"/>
          <w:highlight w:val="none"/>
        </w:rPr>
      </w:pPr>
      <w:bookmarkStart w:id="114" w:name="_Toc25783"/>
      <w:bookmarkStart w:id="115" w:name="_Toc14115"/>
      <w:bookmarkStart w:id="116" w:name="_Toc23854"/>
      <w:bookmarkStart w:id="117" w:name="_Toc3638"/>
      <w:bookmarkStart w:id="118" w:name="_Toc24465"/>
      <w:r>
        <w:rPr>
          <w:rFonts w:ascii="宋体" w:hAnsi="宋体"/>
          <w:b/>
          <w:color w:val="auto"/>
          <w:sz w:val="24"/>
          <w:szCs w:val="24"/>
          <w:highlight w:val="none"/>
        </w:rPr>
        <w:t>2.12 税费</w:t>
      </w:r>
      <w:bookmarkEnd w:id="114"/>
      <w:bookmarkEnd w:id="115"/>
      <w:bookmarkEnd w:id="116"/>
      <w:bookmarkEnd w:id="117"/>
      <w:bookmarkEnd w:id="118"/>
    </w:p>
    <w:p w14:paraId="7BD3693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与合同有关的一切税费</w:t>
      </w:r>
      <w:r>
        <w:rPr>
          <w:rFonts w:hint="eastAsia" w:ascii="宋体" w:hAnsi="宋体"/>
          <w:color w:val="auto"/>
          <w:sz w:val="24"/>
          <w:szCs w:val="24"/>
          <w:highlight w:val="none"/>
        </w:rPr>
        <w:t>，</w:t>
      </w:r>
      <w:r>
        <w:rPr>
          <w:rFonts w:ascii="宋体" w:hAnsi="宋体"/>
          <w:color w:val="auto"/>
          <w:sz w:val="24"/>
          <w:szCs w:val="24"/>
          <w:highlight w:val="none"/>
        </w:rPr>
        <w:t>均按照中华人民共和国法律的相关规定缴纳。</w:t>
      </w:r>
    </w:p>
    <w:p w14:paraId="28FCC360">
      <w:pPr>
        <w:spacing w:line="360" w:lineRule="auto"/>
        <w:ind w:firstLine="482" w:firstLineChars="200"/>
        <w:rPr>
          <w:rFonts w:ascii="宋体" w:hAnsi="宋体"/>
          <w:b/>
          <w:color w:val="auto"/>
          <w:sz w:val="24"/>
          <w:szCs w:val="24"/>
          <w:highlight w:val="none"/>
        </w:rPr>
      </w:pPr>
      <w:bookmarkStart w:id="119" w:name="_Toc26883"/>
      <w:bookmarkStart w:id="120" w:name="_Toc30105"/>
      <w:bookmarkStart w:id="121" w:name="_Toc25525"/>
      <w:bookmarkStart w:id="122" w:name="_Toc7315"/>
      <w:bookmarkStart w:id="123" w:name="_Toc14814"/>
      <w:r>
        <w:rPr>
          <w:rFonts w:ascii="宋体" w:hAnsi="宋体"/>
          <w:b/>
          <w:color w:val="auto"/>
          <w:sz w:val="24"/>
          <w:szCs w:val="24"/>
          <w:highlight w:val="none"/>
        </w:rPr>
        <w:t>2.13 乙方破产</w:t>
      </w:r>
      <w:bookmarkEnd w:id="119"/>
      <w:bookmarkEnd w:id="120"/>
      <w:bookmarkEnd w:id="121"/>
      <w:bookmarkEnd w:id="122"/>
      <w:bookmarkEnd w:id="123"/>
    </w:p>
    <w:p w14:paraId="2EB8C22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如果乙方破产导致合同无法履行时，甲方可以书面形式通知乙方终止合同且不给予乙方任何补偿和赔偿</w:t>
      </w:r>
      <w:r>
        <w:rPr>
          <w:rFonts w:hint="eastAsia" w:ascii="宋体" w:hAnsi="宋体"/>
          <w:color w:val="auto"/>
          <w:sz w:val="24"/>
          <w:szCs w:val="24"/>
          <w:highlight w:val="none"/>
        </w:rPr>
        <w:t>，但合同的</w:t>
      </w:r>
      <w:r>
        <w:rPr>
          <w:rFonts w:ascii="宋体" w:hAnsi="宋体"/>
          <w:color w:val="auto"/>
          <w:sz w:val="24"/>
          <w:szCs w:val="24"/>
          <w:highlight w:val="none"/>
        </w:rPr>
        <w:t>终止不损害或不影响甲方已经采取或将要采取的任何要求乙方支付违约金</w:t>
      </w:r>
      <w:r>
        <w:rPr>
          <w:rFonts w:hint="eastAsia" w:ascii="宋体" w:hAnsi="宋体"/>
          <w:color w:val="auto"/>
          <w:sz w:val="24"/>
          <w:szCs w:val="24"/>
          <w:highlight w:val="none"/>
        </w:rPr>
        <w:t>、</w:t>
      </w:r>
      <w:r>
        <w:rPr>
          <w:rFonts w:ascii="宋体" w:hAnsi="宋体"/>
          <w:color w:val="auto"/>
          <w:sz w:val="24"/>
          <w:szCs w:val="24"/>
          <w:highlight w:val="none"/>
        </w:rPr>
        <w:t>赔偿损失等的行动或补救措施的权利</w:t>
      </w:r>
      <w:r>
        <w:rPr>
          <w:rFonts w:hint="eastAsia" w:ascii="宋体" w:hAnsi="宋体"/>
          <w:color w:val="auto"/>
          <w:sz w:val="24"/>
          <w:szCs w:val="24"/>
          <w:highlight w:val="none"/>
        </w:rPr>
        <w:t>。</w:t>
      </w:r>
    </w:p>
    <w:p w14:paraId="46C04571">
      <w:pPr>
        <w:spacing w:line="360" w:lineRule="auto"/>
        <w:ind w:firstLine="482" w:firstLineChars="200"/>
        <w:rPr>
          <w:rFonts w:ascii="宋体" w:hAnsi="宋体"/>
          <w:b/>
          <w:color w:val="auto"/>
          <w:sz w:val="24"/>
          <w:szCs w:val="24"/>
          <w:highlight w:val="none"/>
        </w:rPr>
      </w:pPr>
      <w:bookmarkStart w:id="124" w:name="_Toc23323"/>
      <w:bookmarkStart w:id="125" w:name="_Toc2016"/>
      <w:bookmarkStart w:id="126" w:name="_Toc1123"/>
      <w:r>
        <w:rPr>
          <w:rFonts w:ascii="宋体" w:hAnsi="宋体"/>
          <w:b/>
          <w:color w:val="auto"/>
          <w:sz w:val="24"/>
          <w:szCs w:val="24"/>
          <w:highlight w:val="none"/>
        </w:rPr>
        <w:t>2.14 合同中止、终止</w:t>
      </w:r>
      <w:bookmarkEnd w:id="124"/>
      <w:bookmarkEnd w:id="125"/>
      <w:bookmarkEnd w:id="126"/>
    </w:p>
    <w:p w14:paraId="0DE4BB3A">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2.14.1 </w:t>
      </w:r>
      <w:r>
        <w:rPr>
          <w:rFonts w:hint="eastAsia" w:ascii="宋体" w:hAnsi="宋体"/>
          <w:color w:val="auto"/>
          <w:sz w:val="24"/>
          <w:szCs w:val="24"/>
          <w:highlight w:val="none"/>
        </w:rPr>
        <w:t>双方当事人不得擅自中止或者终止合同；</w:t>
      </w:r>
    </w:p>
    <w:p w14:paraId="14233ACE">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2.14.2合同继续履行将损害国家利益和社会公共利益的，双方当事人应当中止或者终止合同。有过错的一方应当承担赔偿责任，双方当事人都有过错的，各自承担相应的责任。</w:t>
      </w:r>
    </w:p>
    <w:p w14:paraId="62835A96">
      <w:pPr>
        <w:spacing w:line="360" w:lineRule="auto"/>
        <w:ind w:firstLine="482" w:firstLineChars="200"/>
        <w:rPr>
          <w:rFonts w:ascii="宋体" w:hAnsi="宋体"/>
          <w:b/>
          <w:color w:val="auto"/>
          <w:sz w:val="24"/>
          <w:szCs w:val="24"/>
          <w:highlight w:val="none"/>
        </w:rPr>
      </w:pPr>
      <w:bookmarkStart w:id="127" w:name="_Toc14525"/>
      <w:bookmarkStart w:id="128" w:name="_Toc1969"/>
      <w:bookmarkStart w:id="129" w:name="_Toc17363"/>
      <w:r>
        <w:rPr>
          <w:rFonts w:ascii="宋体" w:hAnsi="宋体"/>
          <w:b/>
          <w:color w:val="auto"/>
          <w:sz w:val="24"/>
          <w:szCs w:val="24"/>
          <w:highlight w:val="none"/>
        </w:rPr>
        <w:t>2.15 检验和验收</w:t>
      </w:r>
      <w:bookmarkEnd w:id="127"/>
      <w:bookmarkEnd w:id="128"/>
      <w:bookmarkEnd w:id="129"/>
    </w:p>
    <w:p w14:paraId="15A4B6C6">
      <w:pPr>
        <w:tabs>
          <w:tab w:val="left" w:pos="360"/>
          <w:tab w:val="left" w:pos="540"/>
          <w:tab w:val="left" w:pos="1080"/>
        </w:tabs>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2.15.1 </w:t>
      </w:r>
      <w:r>
        <w:rPr>
          <w:rFonts w:hint="eastAsia" w:ascii="宋体" w:hAnsi="宋体"/>
          <w:color w:val="auto"/>
          <w:sz w:val="24"/>
          <w:szCs w:val="24"/>
          <w:highlight w:val="none"/>
        </w:rPr>
        <w:t>乙方按照</w:t>
      </w:r>
      <w:r>
        <w:rPr>
          <w:rFonts w:ascii="宋体" w:hAnsi="宋体"/>
          <w:b/>
          <w:color w:val="auto"/>
          <w:sz w:val="24"/>
          <w:szCs w:val="24"/>
          <w:highlight w:val="none"/>
          <w:u w:val="single"/>
        </w:rPr>
        <w:t>合同专用条款</w:t>
      </w:r>
      <w:r>
        <w:rPr>
          <w:rFonts w:ascii="宋体" w:hAnsi="宋体"/>
          <w:color w:val="auto"/>
          <w:sz w:val="24"/>
          <w:szCs w:val="24"/>
          <w:highlight w:val="none"/>
        </w:rPr>
        <w:t>的约定</w:t>
      </w:r>
      <w:r>
        <w:rPr>
          <w:rFonts w:hint="eastAsia" w:ascii="宋体" w:hAnsi="宋体"/>
          <w:color w:val="auto"/>
          <w:sz w:val="24"/>
          <w:szCs w:val="24"/>
          <w:highlight w:val="none"/>
        </w:rPr>
        <w:t>，</w:t>
      </w:r>
      <w:r>
        <w:rPr>
          <w:rFonts w:ascii="宋体" w:hAnsi="宋体"/>
          <w:color w:val="auto"/>
          <w:sz w:val="24"/>
          <w:szCs w:val="24"/>
          <w:highlight w:val="none"/>
        </w:rPr>
        <w:t>定期提交服务报告</w:t>
      </w:r>
      <w:r>
        <w:rPr>
          <w:rFonts w:hint="eastAsia" w:ascii="宋体" w:hAnsi="宋体"/>
          <w:color w:val="auto"/>
          <w:sz w:val="24"/>
          <w:szCs w:val="24"/>
          <w:highlight w:val="none"/>
        </w:rPr>
        <w:t>，甲方按照</w:t>
      </w:r>
      <w:r>
        <w:rPr>
          <w:rFonts w:ascii="宋体" w:hAnsi="宋体"/>
          <w:b/>
          <w:color w:val="auto"/>
          <w:sz w:val="24"/>
          <w:szCs w:val="24"/>
          <w:highlight w:val="none"/>
          <w:u w:val="single"/>
        </w:rPr>
        <w:t>合同专用条款</w:t>
      </w:r>
      <w:r>
        <w:rPr>
          <w:rFonts w:ascii="宋体" w:hAnsi="宋体"/>
          <w:color w:val="auto"/>
          <w:sz w:val="24"/>
          <w:szCs w:val="24"/>
          <w:highlight w:val="none"/>
        </w:rPr>
        <w:t>的约定进行定期验收</w:t>
      </w:r>
      <w:r>
        <w:rPr>
          <w:rFonts w:hint="eastAsia" w:ascii="宋体" w:hAnsi="宋体"/>
          <w:color w:val="auto"/>
          <w:sz w:val="24"/>
          <w:szCs w:val="24"/>
          <w:highlight w:val="none"/>
        </w:rPr>
        <w:t>；</w:t>
      </w:r>
    </w:p>
    <w:p w14:paraId="6B4B11DE">
      <w:pPr>
        <w:tabs>
          <w:tab w:val="left" w:pos="360"/>
          <w:tab w:val="left" w:pos="540"/>
          <w:tab w:val="left" w:pos="1080"/>
        </w:tabs>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2.15.2 </w:t>
      </w:r>
      <w:r>
        <w:rPr>
          <w:rFonts w:hint="eastAsia" w:ascii="宋体" w:hAnsi="宋体"/>
          <w:color w:val="auto"/>
          <w:sz w:val="24"/>
          <w:szCs w:val="24"/>
          <w:highlight w:val="none"/>
        </w:rPr>
        <w:t>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83C6687">
      <w:pPr>
        <w:tabs>
          <w:tab w:val="left" w:pos="360"/>
          <w:tab w:val="left" w:pos="540"/>
          <w:tab w:val="left" w:pos="1080"/>
        </w:tabs>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2.15.3 </w:t>
      </w:r>
      <w:r>
        <w:rPr>
          <w:rFonts w:hint="eastAsia" w:ascii="宋体" w:hAnsi="宋体"/>
          <w:color w:val="auto"/>
          <w:sz w:val="24"/>
          <w:szCs w:val="24"/>
          <w:highlight w:val="none"/>
        </w:rPr>
        <w:t>检验和验收标准、程序等具体内容以及前述验收书的效力详见</w:t>
      </w:r>
      <w:r>
        <w:rPr>
          <w:rFonts w:ascii="宋体" w:hAnsi="宋体"/>
          <w:b/>
          <w:color w:val="auto"/>
          <w:sz w:val="24"/>
          <w:szCs w:val="24"/>
          <w:highlight w:val="none"/>
          <w:u w:val="single"/>
        </w:rPr>
        <w:t>合同专用条款</w:t>
      </w:r>
      <w:r>
        <w:rPr>
          <w:rFonts w:hint="eastAsia" w:ascii="宋体" w:hAnsi="宋体"/>
          <w:color w:val="auto"/>
          <w:sz w:val="24"/>
          <w:szCs w:val="24"/>
          <w:highlight w:val="none"/>
        </w:rPr>
        <w:t>。</w:t>
      </w:r>
    </w:p>
    <w:p w14:paraId="2697184E">
      <w:pPr>
        <w:spacing w:line="360" w:lineRule="auto"/>
        <w:ind w:firstLine="482" w:firstLineChars="200"/>
        <w:rPr>
          <w:rFonts w:ascii="宋体" w:hAnsi="宋体"/>
          <w:b/>
          <w:color w:val="auto"/>
          <w:sz w:val="24"/>
          <w:szCs w:val="24"/>
          <w:highlight w:val="none"/>
        </w:rPr>
      </w:pPr>
      <w:bookmarkStart w:id="130" w:name="_Toc25198"/>
      <w:bookmarkStart w:id="131" w:name="_Toc9808"/>
      <w:bookmarkStart w:id="132" w:name="_Toc31892"/>
      <w:bookmarkStart w:id="133" w:name="_Toc12666"/>
      <w:bookmarkStart w:id="134" w:name="_Toc2308"/>
      <w:r>
        <w:rPr>
          <w:rFonts w:ascii="宋体" w:hAnsi="宋体"/>
          <w:b/>
          <w:color w:val="auto"/>
          <w:sz w:val="24"/>
          <w:szCs w:val="24"/>
          <w:highlight w:val="none"/>
        </w:rPr>
        <w:t>2.16 通知和送达</w:t>
      </w:r>
      <w:bookmarkEnd w:id="130"/>
      <w:bookmarkEnd w:id="131"/>
      <w:bookmarkEnd w:id="132"/>
      <w:bookmarkEnd w:id="133"/>
      <w:bookmarkEnd w:id="134"/>
    </w:p>
    <w:p w14:paraId="6CA7561F">
      <w:pPr>
        <w:spacing w:line="360" w:lineRule="auto"/>
        <w:ind w:firstLine="480" w:firstLineChars="200"/>
        <w:rPr>
          <w:rFonts w:ascii="宋体" w:hAnsi="宋体"/>
          <w:color w:val="auto"/>
          <w:sz w:val="24"/>
          <w:szCs w:val="24"/>
          <w:highlight w:val="none"/>
        </w:rPr>
      </w:pPr>
      <w:bookmarkStart w:id="135" w:name="_Toc18401"/>
      <w:bookmarkStart w:id="136" w:name="_Toc27674"/>
      <w:r>
        <w:rPr>
          <w:rFonts w:ascii="宋体" w:hAnsi="宋体"/>
          <w:color w:val="auto"/>
          <w:sz w:val="24"/>
          <w:szCs w:val="24"/>
          <w:highlight w:val="none"/>
        </w:rPr>
        <w:t>2.17.1</w:t>
      </w:r>
      <w:r>
        <w:rPr>
          <w:rFonts w:hint="eastAsia" w:ascii="宋体" w:hAnsi="宋体"/>
          <w:color w:val="auto"/>
          <w:sz w:val="24"/>
          <w:szCs w:val="24"/>
          <w:highlight w:val="none"/>
        </w:rPr>
        <w:t>任何一方因履行合同而以合同第一部分尾部所列明的传真或电子邮件</w:t>
      </w:r>
      <w:r>
        <w:rPr>
          <w:rFonts w:ascii="宋体" w:hAnsi="宋体"/>
          <w:color w:val="auto"/>
          <w:sz w:val="24"/>
          <w:szCs w:val="24"/>
          <w:highlight w:val="non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发出的所有通知、文件、材料，均视为已向对方当事人送达；任何一方变更上述送达方式或者地址的，应于</w:t>
      </w:r>
      <w:r>
        <w:rPr>
          <w:rFonts w:ascii="宋体" w:hAnsi="宋体"/>
          <w:color w:val="auto"/>
          <w:sz w:val="24"/>
          <w:szCs w:val="24"/>
          <w:highlight w:val="none"/>
          <w:u w:val="single"/>
        </w:rPr>
        <w:t>3</w:t>
      </w:r>
      <w:r>
        <w:rPr>
          <w:rFonts w:hint="eastAsia" w:ascii="宋体" w:hAnsi="宋体"/>
          <w:color w:val="auto"/>
          <w:sz w:val="24"/>
          <w:szCs w:val="24"/>
          <w:highlight w:val="none"/>
        </w:rPr>
        <w:t>个工作日内书面通知对方当事人，在对方当事人收到有关变更通知之前，变更前的约定送达方式或者地址仍视为有效。</w:t>
      </w:r>
    </w:p>
    <w:p w14:paraId="15DF8D95">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2.17.2以当面交付方式送达的，交付之时视为送达；以电子邮件方式送达的，发出电子邮件之时视为送达；以传真方式送达的，发出传真之时视为送达；以邮寄方式送达</w:t>
      </w:r>
      <w:r>
        <w:rPr>
          <w:rFonts w:hint="eastAsia" w:ascii="宋体" w:hAnsi="宋体"/>
          <w:color w:val="auto"/>
          <w:sz w:val="24"/>
          <w:szCs w:val="24"/>
          <w:highlight w:val="none"/>
        </w:rPr>
        <w:t>的，邮件挂号寄出或者交邮之日之次日视为送达。</w:t>
      </w:r>
      <w:bookmarkEnd w:id="135"/>
      <w:bookmarkEnd w:id="136"/>
    </w:p>
    <w:p w14:paraId="630FB090">
      <w:pPr>
        <w:spacing w:line="360" w:lineRule="auto"/>
        <w:ind w:firstLine="482" w:firstLineChars="200"/>
        <w:rPr>
          <w:rFonts w:ascii="宋体" w:hAnsi="宋体"/>
          <w:b/>
          <w:color w:val="auto"/>
          <w:sz w:val="24"/>
          <w:szCs w:val="24"/>
          <w:highlight w:val="none"/>
        </w:rPr>
      </w:pPr>
      <w:bookmarkStart w:id="137" w:name="_Toc12254"/>
      <w:bookmarkStart w:id="138" w:name="_Toc20808"/>
      <w:bookmarkStart w:id="139" w:name="_Toc5063"/>
      <w:bookmarkStart w:id="140" w:name="_Toc28906"/>
      <w:bookmarkStart w:id="141" w:name="_Toc27644"/>
      <w:r>
        <w:rPr>
          <w:rFonts w:ascii="宋体" w:hAnsi="宋体"/>
          <w:b/>
          <w:color w:val="auto"/>
          <w:sz w:val="24"/>
          <w:szCs w:val="24"/>
          <w:highlight w:val="none"/>
        </w:rPr>
        <w:t xml:space="preserve">2.17 </w:t>
      </w:r>
      <w:r>
        <w:rPr>
          <w:rFonts w:hint="eastAsia" w:ascii="宋体" w:hAnsi="宋体"/>
          <w:b/>
          <w:color w:val="auto"/>
          <w:sz w:val="24"/>
          <w:szCs w:val="24"/>
          <w:highlight w:val="none"/>
        </w:rPr>
        <w:t>合同使用的文字和</w:t>
      </w:r>
      <w:r>
        <w:rPr>
          <w:rFonts w:ascii="宋体" w:hAnsi="宋体"/>
          <w:b/>
          <w:color w:val="auto"/>
          <w:sz w:val="24"/>
          <w:szCs w:val="24"/>
          <w:highlight w:val="none"/>
        </w:rPr>
        <w:t>适用的法律</w:t>
      </w:r>
      <w:bookmarkEnd w:id="137"/>
      <w:bookmarkEnd w:id="138"/>
      <w:bookmarkEnd w:id="139"/>
      <w:bookmarkEnd w:id="140"/>
      <w:bookmarkEnd w:id="141"/>
    </w:p>
    <w:p w14:paraId="43EDC0F1">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2.17.1 合同使用汉语书就</w:t>
      </w:r>
      <w:r>
        <w:rPr>
          <w:rFonts w:hint="eastAsia" w:ascii="宋体" w:hAnsi="宋体"/>
          <w:color w:val="auto"/>
          <w:sz w:val="24"/>
          <w:szCs w:val="24"/>
          <w:highlight w:val="none"/>
        </w:rPr>
        <w:t>、</w:t>
      </w:r>
      <w:r>
        <w:rPr>
          <w:rFonts w:ascii="宋体" w:hAnsi="宋体"/>
          <w:color w:val="auto"/>
          <w:sz w:val="24"/>
          <w:szCs w:val="24"/>
          <w:highlight w:val="none"/>
        </w:rPr>
        <w:t>变更和解释</w:t>
      </w:r>
      <w:r>
        <w:rPr>
          <w:rFonts w:hint="eastAsia" w:ascii="宋体" w:hAnsi="宋体"/>
          <w:color w:val="auto"/>
          <w:sz w:val="24"/>
          <w:szCs w:val="24"/>
          <w:highlight w:val="none"/>
        </w:rPr>
        <w:t>；</w:t>
      </w:r>
    </w:p>
    <w:p w14:paraId="4BB91699">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 xml:space="preserve">2.17.2 </w:t>
      </w:r>
      <w:r>
        <w:rPr>
          <w:rFonts w:hint="eastAsia" w:ascii="宋体" w:hAnsi="宋体"/>
          <w:color w:val="auto"/>
          <w:sz w:val="24"/>
          <w:szCs w:val="24"/>
          <w:highlight w:val="none"/>
        </w:rPr>
        <w:t>合同适用</w:t>
      </w:r>
      <w:r>
        <w:rPr>
          <w:rFonts w:ascii="宋体" w:hAnsi="宋体"/>
          <w:color w:val="auto"/>
          <w:sz w:val="24"/>
          <w:szCs w:val="24"/>
          <w:highlight w:val="none"/>
        </w:rPr>
        <w:t>中华人民共和国法律。</w:t>
      </w:r>
    </w:p>
    <w:p w14:paraId="2AB7F55F">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2.18 计量单位</w:t>
      </w:r>
    </w:p>
    <w:p w14:paraId="44969B7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除技术规范中另有规定外,合同的计量单位均使用国家法定计量单位。</w:t>
      </w:r>
    </w:p>
    <w:p w14:paraId="4229A3D7">
      <w:pPr>
        <w:spacing w:line="360" w:lineRule="auto"/>
        <w:ind w:firstLine="482" w:firstLineChars="200"/>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19</w:t>
      </w:r>
      <w:r>
        <w:rPr>
          <w:rFonts w:ascii="宋体" w:hAnsi="宋体"/>
          <w:b/>
          <w:color w:val="auto"/>
          <w:sz w:val="24"/>
          <w:szCs w:val="24"/>
          <w:highlight w:val="none"/>
        </w:rPr>
        <w:t>合同份数</w:t>
      </w:r>
    </w:p>
    <w:p w14:paraId="70F8C156">
      <w:pPr>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合同份数按</w:t>
      </w:r>
      <w:r>
        <w:rPr>
          <w:rFonts w:ascii="宋体" w:hAnsi="宋体"/>
          <w:b/>
          <w:color w:val="auto"/>
          <w:sz w:val="24"/>
          <w:szCs w:val="24"/>
          <w:highlight w:val="none"/>
          <w:u w:val="single"/>
        </w:rPr>
        <w:t>合同专用条款</w:t>
      </w:r>
      <w:r>
        <w:rPr>
          <w:rFonts w:ascii="宋体" w:hAnsi="宋体"/>
          <w:color w:val="auto"/>
          <w:sz w:val="24"/>
          <w:szCs w:val="24"/>
          <w:highlight w:val="none"/>
        </w:rPr>
        <w:t>规定</w:t>
      </w:r>
      <w:r>
        <w:rPr>
          <w:rFonts w:hint="eastAsia" w:ascii="宋体" w:hAnsi="宋体"/>
          <w:color w:val="auto"/>
          <w:sz w:val="24"/>
          <w:szCs w:val="24"/>
          <w:highlight w:val="none"/>
        </w:rPr>
        <w:t>，</w:t>
      </w:r>
      <w:r>
        <w:rPr>
          <w:rFonts w:ascii="宋体" w:hAnsi="宋体"/>
          <w:color w:val="auto"/>
          <w:sz w:val="24"/>
          <w:szCs w:val="24"/>
          <w:highlight w:val="none"/>
        </w:rPr>
        <w:t>每份均具有同等法律效力</w:t>
      </w:r>
      <w:r>
        <w:rPr>
          <w:rFonts w:hint="eastAsia" w:ascii="宋体" w:hAnsi="宋体"/>
          <w:color w:val="auto"/>
          <w:sz w:val="24"/>
          <w:szCs w:val="24"/>
          <w:highlight w:val="none"/>
        </w:rPr>
        <w:t>。</w:t>
      </w:r>
    </w:p>
    <w:p w14:paraId="1D2F92BD">
      <w:pPr>
        <w:spacing w:line="360" w:lineRule="auto"/>
        <w:jc w:val="center"/>
        <w:outlineLvl w:val="1"/>
        <w:rPr>
          <w:rFonts w:ascii="宋体" w:hAnsi="宋体" w:cs="宋体"/>
          <w:b/>
          <w:color w:val="auto"/>
          <w:sz w:val="24"/>
          <w:szCs w:val="24"/>
          <w:highlight w:val="none"/>
        </w:rPr>
      </w:pPr>
      <w:r>
        <w:rPr>
          <w:rFonts w:hint="eastAsia" w:ascii="宋体" w:hAnsi="宋体" w:cs="宋体"/>
          <w:color w:val="auto"/>
          <w:kern w:val="0"/>
          <w:sz w:val="24"/>
          <w:szCs w:val="24"/>
          <w:highlight w:val="none"/>
        </w:rPr>
        <w:br w:type="page"/>
      </w:r>
      <w:r>
        <w:rPr>
          <w:rFonts w:hint="eastAsia" w:ascii="宋体" w:hAnsi="宋体" w:cs="宋体"/>
          <w:b/>
          <w:color w:val="auto"/>
          <w:sz w:val="24"/>
          <w:szCs w:val="24"/>
          <w:highlight w:val="none"/>
        </w:rPr>
        <w:t>第三节 合同专用条款</w:t>
      </w:r>
    </w:p>
    <w:p w14:paraId="25B4030E">
      <w:pPr>
        <w:spacing w:line="360" w:lineRule="auto"/>
        <w:ind w:left="-420" w:leftChars="-200" w:right="-420" w:rightChars="-20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1"/>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977"/>
        <w:gridCol w:w="8152"/>
      </w:tblGrid>
      <w:tr w14:paraId="63039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535" w:type="pct"/>
            <w:tcBorders>
              <w:left w:val="single" w:color="auto" w:sz="4" w:space="0"/>
            </w:tcBorders>
            <w:noWrap w:val="0"/>
            <w:vAlign w:val="center"/>
          </w:tcPr>
          <w:p w14:paraId="4C39ADB4">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条款号</w:t>
            </w:r>
          </w:p>
        </w:tc>
        <w:tc>
          <w:tcPr>
            <w:tcW w:w="4464" w:type="pct"/>
            <w:noWrap w:val="0"/>
            <w:vAlign w:val="center"/>
          </w:tcPr>
          <w:p w14:paraId="77151E9F">
            <w:pPr>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约定内容</w:t>
            </w:r>
          </w:p>
        </w:tc>
      </w:tr>
      <w:tr w14:paraId="2C356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47D21E48">
            <w:pPr>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1.3.</w:t>
            </w:r>
            <w:r>
              <w:rPr>
                <w:rFonts w:hint="eastAsia" w:ascii="宋体" w:hAnsi="宋体" w:cs="宋体"/>
                <w:color w:val="auto"/>
                <w:sz w:val="24"/>
                <w:szCs w:val="24"/>
                <w:highlight w:val="none"/>
                <w:lang w:val="en-US" w:eastAsia="zh-CN"/>
              </w:rPr>
              <w:t>1</w:t>
            </w:r>
          </w:p>
        </w:tc>
        <w:tc>
          <w:tcPr>
            <w:tcW w:w="4464" w:type="pct"/>
            <w:noWrap w:val="0"/>
            <w:vAlign w:val="center"/>
          </w:tcPr>
          <w:p w14:paraId="64383F10">
            <w:pPr>
              <w:pStyle w:val="2"/>
              <w:ind w:firstLine="480" w:firstLineChars="20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本项目采用固定总价包干合同。报价包含人工、材料、设备、交通、食宿、保险、利润、税金、专家劳务费、检测费、采购代理服务费、政策性文件规定及合同包含的所有风险、责任等全部费用，除计费基数调整外，</w:t>
            </w:r>
            <w:r>
              <w:rPr>
                <w:rFonts w:hint="eastAsia"/>
                <w:color w:val="auto"/>
                <w:sz w:val="24"/>
                <w:szCs w:val="21"/>
                <w:highlight w:val="none"/>
                <w:lang w:val="en-US" w:eastAsia="zh-CN"/>
              </w:rPr>
              <w:t>甲方</w:t>
            </w:r>
            <w:r>
              <w:rPr>
                <w:rFonts w:ascii="宋体" w:hAnsi="宋体" w:eastAsia="宋体" w:cs="宋体"/>
                <w:color w:val="auto"/>
                <w:sz w:val="24"/>
                <w:szCs w:val="24"/>
                <w:highlight w:val="none"/>
              </w:rPr>
              <w:t>不再支付其他任何费用</w:t>
            </w:r>
            <w:r>
              <w:rPr>
                <w:rFonts w:hint="eastAsia" w:ascii="宋体" w:hAnsi="宋体" w:eastAsia="宋体" w:cs="宋体"/>
                <w:color w:val="auto"/>
                <w:sz w:val="24"/>
                <w:szCs w:val="24"/>
                <w:highlight w:val="none"/>
                <w:lang w:eastAsia="zh-CN"/>
              </w:rPr>
              <w:t>。</w:t>
            </w:r>
          </w:p>
        </w:tc>
      </w:tr>
      <w:tr w14:paraId="1E74E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4FAA6E1">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1.4.2</w:t>
            </w:r>
          </w:p>
        </w:tc>
        <w:tc>
          <w:tcPr>
            <w:tcW w:w="4464" w:type="pct"/>
            <w:noWrap w:val="0"/>
            <w:vAlign w:val="center"/>
          </w:tcPr>
          <w:p w14:paraId="3F2DD26D">
            <w:pPr>
              <w:pStyle w:val="4"/>
              <w:numPr>
                <w:ilvl w:val="0"/>
                <w:numId w:val="0"/>
              </w:numPr>
              <w:spacing w:line="360" w:lineRule="auto"/>
              <w:ind w:leftChars="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履约保证金支付方式：以支票、汇票、本票，或金融机构 / 担保机构出具的保函、电子保函等非现金形式提交，比例为合同金额的 2%</w:t>
            </w:r>
            <w:r>
              <w:rPr>
                <w:rFonts w:hint="eastAsia" w:ascii="宋体" w:hAnsi="宋体" w:eastAsia="宋体" w:cs="宋体"/>
                <w:color w:val="auto"/>
                <w:sz w:val="24"/>
                <w:szCs w:val="24"/>
                <w:highlight w:val="none"/>
                <w:lang w:eastAsia="zh-CN"/>
              </w:rPr>
              <w:t>。</w:t>
            </w:r>
          </w:p>
        </w:tc>
      </w:tr>
      <w:tr w14:paraId="7FF6D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2E443AC4">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1.4.4</w:t>
            </w:r>
          </w:p>
        </w:tc>
        <w:tc>
          <w:tcPr>
            <w:tcW w:w="4464" w:type="pct"/>
            <w:noWrap w:val="0"/>
            <w:vAlign w:val="center"/>
          </w:tcPr>
          <w:p w14:paraId="555FEA18">
            <w:pPr>
              <w:pStyle w:val="4"/>
              <w:numPr>
                <w:ilvl w:val="0"/>
                <w:numId w:val="0"/>
              </w:numPr>
              <w:spacing w:line="360" w:lineRule="auto"/>
              <w:ind w:leftChars="0"/>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履约保证金退还：项目通过最终验收并完成资料归档后 5 个工作日内，甲方无息退还乙方履约保证金</w:t>
            </w:r>
            <w:r>
              <w:rPr>
                <w:rFonts w:hint="eastAsia" w:ascii="宋体" w:hAnsi="宋体" w:eastAsia="宋体" w:cs="宋体"/>
                <w:color w:val="auto"/>
                <w:sz w:val="24"/>
                <w:szCs w:val="24"/>
                <w:highlight w:val="none"/>
                <w:lang w:eastAsia="zh-CN"/>
              </w:rPr>
              <w:t>。</w:t>
            </w:r>
          </w:p>
        </w:tc>
      </w:tr>
      <w:tr w14:paraId="7AA3A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7A0CC14D">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 xml:space="preserve">1.5.1 </w:t>
            </w:r>
          </w:p>
        </w:tc>
        <w:tc>
          <w:tcPr>
            <w:tcW w:w="4464" w:type="pct"/>
            <w:noWrap w:val="0"/>
            <w:vAlign w:val="center"/>
          </w:tcPr>
          <w:p w14:paraId="26702603">
            <w:pPr>
              <w:pStyle w:val="2"/>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经费下达</w:t>
            </w:r>
            <w:r>
              <w:rPr>
                <w:rFonts w:hint="eastAsia"/>
                <w:color w:val="auto"/>
                <w:sz w:val="24"/>
                <w:szCs w:val="21"/>
                <w:highlight w:val="none"/>
                <w:lang w:val="en-US" w:eastAsia="zh-CN"/>
              </w:rPr>
              <w:t>甲方</w:t>
            </w:r>
            <w:r>
              <w:rPr>
                <w:rFonts w:hint="eastAsia" w:ascii="宋体" w:hAnsi="宋体" w:cs="宋体"/>
                <w:color w:val="auto"/>
                <w:sz w:val="24"/>
                <w:szCs w:val="24"/>
                <w:highlight w:val="none"/>
                <w:lang w:val="en-US" w:eastAsia="zh-CN"/>
              </w:rPr>
              <w:t>账户后，7个工作日内支付合同价款的30%作为预付款。</w:t>
            </w:r>
          </w:p>
        </w:tc>
      </w:tr>
      <w:tr w14:paraId="654D8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9DE1E07">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 xml:space="preserve">1.5.3 </w:t>
            </w:r>
          </w:p>
        </w:tc>
        <w:tc>
          <w:tcPr>
            <w:tcW w:w="4464" w:type="pct"/>
            <w:noWrap w:val="0"/>
            <w:vAlign w:val="center"/>
          </w:tcPr>
          <w:p w14:paraId="55E616DC">
            <w:pPr>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无</w:t>
            </w:r>
          </w:p>
        </w:tc>
      </w:tr>
      <w:tr w14:paraId="37D80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8C27D5F">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1.6.2</w:t>
            </w:r>
          </w:p>
        </w:tc>
        <w:tc>
          <w:tcPr>
            <w:tcW w:w="4464" w:type="pct"/>
            <w:noWrap w:val="0"/>
            <w:vAlign w:val="center"/>
          </w:tcPr>
          <w:p w14:paraId="5F987613">
            <w:pPr>
              <w:pStyle w:val="2"/>
              <w:ind w:firstLine="480" w:firstLineChars="0"/>
              <w:rPr>
                <w:rFonts w:ascii="宋体" w:hAnsi="宋体" w:cs="宋体"/>
                <w:color w:val="auto"/>
                <w:sz w:val="24"/>
                <w:szCs w:val="24"/>
                <w:highlight w:val="none"/>
              </w:rPr>
            </w:pPr>
            <w:r>
              <w:rPr>
                <w:rFonts w:hint="eastAsia" w:ascii="宋体" w:hAnsi="Times New Roman" w:eastAsia="宋体"/>
                <w:color w:val="auto"/>
                <w:sz w:val="24"/>
                <w:szCs w:val="21"/>
                <w:highlight w:val="none"/>
                <w:lang w:val="en-US" w:eastAsia="zh-CN"/>
              </w:rPr>
              <w:t>待经费下达</w:t>
            </w:r>
            <w:r>
              <w:rPr>
                <w:rFonts w:hint="eastAsia"/>
                <w:color w:val="auto"/>
                <w:sz w:val="24"/>
                <w:szCs w:val="21"/>
                <w:highlight w:val="none"/>
                <w:lang w:val="en-US" w:eastAsia="zh-CN"/>
              </w:rPr>
              <w:t>甲方</w:t>
            </w:r>
            <w:r>
              <w:rPr>
                <w:rFonts w:hint="eastAsia" w:ascii="宋体" w:hAnsi="Times New Roman" w:eastAsia="宋体"/>
                <w:color w:val="auto"/>
                <w:sz w:val="24"/>
                <w:szCs w:val="21"/>
                <w:highlight w:val="none"/>
                <w:lang w:val="en-US" w:eastAsia="zh-CN"/>
              </w:rPr>
              <w:t>账户后，7个工作日内</w:t>
            </w:r>
            <w:r>
              <w:rPr>
                <w:rFonts w:hint="eastAsia" w:ascii="宋体" w:hAnsi="Times New Roman" w:eastAsia="宋体" w:cs="Times New Roman"/>
                <w:b w:val="0"/>
                <w:bCs w:val="0"/>
                <w:color w:val="auto"/>
                <w:kern w:val="2"/>
                <w:sz w:val="24"/>
                <w:szCs w:val="21"/>
                <w:highlight w:val="none"/>
                <w:lang w:val="en-US" w:eastAsia="zh-CN" w:bidi="zh-CN"/>
              </w:rPr>
              <w:t>预付款以转账方式支付。</w:t>
            </w:r>
            <w:r>
              <w:rPr>
                <w:rFonts w:hint="eastAsia" w:cs="Times New Roman"/>
                <w:b w:val="0"/>
                <w:bCs w:val="0"/>
                <w:color w:val="auto"/>
                <w:kern w:val="2"/>
                <w:sz w:val="24"/>
                <w:szCs w:val="21"/>
                <w:highlight w:val="none"/>
                <w:lang w:val="en-US" w:eastAsia="zh-CN" w:bidi="zh-CN"/>
              </w:rPr>
              <w:t>支付</w:t>
            </w:r>
            <w:r>
              <w:rPr>
                <w:rFonts w:hint="eastAsia" w:ascii="宋体" w:hAnsi="Times New Roman" w:eastAsia="宋体" w:cs="Times New Roman"/>
                <w:b w:val="0"/>
                <w:bCs w:val="0"/>
                <w:color w:val="auto"/>
                <w:kern w:val="2"/>
                <w:sz w:val="24"/>
                <w:szCs w:val="21"/>
                <w:highlight w:val="none"/>
                <w:lang w:val="en-US" w:eastAsia="zh-CN" w:bidi="zh-CN"/>
              </w:rPr>
              <w:t>合同价款的</w:t>
            </w:r>
            <w:r>
              <w:rPr>
                <w:rFonts w:hint="eastAsia" w:hAnsi="Times New Roman" w:cs="Times New Roman"/>
                <w:b w:val="0"/>
                <w:bCs w:val="0"/>
                <w:color w:val="auto"/>
                <w:kern w:val="2"/>
                <w:sz w:val="24"/>
                <w:szCs w:val="21"/>
                <w:highlight w:val="none"/>
                <w:lang w:val="en-US" w:eastAsia="zh-CN" w:bidi="zh-CN"/>
              </w:rPr>
              <w:t>30</w:t>
            </w:r>
            <w:r>
              <w:rPr>
                <w:rFonts w:hint="eastAsia" w:ascii="宋体" w:hAnsi="Times New Roman" w:eastAsia="宋体" w:cs="Times New Roman"/>
                <w:b w:val="0"/>
                <w:bCs w:val="0"/>
                <w:color w:val="auto"/>
                <w:kern w:val="2"/>
                <w:sz w:val="24"/>
                <w:szCs w:val="21"/>
                <w:highlight w:val="none"/>
                <w:lang w:val="en-US" w:eastAsia="zh-CN" w:bidi="zh-CN"/>
              </w:rPr>
              <w:t>%作为预付款，</w:t>
            </w:r>
            <w:r>
              <w:rPr>
                <w:rFonts w:hint="eastAsia" w:hAnsi="Times New Roman" w:cs="Times New Roman"/>
                <w:b w:val="0"/>
                <w:bCs w:val="0"/>
                <w:color w:val="auto"/>
                <w:kern w:val="2"/>
                <w:sz w:val="24"/>
                <w:szCs w:val="21"/>
                <w:highlight w:val="none"/>
                <w:lang w:val="en-US" w:eastAsia="zh-CN" w:bidi="zh-CN"/>
              </w:rPr>
              <w:t>完成2025年高标准农田建设项目竣工验收抽检工作出具抽检报告后</w:t>
            </w:r>
            <w:r>
              <w:rPr>
                <w:rFonts w:hint="eastAsia" w:cs="Times New Roman"/>
                <w:b w:val="0"/>
                <w:bCs w:val="0"/>
                <w:color w:val="auto"/>
                <w:kern w:val="2"/>
                <w:sz w:val="24"/>
                <w:szCs w:val="21"/>
                <w:highlight w:val="none"/>
                <w:lang w:val="en-US" w:eastAsia="zh-CN" w:bidi="zh-CN"/>
              </w:rPr>
              <w:t>支付</w:t>
            </w:r>
            <w:r>
              <w:rPr>
                <w:rFonts w:hint="eastAsia" w:ascii="宋体" w:hAnsi="Times New Roman" w:eastAsia="宋体" w:cs="Times New Roman"/>
                <w:b w:val="0"/>
                <w:bCs w:val="0"/>
                <w:color w:val="auto"/>
                <w:kern w:val="2"/>
                <w:sz w:val="24"/>
                <w:szCs w:val="21"/>
                <w:highlight w:val="none"/>
                <w:lang w:val="en-US" w:eastAsia="zh-CN" w:bidi="zh-CN"/>
              </w:rPr>
              <w:t>合同价款的</w:t>
            </w:r>
            <w:r>
              <w:rPr>
                <w:rFonts w:hint="eastAsia" w:hAnsi="Times New Roman" w:cs="Times New Roman"/>
                <w:b w:val="0"/>
                <w:bCs w:val="0"/>
                <w:color w:val="auto"/>
                <w:kern w:val="2"/>
                <w:sz w:val="24"/>
                <w:szCs w:val="21"/>
                <w:highlight w:val="none"/>
                <w:lang w:val="en-US" w:eastAsia="zh-CN" w:bidi="zh-CN"/>
              </w:rPr>
              <w:t>20%作为进度款，按</w:t>
            </w:r>
            <w:r>
              <w:rPr>
                <w:rFonts w:hint="eastAsia"/>
                <w:color w:val="auto"/>
                <w:sz w:val="24"/>
                <w:szCs w:val="21"/>
                <w:highlight w:val="none"/>
                <w:lang w:val="en-US" w:eastAsia="zh-CN"/>
              </w:rPr>
              <w:t>采购人</w:t>
            </w:r>
            <w:r>
              <w:rPr>
                <w:rFonts w:hint="eastAsia" w:hAnsi="Times New Roman" w:cs="Times New Roman"/>
                <w:b w:val="0"/>
                <w:bCs w:val="0"/>
                <w:color w:val="auto"/>
                <w:kern w:val="2"/>
                <w:sz w:val="24"/>
                <w:szCs w:val="21"/>
                <w:highlight w:val="none"/>
                <w:lang w:val="en-US" w:eastAsia="zh-CN" w:bidi="zh-CN"/>
              </w:rPr>
              <w:t>要求完成资料归档后</w:t>
            </w:r>
            <w:r>
              <w:rPr>
                <w:rFonts w:hint="eastAsia" w:cs="Times New Roman"/>
                <w:b w:val="0"/>
                <w:bCs w:val="0"/>
                <w:color w:val="auto"/>
                <w:kern w:val="2"/>
                <w:sz w:val="24"/>
                <w:szCs w:val="21"/>
                <w:highlight w:val="none"/>
                <w:lang w:val="en-US" w:eastAsia="zh-CN" w:bidi="zh-CN"/>
              </w:rPr>
              <w:t>支付剩余合同价款</w:t>
            </w:r>
            <w:r>
              <w:rPr>
                <w:rFonts w:hint="eastAsia" w:hAnsi="Times New Roman" w:cs="Times New Roman"/>
                <w:b w:val="0"/>
                <w:bCs w:val="0"/>
                <w:color w:val="auto"/>
                <w:kern w:val="2"/>
                <w:sz w:val="24"/>
                <w:szCs w:val="21"/>
                <w:highlight w:val="none"/>
                <w:lang w:val="en-US" w:eastAsia="zh-CN" w:bidi="zh-CN"/>
              </w:rPr>
              <w:t>。</w:t>
            </w:r>
          </w:p>
        </w:tc>
      </w:tr>
      <w:tr w14:paraId="0C525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51F8B1CD">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1.7.1</w:t>
            </w:r>
          </w:p>
        </w:tc>
        <w:tc>
          <w:tcPr>
            <w:tcW w:w="4464" w:type="pct"/>
            <w:noWrap w:val="0"/>
            <w:vAlign w:val="center"/>
          </w:tcPr>
          <w:p w14:paraId="3A97B8A4">
            <w:pPr>
              <w:spacing w:line="360" w:lineRule="auto"/>
              <w:rPr>
                <w:rFonts w:hint="eastAsia" w:ascii="宋体" w:hAnsi="宋体" w:eastAsia="宋体" w:cs="宋体"/>
                <w:color w:val="auto"/>
                <w:sz w:val="24"/>
                <w:szCs w:val="24"/>
                <w:highlight w:val="none"/>
                <w:lang w:eastAsia="zh-CN"/>
              </w:rPr>
            </w:pPr>
            <w:r>
              <w:rPr>
                <w:rStyle w:val="64"/>
                <w:rFonts w:ascii="宋体" w:hAnsi="宋体" w:eastAsia="宋体" w:cs="宋体"/>
                <w:color w:val="auto"/>
                <w:sz w:val="24"/>
                <w:szCs w:val="24"/>
                <w:highlight w:val="none"/>
              </w:rPr>
              <w:t>服务交付期限</w:t>
            </w:r>
            <w:r>
              <w:rPr>
                <w:rFonts w:ascii="宋体" w:hAnsi="宋体" w:eastAsia="宋体" w:cs="宋体"/>
                <w:color w:val="auto"/>
                <w:sz w:val="24"/>
                <w:szCs w:val="24"/>
                <w:highlight w:val="none"/>
              </w:rPr>
              <w:t>：从合同签订之日起，自北海市辖县区农业农村部门向甲方申报市级竣工验收后，乙方应在 6 个月内完成全部验收工作并出具竣工验收报告</w:t>
            </w:r>
            <w:r>
              <w:rPr>
                <w:rFonts w:hint="eastAsia" w:ascii="宋体" w:hAnsi="宋体" w:eastAsia="宋体" w:cs="宋体"/>
                <w:color w:val="auto"/>
                <w:sz w:val="24"/>
                <w:szCs w:val="24"/>
                <w:highlight w:val="none"/>
                <w:lang w:eastAsia="zh-CN"/>
              </w:rPr>
              <w:t>。</w:t>
            </w:r>
          </w:p>
        </w:tc>
      </w:tr>
      <w:tr w14:paraId="071A7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70C19999">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1.7.2</w:t>
            </w:r>
          </w:p>
        </w:tc>
        <w:tc>
          <w:tcPr>
            <w:tcW w:w="4464" w:type="pct"/>
            <w:noWrap w:val="0"/>
            <w:vAlign w:val="center"/>
          </w:tcPr>
          <w:p w14:paraId="2CE5C1FC">
            <w:pPr>
              <w:spacing w:line="360" w:lineRule="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北海市</w:t>
            </w:r>
          </w:p>
        </w:tc>
      </w:tr>
      <w:tr w14:paraId="4EDDE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BE5BAB1">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1.7.3</w:t>
            </w:r>
          </w:p>
        </w:tc>
        <w:tc>
          <w:tcPr>
            <w:tcW w:w="4464" w:type="pct"/>
            <w:noWrap w:val="0"/>
            <w:vAlign w:val="center"/>
          </w:tcPr>
          <w:p w14:paraId="14A549D6">
            <w:pPr>
              <w:spacing w:line="360" w:lineRule="auto"/>
              <w:rPr>
                <w:rFonts w:hint="default" w:ascii="宋体" w:hAnsi="宋体" w:cs="宋体"/>
                <w:color w:val="auto"/>
                <w:sz w:val="24"/>
                <w:szCs w:val="24"/>
                <w:highlight w:val="none"/>
                <w:lang w:val="en-US"/>
              </w:rPr>
            </w:pPr>
          </w:p>
        </w:tc>
      </w:tr>
      <w:tr w14:paraId="16279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97F5197">
            <w:pPr>
              <w:spacing w:line="360" w:lineRule="auto"/>
              <w:rPr>
                <w:rFonts w:hint="eastAsia" w:ascii="宋体" w:hAnsi="宋体" w:cs="宋体"/>
                <w:color w:val="auto"/>
                <w:sz w:val="24"/>
                <w:szCs w:val="24"/>
                <w:highlight w:val="none"/>
              </w:rPr>
            </w:pPr>
            <w:r>
              <w:rPr>
                <w:rFonts w:ascii="宋体" w:hAnsi="宋体" w:eastAsia="宋体" w:cs="宋体"/>
                <w:color w:val="auto"/>
                <w:sz w:val="24"/>
                <w:szCs w:val="24"/>
                <w:highlight w:val="none"/>
              </w:rPr>
              <w:t>1.8.1</w:t>
            </w:r>
          </w:p>
        </w:tc>
        <w:tc>
          <w:tcPr>
            <w:tcW w:w="4464" w:type="pct"/>
            <w:noWrap w:val="0"/>
            <w:vAlign w:val="center"/>
          </w:tcPr>
          <w:p w14:paraId="1D3E051A">
            <w:pPr>
              <w:spacing w:line="360" w:lineRule="auto"/>
              <w:rPr>
                <w:rFonts w:hint="eastAsia" w:ascii="宋体" w:hAnsi="宋体" w:eastAsia="宋体" w:cs="宋体"/>
                <w:color w:val="auto"/>
                <w:sz w:val="24"/>
                <w:szCs w:val="24"/>
                <w:highlight w:val="none"/>
                <w:lang w:val="en-US" w:eastAsia="zh-CN"/>
              </w:rPr>
            </w:pPr>
            <w:r>
              <w:rPr>
                <w:rStyle w:val="64"/>
                <w:rFonts w:ascii="宋体" w:hAnsi="宋体" w:eastAsia="宋体" w:cs="宋体"/>
                <w:color w:val="auto"/>
                <w:sz w:val="24"/>
                <w:szCs w:val="24"/>
                <w:highlight w:val="none"/>
              </w:rPr>
              <w:t>违约责任</w:t>
            </w:r>
            <w:r>
              <w:rPr>
                <w:rFonts w:ascii="宋体" w:hAnsi="宋体" w:eastAsia="宋体" w:cs="宋体"/>
                <w:color w:val="auto"/>
                <w:sz w:val="24"/>
                <w:szCs w:val="24"/>
                <w:highlight w:val="none"/>
              </w:rPr>
              <w:t>：1. 乙方逾期交付成果的，每逾期 1 日按当期应付金额的 0.05% 支付违约金；逾期超过 15 日的，甲方有权单方解除合同，违约金最高不超过合同总价的 20%2. 成果质量不合格的，乙方须在 15 日内免费整改；累计 2 次整改仍不合格的，甲方有权解除合同，乙方退还已收款项并承担由此造成的损失3. 乙方擅自更换项目负责人及核心技术人员的，甲方有权按每人次扣减合同款，替换人员资质不得低于原人员</w:t>
            </w:r>
            <w:r>
              <w:rPr>
                <w:rFonts w:hint="eastAsia" w:ascii="宋体" w:hAnsi="宋体" w:eastAsia="宋体" w:cs="宋体"/>
                <w:color w:val="auto"/>
                <w:sz w:val="24"/>
                <w:szCs w:val="24"/>
                <w:highlight w:val="none"/>
                <w:lang w:eastAsia="zh-CN"/>
              </w:rPr>
              <w:t>。</w:t>
            </w:r>
          </w:p>
        </w:tc>
      </w:tr>
      <w:tr w14:paraId="0AB81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3327AC07">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1.9.2</w:t>
            </w:r>
          </w:p>
        </w:tc>
        <w:tc>
          <w:tcPr>
            <w:tcW w:w="4464" w:type="pct"/>
            <w:noWrap w:val="0"/>
            <w:vAlign w:val="center"/>
          </w:tcPr>
          <w:p w14:paraId="367B2845">
            <w:pPr>
              <w:spacing w:line="360" w:lineRule="auto"/>
              <w:rPr>
                <w:rStyle w:val="64"/>
                <w:rFonts w:ascii="宋体" w:hAnsi="宋体" w:eastAsia="宋体" w:cs="宋体"/>
                <w:color w:val="auto"/>
                <w:sz w:val="24"/>
                <w:szCs w:val="24"/>
                <w:highlight w:val="none"/>
              </w:rPr>
            </w:pPr>
            <w:r>
              <w:rPr>
                <w:rFonts w:ascii="宋体" w:hAnsi="宋体" w:eastAsia="宋体" w:cs="宋体"/>
                <w:color w:val="auto"/>
                <w:sz w:val="24"/>
                <w:szCs w:val="24"/>
                <w:highlight w:val="none"/>
              </w:rPr>
              <w:t>争议解决：向甲方所在地人民法院起诉</w:t>
            </w:r>
          </w:p>
        </w:tc>
      </w:tr>
      <w:tr w14:paraId="78DEC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61249847">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r>
              <w:rPr>
                <w:rFonts w:hint="eastAsia" w:ascii="宋体" w:hAnsi="宋体" w:cs="宋体"/>
                <w:color w:val="auto"/>
                <w:sz w:val="24"/>
                <w:szCs w:val="24"/>
                <w:highlight w:val="none"/>
                <w:lang w:val="en-US" w:eastAsia="zh-CN"/>
              </w:rPr>
              <w:t>.2</w:t>
            </w:r>
          </w:p>
        </w:tc>
        <w:tc>
          <w:tcPr>
            <w:tcW w:w="4464" w:type="pct"/>
            <w:noWrap w:val="0"/>
            <w:vAlign w:val="center"/>
          </w:tcPr>
          <w:p w14:paraId="74FA144E">
            <w:pPr>
              <w:spacing w:line="360" w:lineRule="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知识产权：本项目全部技术成果、数据资料、验收报告的知识产权归甲方所有，乙方未经甲方书面许可不得擅自使用、复制或向第三方提供</w:t>
            </w:r>
            <w:r>
              <w:rPr>
                <w:rFonts w:hint="eastAsia" w:ascii="宋体" w:hAnsi="宋体" w:eastAsia="宋体" w:cs="宋体"/>
                <w:color w:val="auto"/>
                <w:sz w:val="24"/>
                <w:szCs w:val="24"/>
                <w:highlight w:val="none"/>
                <w:lang w:eastAsia="zh-CN"/>
              </w:rPr>
              <w:t>。</w:t>
            </w:r>
          </w:p>
        </w:tc>
      </w:tr>
      <w:tr w14:paraId="3E73B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7DA424BA">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r>
              <w:rPr>
                <w:rFonts w:hint="eastAsia" w:ascii="宋体" w:hAnsi="宋体" w:cs="宋体"/>
                <w:color w:val="auto"/>
                <w:sz w:val="24"/>
                <w:szCs w:val="24"/>
                <w:highlight w:val="none"/>
                <w:lang w:val="en-US" w:eastAsia="zh-CN"/>
              </w:rPr>
              <w:t>.3</w:t>
            </w:r>
          </w:p>
        </w:tc>
        <w:tc>
          <w:tcPr>
            <w:tcW w:w="4464" w:type="pct"/>
            <w:noWrap w:val="0"/>
            <w:vAlign w:val="center"/>
          </w:tcPr>
          <w:p w14:paraId="1D2FD576">
            <w:pPr>
              <w:spacing w:line="360" w:lineRule="auto"/>
              <w:rPr>
                <w:rFonts w:hint="default" w:ascii="宋体" w:hAnsi="宋体" w:cs="宋体"/>
                <w:color w:val="auto"/>
                <w:sz w:val="24"/>
                <w:szCs w:val="24"/>
                <w:highlight w:val="none"/>
                <w:lang w:val="en-US"/>
              </w:rPr>
            </w:pPr>
            <w:r>
              <w:rPr>
                <w:rStyle w:val="64"/>
                <w:rFonts w:ascii="宋体" w:hAnsi="宋体" w:eastAsia="宋体" w:cs="宋体"/>
                <w:color w:val="auto"/>
                <w:sz w:val="24"/>
                <w:szCs w:val="24"/>
                <w:highlight w:val="none"/>
              </w:rPr>
              <w:t>保密义务</w:t>
            </w:r>
            <w:r>
              <w:rPr>
                <w:rFonts w:ascii="宋体" w:hAnsi="宋体" w:eastAsia="宋体" w:cs="宋体"/>
                <w:color w:val="auto"/>
                <w:sz w:val="24"/>
                <w:szCs w:val="24"/>
                <w:highlight w:val="none"/>
              </w:rPr>
              <w:t>：乙方对项目所有资料、现场数据、内部台账负有永久保密义务；服务结束后完整移交全部资料，不得私自留存或用于其他项目；泄密造成损失的，乙方承担全部法律责任与经济赔偿</w:t>
            </w:r>
          </w:p>
        </w:tc>
      </w:tr>
      <w:tr w14:paraId="13EEA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07EA67F9">
            <w:pPr>
              <w:spacing w:line="360" w:lineRule="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0</w:t>
            </w:r>
          </w:p>
        </w:tc>
        <w:tc>
          <w:tcPr>
            <w:tcW w:w="4464" w:type="pct"/>
            <w:noWrap w:val="0"/>
            <w:vAlign w:val="center"/>
          </w:tcPr>
          <w:p w14:paraId="34CB9216">
            <w:pPr>
              <w:spacing w:line="360" w:lineRule="auto"/>
              <w:rPr>
                <w:rFonts w:hint="default" w:ascii="宋体" w:hAnsi="宋体" w:cs="宋体"/>
                <w:color w:val="auto"/>
                <w:sz w:val="24"/>
                <w:szCs w:val="24"/>
                <w:highlight w:val="none"/>
                <w:lang w:val="en-US"/>
              </w:rPr>
            </w:pPr>
            <w:r>
              <w:rPr>
                <w:rFonts w:hint="default" w:ascii="宋体" w:hAnsi="宋体" w:cs="宋体"/>
                <w:color w:val="auto"/>
                <w:sz w:val="24"/>
                <w:szCs w:val="24"/>
                <w:highlight w:val="none"/>
                <w:lang w:val="en-US"/>
              </w:rPr>
              <w:t>（1）本项目严禁转包、违法分包；乙方不得将合同项下任何工作内容委托第三方机构实施，土壤检测工作须由乙方自有 CMA 资质实验室完成。 （2）若甲方发现乙方存在转包、违规分包或委托第三方开展检测的情形，有权单方解除合同，乙方须退还已收取的全部款项，并支付合同暂定价 5% 的违约金。</w:t>
            </w:r>
          </w:p>
        </w:tc>
      </w:tr>
      <w:tr w14:paraId="79CD7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34C03EAA">
            <w:pPr>
              <w:spacing w:line="360" w:lineRule="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2.11</w:t>
            </w:r>
          </w:p>
        </w:tc>
        <w:tc>
          <w:tcPr>
            <w:tcW w:w="4464" w:type="pct"/>
            <w:noWrap w:val="0"/>
            <w:vAlign w:val="center"/>
          </w:tcPr>
          <w:p w14:paraId="015424E4">
            <w:pPr>
              <w:spacing w:line="360" w:lineRule="auto"/>
              <w:rPr>
                <w:rFonts w:hint="eastAsia" w:ascii="宋体" w:hAnsi="宋体" w:eastAsia="宋体" w:cs="宋体"/>
                <w:color w:val="auto"/>
                <w:sz w:val="24"/>
                <w:szCs w:val="24"/>
                <w:highlight w:val="none"/>
                <w:lang w:eastAsia="zh-CN"/>
              </w:rPr>
            </w:pPr>
            <w:r>
              <w:rPr>
                <w:rFonts w:hint="default" w:ascii="宋体" w:hAnsi="宋体" w:eastAsia="宋体" w:cs="宋体"/>
                <w:color w:val="auto"/>
                <w:sz w:val="24"/>
                <w:szCs w:val="24"/>
                <w:highlight w:val="none"/>
              </w:rPr>
              <w:t>因不可抗力（如自然灾害、国家和自治区法律法规及政策调整等）持续120天以上且导致无法继续履行合同，双方可协商变更或解除合同，双方均不承担违约责任，</w:t>
            </w:r>
            <w:r>
              <w:rPr>
                <w:rFonts w:hint="default" w:ascii="宋体" w:hAnsi="宋体" w:eastAsia="宋体" w:cs="宋体"/>
                <w:bCs w:val="0"/>
                <w:color w:val="auto"/>
                <w:spacing w:val="0"/>
                <w:sz w:val="24"/>
                <w:szCs w:val="24"/>
                <w:highlight w:val="none"/>
              </w:rPr>
              <w:t>甲方应按照乙方实际</w:t>
            </w:r>
            <w:r>
              <w:rPr>
                <w:rFonts w:hint="default" w:ascii="宋体" w:hAnsi="宋体" w:eastAsia="宋体" w:cs="宋体"/>
                <w:color w:val="auto"/>
                <w:sz w:val="24"/>
                <w:szCs w:val="24"/>
                <w:highlight w:val="none"/>
              </w:rPr>
              <w:t>完成的工作量进行结算。</w:t>
            </w:r>
          </w:p>
        </w:tc>
      </w:tr>
      <w:tr w14:paraId="62194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1971A7DF">
            <w:pPr>
              <w:spacing w:line="360" w:lineRule="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2.15.3</w:t>
            </w:r>
          </w:p>
        </w:tc>
        <w:tc>
          <w:tcPr>
            <w:tcW w:w="4464" w:type="pct"/>
            <w:noWrap w:val="0"/>
            <w:vAlign w:val="center"/>
          </w:tcPr>
          <w:p w14:paraId="7EDE839E">
            <w:pPr>
              <w:spacing w:line="360" w:lineRule="auto"/>
              <w:rPr>
                <w:rFonts w:hint="eastAsia" w:ascii="宋体" w:hAnsi="宋体" w:eastAsia="宋体" w:cs="宋体"/>
                <w:color w:val="auto"/>
                <w:sz w:val="24"/>
                <w:szCs w:val="24"/>
                <w:highlight w:val="none"/>
                <w:lang w:eastAsia="zh-CN"/>
              </w:rPr>
            </w:pPr>
            <w:r>
              <w:rPr>
                <w:rStyle w:val="64"/>
                <w:rFonts w:ascii="宋体" w:hAnsi="宋体" w:eastAsia="宋体" w:cs="宋体"/>
                <w:color w:val="auto"/>
                <w:sz w:val="24"/>
                <w:szCs w:val="24"/>
                <w:highlight w:val="none"/>
              </w:rPr>
              <w:t>验收标准</w:t>
            </w:r>
            <w:r>
              <w:rPr>
                <w:rFonts w:ascii="宋体" w:hAnsi="宋体" w:eastAsia="宋体" w:cs="宋体"/>
                <w:color w:val="auto"/>
                <w:sz w:val="24"/>
                <w:szCs w:val="24"/>
                <w:highlight w:val="none"/>
              </w:rPr>
              <w:t>：1. 验收主体：甲方组织验收小组，必要时邀请行业专家参与</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2. 验收依据：采购文件、响应文件、本合同、国家及行业现行规范</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3. 验收流程：乙方提交成果后甲方 10 个工作日内组织核验；不合格的乙方 15 日内整改重验；2 次整改仍不合格的按违约处理</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4. 验收合格出具验收意见书，作为款项支付依据</w:t>
            </w:r>
            <w:r>
              <w:rPr>
                <w:rFonts w:hint="eastAsia" w:ascii="宋体" w:hAnsi="宋体" w:eastAsia="宋体" w:cs="宋体"/>
                <w:color w:val="auto"/>
                <w:sz w:val="24"/>
                <w:szCs w:val="24"/>
                <w:highlight w:val="none"/>
                <w:lang w:eastAsia="zh-CN"/>
              </w:rPr>
              <w:t>。</w:t>
            </w:r>
          </w:p>
        </w:tc>
      </w:tr>
      <w:tr w14:paraId="7B068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535" w:type="pct"/>
            <w:tcBorders>
              <w:left w:val="single" w:color="auto" w:sz="4" w:space="0"/>
            </w:tcBorders>
            <w:noWrap w:val="0"/>
            <w:vAlign w:val="center"/>
          </w:tcPr>
          <w:p w14:paraId="7F2B3021">
            <w:pPr>
              <w:spacing w:line="360" w:lineRule="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2.1</w:t>
            </w:r>
            <w:r>
              <w:rPr>
                <w:rFonts w:hint="eastAsia" w:ascii="宋体" w:hAnsi="宋体" w:cs="宋体"/>
                <w:color w:val="auto"/>
                <w:sz w:val="24"/>
                <w:szCs w:val="24"/>
                <w:highlight w:val="none"/>
                <w:lang w:val="en-US" w:eastAsia="zh-CN"/>
              </w:rPr>
              <w:t>9</w:t>
            </w:r>
          </w:p>
        </w:tc>
        <w:tc>
          <w:tcPr>
            <w:tcW w:w="4464" w:type="pct"/>
            <w:noWrap w:val="0"/>
            <w:vAlign w:val="center"/>
          </w:tcPr>
          <w:p w14:paraId="1B693F78">
            <w:pPr>
              <w:spacing w:line="360" w:lineRule="auto"/>
              <w:rPr>
                <w:rFonts w:hint="default" w:ascii="宋体" w:hAnsi="宋体" w:cs="宋体"/>
                <w:color w:val="auto"/>
                <w:sz w:val="24"/>
                <w:szCs w:val="24"/>
                <w:highlight w:val="none"/>
                <w:lang w:val="en-US"/>
              </w:rPr>
            </w:pPr>
            <w:r>
              <w:rPr>
                <w:rFonts w:ascii="宋体" w:hAnsi="宋体" w:eastAsia="宋体" w:cs="宋体"/>
                <w:color w:val="auto"/>
                <w:sz w:val="24"/>
                <w:szCs w:val="24"/>
                <w:highlight w:val="none"/>
              </w:rPr>
              <w:t>合同份数：一正五副，每份具有同等法律效力</w:t>
            </w:r>
          </w:p>
        </w:tc>
      </w:tr>
    </w:tbl>
    <w:p w14:paraId="61899BD9">
      <w:pPr>
        <w:rPr>
          <w:rFonts w:ascii="宋体" w:hAnsi="宋体" w:cs="宋体"/>
          <w:color w:val="auto"/>
          <w:highlight w:val="none"/>
        </w:rPr>
      </w:pPr>
      <w:r>
        <w:rPr>
          <w:color w:val="auto"/>
          <w:spacing w:val="9"/>
          <w:sz w:val="43"/>
          <w:szCs w:val="43"/>
          <w:highlight w:val="none"/>
          <w14:textOutline w14:w="7972" w14:cap="sq" w14:cmpd="sng">
            <w14:solidFill>
              <w14:srgbClr w14:val="000000"/>
            </w14:solidFill>
            <w14:prstDash w14:val="solid"/>
            <w14:bevel/>
          </w14:textOutline>
        </w:rPr>
        <w:br w:type="page"/>
      </w:r>
      <w:r>
        <w:rPr>
          <w:rFonts w:hint="eastAsia" w:hAnsi="宋体"/>
          <w:b/>
          <w:color w:val="auto"/>
          <w:sz w:val="24"/>
          <w:szCs w:val="24"/>
          <w:highlight w:val="none"/>
          <w:lang w:val="en-US" w:eastAsia="zh-CN"/>
        </w:rPr>
        <w:t xml:space="preserve">                 </w:t>
      </w:r>
    </w:p>
    <w:p w14:paraId="25B76622">
      <w:pPr>
        <w:snapToGrid w:val="0"/>
        <w:spacing w:line="360" w:lineRule="auto"/>
        <w:jc w:val="center"/>
        <w:outlineLvl w:val="0"/>
        <w:rPr>
          <w:rFonts w:hint="eastAsia" w:cs="仿宋_GB2312" w:asciiTheme="minorEastAsia" w:hAnsiTheme="minorEastAsia" w:eastAsiaTheme="minorEastAsia"/>
          <w:b/>
          <w:color w:val="auto"/>
          <w:sz w:val="36"/>
          <w:szCs w:val="20"/>
          <w:highlight w:val="none"/>
        </w:rPr>
      </w:pPr>
      <w:bookmarkStart w:id="142" w:name="_Toc802"/>
      <w:r>
        <w:rPr>
          <w:rFonts w:hint="eastAsia" w:cs="仿宋_GB2312" w:asciiTheme="minorEastAsia" w:hAnsiTheme="minorEastAsia" w:eastAsiaTheme="minorEastAsia"/>
          <w:b/>
          <w:color w:val="auto"/>
          <w:sz w:val="36"/>
          <w:szCs w:val="20"/>
          <w:highlight w:val="none"/>
        </w:rPr>
        <w:t>第七部分</w:t>
      </w:r>
      <w:bookmarkEnd w:id="36"/>
      <w:r>
        <w:rPr>
          <w:rFonts w:hint="eastAsia" w:cs="仿宋_GB2312" w:asciiTheme="minorEastAsia" w:hAnsiTheme="minorEastAsia" w:eastAsiaTheme="minorEastAsia"/>
          <w:b/>
          <w:color w:val="auto"/>
          <w:sz w:val="36"/>
          <w:szCs w:val="20"/>
          <w:highlight w:val="none"/>
        </w:rPr>
        <w:t xml:space="preserve">  </w:t>
      </w:r>
      <w:bookmarkEnd w:id="37"/>
      <w:r>
        <w:rPr>
          <w:rFonts w:hint="eastAsia" w:cs="仿宋_GB2312" w:asciiTheme="minorEastAsia" w:hAnsiTheme="minorEastAsia" w:eastAsiaTheme="minorEastAsia"/>
          <w:b/>
          <w:color w:val="auto"/>
          <w:sz w:val="36"/>
          <w:szCs w:val="20"/>
          <w:highlight w:val="none"/>
        </w:rPr>
        <w:t>应提交的有关格式范例</w:t>
      </w:r>
      <w:bookmarkEnd w:id="142"/>
    </w:p>
    <w:p w14:paraId="079E1CAD">
      <w:pPr>
        <w:spacing w:line="520" w:lineRule="exact"/>
        <w:rPr>
          <w:rFonts w:ascii="宋体" w:hAnsi="宋体" w:eastAsia="宋体" w:cs="宋体"/>
          <w:b/>
          <w:color w:val="auto"/>
          <w:kern w:val="1"/>
          <w:sz w:val="36"/>
          <w:szCs w:val="36"/>
          <w:highlight w:val="none"/>
        </w:rPr>
      </w:pPr>
      <w:r>
        <w:rPr>
          <w:rFonts w:ascii="宋体" w:hAnsi="宋体" w:cs="宋体"/>
          <w:b/>
          <w:color w:val="auto"/>
          <w:kern w:val="1"/>
          <w:sz w:val="36"/>
          <w:szCs w:val="36"/>
          <w:highlight w:val="none"/>
        </w:rPr>
        <w:t>一、</w:t>
      </w:r>
      <w:r>
        <w:rPr>
          <w:rFonts w:hint="default" w:ascii="宋体" w:hAnsi="宋体" w:eastAsia="宋体" w:cs="宋体"/>
          <w:b/>
          <w:bCs w:val="0"/>
          <w:color w:val="auto"/>
          <w:kern w:val="1"/>
          <w:sz w:val="36"/>
          <w:szCs w:val="36"/>
          <w:highlight w:val="none"/>
          <w:lang w:val="en-US" w:eastAsia="zh-CN" w:bidi="ar"/>
        </w:rPr>
        <w:t xml:space="preserve">资格证明文件格式 </w:t>
      </w:r>
    </w:p>
    <w:p w14:paraId="75344854">
      <w:pPr>
        <w:spacing w:before="120" w:after="50" w:line="360" w:lineRule="exact"/>
        <w:rPr>
          <w:rFonts w:ascii="宋体" w:hAnsi="宋体" w:cs="宋体"/>
          <w:b/>
          <w:color w:val="auto"/>
          <w:kern w:val="1"/>
          <w:szCs w:val="21"/>
          <w:highlight w:val="none"/>
        </w:rPr>
      </w:pPr>
    </w:p>
    <w:p w14:paraId="173CE1CD">
      <w:pPr>
        <w:keepNext w:val="0"/>
        <w:keepLines w:val="0"/>
        <w:widowControl/>
        <w:suppressLineNumbers w:val="0"/>
        <w:jc w:val="left"/>
        <w:rPr>
          <w:color w:val="auto"/>
          <w:highlight w:val="none"/>
        </w:rPr>
      </w:pPr>
      <w:r>
        <w:rPr>
          <w:rFonts w:hint="eastAsia" w:ascii="宋体" w:hAnsi="宋体" w:eastAsia="宋体" w:cs="宋体"/>
          <w:b/>
          <w:bCs/>
          <w:color w:val="auto"/>
          <w:kern w:val="0"/>
          <w:sz w:val="24"/>
          <w:szCs w:val="24"/>
          <w:highlight w:val="none"/>
          <w:lang w:val="en-US" w:eastAsia="zh-CN" w:bidi="ar"/>
        </w:rPr>
        <w:t xml:space="preserve"> </w:t>
      </w:r>
      <w:r>
        <w:rPr>
          <w:rFonts w:hint="eastAsia" w:ascii="宋体" w:hAnsi="宋体" w:eastAsia="宋体" w:cs="宋体"/>
          <w:b/>
          <w:bCs/>
          <w:color w:val="auto"/>
          <w:kern w:val="0"/>
          <w:sz w:val="30"/>
          <w:szCs w:val="30"/>
          <w:highlight w:val="none"/>
          <w:lang w:val="en-US" w:eastAsia="zh-CN" w:bidi="ar"/>
        </w:rPr>
        <w:t xml:space="preserve">1.资格证明文件封面格式： </w:t>
      </w:r>
    </w:p>
    <w:p w14:paraId="1C64DDD2">
      <w:pPr>
        <w:keepNext w:val="0"/>
        <w:keepLines w:val="0"/>
        <w:widowControl/>
        <w:suppressLineNumbers w:val="0"/>
        <w:jc w:val="left"/>
        <w:rPr>
          <w:color w:val="auto"/>
          <w:highlight w:val="none"/>
        </w:rPr>
      </w:pPr>
    </w:p>
    <w:p w14:paraId="1E131F8A">
      <w:pPr>
        <w:keepNext w:val="0"/>
        <w:keepLines w:val="0"/>
        <w:widowControl/>
        <w:suppressLineNumbers w:val="0"/>
        <w:ind w:firstLine="3010" w:firstLineChars="700"/>
        <w:jc w:val="left"/>
        <w:rPr>
          <w:rFonts w:hint="eastAsia" w:ascii="宋体" w:hAnsi="宋体" w:eastAsia="宋体" w:cs="宋体"/>
          <w:color w:val="auto"/>
          <w:kern w:val="0"/>
          <w:sz w:val="43"/>
          <w:szCs w:val="43"/>
          <w:highlight w:val="none"/>
          <w:lang w:val="en-US" w:eastAsia="zh-CN" w:bidi="ar"/>
        </w:rPr>
      </w:pPr>
    </w:p>
    <w:p w14:paraId="27E7D946">
      <w:pPr>
        <w:snapToGrid w:val="0"/>
        <w:spacing w:before="156" w:beforeLines="50" w:after="50"/>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597C5220">
      <w:pPr>
        <w:snapToGrid w:val="0"/>
        <w:spacing w:before="156" w:beforeLines="50" w:after="50"/>
        <w:rPr>
          <w:rFonts w:ascii="宋体" w:hAnsi="宋体"/>
          <w:color w:val="auto"/>
          <w:sz w:val="24"/>
          <w:szCs w:val="20"/>
          <w:highlight w:val="none"/>
        </w:rPr>
      </w:pPr>
    </w:p>
    <w:p w14:paraId="62611A34">
      <w:pPr>
        <w:snapToGrid w:val="0"/>
        <w:spacing w:before="156"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6A03D558">
      <w:pPr>
        <w:snapToGrid w:val="0"/>
        <w:spacing w:before="156" w:beforeLines="50" w:after="50"/>
        <w:rPr>
          <w:rFonts w:ascii="宋体" w:hAnsi="宋体"/>
          <w:bCs/>
          <w:color w:val="auto"/>
          <w:sz w:val="24"/>
          <w:szCs w:val="20"/>
          <w:highlight w:val="none"/>
        </w:rPr>
      </w:pPr>
    </w:p>
    <w:p w14:paraId="0CAC436E">
      <w:pPr>
        <w:snapToGrid w:val="0"/>
        <w:spacing w:before="156" w:beforeLines="50" w:after="50"/>
        <w:rPr>
          <w:rFonts w:ascii="宋体" w:hAnsi="宋体"/>
          <w:bCs/>
          <w:color w:val="auto"/>
          <w:sz w:val="24"/>
          <w:szCs w:val="20"/>
          <w:highlight w:val="none"/>
        </w:rPr>
      </w:pPr>
    </w:p>
    <w:p w14:paraId="4B425F3F">
      <w:pPr>
        <w:snapToGrid w:val="0"/>
        <w:spacing w:before="156" w:beforeLines="50" w:after="50"/>
        <w:rPr>
          <w:rFonts w:ascii="宋体" w:hAnsi="宋体"/>
          <w:bCs/>
          <w:color w:val="auto"/>
          <w:sz w:val="24"/>
          <w:szCs w:val="20"/>
          <w:highlight w:val="none"/>
        </w:rPr>
      </w:pPr>
    </w:p>
    <w:p w14:paraId="4D5513DC">
      <w:pPr>
        <w:snapToGrid w:val="0"/>
        <w:spacing w:before="156" w:beforeLines="50" w:after="50"/>
        <w:rPr>
          <w:rFonts w:ascii="宋体" w:hAnsi="宋体"/>
          <w:bCs/>
          <w:color w:val="auto"/>
          <w:sz w:val="24"/>
          <w:szCs w:val="20"/>
          <w:highlight w:val="none"/>
        </w:rPr>
      </w:pPr>
    </w:p>
    <w:p w14:paraId="549C9676">
      <w:pPr>
        <w:snapToGrid w:val="0"/>
        <w:spacing w:before="156" w:beforeLines="50" w:after="50"/>
        <w:rPr>
          <w:rFonts w:ascii="宋体" w:hAnsi="宋体"/>
          <w:bCs/>
          <w:color w:val="auto"/>
          <w:sz w:val="24"/>
          <w:szCs w:val="20"/>
          <w:highlight w:val="none"/>
        </w:rPr>
      </w:pPr>
    </w:p>
    <w:p w14:paraId="6D7A724E">
      <w:pPr>
        <w:snapToGrid w:val="0"/>
        <w:spacing w:before="156"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AD1E401">
      <w:pPr>
        <w:snapToGrid w:val="0"/>
        <w:spacing w:before="156" w:beforeLines="50" w:after="50"/>
        <w:ind w:firstLine="720" w:firstLineChars="225"/>
        <w:rPr>
          <w:rFonts w:ascii="宋体" w:hAnsi="宋体" w:cs="仿宋_GB2312"/>
          <w:bCs/>
          <w:color w:val="auto"/>
          <w:sz w:val="32"/>
          <w:szCs w:val="32"/>
          <w:highlight w:val="none"/>
        </w:rPr>
      </w:pPr>
    </w:p>
    <w:p w14:paraId="63921608">
      <w:pPr>
        <w:snapToGrid w:val="0"/>
        <w:spacing w:before="156"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58ECE4C">
      <w:pPr>
        <w:snapToGrid w:val="0"/>
        <w:spacing w:before="156"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AF088E9">
      <w:pPr>
        <w:snapToGrid w:val="0"/>
        <w:spacing w:before="156"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6CFACF2">
      <w:pPr>
        <w:snapToGrid w:val="0"/>
        <w:spacing w:before="156" w:beforeLines="50" w:after="50"/>
        <w:ind w:firstLine="720" w:firstLineChars="225"/>
        <w:rPr>
          <w:rFonts w:ascii="宋体" w:hAnsi="宋体" w:cs="仿宋_GB2312"/>
          <w:bCs/>
          <w:color w:val="auto"/>
          <w:sz w:val="32"/>
          <w:szCs w:val="32"/>
          <w:highlight w:val="none"/>
        </w:rPr>
      </w:pPr>
    </w:p>
    <w:p w14:paraId="7209B9C8">
      <w:pPr>
        <w:pStyle w:val="17"/>
        <w:snapToGrid w:val="0"/>
        <w:spacing w:before="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CBF775F">
      <w:pPr>
        <w:snapToGrid w:val="0"/>
        <w:spacing w:before="156" w:beforeLines="50" w:after="50"/>
        <w:ind w:firstLine="640" w:firstLineChars="200"/>
        <w:rPr>
          <w:rFonts w:ascii="宋体" w:hAnsi="宋体" w:cs="仿宋_GB2312"/>
          <w:bCs/>
          <w:color w:val="auto"/>
          <w:sz w:val="32"/>
          <w:szCs w:val="32"/>
          <w:highlight w:val="none"/>
        </w:rPr>
      </w:pPr>
    </w:p>
    <w:p w14:paraId="1CEFFCD0">
      <w:pPr>
        <w:pStyle w:val="17"/>
        <w:snapToGrid w:val="0"/>
        <w:spacing w:before="50" w:after="50"/>
        <w:ind w:firstLine="720" w:firstLineChars="225"/>
        <w:rPr>
          <w:rFonts w:ascii="宋体" w:hAnsi="宋体" w:cs="仿宋_GB2312"/>
          <w:bCs/>
          <w:color w:val="auto"/>
          <w:sz w:val="32"/>
          <w:szCs w:val="32"/>
          <w:highlight w:val="none"/>
        </w:rPr>
      </w:pPr>
    </w:p>
    <w:p w14:paraId="17050F05">
      <w:pPr>
        <w:pStyle w:val="17"/>
        <w:snapToGrid w:val="0"/>
        <w:spacing w:before="50" w:after="50"/>
        <w:ind w:firstLine="720" w:firstLineChars="225"/>
        <w:rPr>
          <w:rFonts w:ascii="宋体" w:hAnsi="宋体" w:cs="仿宋_GB2312"/>
          <w:bCs/>
          <w:color w:val="auto"/>
          <w:sz w:val="32"/>
          <w:szCs w:val="32"/>
          <w:highlight w:val="none"/>
        </w:rPr>
      </w:pPr>
    </w:p>
    <w:p w14:paraId="465F3BBE">
      <w:pPr>
        <w:pStyle w:val="17"/>
        <w:snapToGrid w:val="0"/>
        <w:spacing w:before="50" w:after="50"/>
        <w:ind w:firstLine="1280" w:firstLineChars="400"/>
        <w:rPr>
          <w:rFonts w:ascii="宋体" w:hAnsi="宋体" w:cs="仿宋_GB2312"/>
          <w:bCs/>
          <w:color w:val="auto"/>
          <w:sz w:val="32"/>
          <w:szCs w:val="32"/>
          <w:highlight w:val="none"/>
        </w:rPr>
      </w:pPr>
    </w:p>
    <w:p w14:paraId="68933350">
      <w:pPr>
        <w:snapToGrid w:val="0"/>
        <w:spacing w:before="156" w:beforeLines="50" w:after="50"/>
        <w:jc w:val="center"/>
        <w:rPr>
          <w:rFonts w:ascii="宋体" w:hAnsi="宋体"/>
          <w:color w:val="auto"/>
          <w:szCs w:val="21"/>
          <w:highlight w:val="none"/>
        </w:rPr>
      </w:pPr>
      <w:r>
        <w:rPr>
          <w:rFonts w:hint="eastAsia" w:ascii="宋体" w:hAnsi="宋体" w:cs="仿宋_GB2312"/>
          <w:color w:val="auto"/>
          <w:sz w:val="32"/>
          <w:szCs w:val="32"/>
          <w:highlight w:val="none"/>
        </w:rPr>
        <w:t>年    月    日</w:t>
      </w:r>
    </w:p>
    <w:p w14:paraId="59BE0833">
      <w:pPr>
        <w:spacing w:line="380" w:lineRule="exact"/>
        <w:ind w:left="142"/>
        <w:rPr>
          <w:rFonts w:ascii="宋体" w:hAnsi="宋体"/>
          <w:b/>
          <w:bCs/>
          <w:color w:val="auto"/>
          <w:sz w:val="24"/>
          <w:highlight w:val="none"/>
        </w:rPr>
      </w:pPr>
    </w:p>
    <w:p w14:paraId="1C5E1D76">
      <w:pPr>
        <w:spacing w:line="380" w:lineRule="exact"/>
        <w:jc w:val="center"/>
        <w:rPr>
          <w:rFonts w:hint="default" w:eastAsia="宋体"/>
          <w:b/>
          <w:bCs/>
          <w:color w:val="auto"/>
          <w:kern w:val="0"/>
          <w:sz w:val="32"/>
          <w:szCs w:val="32"/>
          <w:highlight w:val="none"/>
          <w:lang w:val="en-US" w:eastAsia="zh-CN"/>
        </w:rPr>
      </w:pPr>
      <w:r>
        <w:rPr>
          <w:rFonts w:hint="eastAsia"/>
          <w:b/>
          <w:bCs/>
          <w:color w:val="auto"/>
          <w:kern w:val="0"/>
          <w:sz w:val="32"/>
          <w:szCs w:val="32"/>
          <w:highlight w:val="none"/>
        </w:rPr>
        <w:t>北海市政府采购供应商信用承诺函</w:t>
      </w:r>
      <w:r>
        <w:rPr>
          <w:rFonts w:hint="eastAsia"/>
          <w:b/>
          <w:bCs/>
          <w:color w:val="auto"/>
          <w:kern w:val="0"/>
          <w:sz w:val="32"/>
          <w:szCs w:val="32"/>
          <w:highlight w:val="none"/>
          <w:lang w:eastAsia="zh-CN"/>
        </w:rPr>
        <w:t>（</w:t>
      </w:r>
      <w:r>
        <w:rPr>
          <w:rFonts w:hint="eastAsia"/>
          <w:b/>
          <w:bCs/>
          <w:color w:val="auto"/>
          <w:kern w:val="0"/>
          <w:sz w:val="32"/>
          <w:szCs w:val="32"/>
          <w:highlight w:val="none"/>
          <w:lang w:val="en-US" w:eastAsia="zh-CN"/>
        </w:rPr>
        <w:t>格式）</w:t>
      </w:r>
    </w:p>
    <w:p w14:paraId="4D417B01">
      <w:pPr>
        <w:spacing w:line="380" w:lineRule="exact"/>
        <w:jc w:val="center"/>
        <w:rPr>
          <w:b/>
          <w:bCs/>
          <w:color w:val="auto"/>
          <w:kern w:val="0"/>
          <w:sz w:val="32"/>
          <w:szCs w:val="32"/>
          <w:highlight w:val="none"/>
        </w:rPr>
      </w:pPr>
    </w:p>
    <w:p w14:paraId="39E97A77">
      <w:pPr>
        <w:wordWrap w:val="0"/>
        <w:spacing w:line="360" w:lineRule="auto"/>
        <w:rPr>
          <w:color w:val="auto"/>
          <w:kern w:val="0"/>
          <w:sz w:val="24"/>
          <w:highlight w:val="none"/>
        </w:rPr>
      </w:pPr>
      <w:r>
        <w:rPr>
          <w:rFonts w:hint="eastAsia"/>
          <w:color w:val="auto"/>
          <w:kern w:val="0"/>
          <w:sz w:val="24"/>
          <w:highlight w:val="none"/>
        </w:rPr>
        <w:t>致（采购人或采购代理机构）：</w:t>
      </w:r>
    </w:p>
    <w:p w14:paraId="41F4F1FC">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w:t>
      </w:r>
    </w:p>
    <w:p w14:paraId="1A6839C9">
      <w:pPr>
        <w:pStyle w:val="59"/>
        <w:ind w:firstLine="210"/>
        <w:rPr>
          <w:color w:val="auto"/>
          <w:highlight w:val="none"/>
        </w:rPr>
      </w:pPr>
    </w:p>
    <w:p w14:paraId="3B5EF299">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统一社会信用代码：</w:t>
      </w:r>
    </w:p>
    <w:p w14:paraId="17CA3813">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供应商地址：</w:t>
      </w:r>
    </w:p>
    <w:p w14:paraId="4EB43E2D">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3F66BF2C">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1.我单位具有符合采购文件资格要求独立承担民事责任的能力。</w:t>
      </w:r>
    </w:p>
    <w:p w14:paraId="5BB6A858">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2.我单位具有符合采购文件资格要求的财务状况报告。</w:t>
      </w:r>
    </w:p>
    <w:p w14:paraId="2729B835">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3.我单位具有符合采购文件资格要求的依法缴纳税收和社会保障记录的良好记录。</w:t>
      </w:r>
    </w:p>
    <w:p w14:paraId="5DA6CB96">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4.我单位具有符合采购文件资格要求履行合同所必需的设备和专业技术能力。</w:t>
      </w:r>
    </w:p>
    <w:p w14:paraId="1F9CADFA">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5.参加政府采购活动前三年内，在经营活动中没有重大违法记录。</w:t>
      </w:r>
    </w:p>
    <w:p w14:paraId="71FC9351">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若我单位承诺不实，自愿承担提供虚假材料谋取中标、成交的法律责任。</w:t>
      </w:r>
    </w:p>
    <w:p w14:paraId="6542D515">
      <w:pPr>
        <w:snapToGrid w:val="0"/>
        <w:spacing w:line="360" w:lineRule="auto"/>
        <w:jc w:val="left"/>
        <w:rPr>
          <w:rFonts w:ascii="宋体" w:hAnsi="宋体"/>
          <w:color w:val="auto"/>
          <w:sz w:val="24"/>
          <w:highlight w:val="none"/>
        </w:rPr>
      </w:pPr>
    </w:p>
    <w:p w14:paraId="4658F244">
      <w:pPr>
        <w:snapToGrid w:val="0"/>
        <w:spacing w:line="360" w:lineRule="auto"/>
        <w:ind w:left="-2" w:leftChars="-1" w:right="-817" w:rightChars="-389"/>
        <w:rPr>
          <w:rFonts w:ascii="宋体" w:hAnsi="宋体" w:cs="宋体"/>
          <w:color w:val="auto"/>
          <w:kern w:val="0"/>
          <w:sz w:val="24"/>
          <w:highlight w:val="none"/>
        </w:rPr>
      </w:pPr>
      <w:r>
        <w:rPr>
          <w:rFonts w:hint="eastAsia" w:ascii="宋体" w:hAnsi="宋体"/>
          <w:color w:val="auto"/>
          <w:sz w:val="24"/>
          <w:highlight w:val="none"/>
        </w:rPr>
        <w:t xml:space="preserve">                     </w:t>
      </w:r>
      <w:r>
        <w:rPr>
          <w:rFonts w:hint="eastAsia" w:ascii="宋体" w:hAnsi="宋体" w:cs="宋体"/>
          <w:color w:val="auto"/>
          <w:kern w:val="0"/>
          <w:sz w:val="24"/>
          <w:highlight w:val="none"/>
        </w:rPr>
        <w:t xml:space="preserve"> 法定代表人或者委托代理人（</w:t>
      </w:r>
      <w:r>
        <w:rPr>
          <w:rFonts w:hint="eastAsia" w:ascii="宋体" w:hAnsi="宋体"/>
          <w:color w:val="auto"/>
          <w:sz w:val="24"/>
          <w:highlight w:val="none"/>
        </w:rPr>
        <w:t>签字或者盖章或者电子签名</w:t>
      </w:r>
      <w:r>
        <w:rPr>
          <w:rFonts w:hint="eastAsia" w:ascii="宋体" w:hAnsi="宋体" w:cs="宋体"/>
          <w:color w:val="auto"/>
          <w:kern w:val="0"/>
          <w:sz w:val="24"/>
          <w:highlight w:val="none"/>
        </w:rPr>
        <w:t xml:space="preserve">）： </w:t>
      </w:r>
    </w:p>
    <w:p w14:paraId="31D5EAFB">
      <w:pPr>
        <w:snapToGrid w:val="0"/>
        <w:spacing w:line="360" w:lineRule="auto"/>
        <w:ind w:left="-3" w:leftChars="-15" w:right="-817" w:rightChars="-389" w:hanging="28" w:hangingChars="12"/>
        <w:rPr>
          <w:rFonts w:ascii="宋体" w:hAnsi="宋体" w:cs="宋体"/>
          <w:color w:val="auto"/>
          <w:kern w:val="0"/>
          <w:sz w:val="24"/>
          <w:highlight w:val="none"/>
        </w:rPr>
      </w:pPr>
      <w:r>
        <w:rPr>
          <w:rFonts w:hint="eastAsia" w:ascii="宋体" w:hAnsi="宋体" w:cs="宋体"/>
          <w:color w:val="auto"/>
          <w:kern w:val="0"/>
          <w:sz w:val="24"/>
          <w:highlight w:val="none"/>
        </w:rPr>
        <w:t xml:space="preserve">                                    供应商名称（电子签章）：</w:t>
      </w:r>
    </w:p>
    <w:p w14:paraId="2F76C1BF">
      <w:pPr>
        <w:wordWrap w:val="0"/>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日 期： 年 月 日</w:t>
      </w:r>
    </w:p>
    <w:p w14:paraId="32475BEE">
      <w:pPr>
        <w:wordWrap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注：1.供应商须在响应文件中按此模板提供承诺函，未提供视为未实质性响应招标（采购）文件要求，按无效磋商处理。</w:t>
      </w:r>
    </w:p>
    <w:p w14:paraId="449B903A">
      <w:pPr>
        <w:spacing w:line="320" w:lineRule="exact"/>
        <w:jc w:val="left"/>
        <w:rPr>
          <w:rFonts w:ascii="宋体" w:hAnsi="宋体"/>
          <w:color w:val="auto"/>
          <w:szCs w:val="21"/>
          <w:highlight w:val="none"/>
        </w:rPr>
      </w:pPr>
      <w:r>
        <w:rPr>
          <w:rFonts w:hint="eastAsia" w:ascii="宋体" w:hAnsi="宋体" w:cs="宋体"/>
          <w:color w:val="auto"/>
          <w:kern w:val="0"/>
          <w:sz w:val="24"/>
          <w:highlight w:val="none"/>
        </w:rPr>
        <w:t>2.供应商的法定代表人（其他组织的为负责人）或者委托代理人的签名或盖章应真实、有效，如委托代理人签名或盖章的，应提供“法定代表人授权委托书”。</w:t>
      </w:r>
    </w:p>
    <w:p w14:paraId="4C62B59A">
      <w:pPr>
        <w:spacing w:line="300" w:lineRule="auto"/>
        <w:rPr>
          <w:rFonts w:ascii="宋体" w:hAnsi="宋体"/>
          <w:color w:val="auto"/>
          <w:szCs w:val="21"/>
          <w:highlight w:val="none"/>
        </w:rPr>
      </w:pPr>
    </w:p>
    <w:p w14:paraId="6ABFC6FD">
      <w:pPr>
        <w:spacing w:line="300" w:lineRule="auto"/>
        <w:rPr>
          <w:rFonts w:ascii="宋体" w:hAnsi="宋体"/>
          <w:color w:val="auto"/>
          <w:szCs w:val="21"/>
          <w:highlight w:val="none"/>
        </w:rPr>
      </w:pPr>
    </w:p>
    <w:p w14:paraId="676DA39B">
      <w:pPr>
        <w:spacing w:line="300" w:lineRule="auto"/>
        <w:rPr>
          <w:rFonts w:ascii="宋体" w:hAnsi="宋体"/>
          <w:color w:val="auto"/>
          <w:szCs w:val="21"/>
          <w:highlight w:val="none"/>
        </w:rPr>
      </w:pPr>
    </w:p>
    <w:p w14:paraId="66299AE9">
      <w:pPr>
        <w:spacing w:line="300" w:lineRule="auto"/>
        <w:rPr>
          <w:rFonts w:ascii="宋体" w:hAnsi="宋体"/>
          <w:color w:val="auto"/>
          <w:szCs w:val="21"/>
          <w:highlight w:val="none"/>
        </w:rPr>
      </w:pPr>
    </w:p>
    <w:p w14:paraId="2C3AAD83">
      <w:pPr>
        <w:spacing w:line="320" w:lineRule="exact"/>
        <w:jc w:val="left"/>
        <w:rPr>
          <w:rFonts w:ascii="宋体" w:hAnsi="宋体"/>
          <w:b/>
          <w:color w:val="auto"/>
          <w:sz w:val="24"/>
          <w:highlight w:val="none"/>
        </w:rPr>
      </w:pPr>
      <w:r>
        <w:rPr>
          <w:rFonts w:ascii="宋体" w:hAnsi="宋体"/>
          <w:color w:val="auto"/>
          <w:szCs w:val="21"/>
          <w:highlight w:val="none"/>
        </w:rPr>
        <w:br w:type="page"/>
      </w:r>
    </w:p>
    <w:p w14:paraId="6DDCC749">
      <w:pPr>
        <w:snapToGrid w:val="0"/>
        <w:spacing w:before="50" w:after="156" w:afterLines="50"/>
        <w:jc w:val="center"/>
        <w:rPr>
          <w:rFonts w:ascii="宋体" w:hAnsi="宋体"/>
          <w:b/>
          <w:color w:val="auto"/>
          <w:sz w:val="28"/>
          <w:szCs w:val="28"/>
          <w:highlight w:val="none"/>
        </w:rPr>
      </w:pPr>
    </w:p>
    <w:p w14:paraId="1083C4F1">
      <w:pPr>
        <w:snapToGrid w:val="0"/>
        <w:spacing w:before="50" w:after="156" w:afterLines="50" w:line="360" w:lineRule="auto"/>
        <w:jc w:val="center"/>
        <w:rPr>
          <w:rFonts w:hint="default" w:ascii="宋体" w:hAnsi="宋体" w:eastAsia="宋体"/>
          <w:b/>
          <w:color w:val="auto"/>
          <w:sz w:val="32"/>
          <w:szCs w:val="32"/>
          <w:highlight w:val="none"/>
          <w:lang w:val="en-US" w:eastAsia="zh-CN"/>
        </w:rPr>
      </w:pPr>
      <w:r>
        <w:rPr>
          <w:rFonts w:hint="eastAsia" w:ascii="宋体" w:hAnsi="宋体"/>
          <w:b/>
          <w:color w:val="auto"/>
          <w:sz w:val="32"/>
          <w:szCs w:val="32"/>
          <w:highlight w:val="none"/>
        </w:rPr>
        <w:t>供应商直接控股股东信息表</w:t>
      </w:r>
      <w:r>
        <w:rPr>
          <w:rFonts w:hint="eastAsia" w:ascii="宋体" w:hAnsi="宋体"/>
          <w:b/>
          <w:color w:val="auto"/>
          <w:sz w:val="32"/>
          <w:szCs w:val="32"/>
          <w:highlight w:val="none"/>
          <w:lang w:eastAsia="zh-CN"/>
        </w:rPr>
        <w:t>（</w:t>
      </w:r>
      <w:r>
        <w:rPr>
          <w:rFonts w:hint="eastAsia" w:ascii="宋体" w:hAnsi="宋体"/>
          <w:b/>
          <w:color w:val="auto"/>
          <w:sz w:val="32"/>
          <w:szCs w:val="32"/>
          <w:highlight w:val="none"/>
          <w:lang w:val="en-US" w:eastAsia="zh-CN"/>
        </w:rPr>
        <w:t>格式）</w:t>
      </w:r>
    </w:p>
    <w:tbl>
      <w:tblPr>
        <w:tblStyle w:val="61"/>
        <w:tblW w:w="9476" w:type="dxa"/>
        <w:tblInd w:w="0" w:type="dxa"/>
        <w:shd w:val="clear" w:color="auto" w:fill="FBFBFB"/>
        <w:tblLayout w:type="fixed"/>
        <w:tblCellMar>
          <w:top w:w="0" w:type="dxa"/>
          <w:left w:w="0" w:type="dxa"/>
          <w:bottom w:w="0" w:type="dxa"/>
          <w:right w:w="0" w:type="dxa"/>
        </w:tblCellMar>
      </w:tblPr>
      <w:tblGrid>
        <w:gridCol w:w="828"/>
        <w:gridCol w:w="2269"/>
        <w:gridCol w:w="1657"/>
        <w:gridCol w:w="3304"/>
        <w:gridCol w:w="1418"/>
      </w:tblGrid>
      <w:tr w14:paraId="15FD5AF0">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4939D31">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F7DC1E6">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657"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C47B5C8">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30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7163EE2">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50E5E11">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B263B1C">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EF214B">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BFED6A">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91E1FC">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544467">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B7FD26">
            <w:pPr>
              <w:spacing w:line="360" w:lineRule="auto"/>
              <w:jc w:val="center"/>
              <w:rPr>
                <w:rFonts w:ascii="宋体" w:hAnsi="宋体" w:cs="宋体"/>
                <w:color w:val="auto"/>
                <w:kern w:val="0"/>
                <w:sz w:val="24"/>
                <w:highlight w:val="none"/>
              </w:rPr>
            </w:pPr>
          </w:p>
        </w:tc>
      </w:tr>
      <w:tr w14:paraId="7395C71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AE506B">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079C86">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96F5ED">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213166">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13B881">
            <w:pPr>
              <w:spacing w:line="360" w:lineRule="auto"/>
              <w:jc w:val="center"/>
              <w:rPr>
                <w:rFonts w:ascii="宋体" w:hAnsi="宋体" w:cs="宋体"/>
                <w:color w:val="auto"/>
                <w:kern w:val="0"/>
                <w:sz w:val="24"/>
                <w:highlight w:val="none"/>
              </w:rPr>
            </w:pPr>
          </w:p>
        </w:tc>
      </w:tr>
      <w:tr w14:paraId="5EC633A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86ABAA">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FB8E7C">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875F8E">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B65095">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30A4A8">
            <w:pPr>
              <w:spacing w:line="360" w:lineRule="auto"/>
              <w:jc w:val="center"/>
              <w:rPr>
                <w:rFonts w:ascii="宋体" w:hAnsi="宋体" w:cs="宋体"/>
                <w:color w:val="auto"/>
                <w:kern w:val="0"/>
                <w:sz w:val="24"/>
                <w:highlight w:val="none"/>
              </w:rPr>
            </w:pPr>
          </w:p>
        </w:tc>
      </w:tr>
      <w:tr w14:paraId="5ADF59F1">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991A31">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8EAC8E">
            <w:pPr>
              <w:spacing w:line="360" w:lineRule="auto"/>
              <w:jc w:val="center"/>
              <w:rPr>
                <w:rFonts w:ascii="宋体" w:hAnsi="宋体" w:cs="宋体"/>
                <w:color w:val="auto"/>
                <w:kern w:val="0"/>
                <w:sz w:val="24"/>
                <w:highlight w:val="none"/>
              </w:rPr>
            </w:pPr>
          </w:p>
        </w:tc>
        <w:tc>
          <w:tcPr>
            <w:tcW w:w="1657"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F9B3B9">
            <w:pPr>
              <w:spacing w:line="360" w:lineRule="auto"/>
              <w:jc w:val="center"/>
              <w:rPr>
                <w:rFonts w:ascii="宋体" w:hAnsi="宋体" w:cs="宋体"/>
                <w:color w:val="auto"/>
                <w:kern w:val="0"/>
                <w:sz w:val="24"/>
                <w:highlight w:val="none"/>
              </w:rPr>
            </w:pPr>
          </w:p>
        </w:tc>
        <w:tc>
          <w:tcPr>
            <w:tcW w:w="330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8D6BCC">
            <w:pPr>
              <w:spacing w:line="360" w:lineRule="auto"/>
              <w:jc w:val="center"/>
              <w:rPr>
                <w:rFonts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8CC4C0">
            <w:pPr>
              <w:spacing w:line="360" w:lineRule="auto"/>
              <w:jc w:val="center"/>
              <w:rPr>
                <w:rFonts w:ascii="宋体" w:hAnsi="宋体" w:cs="宋体"/>
                <w:color w:val="auto"/>
                <w:kern w:val="0"/>
                <w:sz w:val="24"/>
                <w:highlight w:val="none"/>
              </w:rPr>
            </w:pPr>
          </w:p>
        </w:tc>
      </w:tr>
    </w:tbl>
    <w:p w14:paraId="7D25425C">
      <w:pPr>
        <w:snapToGrid w:val="0"/>
        <w:spacing w:line="360" w:lineRule="auto"/>
        <w:jc w:val="left"/>
        <w:rPr>
          <w:rFonts w:ascii="宋体" w:hAnsi="宋体"/>
          <w:color w:val="auto"/>
          <w:sz w:val="24"/>
          <w:highlight w:val="none"/>
        </w:rPr>
      </w:pPr>
      <w:r>
        <w:rPr>
          <w:rFonts w:hint="eastAsia" w:ascii="宋体" w:hAnsi="宋体"/>
          <w:color w:val="auto"/>
          <w:sz w:val="24"/>
          <w:highlight w:val="none"/>
        </w:rPr>
        <w:t>注：</w:t>
      </w:r>
    </w:p>
    <w:p w14:paraId="699959EF">
      <w:pPr>
        <w:snapToGrid w:val="0"/>
        <w:spacing w:line="360" w:lineRule="auto"/>
        <w:jc w:val="left"/>
        <w:rPr>
          <w:rFonts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DF18D5E">
      <w:pPr>
        <w:snapToGrid w:val="0"/>
        <w:spacing w:line="360" w:lineRule="auto"/>
        <w:jc w:val="left"/>
        <w:rPr>
          <w:rFonts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0CE7CED8">
      <w:pPr>
        <w:snapToGrid w:val="0"/>
        <w:spacing w:line="360" w:lineRule="auto"/>
        <w:jc w:val="left"/>
        <w:rPr>
          <w:rFonts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kern w:val="0"/>
          <w:sz w:val="24"/>
          <w:highlight w:val="none"/>
        </w:rPr>
        <w:t>直接控股股东名称</w:t>
      </w:r>
      <w:r>
        <w:rPr>
          <w:rFonts w:hint="eastAsia" w:ascii="宋体" w:hAnsi="宋体"/>
          <w:color w:val="auto"/>
          <w:sz w:val="24"/>
          <w:highlight w:val="none"/>
        </w:rPr>
        <w:t>”中填“无”。</w:t>
      </w:r>
    </w:p>
    <w:p w14:paraId="26FCD25E">
      <w:pPr>
        <w:snapToGrid w:val="0"/>
        <w:spacing w:line="360" w:lineRule="auto"/>
        <w:jc w:val="left"/>
        <w:rPr>
          <w:rFonts w:ascii="宋体" w:hAnsi="宋体"/>
          <w:color w:val="auto"/>
          <w:sz w:val="24"/>
          <w:highlight w:val="none"/>
        </w:rPr>
      </w:pPr>
    </w:p>
    <w:p w14:paraId="491FB615">
      <w:pPr>
        <w:snapToGrid w:val="0"/>
        <w:spacing w:line="360" w:lineRule="auto"/>
        <w:jc w:val="left"/>
        <w:rPr>
          <w:rFonts w:ascii="宋体" w:hAnsi="宋体"/>
          <w:color w:val="auto"/>
          <w:sz w:val="24"/>
          <w:highlight w:val="none"/>
        </w:rPr>
      </w:pPr>
    </w:p>
    <w:p w14:paraId="70443D4D">
      <w:pPr>
        <w:snapToGrid w:val="0"/>
        <w:spacing w:line="360" w:lineRule="auto"/>
        <w:jc w:val="left"/>
        <w:rPr>
          <w:rFonts w:ascii="宋体" w:hAnsi="宋体"/>
          <w:color w:val="auto"/>
          <w:sz w:val="24"/>
          <w:highlight w:val="none"/>
        </w:rPr>
      </w:pPr>
    </w:p>
    <w:p w14:paraId="485E8180">
      <w:pPr>
        <w:snapToGrid w:val="0"/>
        <w:spacing w:line="360" w:lineRule="auto"/>
        <w:ind w:left="-2" w:leftChars="-1" w:right="-817" w:rightChars="-389"/>
        <w:rPr>
          <w:rFonts w:ascii="宋体" w:hAnsi="宋体"/>
          <w:color w:val="auto"/>
          <w:sz w:val="24"/>
          <w:highlight w:val="none"/>
        </w:rPr>
      </w:pPr>
      <w:r>
        <w:rPr>
          <w:rFonts w:hint="eastAsia" w:ascii="宋体" w:hAnsi="宋体"/>
          <w:color w:val="auto"/>
          <w:sz w:val="24"/>
          <w:highlight w:val="none"/>
        </w:rPr>
        <w:t xml:space="preserve">             法定代表人或者委托代理人（签字或者盖章或者电子签名）：</w:t>
      </w:r>
    </w:p>
    <w:p w14:paraId="734D5036">
      <w:pPr>
        <w:snapToGrid w:val="0"/>
        <w:spacing w:line="360" w:lineRule="auto"/>
        <w:ind w:left="-3" w:leftChars="-15" w:right="-817" w:rightChars="-389" w:hanging="28" w:hangingChars="12"/>
        <w:rPr>
          <w:rFonts w:ascii="宋体" w:hAnsi="宋体"/>
          <w:color w:val="auto"/>
          <w:sz w:val="24"/>
          <w:highlight w:val="none"/>
        </w:rPr>
      </w:pPr>
      <w:r>
        <w:rPr>
          <w:rFonts w:hint="eastAsia" w:ascii="宋体" w:hAnsi="宋体"/>
          <w:color w:val="auto"/>
          <w:sz w:val="24"/>
          <w:highlight w:val="none"/>
        </w:rPr>
        <w:t xml:space="preserve">                                    供应商名称（电子签章）：</w:t>
      </w:r>
    </w:p>
    <w:p w14:paraId="65BFEEB7">
      <w:pPr>
        <w:snapToGrid w:val="0"/>
        <w:spacing w:line="360" w:lineRule="auto"/>
        <w:jc w:val="left"/>
        <w:rPr>
          <w:rFonts w:ascii="宋体" w:hAnsi="宋体"/>
          <w:color w:val="auto"/>
          <w:szCs w:val="21"/>
          <w:highlight w:val="none"/>
        </w:rPr>
      </w:pPr>
      <w:r>
        <w:rPr>
          <w:rFonts w:hint="eastAsia" w:ascii="宋体" w:hAnsi="宋体"/>
          <w:color w:val="auto"/>
          <w:sz w:val="24"/>
          <w:highlight w:val="none"/>
        </w:rPr>
        <w:t xml:space="preserve">                                    日期：    年   月   日</w:t>
      </w:r>
    </w:p>
    <w:p w14:paraId="542E4477">
      <w:pPr>
        <w:snapToGrid w:val="0"/>
        <w:jc w:val="center"/>
        <w:rPr>
          <w:rFonts w:ascii="宋体" w:hAnsi="宋体"/>
          <w:b/>
          <w:color w:val="auto"/>
          <w:sz w:val="28"/>
          <w:szCs w:val="28"/>
          <w:highlight w:val="none"/>
        </w:rPr>
      </w:pPr>
    </w:p>
    <w:p w14:paraId="1E549520">
      <w:pPr>
        <w:snapToGrid w:val="0"/>
        <w:spacing w:line="360" w:lineRule="auto"/>
        <w:jc w:val="left"/>
        <w:rPr>
          <w:rFonts w:ascii="宋体" w:hAnsi="宋体"/>
          <w:b/>
          <w:color w:val="auto"/>
          <w:sz w:val="32"/>
          <w:szCs w:val="32"/>
          <w:highlight w:val="none"/>
        </w:rPr>
      </w:pPr>
      <w:r>
        <w:rPr>
          <w:rFonts w:hint="eastAsia" w:ascii="宋体" w:hAnsi="宋体"/>
          <w:b/>
          <w:color w:val="auto"/>
          <w:sz w:val="32"/>
          <w:szCs w:val="32"/>
          <w:highlight w:val="none"/>
        </w:rPr>
        <w:br w:type="page"/>
      </w:r>
    </w:p>
    <w:p w14:paraId="3576E0B4">
      <w:pPr>
        <w:snapToGrid w:val="0"/>
        <w:spacing w:line="360" w:lineRule="auto"/>
        <w:jc w:val="center"/>
        <w:rPr>
          <w:rFonts w:hint="eastAsia" w:ascii="宋体" w:hAnsi="宋体"/>
          <w:b/>
          <w:color w:val="auto"/>
          <w:sz w:val="32"/>
          <w:szCs w:val="32"/>
          <w:highlight w:val="none"/>
        </w:rPr>
      </w:pPr>
    </w:p>
    <w:p w14:paraId="66500BC7">
      <w:pPr>
        <w:snapToGrid w:val="0"/>
        <w:spacing w:line="360" w:lineRule="auto"/>
        <w:jc w:val="center"/>
        <w:rPr>
          <w:rFonts w:hint="default" w:ascii="宋体" w:hAnsi="宋体" w:eastAsia="宋体"/>
          <w:color w:val="auto"/>
          <w:sz w:val="32"/>
          <w:szCs w:val="32"/>
          <w:highlight w:val="none"/>
          <w:lang w:val="en-US" w:eastAsia="zh-CN"/>
        </w:rPr>
      </w:pPr>
      <w:r>
        <w:rPr>
          <w:rFonts w:hint="eastAsia" w:ascii="宋体" w:hAnsi="宋体"/>
          <w:b/>
          <w:color w:val="auto"/>
          <w:sz w:val="32"/>
          <w:szCs w:val="32"/>
          <w:highlight w:val="none"/>
        </w:rPr>
        <w:t>供应商直接管理关系信息表</w:t>
      </w:r>
      <w:r>
        <w:rPr>
          <w:rFonts w:hint="eastAsia" w:ascii="宋体" w:hAnsi="宋体"/>
          <w:b/>
          <w:color w:val="auto"/>
          <w:sz w:val="32"/>
          <w:szCs w:val="32"/>
          <w:highlight w:val="none"/>
          <w:lang w:eastAsia="zh-CN"/>
        </w:rPr>
        <w:t>（</w:t>
      </w:r>
      <w:r>
        <w:rPr>
          <w:rFonts w:hint="eastAsia" w:ascii="宋体" w:hAnsi="宋体"/>
          <w:b/>
          <w:color w:val="auto"/>
          <w:sz w:val="32"/>
          <w:szCs w:val="32"/>
          <w:highlight w:val="none"/>
          <w:lang w:val="en-US" w:eastAsia="zh-CN"/>
        </w:rPr>
        <w:t>格式）</w:t>
      </w:r>
    </w:p>
    <w:tbl>
      <w:tblPr>
        <w:tblStyle w:val="61"/>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A495DFB">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7543ABB">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930116F">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FE3E887">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EA37451">
            <w:pPr>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2BCB9D07">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921B1A">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45E612">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DB5336">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5ADDA5">
            <w:pPr>
              <w:spacing w:line="360" w:lineRule="auto"/>
              <w:jc w:val="center"/>
              <w:rPr>
                <w:rFonts w:ascii="宋体" w:hAnsi="宋体" w:cs="宋体"/>
                <w:color w:val="auto"/>
                <w:kern w:val="0"/>
                <w:sz w:val="24"/>
                <w:highlight w:val="none"/>
              </w:rPr>
            </w:pPr>
          </w:p>
        </w:tc>
      </w:tr>
      <w:tr w14:paraId="02555E2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138806">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6F0D2D">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1B3719">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90BCD6">
            <w:pPr>
              <w:spacing w:line="360" w:lineRule="auto"/>
              <w:jc w:val="center"/>
              <w:rPr>
                <w:rFonts w:ascii="宋体" w:hAnsi="宋体" w:cs="宋体"/>
                <w:color w:val="auto"/>
                <w:kern w:val="0"/>
                <w:sz w:val="24"/>
                <w:highlight w:val="none"/>
              </w:rPr>
            </w:pPr>
          </w:p>
        </w:tc>
      </w:tr>
      <w:tr w14:paraId="3C48C295">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AFD9D7">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028DA4">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EE1B57">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7A135D">
            <w:pPr>
              <w:spacing w:line="360" w:lineRule="auto"/>
              <w:jc w:val="center"/>
              <w:rPr>
                <w:rFonts w:ascii="宋体" w:hAnsi="宋体" w:cs="宋体"/>
                <w:color w:val="auto"/>
                <w:kern w:val="0"/>
                <w:sz w:val="24"/>
                <w:highlight w:val="none"/>
              </w:rPr>
            </w:pPr>
          </w:p>
        </w:tc>
      </w:tr>
      <w:tr w14:paraId="226876F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BCC7B9">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823C7F">
            <w:pPr>
              <w:spacing w:line="360" w:lineRule="auto"/>
              <w:jc w:val="center"/>
              <w:rPr>
                <w:rFonts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C601F8">
            <w:pPr>
              <w:spacing w:line="360" w:lineRule="auto"/>
              <w:jc w:val="center"/>
              <w:rPr>
                <w:rFonts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13A202C">
            <w:pPr>
              <w:spacing w:line="360" w:lineRule="auto"/>
              <w:jc w:val="center"/>
              <w:rPr>
                <w:rFonts w:ascii="宋体" w:hAnsi="宋体" w:cs="宋体"/>
                <w:color w:val="auto"/>
                <w:kern w:val="0"/>
                <w:sz w:val="24"/>
                <w:highlight w:val="none"/>
              </w:rPr>
            </w:pPr>
          </w:p>
        </w:tc>
      </w:tr>
    </w:tbl>
    <w:p w14:paraId="3D7285B7">
      <w:pPr>
        <w:snapToGrid w:val="0"/>
        <w:spacing w:line="360" w:lineRule="auto"/>
        <w:jc w:val="left"/>
        <w:rPr>
          <w:rFonts w:ascii="宋体" w:hAnsi="宋体"/>
          <w:color w:val="auto"/>
          <w:sz w:val="24"/>
          <w:highlight w:val="none"/>
        </w:rPr>
      </w:pPr>
      <w:r>
        <w:rPr>
          <w:rFonts w:hint="eastAsia" w:ascii="宋体" w:hAnsi="宋体"/>
          <w:color w:val="auto"/>
          <w:sz w:val="24"/>
          <w:highlight w:val="none"/>
        </w:rPr>
        <w:t>注：</w:t>
      </w:r>
    </w:p>
    <w:p w14:paraId="46E02A55">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580572DD">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7ADD80B3">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kern w:val="0"/>
          <w:sz w:val="24"/>
          <w:highlight w:val="none"/>
        </w:rPr>
        <w:t>直接管理关系单位名称</w:t>
      </w:r>
      <w:r>
        <w:rPr>
          <w:rFonts w:hint="eastAsia" w:ascii="宋体" w:hAnsi="宋体"/>
          <w:color w:val="auto"/>
          <w:sz w:val="24"/>
          <w:highlight w:val="none"/>
        </w:rPr>
        <w:t>”中填“无”。</w:t>
      </w:r>
    </w:p>
    <w:p w14:paraId="220253B5">
      <w:pPr>
        <w:snapToGrid w:val="0"/>
        <w:spacing w:line="360" w:lineRule="auto"/>
        <w:jc w:val="left"/>
        <w:rPr>
          <w:rFonts w:ascii="宋体" w:hAnsi="宋体"/>
          <w:color w:val="auto"/>
          <w:sz w:val="24"/>
          <w:highlight w:val="none"/>
        </w:rPr>
      </w:pPr>
    </w:p>
    <w:p w14:paraId="1D13670D">
      <w:pPr>
        <w:snapToGrid w:val="0"/>
        <w:spacing w:line="360" w:lineRule="auto"/>
        <w:jc w:val="left"/>
        <w:rPr>
          <w:rFonts w:ascii="宋体" w:hAnsi="宋体"/>
          <w:color w:val="auto"/>
          <w:sz w:val="24"/>
          <w:highlight w:val="none"/>
        </w:rPr>
      </w:pPr>
    </w:p>
    <w:p w14:paraId="38F88495">
      <w:pPr>
        <w:snapToGrid w:val="0"/>
        <w:spacing w:line="360" w:lineRule="auto"/>
        <w:jc w:val="left"/>
        <w:rPr>
          <w:rFonts w:ascii="宋体" w:hAnsi="宋体"/>
          <w:color w:val="auto"/>
          <w:sz w:val="24"/>
          <w:highlight w:val="none"/>
        </w:rPr>
      </w:pPr>
    </w:p>
    <w:p w14:paraId="58B19A21">
      <w:pPr>
        <w:snapToGrid w:val="0"/>
        <w:spacing w:line="360" w:lineRule="auto"/>
        <w:jc w:val="left"/>
        <w:rPr>
          <w:color w:val="auto"/>
          <w:sz w:val="24"/>
          <w:highlight w:val="none"/>
        </w:rPr>
      </w:pPr>
    </w:p>
    <w:p w14:paraId="5EEE18F2">
      <w:pPr>
        <w:snapToGrid w:val="0"/>
        <w:spacing w:line="360" w:lineRule="auto"/>
        <w:ind w:left="-2" w:leftChars="-1" w:right="-817" w:rightChars="-389"/>
        <w:rPr>
          <w:rFonts w:ascii="宋体" w:hAnsi="宋体"/>
          <w:color w:val="auto"/>
          <w:sz w:val="24"/>
          <w:highlight w:val="none"/>
        </w:rPr>
      </w:pPr>
      <w:r>
        <w:rPr>
          <w:rFonts w:hint="eastAsia" w:ascii="宋体" w:hAnsi="宋体"/>
          <w:color w:val="auto"/>
          <w:sz w:val="24"/>
          <w:highlight w:val="none"/>
        </w:rPr>
        <w:t xml:space="preserve">            法定代表人或者委托代理人（签字或者盖章或者电子签名）：</w:t>
      </w:r>
    </w:p>
    <w:p w14:paraId="515913E7">
      <w:pPr>
        <w:snapToGrid w:val="0"/>
        <w:spacing w:line="360" w:lineRule="auto"/>
        <w:ind w:left="-3" w:leftChars="-15" w:right="-817" w:rightChars="-389" w:hanging="28" w:hangingChars="12"/>
        <w:rPr>
          <w:rFonts w:ascii="宋体" w:hAnsi="宋体"/>
          <w:color w:val="auto"/>
          <w:sz w:val="24"/>
          <w:highlight w:val="none"/>
        </w:rPr>
      </w:pPr>
      <w:r>
        <w:rPr>
          <w:rFonts w:hint="eastAsia" w:ascii="宋体" w:hAnsi="宋体"/>
          <w:color w:val="auto"/>
          <w:sz w:val="24"/>
          <w:highlight w:val="none"/>
        </w:rPr>
        <w:t xml:space="preserve">                                  供应商名称（电子签章）：</w:t>
      </w:r>
    </w:p>
    <w:p w14:paraId="60023457">
      <w:pPr>
        <w:snapToGrid w:val="0"/>
        <w:spacing w:line="360" w:lineRule="auto"/>
        <w:ind w:right="480" w:firstLine="240" w:firstLineChars="100"/>
        <w:jc w:val="left"/>
        <w:rPr>
          <w:rFonts w:ascii="宋体" w:hAnsi="宋体"/>
          <w:color w:val="auto"/>
          <w:szCs w:val="21"/>
          <w:highlight w:val="none"/>
        </w:rPr>
      </w:pPr>
      <w:r>
        <w:rPr>
          <w:rFonts w:hint="eastAsia" w:ascii="宋体" w:hAnsi="宋体"/>
          <w:color w:val="auto"/>
          <w:sz w:val="24"/>
          <w:highlight w:val="none"/>
        </w:rPr>
        <w:t xml:space="preserve">                                日期：    年   月   日</w:t>
      </w:r>
    </w:p>
    <w:p w14:paraId="3BF61A3A">
      <w:pPr>
        <w:snapToGrid w:val="0"/>
        <w:spacing w:before="156" w:beforeLines="50" w:after="50"/>
        <w:jc w:val="left"/>
        <w:rPr>
          <w:rFonts w:ascii="宋体" w:hAnsi="宋体"/>
          <w:color w:val="auto"/>
          <w:sz w:val="24"/>
          <w:highlight w:val="none"/>
        </w:rPr>
      </w:pPr>
    </w:p>
    <w:p w14:paraId="59D15EDC">
      <w:pPr>
        <w:spacing w:line="320" w:lineRule="exact"/>
        <w:rPr>
          <w:rFonts w:ascii="宋体" w:hAnsi="宋体"/>
          <w:b/>
          <w:color w:val="auto"/>
          <w:sz w:val="24"/>
          <w:szCs w:val="24"/>
          <w:highlight w:val="none"/>
        </w:rPr>
      </w:pPr>
      <w:r>
        <w:rPr>
          <w:rFonts w:ascii="宋体" w:hAnsi="宋体"/>
          <w:b/>
          <w:color w:val="auto"/>
          <w:sz w:val="28"/>
          <w:szCs w:val="28"/>
          <w:highlight w:val="none"/>
        </w:rPr>
        <w:br w:type="page"/>
      </w:r>
    </w:p>
    <w:p w14:paraId="26A3CBCC">
      <w:pPr>
        <w:spacing w:line="320" w:lineRule="exact"/>
        <w:jc w:val="center"/>
        <w:rPr>
          <w:rFonts w:ascii="宋体" w:hAnsi="宋体"/>
          <w:b/>
          <w:color w:val="auto"/>
          <w:sz w:val="32"/>
          <w:szCs w:val="32"/>
          <w:highlight w:val="none"/>
        </w:rPr>
      </w:pPr>
    </w:p>
    <w:p w14:paraId="09A33EA3">
      <w:pPr>
        <w:spacing w:line="380" w:lineRule="exact"/>
        <w:jc w:val="center"/>
        <w:rPr>
          <w:rFonts w:hint="default"/>
          <w:b/>
          <w:bCs/>
          <w:color w:val="auto"/>
          <w:kern w:val="0"/>
          <w:sz w:val="32"/>
          <w:szCs w:val="32"/>
          <w:highlight w:val="none"/>
          <w:lang w:val="en-US" w:eastAsia="zh-CN"/>
        </w:rPr>
      </w:pPr>
      <w:r>
        <w:rPr>
          <w:rFonts w:hint="eastAsia"/>
          <w:b/>
          <w:bCs/>
          <w:color w:val="auto"/>
          <w:kern w:val="0"/>
          <w:sz w:val="32"/>
          <w:szCs w:val="32"/>
          <w:highlight w:val="none"/>
        </w:rPr>
        <w:t>竞标声明</w:t>
      </w:r>
      <w:r>
        <w:rPr>
          <w:rFonts w:hint="eastAsia"/>
          <w:b/>
          <w:bCs/>
          <w:color w:val="auto"/>
          <w:kern w:val="0"/>
          <w:sz w:val="32"/>
          <w:szCs w:val="32"/>
          <w:highlight w:val="none"/>
          <w:lang w:eastAsia="zh-CN"/>
        </w:rPr>
        <w:t>（</w:t>
      </w:r>
      <w:r>
        <w:rPr>
          <w:rFonts w:hint="eastAsia"/>
          <w:b/>
          <w:bCs/>
          <w:color w:val="auto"/>
          <w:kern w:val="0"/>
          <w:sz w:val="32"/>
          <w:szCs w:val="32"/>
          <w:highlight w:val="none"/>
          <w:lang w:val="en-US" w:eastAsia="zh-CN"/>
        </w:rPr>
        <w:t>格式）</w:t>
      </w:r>
    </w:p>
    <w:p w14:paraId="42D0A23E">
      <w:pPr>
        <w:spacing w:line="320" w:lineRule="exact"/>
        <w:jc w:val="center"/>
        <w:rPr>
          <w:rFonts w:ascii="宋体" w:hAnsi="宋体"/>
          <w:color w:val="auto"/>
          <w:sz w:val="24"/>
          <w:szCs w:val="20"/>
          <w:highlight w:val="none"/>
        </w:rPr>
      </w:pPr>
    </w:p>
    <w:p w14:paraId="0D2FF59B">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05EE109C">
      <w:pPr>
        <w:wordWrap w:val="0"/>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99C49B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7745332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2EA5620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2D572D1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14:paraId="4046FDE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5DA5179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7813DBA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5D01D6A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（4）响应磋商文件规定的竞标有效期。</w:t>
      </w:r>
    </w:p>
    <w:p w14:paraId="619461B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3D0270C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7C9577F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2367364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65BAB89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5F961AA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7C005CB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1DD9313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D8A07D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AF5960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1AA2EE8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341351E2">
      <w:pPr>
        <w:pStyle w:val="32"/>
        <w:spacing w:line="360" w:lineRule="auto"/>
        <w:ind w:firstLine="480" w:firstLineChars="200"/>
        <w:contextualSpacing/>
        <w:rPr>
          <w:rFonts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06A6A368">
      <w:pPr>
        <w:pStyle w:val="32"/>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30ADF93A">
      <w:pPr>
        <w:pStyle w:val="26"/>
        <w:tabs>
          <w:tab w:val="left" w:pos="939"/>
        </w:tabs>
        <w:spacing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4AFFB439">
      <w:pPr>
        <w:pStyle w:val="26"/>
        <w:tabs>
          <w:tab w:val="left" w:pos="939"/>
        </w:tabs>
        <w:spacing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68F2D3F7">
      <w:pPr>
        <w:pStyle w:val="26"/>
        <w:tabs>
          <w:tab w:val="left" w:pos="939"/>
        </w:tabs>
        <w:spacing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特此承诺。</w:t>
      </w:r>
    </w:p>
    <w:p w14:paraId="0BFDECDC">
      <w:pPr>
        <w:spacing w:line="360" w:lineRule="auto"/>
        <w:contextualSpacing/>
        <w:jc w:val="left"/>
        <w:rPr>
          <w:rFonts w:ascii="宋体" w:hAnsi="宋体"/>
          <w:b/>
          <w:color w:val="auto"/>
          <w:sz w:val="24"/>
          <w:highlight w:val="none"/>
        </w:rPr>
      </w:pPr>
      <w:r>
        <w:rPr>
          <w:rFonts w:hint="eastAsia" w:ascii="宋体" w:hAnsi="宋体" w:cs="宋体"/>
          <w:b/>
          <w:color w:val="auto"/>
          <w:sz w:val="24"/>
          <w:highlight w:val="none"/>
        </w:rPr>
        <w:t>注</w:t>
      </w:r>
      <w:r>
        <w:rPr>
          <w:rFonts w:hint="eastAsia" w:ascii="宋体" w:hAnsi="宋体" w:cs="宋体"/>
          <w:color w:val="auto"/>
          <w:sz w:val="24"/>
          <w:highlight w:val="none"/>
        </w:rPr>
        <w:t>：</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2DBEB5B8">
      <w:pPr>
        <w:spacing w:line="360" w:lineRule="auto"/>
        <w:contextualSpacing/>
        <w:jc w:val="left"/>
        <w:rPr>
          <w:rFonts w:ascii="宋体" w:hAnsi="宋体" w:cs="宋体"/>
          <w:color w:val="auto"/>
          <w:szCs w:val="21"/>
          <w:highlight w:val="none"/>
        </w:rPr>
      </w:pPr>
    </w:p>
    <w:p w14:paraId="71333068">
      <w:pPr>
        <w:spacing w:line="360" w:lineRule="auto"/>
        <w:ind w:firstLine="1800" w:firstLineChars="750"/>
        <w:contextualSpacing/>
        <w:rPr>
          <w:color w:val="auto"/>
          <w:highlight w:val="none"/>
        </w:rPr>
      </w:pPr>
      <w:r>
        <w:rPr>
          <w:rFonts w:hint="eastAsia" w:ascii="宋体" w:hAnsi="宋体"/>
          <w:color w:val="auto"/>
          <w:sz w:val="24"/>
          <w:highlight w:val="none"/>
        </w:rPr>
        <w:t>法定代表人（签字或者盖章或者电子签名）</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p>
    <w:p w14:paraId="07AB33EE">
      <w:pPr>
        <w:spacing w:line="360" w:lineRule="auto"/>
        <w:ind w:firstLine="4320" w:firstLineChars="1800"/>
        <w:contextualSpacing/>
        <w:rPr>
          <w:rFonts w:ascii="宋体" w:hAnsi="宋体" w:cs="宋体"/>
          <w:color w:val="auto"/>
          <w:szCs w:val="21"/>
          <w:highlight w:val="none"/>
          <w:u w:val="single"/>
        </w:rPr>
      </w:pPr>
      <w:r>
        <w:rPr>
          <w:rFonts w:hint="eastAsia" w:ascii="宋体" w:hAnsi="宋体"/>
          <w:color w:val="auto"/>
          <w:sz w:val="24"/>
          <w:highlight w:val="none"/>
        </w:rPr>
        <w:t>供应商名称（电子签章）</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w:t>
      </w:r>
      <w:r>
        <w:rPr>
          <w:rFonts w:hint="eastAsia" w:ascii="宋体" w:hAnsi="宋体" w:cs="宋体"/>
          <w:color w:val="auto"/>
          <w:szCs w:val="21"/>
          <w:highlight w:val="none"/>
        </w:rPr>
        <w:t xml:space="preserve">    </w:t>
      </w:r>
    </w:p>
    <w:p w14:paraId="3EBD2CAC">
      <w:pPr>
        <w:pStyle w:val="26"/>
        <w:tabs>
          <w:tab w:val="left" w:pos="939"/>
        </w:tabs>
        <w:spacing w:line="360" w:lineRule="auto"/>
        <w:ind w:left="0" w:leftChars="0" w:firstLine="420" w:firstLineChars="200"/>
        <w:rPr>
          <w:color w:val="auto"/>
          <w:sz w:val="24"/>
          <w:highlight w:val="none"/>
        </w:rPr>
      </w:pPr>
      <w:r>
        <w:rPr>
          <w:rFonts w:hint="eastAsia" w:ascii="宋体" w:hAnsi="宋体" w:cs="宋体"/>
          <w:color w:val="auto"/>
          <w:szCs w:val="21"/>
          <w:highlight w:val="none"/>
        </w:rPr>
        <w:t xml:space="preserve">                                                        </w:t>
      </w:r>
      <w:r>
        <w:rPr>
          <w:rFonts w:hint="eastAsia"/>
          <w:color w:val="auto"/>
          <w:sz w:val="24"/>
          <w:highlight w:val="none"/>
        </w:rPr>
        <w:t xml:space="preserve"> 年    月    日</w:t>
      </w:r>
    </w:p>
    <w:p w14:paraId="2D5C0EBE">
      <w:pPr>
        <w:rPr>
          <w:rFonts w:ascii="宋体" w:hAnsi="宋体" w:eastAsia="宋体" w:cs="宋体"/>
          <w:color w:val="auto"/>
          <w:sz w:val="21"/>
          <w:szCs w:val="21"/>
          <w:highlight w:val="none"/>
        </w:rPr>
      </w:pPr>
      <w:r>
        <w:rPr>
          <w:rFonts w:ascii="宋体" w:hAnsi="宋体" w:eastAsia="宋体" w:cs="宋体"/>
          <w:color w:val="auto"/>
          <w:sz w:val="21"/>
          <w:szCs w:val="21"/>
          <w:highlight w:val="none"/>
        </w:rPr>
        <w:br w:type="page"/>
      </w:r>
    </w:p>
    <w:p w14:paraId="25435AA8">
      <w:pPr>
        <w:spacing w:line="360" w:lineRule="auto"/>
        <w:jc w:val="center"/>
        <w:rPr>
          <w:rFonts w:cs="仿宋_GB2312" w:asciiTheme="minorEastAsia" w:hAnsiTheme="minorEastAsia" w:eastAsiaTheme="minorEastAsia"/>
          <w:b/>
          <w:color w:val="auto"/>
          <w:sz w:val="32"/>
          <w:szCs w:val="32"/>
          <w:highlight w:val="none"/>
        </w:rPr>
      </w:pPr>
      <w:r>
        <w:rPr>
          <w:rFonts w:hint="eastAsia" w:cs="仿宋_GB2312" w:asciiTheme="minorEastAsia" w:hAnsiTheme="minorEastAsia" w:eastAsiaTheme="minorEastAsia"/>
          <w:b/>
          <w:color w:val="auto"/>
          <w:sz w:val="32"/>
          <w:szCs w:val="32"/>
          <w:highlight w:val="none"/>
        </w:rPr>
        <w:t>联合协议（如果有）</w:t>
      </w:r>
    </w:p>
    <w:p w14:paraId="2C345B92">
      <w:pPr>
        <w:widowControl/>
        <w:spacing w:line="360" w:lineRule="auto"/>
        <w:ind w:firstLine="482" w:firstLineChars="200"/>
        <w:jc w:val="left"/>
        <w:rPr>
          <w:rFonts w:cs="宋体" w:asciiTheme="minorEastAsia" w:hAnsiTheme="minorEastAsia" w:eastAsiaTheme="minorEastAsia"/>
          <w:b/>
          <w:color w:val="auto"/>
          <w:sz w:val="24"/>
          <w:highlight w:val="none"/>
        </w:rPr>
      </w:pPr>
      <w:r>
        <w:rPr>
          <w:rFonts w:hint="eastAsia" w:cs="宋体" w:asciiTheme="minorEastAsia" w:hAnsiTheme="minorEastAsia" w:eastAsiaTheme="minorEastAsia"/>
          <w:b/>
          <w:color w:val="auto"/>
          <w:sz w:val="24"/>
          <w:highlight w:val="none"/>
        </w:rPr>
        <w:t>（以联合体形式响应的，提供联合协议；本项目不接受联合体响应或者供应商不以联合体形式响应的，则不需要提供）</w:t>
      </w:r>
    </w:p>
    <w:p w14:paraId="09CA6EBD">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u w:val="single"/>
        </w:rPr>
        <w:t>（联合体所有成员名称）</w:t>
      </w:r>
      <w:r>
        <w:rPr>
          <w:rFonts w:hint="eastAsia" w:cs="宋体" w:asciiTheme="minorEastAsia" w:hAnsiTheme="minorEastAsia" w:eastAsiaTheme="minorEastAsia"/>
          <w:color w:val="auto"/>
          <w:kern w:val="0"/>
          <w:sz w:val="24"/>
          <w:highlight w:val="none"/>
        </w:rPr>
        <w:t>自愿</w:t>
      </w:r>
      <w:r>
        <w:rPr>
          <w:rFonts w:hint="eastAsia" w:cs="宋体" w:asciiTheme="minorEastAsia" w:hAnsiTheme="minorEastAsia" w:eastAsiaTheme="minorEastAsia"/>
          <w:color w:val="auto"/>
          <w:kern w:val="0"/>
          <w:sz w:val="24"/>
          <w:highlight w:val="none"/>
          <w:lang w:val="zh-CN"/>
        </w:rPr>
        <w:t>组成一个联合体，以一个供应商的身份</w:t>
      </w:r>
      <w:r>
        <w:rPr>
          <w:rFonts w:hint="eastAsia" w:cs="宋体" w:asciiTheme="minorEastAsia" w:hAnsiTheme="minorEastAsia" w:eastAsiaTheme="minorEastAsia"/>
          <w:color w:val="auto"/>
          <w:kern w:val="0"/>
          <w:sz w:val="24"/>
          <w:highlight w:val="none"/>
        </w:rPr>
        <w:t>参加</w:t>
      </w:r>
      <w:r>
        <w:rPr>
          <w:rFonts w:hint="eastAsia" w:cs="仿宋_GB2312" w:asciiTheme="minorEastAsia" w:hAnsiTheme="minorEastAsia" w:eastAsiaTheme="minorEastAsia"/>
          <w:color w:val="auto"/>
          <w:sz w:val="24"/>
          <w:highlight w:val="none"/>
        </w:rPr>
        <w:t>（项目名称）</w:t>
      </w:r>
      <w:r>
        <w:rPr>
          <w:rFonts w:hint="eastAsia" w:cs="仿宋_GB2312" w:asciiTheme="minorEastAsia" w:hAnsiTheme="minorEastAsia" w:eastAsiaTheme="minorEastAsia"/>
          <w:color w:val="auto"/>
          <w:kern w:val="0"/>
          <w:sz w:val="24"/>
          <w:highlight w:val="none"/>
          <w:lang w:val="zh-CN"/>
        </w:rPr>
        <w:t>【项目编号：（采购编号）】响应</w:t>
      </w:r>
      <w:r>
        <w:rPr>
          <w:rFonts w:hint="eastAsia" w:cs="宋体" w:asciiTheme="minorEastAsia" w:hAnsiTheme="minorEastAsia" w:eastAsiaTheme="minorEastAsia"/>
          <w:color w:val="auto"/>
          <w:kern w:val="0"/>
          <w:sz w:val="24"/>
          <w:highlight w:val="none"/>
          <w:lang w:val="zh-CN"/>
        </w:rPr>
        <w:t xml:space="preserve">。 </w:t>
      </w:r>
    </w:p>
    <w:p w14:paraId="3E7E7C9A">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一、各方一致决定，</w:t>
      </w:r>
      <w:r>
        <w:rPr>
          <w:rFonts w:hint="eastAsia" w:cs="宋体" w:asciiTheme="minorEastAsia" w:hAnsiTheme="minorEastAsia" w:eastAsiaTheme="minorEastAsia"/>
          <w:color w:val="auto"/>
          <w:kern w:val="0"/>
          <w:sz w:val="24"/>
          <w:highlight w:val="none"/>
          <w:u w:val="single"/>
        </w:rPr>
        <w:t>（某联合体成员名称）</w:t>
      </w:r>
      <w:r>
        <w:rPr>
          <w:rFonts w:hint="eastAsia" w:cs="宋体" w:asciiTheme="minorEastAsia" w:hAnsiTheme="minorEastAsia" w:eastAsiaTheme="minorEastAsia"/>
          <w:color w:val="auto"/>
          <w:kern w:val="0"/>
          <w:sz w:val="24"/>
          <w:highlight w:val="none"/>
        </w:rPr>
        <w:t>为联合体</w:t>
      </w:r>
      <w:r>
        <w:rPr>
          <w:rFonts w:hint="eastAsia" w:cs="宋体" w:asciiTheme="minorEastAsia" w:hAnsiTheme="minorEastAsia" w:eastAsiaTheme="minorEastAsia"/>
          <w:color w:val="auto"/>
          <w:kern w:val="0"/>
          <w:sz w:val="24"/>
          <w:highlight w:val="none"/>
          <w:lang w:val="zh-CN"/>
        </w:rPr>
        <w:t>牵头人</w:t>
      </w:r>
      <w:r>
        <w:rPr>
          <w:rFonts w:hint="eastAsia" w:cs="宋体" w:asciiTheme="minorEastAsia" w:hAnsiTheme="minorEastAsia" w:eastAsiaTheme="minorEastAsia"/>
          <w:color w:val="auto"/>
          <w:sz w:val="24"/>
          <w:highlight w:val="none"/>
        </w:rPr>
        <w:t>，代表所有联合体成员负责响应和合同实施阶段的主办、协调工作</w:t>
      </w:r>
      <w:r>
        <w:rPr>
          <w:rFonts w:hint="eastAsia" w:cs="宋体" w:asciiTheme="minorEastAsia" w:hAnsiTheme="minorEastAsia" w:eastAsiaTheme="minorEastAsia"/>
          <w:color w:val="auto"/>
          <w:kern w:val="0"/>
          <w:sz w:val="24"/>
          <w:highlight w:val="none"/>
          <w:lang w:val="zh-CN"/>
        </w:rPr>
        <w:t>。</w:t>
      </w:r>
    </w:p>
    <w:p w14:paraId="49956BE2">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二、</w:t>
      </w:r>
      <w:r>
        <w:rPr>
          <w:rFonts w:hint="eastAsia" w:cs="宋体" w:asciiTheme="minorEastAsia" w:hAnsiTheme="minorEastAsia" w:eastAsiaTheme="minorEastAsia"/>
          <w:color w:val="auto"/>
          <w:sz w:val="24"/>
          <w:highlight w:val="none"/>
        </w:rPr>
        <w:t>所有联合体成员各方签署授权书，授权书载明的</w:t>
      </w:r>
      <w:r>
        <w:rPr>
          <w:rFonts w:hint="eastAsia" w:cs="宋体" w:asciiTheme="minorEastAsia" w:hAnsiTheme="minorEastAsia" w:eastAsiaTheme="minorEastAsia"/>
          <w:color w:val="auto"/>
          <w:kern w:val="0"/>
          <w:sz w:val="24"/>
          <w:highlight w:val="none"/>
          <w:lang w:val="zh-CN"/>
        </w:rPr>
        <w:t>授权代表根据磋商文件规定及采购内容而对采购人、采购代理机构所作的任何合法承诺，包括书面澄清及相应等均对联合体各方产生约束力。</w:t>
      </w:r>
    </w:p>
    <w:p w14:paraId="5C2CCA68">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三、本次联合响应中，分工如下：</w:t>
      </w:r>
    </w:p>
    <w:p w14:paraId="10A6FC64">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u w:val="single"/>
        </w:rPr>
        <w:t>（联合体成员1）</w:t>
      </w:r>
      <w:r>
        <w:rPr>
          <w:rFonts w:hint="eastAsia" w:cs="宋体" w:asciiTheme="minorEastAsia" w:hAnsiTheme="minorEastAsia" w:eastAsiaTheme="minorEastAsia"/>
          <w:color w:val="auto"/>
          <w:kern w:val="0"/>
          <w:sz w:val="24"/>
          <w:highlight w:val="none"/>
          <w:lang w:val="zh-CN"/>
        </w:rPr>
        <w:t>承担的工作和义务为：</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kern w:val="0"/>
          <w:sz w:val="24"/>
          <w:highlight w:val="none"/>
          <w:lang w:val="zh-CN"/>
        </w:rPr>
        <w:t>；</w:t>
      </w:r>
    </w:p>
    <w:p w14:paraId="3831D952">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u w:val="single"/>
        </w:rPr>
        <w:t>（联合体成员</w:t>
      </w:r>
      <w:r>
        <w:rPr>
          <w:rFonts w:cs="宋体" w:asciiTheme="minorEastAsia" w:hAnsiTheme="minorEastAsia" w:eastAsiaTheme="minorEastAsia"/>
          <w:color w:val="auto"/>
          <w:kern w:val="0"/>
          <w:sz w:val="24"/>
          <w:highlight w:val="none"/>
          <w:u w:val="single"/>
        </w:rPr>
        <w:t>2</w:t>
      </w:r>
      <w:r>
        <w:rPr>
          <w:rFonts w:hint="eastAsia" w:cs="宋体" w:asciiTheme="minorEastAsia" w:hAnsiTheme="minorEastAsia" w:eastAsiaTheme="minorEastAsia"/>
          <w:color w:val="auto"/>
          <w:kern w:val="0"/>
          <w:sz w:val="24"/>
          <w:highlight w:val="none"/>
          <w:u w:val="single"/>
        </w:rPr>
        <w:t>）</w:t>
      </w:r>
      <w:r>
        <w:rPr>
          <w:rFonts w:hint="eastAsia" w:cs="宋体" w:asciiTheme="minorEastAsia" w:hAnsiTheme="minorEastAsia" w:eastAsiaTheme="minorEastAsia"/>
          <w:color w:val="auto"/>
          <w:kern w:val="0"/>
          <w:sz w:val="24"/>
          <w:highlight w:val="none"/>
          <w:lang w:val="zh-CN"/>
        </w:rPr>
        <w:t>承担的工作和义务为：</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kern w:val="0"/>
          <w:sz w:val="24"/>
          <w:highlight w:val="none"/>
          <w:lang w:val="zh-CN"/>
        </w:rPr>
        <w:t>；</w:t>
      </w:r>
    </w:p>
    <w:p w14:paraId="6BC6A043">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w:t>
      </w:r>
    </w:p>
    <w:p w14:paraId="71D91004">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四、联合体成员中小企业合同份额（如果有）。</w:t>
      </w:r>
    </w:p>
    <w:p w14:paraId="38091808">
      <w:pPr>
        <w:snapToGrid w:val="0"/>
        <w:spacing w:line="360" w:lineRule="auto"/>
        <w:ind w:firstLine="576"/>
        <w:rPr>
          <w:rFonts w:cs="宋体" w:asciiTheme="minorEastAsia" w:hAnsiTheme="minorEastAsia" w:eastAsiaTheme="minorEastAsia"/>
          <w:b/>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1、</w:t>
      </w:r>
      <w:r>
        <w:rPr>
          <w:rFonts w:hint="eastAsia" w:cs="宋体" w:asciiTheme="minorEastAsia" w:hAnsiTheme="minorEastAsia" w:eastAsiaTheme="minorEastAsia"/>
          <w:color w:val="auto"/>
          <w:kern w:val="0"/>
          <w:sz w:val="24"/>
          <w:highlight w:val="none"/>
          <w:u w:val="single"/>
        </w:rPr>
        <w:t>（</w:t>
      </w:r>
      <w:bookmarkStart w:id="143" w:name="_Hlk101131882"/>
      <w:r>
        <w:rPr>
          <w:rFonts w:hint="eastAsia" w:cs="宋体" w:asciiTheme="minorEastAsia" w:hAnsiTheme="minorEastAsia" w:eastAsiaTheme="minorEastAsia"/>
          <w:color w:val="auto"/>
          <w:kern w:val="0"/>
          <w:sz w:val="24"/>
          <w:highlight w:val="none"/>
          <w:u w:val="single"/>
        </w:rPr>
        <w:t>联合体成员X</w:t>
      </w:r>
      <w:r>
        <w:rPr>
          <w:rFonts w:cs="宋体" w:asciiTheme="minorEastAsia" w:hAnsiTheme="minorEastAsia" w:eastAsiaTheme="minorEastAsia"/>
          <w:color w:val="auto"/>
          <w:kern w:val="0"/>
          <w:sz w:val="24"/>
          <w:highlight w:val="none"/>
          <w:u w:val="single"/>
        </w:rPr>
        <w:t>,</w:t>
      </w:r>
      <w:r>
        <w:rPr>
          <w:rFonts w:hint="eastAsia" w:cs="宋体" w:asciiTheme="minorEastAsia" w:hAnsiTheme="minorEastAsia" w:eastAsiaTheme="minorEastAsia"/>
          <w:color w:val="auto"/>
          <w:kern w:val="0"/>
          <w:sz w:val="24"/>
          <w:highlight w:val="none"/>
          <w:u w:val="single"/>
        </w:rPr>
        <w:t>……</w:t>
      </w:r>
      <w:bookmarkEnd w:id="143"/>
      <w:r>
        <w:rPr>
          <w:rFonts w:hint="eastAsia" w:cs="宋体" w:asciiTheme="minorEastAsia" w:hAnsiTheme="minorEastAsia" w:eastAsiaTheme="minorEastAsia"/>
          <w:color w:val="auto"/>
          <w:kern w:val="0"/>
          <w:sz w:val="24"/>
          <w:highlight w:val="none"/>
          <w:u w:val="single"/>
        </w:rPr>
        <w:t>）</w:t>
      </w:r>
      <w:r>
        <w:rPr>
          <w:rFonts w:hint="eastAsia" w:cs="宋体" w:asciiTheme="minorEastAsia" w:hAnsiTheme="minorEastAsia" w:eastAsiaTheme="minorEastAsia"/>
          <w:color w:val="auto"/>
          <w:kern w:val="0"/>
          <w:sz w:val="24"/>
          <w:highlight w:val="none"/>
        </w:rPr>
        <w:t>提供的服务由小微企业承接，其合同份额占到合同总金额</w:t>
      </w:r>
      <w:r>
        <w:rPr>
          <w:rFonts w:hint="eastAsia" w:cs="宋体" w:asciiTheme="minorEastAsia" w:hAnsiTheme="minorEastAsia" w:eastAsiaTheme="minorEastAsia"/>
          <w:color w:val="auto"/>
          <w:kern w:val="0"/>
          <w:sz w:val="24"/>
          <w:highlight w:val="none"/>
          <w:u w:val="single"/>
        </w:rPr>
        <w:t xml:space="preserve">     </w:t>
      </w:r>
      <w:r>
        <w:rPr>
          <w:rFonts w:hint="eastAsia" w:cs="宋体" w:asciiTheme="minorEastAsia" w:hAnsiTheme="minorEastAsia" w:eastAsiaTheme="minorEastAsia"/>
          <w:color w:val="auto"/>
          <w:kern w:val="0"/>
          <w:sz w:val="24"/>
          <w:highlight w:val="none"/>
        </w:rPr>
        <w:t>%以上</w:t>
      </w:r>
      <w:r>
        <w:rPr>
          <w:rFonts w:hint="eastAsia" w:cs="宋体"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b/>
          <w:color w:val="auto"/>
          <w:kern w:val="0"/>
          <w:sz w:val="24"/>
          <w:highlight w:val="none"/>
          <w:lang w:val="zh-CN"/>
        </w:rPr>
        <w:t>（</w:t>
      </w:r>
      <w:bookmarkStart w:id="144" w:name="_Hlk101133598"/>
      <w:r>
        <w:rPr>
          <w:rFonts w:hint="eastAsia" w:cs="宋体" w:asciiTheme="minorEastAsia" w:hAnsiTheme="minorEastAsia" w:eastAsiaTheme="minorEastAsia"/>
          <w:b/>
          <w:color w:val="auto"/>
          <w:kern w:val="0"/>
          <w:sz w:val="24"/>
          <w:highlight w:val="none"/>
          <w:lang w:val="zh-CN"/>
        </w:rPr>
        <w:t>未预留份额专门面向中小企业采购的采购项目，以及预留份额中的非预留部分采购包，接受联合体响应的，联合协议约定小微企业的合同份额占到合同总金额30%以上的，</w:t>
      </w:r>
      <w:r>
        <w:rPr>
          <w:rFonts w:hint="eastAsia" w:ascii="宋体" w:hAnsi="宋体" w:cs="宋体"/>
          <w:b/>
          <w:color w:val="auto"/>
          <w:kern w:val="0"/>
          <w:sz w:val="24"/>
          <w:highlight w:val="none"/>
          <w:lang w:val="zh-CN"/>
        </w:rPr>
        <w:t>对联合体报价按评标标准确定的比例给予扣除</w:t>
      </w:r>
      <w:r>
        <w:rPr>
          <w:rFonts w:hint="eastAsia" w:cs="宋体" w:asciiTheme="minorEastAsia" w:hAnsiTheme="minorEastAsia" w:eastAsiaTheme="minorEastAsia"/>
          <w:b/>
          <w:color w:val="auto"/>
          <w:kern w:val="0"/>
          <w:sz w:val="24"/>
          <w:highlight w:val="none"/>
          <w:lang w:val="zh-CN"/>
        </w:rPr>
        <w:t>。供应商</w:t>
      </w:r>
      <w:r>
        <w:rPr>
          <w:rFonts w:hint="eastAsia" w:cs="宋体" w:asciiTheme="minorEastAsia" w:hAnsiTheme="minorEastAsia" w:eastAsiaTheme="minorEastAsia"/>
          <w:b/>
          <w:color w:val="auto"/>
          <w:sz w:val="24"/>
          <w:highlight w:val="none"/>
        </w:rPr>
        <w:t>拟享受以上价格扣除政策的，填写有关内容。</w:t>
      </w:r>
      <w:bookmarkEnd w:id="144"/>
      <w:r>
        <w:rPr>
          <w:rFonts w:hint="eastAsia" w:cs="宋体" w:asciiTheme="minorEastAsia" w:hAnsiTheme="minorEastAsia" w:eastAsiaTheme="minorEastAsia"/>
          <w:b/>
          <w:color w:val="auto"/>
          <w:kern w:val="0"/>
          <w:sz w:val="24"/>
          <w:highlight w:val="none"/>
          <w:lang w:val="zh-CN"/>
        </w:rPr>
        <w:t>）</w:t>
      </w:r>
    </w:p>
    <w:p w14:paraId="6156D0EF">
      <w:pPr>
        <w:spacing w:line="360" w:lineRule="auto"/>
        <w:ind w:firstLine="480" w:firstLineChars="200"/>
        <w:rPr>
          <w:rFonts w:cs="宋体" w:asciiTheme="minorEastAsia" w:hAnsiTheme="minorEastAsia" w:eastAsiaTheme="minorEastAsia"/>
          <w:b/>
          <w:bCs/>
          <w:color w:val="auto"/>
          <w:kern w:val="0"/>
          <w:sz w:val="24"/>
          <w:highlight w:val="none"/>
          <w:lang w:val="zh-CN"/>
        </w:rPr>
      </w:pPr>
      <w:r>
        <w:rPr>
          <w:rFonts w:hint="eastAsia" w:cs="宋体" w:asciiTheme="minorEastAsia" w:hAnsiTheme="minorEastAsia" w:eastAsiaTheme="minorEastAsia"/>
          <w:color w:val="auto"/>
          <w:sz w:val="24"/>
          <w:highlight w:val="none"/>
        </w:rPr>
        <w:t>2、</w:t>
      </w:r>
      <w:bookmarkStart w:id="145" w:name="_Hlk101133173"/>
      <w:r>
        <w:rPr>
          <w:rFonts w:hint="eastAsia" w:cs="宋体" w:asciiTheme="minorEastAsia" w:hAnsiTheme="minorEastAsia" w:eastAsiaTheme="minorEastAsia"/>
          <w:color w:val="auto"/>
          <w:sz w:val="24"/>
          <w:highlight w:val="none"/>
        </w:rPr>
        <w:t>中小企业合同金额达到</w:t>
      </w:r>
      <w:r>
        <w:rPr>
          <w:rFonts w:hint="eastAsia" w:cs="宋体" w:asciiTheme="minorEastAsia" w:hAnsiTheme="minorEastAsia" w:eastAsiaTheme="minorEastAsia"/>
          <w:color w:val="auto"/>
          <w:sz w:val="24"/>
          <w:highlight w:val="none"/>
          <w:u w:val="single"/>
        </w:rPr>
        <w:t xml:space="preserve">  </w:t>
      </w:r>
      <w:r>
        <w:rPr>
          <w:rFonts w:hint="eastAsia" w:cs="宋体" w:asciiTheme="minorEastAsia" w:hAnsiTheme="minorEastAsia" w:eastAsiaTheme="minorEastAsia"/>
          <w:color w:val="auto"/>
          <w:sz w:val="24"/>
          <w:highlight w:val="none"/>
        </w:rPr>
        <w:t>%，其中小微企业合同金额达到</w:t>
      </w:r>
      <w:r>
        <w:rPr>
          <w:rFonts w:hint="eastAsia" w:cs="宋体" w:asciiTheme="minorEastAsia" w:hAnsiTheme="minorEastAsia" w:eastAsiaTheme="minorEastAsia"/>
          <w:color w:val="auto"/>
          <w:sz w:val="24"/>
          <w:highlight w:val="none"/>
          <w:u w:val="single"/>
        </w:rPr>
        <w:t xml:space="preserve"> </w:t>
      </w:r>
      <w:r>
        <w:rPr>
          <w:rFonts w:hint="eastAsia" w:cs="宋体" w:asciiTheme="minorEastAsia" w:hAnsiTheme="minorEastAsia" w:eastAsiaTheme="minorEastAsia"/>
          <w:color w:val="auto"/>
          <w:sz w:val="24"/>
          <w:highlight w:val="none"/>
        </w:rPr>
        <w:t>%</w:t>
      </w:r>
      <w:r>
        <w:rPr>
          <w:rFonts w:hint="eastAsia" w:cs="宋体"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b/>
          <w:bCs/>
          <w:color w:val="auto"/>
          <w:kern w:val="0"/>
          <w:sz w:val="24"/>
          <w:highlight w:val="none"/>
          <w:lang w:val="zh-CN"/>
        </w:rPr>
        <w:t>（</w:t>
      </w:r>
      <w:r>
        <w:rPr>
          <w:rFonts w:hint="eastAsia" w:cs="宋体" w:asciiTheme="minorEastAsia" w:hAnsiTheme="minorEastAsia" w:eastAsiaTheme="minorEastAsia"/>
          <w:b/>
          <w:bCs/>
          <w:color w:val="auto"/>
          <w:sz w:val="24"/>
          <w:highlight w:val="none"/>
        </w:rPr>
        <w:t>要求以联合体形式参加的项目或采购包，供应商按磋商文件第一部分竞争性磋商邀请公告申请人的资格要求中规定的联合协议中中小企业、小微企业合同金额应当达到的比例要求填写。</w:t>
      </w:r>
      <w:r>
        <w:rPr>
          <w:rFonts w:hint="eastAsia" w:cs="宋体" w:asciiTheme="minorEastAsia" w:hAnsiTheme="minorEastAsia" w:eastAsiaTheme="minorEastAsia"/>
          <w:b/>
          <w:bCs/>
          <w:color w:val="auto"/>
          <w:kern w:val="0"/>
          <w:sz w:val="24"/>
          <w:highlight w:val="none"/>
          <w:lang w:val="zh-CN"/>
        </w:rPr>
        <w:t>）</w:t>
      </w:r>
      <w:bookmarkEnd w:id="145"/>
    </w:p>
    <w:p w14:paraId="7460B06B">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五、如果成交，</w:t>
      </w:r>
      <w:r>
        <w:rPr>
          <w:rFonts w:hint="eastAsia" w:cs="宋体" w:asciiTheme="minorEastAsia" w:hAnsiTheme="minorEastAsia" w:eastAsiaTheme="minorEastAsia"/>
          <w:color w:val="auto"/>
          <w:sz w:val="24"/>
          <w:highlight w:val="none"/>
        </w:rPr>
        <w:t>联合体各成员方共同与采购人签订合同，并就采购合同约定的事项对采购人承担连带责任。</w:t>
      </w:r>
    </w:p>
    <w:p w14:paraId="77A37A2A">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六、有关本次联合响应的其他事宜：</w:t>
      </w:r>
    </w:p>
    <w:p w14:paraId="5D35441C">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1、联合体各方不再单独参加或者与其他供应商另外组成联合体参加同一合同项下的政府采购活动。</w:t>
      </w:r>
    </w:p>
    <w:p w14:paraId="5671E7E9">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2、联合体中有同类资质的各方按照联合体分工承担相同工作的，按照资质等级较低的供应商确定资质等级。</w:t>
      </w:r>
    </w:p>
    <w:p w14:paraId="0C12AB66">
      <w:pPr>
        <w:snapToGrid w:val="0"/>
        <w:spacing w:line="360" w:lineRule="auto"/>
        <w:ind w:firstLine="576"/>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3、本协议提交采购人、采购代理机构后，联合体各方不得以任何形式对上述内容进行修改或撤销。</w:t>
      </w:r>
    </w:p>
    <w:p w14:paraId="462BCCA1">
      <w:pPr>
        <w:snapToGrid w:val="0"/>
        <w:spacing w:line="360" w:lineRule="auto"/>
        <w:ind w:firstLine="5040" w:firstLineChars="21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联合体成员名称(公章)：</w:t>
      </w:r>
    </w:p>
    <w:p w14:paraId="771506FD">
      <w:pPr>
        <w:snapToGrid w:val="0"/>
        <w:spacing w:line="360" w:lineRule="auto"/>
        <w:ind w:firstLine="5040" w:firstLineChars="2100"/>
        <w:rPr>
          <w:rStyle w:val="632"/>
          <w:color w:val="auto"/>
          <w:highlight w:val="none"/>
        </w:rPr>
      </w:pPr>
      <w:r>
        <w:rPr>
          <w:rStyle w:val="632"/>
          <w:rFonts w:hint="eastAsia"/>
          <w:color w:val="auto"/>
          <w:highlight w:val="none"/>
        </w:rPr>
        <w:t>法定代表人（负责人） (签名)：</w:t>
      </w:r>
    </w:p>
    <w:p w14:paraId="153BF131">
      <w:pPr>
        <w:snapToGrid w:val="0"/>
        <w:spacing w:line="360" w:lineRule="auto"/>
        <w:ind w:firstLine="5040" w:firstLineChars="2100"/>
        <w:rPr>
          <w:rFonts w:ascii="宋体" w:hAnsi="宋体" w:cs="宋体"/>
          <w:color w:val="auto"/>
          <w:kern w:val="0"/>
          <w:sz w:val="24"/>
          <w:highlight w:val="none"/>
          <w:lang w:val="zh-CN"/>
        </w:rPr>
      </w:pPr>
      <w:r>
        <w:rPr>
          <w:rStyle w:val="632"/>
          <w:rFonts w:hint="eastAsia"/>
          <w:color w:val="auto"/>
          <w:highlight w:val="none"/>
        </w:rPr>
        <w:t>联合体成</w:t>
      </w:r>
      <w:r>
        <w:rPr>
          <w:rFonts w:hint="eastAsia" w:ascii="宋体" w:hAnsi="宋体" w:cs="宋体"/>
          <w:color w:val="auto"/>
          <w:kern w:val="0"/>
          <w:sz w:val="24"/>
          <w:highlight w:val="none"/>
          <w:lang w:val="zh-CN"/>
        </w:rPr>
        <w:t>员名称(公章)：</w:t>
      </w:r>
    </w:p>
    <w:p w14:paraId="7D7437A0">
      <w:pPr>
        <w:snapToGrid w:val="0"/>
        <w:spacing w:line="360" w:lineRule="auto"/>
        <w:ind w:firstLine="5040" w:firstLineChars="2100"/>
        <w:rPr>
          <w:rFonts w:cs="宋体" w:asciiTheme="minorEastAsia" w:hAnsiTheme="minorEastAsia" w:eastAsiaTheme="minorEastAsia"/>
          <w:color w:val="auto"/>
          <w:kern w:val="0"/>
          <w:sz w:val="24"/>
          <w:highlight w:val="none"/>
          <w:lang w:val="zh-CN"/>
        </w:rPr>
      </w:pPr>
      <w:r>
        <w:rPr>
          <w:rStyle w:val="632"/>
          <w:rFonts w:hint="eastAsia"/>
          <w:color w:val="auto"/>
          <w:highlight w:val="none"/>
        </w:rPr>
        <w:t>法定代表人（负责人） (签名)：</w:t>
      </w:r>
    </w:p>
    <w:p w14:paraId="22158756">
      <w:pPr>
        <w:snapToGrid w:val="0"/>
        <w:spacing w:line="360" w:lineRule="auto"/>
        <w:ind w:firstLine="5760" w:firstLineChars="24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kern w:val="0"/>
          <w:sz w:val="24"/>
          <w:highlight w:val="none"/>
          <w:lang w:val="zh-CN"/>
        </w:rPr>
        <w:t>……</w:t>
      </w:r>
    </w:p>
    <w:p w14:paraId="3255DF33">
      <w:pPr>
        <w:snapToGrid w:val="0"/>
        <w:spacing w:line="360" w:lineRule="auto"/>
        <w:jc w:val="right"/>
        <w:rPr>
          <w:rFonts w:cs="宋体" w:asciiTheme="minorEastAsia" w:hAnsiTheme="minorEastAsia" w:eastAsiaTheme="minorEastAsia"/>
          <w:color w:val="auto"/>
          <w:kern w:val="0"/>
          <w:sz w:val="24"/>
          <w:highlight w:val="none"/>
          <w:lang w:val="zh-CN"/>
        </w:rPr>
      </w:pPr>
      <w:r>
        <w:rPr>
          <w:rFonts w:hint="eastAsia" w:cs="宋体" w:asciiTheme="minorEastAsia" w:hAnsiTheme="minorEastAsia" w:eastAsiaTheme="minorEastAsia"/>
          <w:color w:val="auto"/>
          <w:kern w:val="0"/>
          <w:sz w:val="24"/>
          <w:highlight w:val="none"/>
          <w:lang w:val="zh-CN"/>
        </w:rPr>
        <w:t>日期：  年  月   日</w:t>
      </w:r>
    </w:p>
    <w:p w14:paraId="08CE4F34">
      <w:pPr>
        <w:spacing w:line="360" w:lineRule="auto"/>
        <w:ind w:right="420"/>
        <w:rPr>
          <w:rFonts w:cs="宋体"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注：按本格式和要求提供。</w:t>
      </w:r>
    </w:p>
    <w:p w14:paraId="356F84FF">
      <w:pPr>
        <w:spacing w:line="300" w:lineRule="auto"/>
        <w:rPr>
          <w:color w:val="auto"/>
          <w:kern w:val="1"/>
          <w:highlight w:val="none"/>
        </w:rPr>
      </w:pPr>
      <w:r>
        <w:rPr>
          <w:rFonts w:ascii="宋体" w:hAnsi="宋体" w:eastAsia="宋体" w:cs="宋体"/>
          <w:color w:val="auto"/>
          <w:sz w:val="21"/>
          <w:szCs w:val="21"/>
          <w:highlight w:val="none"/>
        </w:rPr>
        <w:br w:type="page"/>
      </w:r>
    </w:p>
    <w:p w14:paraId="1E178A27">
      <w:pPr>
        <w:widowControl/>
        <w:spacing w:after="262" w:line="380" w:lineRule="exact"/>
        <w:ind w:firstLine="562"/>
        <w:jc w:val="center"/>
        <w:rPr>
          <w:b/>
          <w:color w:val="auto"/>
          <w:kern w:val="1"/>
          <w:sz w:val="28"/>
          <w:szCs w:val="28"/>
          <w:highlight w:val="none"/>
        </w:rPr>
      </w:pPr>
      <w:r>
        <w:rPr>
          <w:rFonts w:hint="eastAsia"/>
          <w:b/>
          <w:color w:val="auto"/>
          <w:kern w:val="1"/>
          <w:sz w:val="28"/>
          <w:szCs w:val="28"/>
          <w:highlight w:val="none"/>
        </w:rPr>
        <w:t>中小企业声明函（服务）</w:t>
      </w:r>
    </w:p>
    <w:p w14:paraId="5C0D7503">
      <w:pPr>
        <w:widowControl/>
        <w:spacing w:line="360" w:lineRule="auto"/>
        <w:ind w:firstLine="420"/>
        <w:rPr>
          <w:rFonts w:ascii="宋体" w:hAnsi="宋体" w:cs="宋体"/>
          <w:color w:val="auto"/>
          <w:kern w:val="1"/>
          <w:sz w:val="24"/>
          <w:szCs w:val="24"/>
          <w:highlight w:val="none"/>
        </w:rPr>
      </w:pPr>
      <w:r>
        <w:rPr>
          <w:rFonts w:hint="eastAsia" w:ascii="宋体" w:hAnsi="宋体" w:cs="宋体"/>
          <w:color w:val="auto"/>
          <w:kern w:val="1"/>
          <w:sz w:val="24"/>
          <w:szCs w:val="24"/>
          <w:highlight w:val="none"/>
        </w:rPr>
        <w:t>本公司（联合体）郑重声明，根据《政府采购促进中小企业发展管理办法》(财库〔2020〕46号)的规定，本公司（联合体）参加</w:t>
      </w:r>
      <w:r>
        <w:rPr>
          <w:rFonts w:hint="eastAsia" w:ascii="宋体" w:hAnsi="宋体" w:cs="宋体"/>
          <w:color w:val="auto"/>
          <w:kern w:val="1"/>
          <w:sz w:val="24"/>
          <w:szCs w:val="24"/>
          <w:highlight w:val="none"/>
          <w:u w:val="single"/>
        </w:rPr>
        <w:t>（单位名称）</w:t>
      </w:r>
      <w:r>
        <w:rPr>
          <w:rFonts w:hint="eastAsia" w:ascii="宋体" w:hAnsi="宋体" w:cs="宋体"/>
          <w:color w:val="auto"/>
          <w:kern w:val="1"/>
          <w:sz w:val="24"/>
          <w:szCs w:val="24"/>
          <w:highlight w:val="none"/>
        </w:rPr>
        <w:t>的</w:t>
      </w:r>
      <w:r>
        <w:rPr>
          <w:rFonts w:hint="eastAsia" w:ascii="宋体" w:hAnsi="宋体" w:cs="宋体"/>
          <w:color w:val="auto"/>
          <w:kern w:val="1"/>
          <w:sz w:val="24"/>
          <w:szCs w:val="24"/>
          <w:highlight w:val="none"/>
          <w:u w:val="single"/>
        </w:rPr>
        <w:t>（项目名称）</w:t>
      </w:r>
      <w:r>
        <w:rPr>
          <w:rFonts w:hint="eastAsia" w:ascii="宋体" w:hAnsi="宋体" w:cs="宋体"/>
          <w:color w:val="auto"/>
          <w:kern w:val="1"/>
          <w:sz w:val="24"/>
          <w:szCs w:val="24"/>
          <w:highlight w:val="none"/>
        </w:rPr>
        <w:t>采购活动，服务全部由符合政策要求的中小企业承接。相关企业（含联合体中的中小企业、签订分包意向协议的中小企业）的具体情况如下：</w:t>
      </w:r>
    </w:p>
    <w:p w14:paraId="29DC64E7">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1.</w:t>
      </w:r>
      <w:r>
        <w:rPr>
          <w:rFonts w:ascii="宋体" w:hAnsi="宋体" w:cs="宋体"/>
          <w:color w:val="auto"/>
          <w:kern w:val="1"/>
          <w:sz w:val="24"/>
          <w:szCs w:val="24"/>
          <w:highlight w:val="none"/>
          <w:u w:val="single"/>
        </w:rPr>
        <w:t>（标的名称）</w:t>
      </w:r>
      <w:r>
        <w:rPr>
          <w:rFonts w:ascii="宋体" w:hAnsi="宋体" w:cs="宋体"/>
          <w:color w:val="auto"/>
          <w:kern w:val="1"/>
          <w:sz w:val="24"/>
          <w:szCs w:val="24"/>
          <w:highlight w:val="none"/>
        </w:rPr>
        <w:t>，属于</w:t>
      </w:r>
      <w:r>
        <w:rPr>
          <w:rFonts w:ascii="宋体" w:hAnsi="宋体" w:cs="宋体"/>
          <w:color w:val="auto"/>
          <w:kern w:val="1"/>
          <w:sz w:val="24"/>
          <w:szCs w:val="24"/>
          <w:highlight w:val="none"/>
          <w:u w:val="single"/>
        </w:rPr>
        <w:t>（采购文件中明确的所属行业）</w:t>
      </w:r>
      <w:r>
        <w:rPr>
          <w:rFonts w:ascii="宋体" w:hAnsi="宋体" w:cs="宋体"/>
          <w:color w:val="auto"/>
          <w:kern w:val="1"/>
          <w:sz w:val="24"/>
          <w:szCs w:val="24"/>
          <w:highlight w:val="none"/>
        </w:rPr>
        <w:t>行业；承接企业为</w:t>
      </w:r>
      <w:r>
        <w:rPr>
          <w:rFonts w:ascii="宋体" w:hAnsi="宋体" w:cs="宋体"/>
          <w:color w:val="auto"/>
          <w:kern w:val="1"/>
          <w:sz w:val="24"/>
          <w:szCs w:val="24"/>
          <w:highlight w:val="none"/>
          <w:u w:val="single"/>
        </w:rPr>
        <w:t>（企业名称）</w:t>
      </w:r>
      <w:r>
        <w:rPr>
          <w:rFonts w:ascii="宋体" w:hAnsi="宋体" w:cs="宋体"/>
          <w:color w:val="auto"/>
          <w:kern w:val="1"/>
          <w:sz w:val="24"/>
          <w:szCs w:val="24"/>
          <w:highlight w:val="none"/>
        </w:rPr>
        <w:t>，从业人员</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人，营业收入为_________万元，资产总额为</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万元，属于</w:t>
      </w:r>
      <w:r>
        <w:rPr>
          <w:rFonts w:ascii="宋体" w:hAnsi="宋体" w:cs="宋体"/>
          <w:color w:val="auto"/>
          <w:kern w:val="1"/>
          <w:sz w:val="24"/>
          <w:szCs w:val="24"/>
          <w:highlight w:val="none"/>
          <w:u w:val="single"/>
        </w:rPr>
        <w:t>(中型企业、小型企业、微型企业)</w:t>
      </w:r>
      <w:r>
        <w:rPr>
          <w:rFonts w:ascii="宋体" w:hAnsi="宋体" w:cs="宋体"/>
          <w:color w:val="auto"/>
          <w:kern w:val="1"/>
          <w:sz w:val="24"/>
          <w:szCs w:val="24"/>
          <w:highlight w:val="none"/>
        </w:rPr>
        <w:t>；</w:t>
      </w:r>
    </w:p>
    <w:p w14:paraId="6565EAF0">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2.</w:t>
      </w:r>
      <w:r>
        <w:rPr>
          <w:rFonts w:ascii="宋体" w:hAnsi="宋体" w:cs="宋体"/>
          <w:color w:val="auto"/>
          <w:kern w:val="1"/>
          <w:sz w:val="24"/>
          <w:szCs w:val="24"/>
          <w:highlight w:val="none"/>
          <w:u w:val="single"/>
        </w:rPr>
        <w:t>（标的名称）</w:t>
      </w:r>
      <w:r>
        <w:rPr>
          <w:rFonts w:ascii="宋体" w:hAnsi="宋体" w:cs="宋体"/>
          <w:color w:val="auto"/>
          <w:kern w:val="1"/>
          <w:sz w:val="24"/>
          <w:szCs w:val="24"/>
          <w:highlight w:val="none"/>
        </w:rPr>
        <w:t>，属于</w:t>
      </w:r>
      <w:r>
        <w:rPr>
          <w:rFonts w:ascii="宋体" w:hAnsi="宋体" w:cs="宋体"/>
          <w:color w:val="auto"/>
          <w:kern w:val="1"/>
          <w:sz w:val="24"/>
          <w:szCs w:val="24"/>
          <w:highlight w:val="none"/>
          <w:u w:val="single"/>
        </w:rPr>
        <w:t>（采购文件中明确的所属行业）</w:t>
      </w:r>
      <w:r>
        <w:rPr>
          <w:rFonts w:ascii="宋体" w:hAnsi="宋体" w:cs="宋体"/>
          <w:color w:val="auto"/>
          <w:kern w:val="1"/>
          <w:sz w:val="24"/>
          <w:szCs w:val="24"/>
          <w:highlight w:val="none"/>
        </w:rPr>
        <w:t>行业；承接企业为</w:t>
      </w:r>
      <w:r>
        <w:rPr>
          <w:rFonts w:ascii="宋体" w:hAnsi="宋体" w:cs="宋体"/>
          <w:color w:val="auto"/>
          <w:kern w:val="1"/>
          <w:sz w:val="24"/>
          <w:szCs w:val="24"/>
          <w:highlight w:val="none"/>
          <w:u w:val="single"/>
        </w:rPr>
        <w:t>（企业名称）</w:t>
      </w:r>
      <w:r>
        <w:rPr>
          <w:rFonts w:ascii="宋体" w:hAnsi="宋体" w:cs="宋体"/>
          <w:color w:val="auto"/>
          <w:kern w:val="1"/>
          <w:sz w:val="24"/>
          <w:szCs w:val="24"/>
          <w:highlight w:val="none"/>
        </w:rPr>
        <w:t>，从业人员</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人，营业收入为</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万元，资产总额为</w:t>
      </w:r>
      <w:r>
        <w:rPr>
          <w:rFonts w:hint="eastAsia" w:ascii="宋体" w:hAnsi="宋体" w:cs="宋体"/>
          <w:color w:val="auto"/>
          <w:kern w:val="1"/>
          <w:sz w:val="24"/>
          <w:szCs w:val="24"/>
          <w:highlight w:val="none"/>
          <w:u w:val="single"/>
          <w:lang w:val="en-US" w:eastAsia="zh-CN"/>
        </w:rPr>
        <w:t xml:space="preserve">        </w:t>
      </w:r>
      <w:r>
        <w:rPr>
          <w:rFonts w:ascii="宋体" w:hAnsi="宋体" w:cs="宋体"/>
          <w:color w:val="auto"/>
          <w:kern w:val="1"/>
          <w:sz w:val="24"/>
          <w:szCs w:val="24"/>
          <w:highlight w:val="none"/>
        </w:rPr>
        <w:t>万元，属于</w:t>
      </w:r>
      <w:r>
        <w:rPr>
          <w:rFonts w:ascii="宋体" w:hAnsi="宋体" w:cs="宋体"/>
          <w:i/>
          <w:color w:val="auto"/>
          <w:kern w:val="1"/>
          <w:sz w:val="24"/>
          <w:szCs w:val="24"/>
          <w:highlight w:val="none"/>
          <w:u w:val="single"/>
        </w:rPr>
        <w:t>(</w:t>
      </w:r>
      <w:r>
        <w:rPr>
          <w:rFonts w:ascii="宋体" w:hAnsi="宋体" w:cs="宋体"/>
          <w:color w:val="auto"/>
          <w:kern w:val="1"/>
          <w:sz w:val="24"/>
          <w:szCs w:val="24"/>
          <w:highlight w:val="none"/>
          <w:u w:val="single"/>
        </w:rPr>
        <w:t>中型企业、小型企业、微型企业)</w:t>
      </w:r>
      <w:r>
        <w:rPr>
          <w:rFonts w:ascii="宋体" w:hAnsi="宋体" w:cs="宋体"/>
          <w:color w:val="auto"/>
          <w:kern w:val="1"/>
          <w:sz w:val="24"/>
          <w:szCs w:val="24"/>
          <w:highlight w:val="none"/>
        </w:rPr>
        <w:t>；</w:t>
      </w:r>
    </w:p>
    <w:p w14:paraId="24940C00">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w:t>
      </w:r>
    </w:p>
    <w:p w14:paraId="2A5533C5">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以上企业，不属于大企业的分支机构，不存在控股股东为大企业的情形，也不存在与大企业的负责人为同一人的情形。</w:t>
      </w:r>
    </w:p>
    <w:p w14:paraId="0739DD10">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本企业对上述声明内容的真实性负责。如有虚假，将依法承担相应责任。</w:t>
      </w:r>
    </w:p>
    <w:p w14:paraId="3A095199">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w:t>
      </w:r>
      <w:r>
        <w:rPr>
          <w:rFonts w:ascii="宋体" w:hAnsi="宋体" w:eastAsia="宋体" w:cs="宋体"/>
          <w:color w:val="auto"/>
          <w:spacing w:val="-9"/>
          <w:sz w:val="24"/>
          <w:szCs w:val="24"/>
          <w:highlight w:val="none"/>
        </w:rPr>
        <w:t>供应商（</w:t>
      </w:r>
      <w:r>
        <w:rPr>
          <w:rFonts w:hint="eastAsia" w:ascii="宋体" w:hAnsi="宋体" w:eastAsia="宋体" w:cs="宋体"/>
          <w:color w:val="auto"/>
          <w:spacing w:val="-9"/>
          <w:sz w:val="24"/>
          <w:szCs w:val="24"/>
          <w:highlight w:val="none"/>
          <w:lang w:val="en-US" w:eastAsia="zh-CN"/>
        </w:rPr>
        <w:t>盖</w:t>
      </w:r>
      <w:r>
        <w:rPr>
          <w:rFonts w:hint="eastAsia" w:ascii="宋体" w:hAnsi="宋体" w:eastAsia="宋体" w:cs="宋体"/>
          <w:color w:val="auto"/>
          <w:spacing w:val="-9"/>
          <w:sz w:val="24"/>
          <w:szCs w:val="24"/>
          <w:highlight w:val="none"/>
        </w:rPr>
        <w:t>公章</w:t>
      </w:r>
      <w:r>
        <w:rPr>
          <w:rFonts w:ascii="宋体" w:hAnsi="宋体" w:eastAsia="宋体" w:cs="宋体"/>
          <w:color w:val="auto"/>
          <w:spacing w:val="-10"/>
          <w:sz w:val="24"/>
          <w:szCs w:val="24"/>
          <w:highlight w:val="none"/>
        </w:rPr>
        <w:t>）</w:t>
      </w:r>
      <w:r>
        <w:rPr>
          <w:rFonts w:ascii="宋体" w:hAnsi="宋体" w:eastAsia="宋体" w:cs="宋体"/>
          <w:color w:val="auto"/>
          <w:spacing w:val="-20"/>
          <w:sz w:val="24"/>
          <w:szCs w:val="24"/>
          <w:highlight w:val="none"/>
        </w:rPr>
        <w:t xml:space="preserve"> </w:t>
      </w:r>
      <w:r>
        <w:rPr>
          <w:rFonts w:ascii="宋体" w:hAnsi="宋体" w:cs="宋体"/>
          <w:color w:val="auto"/>
          <w:kern w:val="1"/>
          <w:sz w:val="24"/>
          <w:szCs w:val="24"/>
          <w:highlight w:val="none"/>
        </w:rPr>
        <w:t>：</w:t>
      </w:r>
    </w:p>
    <w:p w14:paraId="2C01FF7A">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日    期：</w:t>
      </w:r>
    </w:p>
    <w:p w14:paraId="2E1AAE84">
      <w:pPr>
        <w:widowControl/>
        <w:spacing w:line="360" w:lineRule="auto"/>
        <w:ind w:firstLine="420"/>
        <w:rPr>
          <w:rFonts w:ascii="宋体" w:hAnsi="宋体" w:cs="宋体"/>
          <w:color w:val="auto"/>
          <w:kern w:val="1"/>
          <w:sz w:val="24"/>
          <w:szCs w:val="24"/>
          <w:highlight w:val="none"/>
        </w:rPr>
      </w:pPr>
    </w:p>
    <w:p w14:paraId="0F17AF20">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填写注意事项：</w:t>
      </w:r>
    </w:p>
    <w:p w14:paraId="4000F81F">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（1）从业人员、营业收入、资产总额填报上一年度数据，无上一年度数据的新成立企业可不填报。</w:t>
      </w:r>
    </w:p>
    <w:p w14:paraId="20DBD35E">
      <w:pPr>
        <w:widowControl/>
        <w:spacing w:line="360" w:lineRule="auto"/>
        <w:ind w:firstLine="420"/>
        <w:rPr>
          <w:rFonts w:ascii="宋体" w:hAnsi="宋体" w:cs="宋体"/>
          <w:color w:val="auto"/>
          <w:kern w:val="1"/>
          <w:sz w:val="24"/>
          <w:szCs w:val="24"/>
          <w:highlight w:val="none"/>
          <w:shd w:val="clear" w:color="auto" w:fill="FFFFFF"/>
        </w:rPr>
      </w:pPr>
      <w:r>
        <w:rPr>
          <w:rFonts w:ascii="宋体" w:hAnsi="宋体" w:cs="宋体"/>
          <w:color w:val="auto"/>
          <w:kern w:val="1"/>
          <w:sz w:val="24"/>
          <w:szCs w:val="24"/>
          <w:highlight w:val="none"/>
          <w:shd w:val="clear" w:color="auto" w:fill="FFFFFF"/>
        </w:rPr>
        <w:t>（2）供应商按照本办法规定提供声明函内容不实的，属于提供虚假材料谋取中标、成交，依照《中华人民共和国政府采购法》等国家有关规定追究相应责任。</w:t>
      </w:r>
    </w:p>
    <w:p w14:paraId="4B702156">
      <w:pPr>
        <w:widowControl/>
        <w:spacing w:line="360" w:lineRule="auto"/>
        <w:ind w:firstLine="420"/>
        <w:rPr>
          <w:rFonts w:ascii="宋体" w:hAnsi="宋体" w:cs="宋体"/>
          <w:color w:val="auto"/>
          <w:kern w:val="1"/>
          <w:sz w:val="24"/>
          <w:szCs w:val="24"/>
          <w:highlight w:val="none"/>
        </w:rPr>
      </w:pPr>
      <w:r>
        <w:rPr>
          <w:rFonts w:ascii="宋体" w:hAnsi="宋体" w:cs="宋体"/>
          <w:color w:val="auto"/>
          <w:kern w:val="1"/>
          <w:sz w:val="24"/>
          <w:szCs w:val="24"/>
          <w:highlight w:val="none"/>
          <w:shd w:val="clear" w:color="auto" w:fill="FFFFFF"/>
        </w:rPr>
        <w:t>（3）政府采购监督检查、投诉处理及政府采购行政处罚中对中小企业的认定，由货物制造商或者工程、服务供应商注册登记所在地的县级以上人民政府中小企业主管部门负责。</w:t>
      </w:r>
    </w:p>
    <w:p w14:paraId="29483876">
      <w:pPr>
        <w:spacing w:line="360" w:lineRule="exact"/>
        <w:ind w:firstLine="6720"/>
        <w:rPr>
          <w:rFonts w:ascii="宋体" w:hAnsi="宋体" w:cs="Courier New"/>
          <w:color w:val="auto"/>
          <w:kern w:val="1"/>
          <w:szCs w:val="21"/>
          <w:highlight w:val="none"/>
        </w:rPr>
      </w:pPr>
    </w:p>
    <w:p w14:paraId="5F9C8E39">
      <w:pPr>
        <w:spacing w:line="360" w:lineRule="exact"/>
        <w:ind w:firstLine="6720"/>
        <w:rPr>
          <w:rFonts w:ascii="宋体" w:hAnsi="宋体" w:cs="Courier New"/>
          <w:color w:val="auto"/>
          <w:kern w:val="1"/>
          <w:szCs w:val="21"/>
          <w:highlight w:val="none"/>
        </w:rPr>
      </w:pPr>
    </w:p>
    <w:p w14:paraId="296E7DFF">
      <w:pPr>
        <w:spacing w:line="360" w:lineRule="exact"/>
        <w:ind w:firstLine="6720"/>
        <w:rPr>
          <w:rFonts w:ascii="宋体" w:hAnsi="宋体" w:cs="Courier New"/>
          <w:color w:val="auto"/>
          <w:kern w:val="1"/>
          <w:szCs w:val="21"/>
          <w:highlight w:val="none"/>
        </w:rPr>
      </w:pPr>
    </w:p>
    <w:p w14:paraId="2D67137F">
      <w:pPr>
        <w:spacing w:line="360" w:lineRule="exact"/>
        <w:ind w:firstLine="6720"/>
        <w:rPr>
          <w:rFonts w:ascii="宋体" w:hAnsi="宋体" w:cs="Courier New"/>
          <w:color w:val="auto"/>
          <w:kern w:val="1"/>
          <w:szCs w:val="21"/>
          <w:highlight w:val="none"/>
        </w:rPr>
      </w:pPr>
    </w:p>
    <w:p w14:paraId="6854514B">
      <w:pPr>
        <w:spacing w:line="380" w:lineRule="exact"/>
        <w:jc w:val="center"/>
        <w:rPr>
          <w:rFonts w:hint="eastAsia"/>
          <w:b/>
          <w:bCs/>
          <w:color w:val="auto"/>
          <w:kern w:val="0"/>
          <w:sz w:val="32"/>
          <w:szCs w:val="32"/>
          <w:highlight w:val="none"/>
        </w:rPr>
      </w:pPr>
      <w:r>
        <w:rPr>
          <w:rFonts w:hint="eastAsia"/>
          <w:b/>
          <w:bCs/>
          <w:color w:val="auto"/>
          <w:kern w:val="0"/>
          <w:sz w:val="32"/>
          <w:szCs w:val="32"/>
          <w:highlight w:val="none"/>
        </w:rPr>
        <w:t>残疾人福利性单位声明函</w:t>
      </w:r>
    </w:p>
    <w:p w14:paraId="3226428B">
      <w:pPr>
        <w:spacing w:line="588" w:lineRule="exact"/>
        <w:rPr>
          <w:rFonts w:ascii="宋体" w:hAnsi="宋体" w:cs="宋体"/>
          <w:color w:val="auto"/>
          <w:kern w:val="1"/>
          <w:szCs w:val="21"/>
          <w:highlight w:val="none"/>
        </w:rPr>
      </w:pPr>
    </w:p>
    <w:p w14:paraId="212E6C3D">
      <w:pPr>
        <w:spacing w:line="588" w:lineRule="exact"/>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9983F4C">
      <w:pPr>
        <w:spacing w:line="588" w:lineRule="exact"/>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本单位对上述声明的真实性负责。如有虚假，将依法承担相应责任。</w:t>
      </w:r>
    </w:p>
    <w:p w14:paraId="1D5366C0">
      <w:pPr>
        <w:spacing w:line="588" w:lineRule="exact"/>
        <w:ind w:firstLine="420"/>
        <w:rPr>
          <w:rFonts w:ascii="宋体" w:hAnsi="宋体" w:cs="宋体"/>
          <w:color w:val="auto"/>
          <w:kern w:val="1"/>
          <w:sz w:val="24"/>
          <w:szCs w:val="24"/>
          <w:highlight w:val="none"/>
        </w:rPr>
      </w:pPr>
    </w:p>
    <w:p w14:paraId="32341977">
      <w:pPr>
        <w:spacing w:line="588" w:lineRule="exact"/>
        <w:ind w:firstLine="420"/>
        <w:rPr>
          <w:rFonts w:ascii="宋体" w:hAnsi="宋体" w:cs="宋体"/>
          <w:color w:val="auto"/>
          <w:kern w:val="1"/>
          <w:sz w:val="24"/>
          <w:szCs w:val="24"/>
          <w:highlight w:val="none"/>
        </w:rPr>
      </w:pPr>
    </w:p>
    <w:p w14:paraId="3E9AE15E">
      <w:pPr>
        <w:tabs>
          <w:tab w:val="left" w:pos="4860"/>
        </w:tabs>
        <w:spacing w:line="588" w:lineRule="exact"/>
        <w:ind w:right="1560" w:firstLine="4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w:t>
      </w:r>
      <w:r>
        <w:rPr>
          <w:rFonts w:ascii="宋体" w:hAnsi="宋体" w:cs="宋体"/>
          <w:color w:val="auto"/>
          <w:kern w:val="1"/>
          <w:sz w:val="24"/>
          <w:szCs w:val="24"/>
          <w:highlight w:val="none"/>
        </w:rPr>
        <w:t xml:space="preserve">   单位名称（盖章）：</w:t>
      </w:r>
    </w:p>
    <w:p w14:paraId="7006D07B">
      <w:pPr>
        <w:widowControl/>
        <w:spacing w:before="100" w:beforeAutospacing="1" w:after="100" w:afterAutospacing="1" w:line="346" w:lineRule="atLeast"/>
        <w:jc w:val="left"/>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日  期：</w:t>
      </w:r>
    </w:p>
    <w:p w14:paraId="57546F27">
      <w:pPr>
        <w:spacing w:line="500" w:lineRule="exact"/>
        <w:ind w:firstLine="316"/>
        <w:jc w:val="left"/>
        <w:rPr>
          <w:rFonts w:ascii="宋体" w:hAnsi="宋体" w:cs="宋体"/>
          <w:b/>
          <w:color w:val="auto"/>
          <w:sz w:val="24"/>
          <w:szCs w:val="24"/>
          <w:highlight w:val="none"/>
        </w:rPr>
      </w:pPr>
      <w:r>
        <w:rPr>
          <w:rFonts w:ascii="宋体" w:hAnsi="宋体" w:cs="宋体"/>
          <w:b/>
          <w:color w:val="auto"/>
          <w:sz w:val="24"/>
          <w:szCs w:val="24"/>
          <w:highlight w:val="none"/>
        </w:rPr>
        <w:t>说明：符合条件的残疾人福利性单位在参加政府采购活动时，应当提供本通知规定的《残疾人福利性单位声明函》，并对声明的真实性负责。</w:t>
      </w:r>
    </w:p>
    <w:p w14:paraId="7ECEDE9E">
      <w:pPr>
        <w:spacing w:line="500" w:lineRule="exact"/>
        <w:ind w:firstLine="316"/>
        <w:jc w:val="left"/>
        <w:rPr>
          <w:rFonts w:ascii="宋体" w:hAnsi="宋体" w:cs="宋体"/>
          <w:b/>
          <w:color w:val="auto"/>
          <w:sz w:val="24"/>
          <w:szCs w:val="24"/>
          <w:highlight w:val="none"/>
        </w:rPr>
      </w:pPr>
      <w:r>
        <w:rPr>
          <w:rFonts w:ascii="宋体" w:hAnsi="宋体" w:cs="宋体"/>
          <w:b/>
          <w:color w:val="auto"/>
          <w:sz w:val="24"/>
          <w:szCs w:val="24"/>
          <w:highlight w:val="none"/>
        </w:rPr>
        <w:t>成交供应商为残疾人福利性单位的，采购人或者其委托的采购代理机构应当随成交结果同时公告其《残疾人福利性单位声明函》，接受社会监督。</w:t>
      </w:r>
    </w:p>
    <w:p w14:paraId="5A49FE3F">
      <w:pPr>
        <w:spacing w:line="500" w:lineRule="exact"/>
        <w:ind w:firstLine="316"/>
        <w:jc w:val="left"/>
        <w:rPr>
          <w:rFonts w:ascii="宋体" w:hAnsi="宋体" w:cs="宋体"/>
          <w:b/>
          <w:color w:val="auto"/>
          <w:sz w:val="24"/>
          <w:szCs w:val="24"/>
          <w:highlight w:val="none"/>
        </w:rPr>
      </w:pPr>
      <w:r>
        <w:rPr>
          <w:rFonts w:ascii="宋体" w:hAnsi="宋体" w:cs="宋体"/>
          <w:b/>
          <w:color w:val="auto"/>
          <w:sz w:val="24"/>
          <w:szCs w:val="24"/>
          <w:highlight w:val="none"/>
        </w:rPr>
        <w:t>供应商提供的《残疾人福利性单位声明函》与事实不符的，依照《政府采购法》第七十七条第一款的规定追究法律责任。</w:t>
      </w:r>
    </w:p>
    <w:p w14:paraId="3EDCBE2F">
      <w:pPr>
        <w:spacing w:line="300" w:lineRule="auto"/>
        <w:ind w:firstLine="14753"/>
        <w:rPr>
          <w:rFonts w:ascii="宋体" w:hAnsi="宋体" w:cs="宋体"/>
          <w:b/>
          <w:color w:val="auto"/>
          <w:sz w:val="44"/>
          <w:szCs w:val="44"/>
          <w:highlight w:val="none"/>
        </w:rPr>
      </w:pPr>
    </w:p>
    <w:p w14:paraId="2C5BB27F">
      <w:pPr>
        <w:spacing w:line="300" w:lineRule="auto"/>
        <w:rPr>
          <w:rFonts w:ascii="宋体" w:hAnsi="宋体" w:cs="宋体"/>
          <w:b/>
          <w:color w:val="auto"/>
          <w:kern w:val="1"/>
          <w:szCs w:val="21"/>
          <w:highlight w:val="none"/>
        </w:rPr>
      </w:pPr>
    </w:p>
    <w:p w14:paraId="7415D660">
      <w:pPr>
        <w:spacing w:line="221" w:lineRule="auto"/>
        <w:rPr>
          <w:rFonts w:ascii="宋体" w:hAnsi="宋体" w:eastAsia="宋体" w:cs="宋体"/>
          <w:color w:val="auto"/>
          <w:sz w:val="21"/>
          <w:szCs w:val="21"/>
          <w:highlight w:val="none"/>
        </w:rPr>
        <w:sectPr>
          <w:footerReference r:id="rId5" w:type="default"/>
          <w:pgSz w:w="11907" w:h="16839"/>
          <w:pgMar w:top="1417" w:right="1417" w:bottom="1417" w:left="1417" w:header="850" w:footer="850" w:gutter="0"/>
          <w:pgNumType w:fmt="decimal" w:start="1"/>
          <w:cols w:space="720" w:num="1"/>
          <w:rtlGutter w:val="0"/>
        </w:sectPr>
      </w:pPr>
    </w:p>
    <w:p w14:paraId="455274A8">
      <w:pPr>
        <w:spacing w:before="0" w:line="520" w:lineRule="exact"/>
        <w:rPr>
          <w:rFonts w:ascii="宋体" w:hAnsi="宋体" w:eastAsia="宋体" w:cs="宋体"/>
          <w:b/>
          <w:color w:val="auto"/>
          <w:kern w:val="1"/>
          <w:sz w:val="36"/>
          <w:szCs w:val="36"/>
          <w:highlight w:val="none"/>
        </w:rPr>
      </w:pPr>
      <w:r>
        <w:rPr>
          <w:rFonts w:ascii="宋体" w:hAnsi="宋体" w:eastAsia="宋体" w:cs="宋体"/>
          <w:b/>
          <w:color w:val="auto"/>
          <w:spacing w:val="0"/>
          <w:kern w:val="1"/>
          <w:sz w:val="36"/>
          <w:szCs w:val="36"/>
          <w:highlight w:val="none"/>
        </w:rPr>
        <w:t>二、报价文件格式</w:t>
      </w:r>
    </w:p>
    <w:p w14:paraId="7C62700E">
      <w:pPr>
        <w:spacing w:before="300" w:line="224" w:lineRule="auto"/>
        <w:ind w:left="18"/>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1.报价文件封面格式</w:t>
      </w:r>
    </w:p>
    <w:p w14:paraId="59D54042">
      <w:pPr>
        <w:spacing w:line="281" w:lineRule="auto"/>
        <w:rPr>
          <w:rFonts w:ascii="Arial"/>
          <w:color w:val="auto"/>
          <w:sz w:val="21"/>
          <w:highlight w:val="none"/>
        </w:rPr>
      </w:pPr>
    </w:p>
    <w:p w14:paraId="59BDB537">
      <w:pPr>
        <w:spacing w:line="281" w:lineRule="auto"/>
        <w:rPr>
          <w:rFonts w:ascii="Arial"/>
          <w:color w:val="auto"/>
          <w:sz w:val="21"/>
          <w:highlight w:val="none"/>
        </w:rPr>
      </w:pPr>
    </w:p>
    <w:p w14:paraId="6337D6B5">
      <w:pPr>
        <w:spacing w:line="282" w:lineRule="auto"/>
        <w:rPr>
          <w:rFonts w:ascii="Arial"/>
          <w:color w:val="auto"/>
          <w:sz w:val="21"/>
          <w:highlight w:val="none"/>
        </w:rPr>
      </w:pPr>
    </w:p>
    <w:p w14:paraId="3D54A753">
      <w:pPr>
        <w:spacing w:before="140" w:line="224" w:lineRule="auto"/>
        <w:ind w:left="0" w:firstLine="2730" w:firstLineChars="700"/>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w:t>
      </w:r>
      <w:r>
        <w:rPr>
          <w:rFonts w:ascii="宋体" w:hAnsi="宋体" w:eastAsia="宋体" w:cs="宋体"/>
          <w:color w:val="auto"/>
          <w:spacing w:val="25"/>
          <w:sz w:val="43"/>
          <w:szCs w:val="43"/>
          <w:highlight w:val="none"/>
        </w:rPr>
        <w:t xml:space="preserve"> </w:t>
      </w:r>
      <w:r>
        <w:rPr>
          <w:rFonts w:ascii="宋体" w:hAnsi="宋体" w:eastAsia="宋体" w:cs="宋体"/>
          <w:color w:val="auto"/>
          <w:spacing w:val="-20"/>
          <w:sz w:val="43"/>
          <w:szCs w:val="43"/>
          <w:highlight w:val="none"/>
        </w:rPr>
        <w:t>子</w:t>
      </w:r>
      <w:r>
        <w:rPr>
          <w:rFonts w:ascii="宋体" w:hAnsi="宋体" w:eastAsia="宋体" w:cs="宋体"/>
          <w:color w:val="auto"/>
          <w:spacing w:val="45"/>
          <w:sz w:val="43"/>
          <w:szCs w:val="43"/>
          <w:highlight w:val="none"/>
        </w:rPr>
        <w:t xml:space="preserve"> </w:t>
      </w:r>
      <w:r>
        <w:rPr>
          <w:rFonts w:ascii="宋体" w:hAnsi="宋体" w:eastAsia="宋体" w:cs="宋体"/>
          <w:color w:val="auto"/>
          <w:spacing w:val="-20"/>
          <w:sz w:val="43"/>
          <w:szCs w:val="43"/>
          <w:highlight w:val="none"/>
        </w:rPr>
        <w:t>响</w:t>
      </w:r>
      <w:r>
        <w:rPr>
          <w:rFonts w:ascii="宋体" w:hAnsi="宋体" w:eastAsia="宋体" w:cs="宋体"/>
          <w:color w:val="auto"/>
          <w:spacing w:val="23"/>
          <w:sz w:val="43"/>
          <w:szCs w:val="43"/>
          <w:highlight w:val="none"/>
        </w:rPr>
        <w:t xml:space="preserve"> </w:t>
      </w:r>
      <w:r>
        <w:rPr>
          <w:rFonts w:ascii="宋体" w:hAnsi="宋体" w:eastAsia="宋体" w:cs="宋体"/>
          <w:color w:val="auto"/>
          <w:spacing w:val="-20"/>
          <w:sz w:val="43"/>
          <w:szCs w:val="43"/>
          <w:highlight w:val="none"/>
        </w:rPr>
        <w:t>应</w:t>
      </w:r>
      <w:r>
        <w:rPr>
          <w:rFonts w:ascii="宋体" w:hAnsi="宋体" w:eastAsia="宋体" w:cs="宋体"/>
          <w:color w:val="auto"/>
          <w:spacing w:val="27"/>
          <w:sz w:val="43"/>
          <w:szCs w:val="43"/>
          <w:highlight w:val="none"/>
        </w:rPr>
        <w:t xml:space="preserve"> </w:t>
      </w:r>
      <w:r>
        <w:rPr>
          <w:rFonts w:ascii="宋体" w:hAnsi="宋体" w:eastAsia="宋体" w:cs="宋体"/>
          <w:color w:val="auto"/>
          <w:spacing w:val="-20"/>
          <w:sz w:val="43"/>
          <w:szCs w:val="43"/>
          <w:highlight w:val="none"/>
        </w:rPr>
        <w:t>文</w:t>
      </w:r>
      <w:r>
        <w:rPr>
          <w:rFonts w:ascii="宋体" w:hAnsi="宋体" w:eastAsia="宋体" w:cs="宋体"/>
          <w:color w:val="auto"/>
          <w:spacing w:val="21"/>
          <w:sz w:val="43"/>
          <w:szCs w:val="43"/>
          <w:highlight w:val="none"/>
        </w:rPr>
        <w:t xml:space="preserve"> </w:t>
      </w:r>
      <w:r>
        <w:rPr>
          <w:rFonts w:ascii="宋体" w:hAnsi="宋体" w:eastAsia="宋体" w:cs="宋体"/>
          <w:color w:val="auto"/>
          <w:spacing w:val="-20"/>
          <w:sz w:val="43"/>
          <w:szCs w:val="43"/>
          <w:highlight w:val="none"/>
        </w:rPr>
        <w:t>件</w:t>
      </w:r>
    </w:p>
    <w:p w14:paraId="02D7F9C5">
      <w:pPr>
        <w:spacing w:line="264" w:lineRule="auto"/>
        <w:rPr>
          <w:rFonts w:ascii="Arial"/>
          <w:color w:val="auto"/>
          <w:sz w:val="21"/>
          <w:highlight w:val="none"/>
        </w:rPr>
      </w:pPr>
    </w:p>
    <w:p w14:paraId="7C850AF4">
      <w:pPr>
        <w:spacing w:line="265" w:lineRule="auto"/>
        <w:rPr>
          <w:rFonts w:ascii="Arial"/>
          <w:color w:val="auto"/>
          <w:sz w:val="21"/>
          <w:highlight w:val="none"/>
        </w:rPr>
      </w:pPr>
    </w:p>
    <w:p w14:paraId="2C84BC3A">
      <w:pPr>
        <w:spacing w:line="265" w:lineRule="auto"/>
        <w:rPr>
          <w:rFonts w:ascii="Arial"/>
          <w:color w:val="auto"/>
          <w:sz w:val="21"/>
          <w:highlight w:val="none"/>
        </w:rPr>
      </w:pPr>
    </w:p>
    <w:p w14:paraId="7C056E29">
      <w:pPr>
        <w:spacing w:line="265" w:lineRule="auto"/>
        <w:rPr>
          <w:rFonts w:ascii="Arial"/>
          <w:color w:val="auto"/>
          <w:sz w:val="21"/>
          <w:highlight w:val="none"/>
        </w:rPr>
      </w:pPr>
    </w:p>
    <w:p w14:paraId="3B9A7AE7">
      <w:pPr>
        <w:spacing w:before="188" w:line="186" w:lineRule="auto"/>
        <w:ind w:left="0" w:firstLine="2508" w:firstLineChars="600"/>
        <w:rPr>
          <w:rFonts w:ascii="Arial Unicode MS" w:hAnsi="Arial Unicode MS" w:eastAsia="Arial Unicode MS" w:cs="Arial Unicode MS"/>
          <w:color w:val="auto"/>
          <w:sz w:val="43"/>
          <w:szCs w:val="43"/>
          <w:highlight w:val="none"/>
        </w:rPr>
      </w:pPr>
      <w:r>
        <w:rPr>
          <w:rFonts w:ascii="Arial Unicode MS" w:hAnsi="Arial Unicode MS" w:eastAsia="Arial Unicode MS" w:cs="Arial Unicode MS"/>
          <w:color w:val="auto"/>
          <w:spacing w:val="-6"/>
          <w:sz w:val="43"/>
          <w:szCs w:val="43"/>
          <w:highlight w:val="none"/>
        </w:rPr>
        <w:t>报</w:t>
      </w:r>
      <w:r>
        <w:rPr>
          <w:rFonts w:ascii="Arial Unicode MS" w:hAnsi="Arial Unicode MS" w:eastAsia="Arial Unicode MS" w:cs="Arial Unicode MS"/>
          <w:color w:val="auto"/>
          <w:spacing w:val="33"/>
          <w:sz w:val="43"/>
          <w:szCs w:val="43"/>
          <w:highlight w:val="none"/>
        </w:rPr>
        <w:t xml:space="preserve">   </w:t>
      </w:r>
      <w:r>
        <w:rPr>
          <w:rFonts w:ascii="Arial Unicode MS" w:hAnsi="Arial Unicode MS" w:eastAsia="Arial Unicode MS" w:cs="Arial Unicode MS"/>
          <w:color w:val="auto"/>
          <w:spacing w:val="-6"/>
          <w:sz w:val="43"/>
          <w:szCs w:val="43"/>
          <w:highlight w:val="none"/>
        </w:rPr>
        <w:t>价    文</w:t>
      </w:r>
      <w:r>
        <w:rPr>
          <w:rFonts w:ascii="Arial Unicode MS" w:hAnsi="Arial Unicode MS" w:eastAsia="Arial Unicode MS" w:cs="Arial Unicode MS"/>
          <w:color w:val="auto"/>
          <w:spacing w:val="33"/>
          <w:sz w:val="43"/>
          <w:szCs w:val="43"/>
          <w:highlight w:val="none"/>
        </w:rPr>
        <w:t xml:space="preserve">   </w:t>
      </w:r>
      <w:r>
        <w:rPr>
          <w:rFonts w:ascii="Arial Unicode MS" w:hAnsi="Arial Unicode MS" w:eastAsia="Arial Unicode MS" w:cs="Arial Unicode MS"/>
          <w:color w:val="auto"/>
          <w:spacing w:val="-6"/>
          <w:sz w:val="43"/>
          <w:szCs w:val="43"/>
          <w:highlight w:val="none"/>
        </w:rPr>
        <w:t>件</w:t>
      </w:r>
    </w:p>
    <w:p w14:paraId="12A47D4E">
      <w:pPr>
        <w:spacing w:line="242" w:lineRule="auto"/>
        <w:rPr>
          <w:rFonts w:ascii="Arial"/>
          <w:color w:val="auto"/>
          <w:sz w:val="21"/>
          <w:highlight w:val="none"/>
        </w:rPr>
      </w:pPr>
    </w:p>
    <w:p w14:paraId="0AD87965">
      <w:pPr>
        <w:spacing w:line="243" w:lineRule="auto"/>
        <w:rPr>
          <w:rFonts w:ascii="Arial"/>
          <w:color w:val="auto"/>
          <w:sz w:val="21"/>
          <w:highlight w:val="none"/>
        </w:rPr>
      </w:pPr>
    </w:p>
    <w:p w14:paraId="1856A82C">
      <w:pPr>
        <w:spacing w:line="243" w:lineRule="auto"/>
        <w:rPr>
          <w:rFonts w:ascii="Arial"/>
          <w:color w:val="auto"/>
          <w:sz w:val="21"/>
          <w:highlight w:val="none"/>
        </w:rPr>
      </w:pPr>
    </w:p>
    <w:p w14:paraId="0E990AEE">
      <w:pPr>
        <w:spacing w:line="243" w:lineRule="auto"/>
        <w:rPr>
          <w:rFonts w:ascii="Arial"/>
          <w:color w:val="auto"/>
          <w:sz w:val="21"/>
          <w:highlight w:val="none"/>
        </w:rPr>
      </w:pPr>
    </w:p>
    <w:p w14:paraId="18A58121">
      <w:pPr>
        <w:spacing w:line="243" w:lineRule="auto"/>
        <w:rPr>
          <w:rFonts w:ascii="Arial"/>
          <w:color w:val="auto"/>
          <w:sz w:val="21"/>
          <w:highlight w:val="none"/>
        </w:rPr>
      </w:pPr>
    </w:p>
    <w:p w14:paraId="58E2950A">
      <w:pPr>
        <w:spacing w:line="243" w:lineRule="auto"/>
        <w:rPr>
          <w:rFonts w:ascii="Arial"/>
          <w:color w:val="auto"/>
          <w:sz w:val="21"/>
          <w:highlight w:val="none"/>
        </w:rPr>
      </w:pPr>
    </w:p>
    <w:p w14:paraId="2BDECBAF">
      <w:pPr>
        <w:spacing w:line="243" w:lineRule="auto"/>
        <w:rPr>
          <w:rFonts w:ascii="Arial"/>
          <w:color w:val="auto"/>
          <w:sz w:val="21"/>
          <w:highlight w:val="none"/>
        </w:rPr>
      </w:pPr>
    </w:p>
    <w:p w14:paraId="55113164">
      <w:pPr>
        <w:spacing w:line="243" w:lineRule="auto"/>
        <w:rPr>
          <w:rFonts w:ascii="Arial"/>
          <w:color w:val="auto"/>
          <w:sz w:val="21"/>
          <w:highlight w:val="none"/>
        </w:rPr>
      </w:pPr>
    </w:p>
    <w:p w14:paraId="00CE74FD">
      <w:pPr>
        <w:spacing w:line="243" w:lineRule="auto"/>
        <w:rPr>
          <w:rFonts w:ascii="Arial"/>
          <w:color w:val="auto"/>
          <w:sz w:val="21"/>
          <w:highlight w:val="none"/>
        </w:rPr>
      </w:pPr>
    </w:p>
    <w:p w14:paraId="422B40DB">
      <w:pPr>
        <w:spacing w:line="243" w:lineRule="auto"/>
        <w:rPr>
          <w:rFonts w:ascii="Arial"/>
          <w:color w:val="auto"/>
          <w:sz w:val="21"/>
          <w:highlight w:val="none"/>
        </w:rPr>
      </w:pPr>
    </w:p>
    <w:p w14:paraId="234CD994">
      <w:pPr>
        <w:spacing w:before="101" w:line="226" w:lineRule="auto"/>
        <w:ind w:left="64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1A50CAED">
      <w:pPr>
        <w:spacing w:line="328" w:lineRule="auto"/>
        <w:rPr>
          <w:rFonts w:ascii="Arial"/>
          <w:color w:val="auto"/>
          <w:sz w:val="21"/>
          <w:highlight w:val="none"/>
        </w:rPr>
      </w:pPr>
    </w:p>
    <w:p w14:paraId="4EF918D9">
      <w:pPr>
        <w:spacing w:line="328" w:lineRule="auto"/>
        <w:rPr>
          <w:rFonts w:ascii="Arial"/>
          <w:color w:val="auto"/>
          <w:sz w:val="21"/>
          <w:highlight w:val="none"/>
        </w:rPr>
      </w:pPr>
    </w:p>
    <w:p w14:paraId="756E9C53">
      <w:pPr>
        <w:spacing w:before="101" w:line="226" w:lineRule="auto"/>
        <w:ind w:left="640"/>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4FCA7C23">
      <w:pPr>
        <w:spacing w:line="328" w:lineRule="auto"/>
        <w:rPr>
          <w:rFonts w:ascii="Arial"/>
          <w:color w:val="auto"/>
          <w:sz w:val="21"/>
          <w:highlight w:val="none"/>
        </w:rPr>
      </w:pPr>
    </w:p>
    <w:p w14:paraId="48F92D35">
      <w:pPr>
        <w:spacing w:line="328" w:lineRule="auto"/>
        <w:rPr>
          <w:rFonts w:ascii="Arial"/>
          <w:color w:val="auto"/>
          <w:sz w:val="21"/>
          <w:highlight w:val="none"/>
        </w:rPr>
      </w:pPr>
    </w:p>
    <w:p w14:paraId="4F78B6A8">
      <w:pPr>
        <w:spacing w:before="101" w:line="226" w:lineRule="auto"/>
        <w:ind w:right="38"/>
        <w:jc w:val="right"/>
        <w:rPr>
          <w:rFonts w:ascii="宋体" w:hAnsi="宋体" w:eastAsia="宋体" w:cs="宋体"/>
          <w:color w:val="auto"/>
          <w:sz w:val="31"/>
          <w:szCs w:val="31"/>
          <w:highlight w:val="none"/>
        </w:rPr>
      </w:pPr>
      <w:r>
        <w:rPr>
          <w:rFonts w:ascii="宋体" w:hAnsi="宋体" w:eastAsia="宋体" w:cs="宋体"/>
          <w:color w:val="auto"/>
          <w:spacing w:val="-7"/>
          <w:sz w:val="31"/>
          <w:szCs w:val="31"/>
          <w:highlight w:val="none"/>
        </w:rPr>
        <w:t>所竞分标（如有则填写，</w:t>
      </w:r>
      <w:r>
        <w:rPr>
          <w:rFonts w:ascii="宋体" w:hAnsi="宋体" w:eastAsia="宋体" w:cs="宋体"/>
          <w:color w:val="auto"/>
          <w:spacing w:val="91"/>
          <w:sz w:val="31"/>
          <w:szCs w:val="31"/>
          <w:highlight w:val="none"/>
        </w:rPr>
        <w:t xml:space="preserve"> </w:t>
      </w:r>
      <w:r>
        <w:rPr>
          <w:rFonts w:ascii="宋体" w:hAnsi="宋体" w:eastAsia="宋体" w:cs="宋体"/>
          <w:color w:val="auto"/>
          <w:spacing w:val="-7"/>
          <w:sz w:val="31"/>
          <w:szCs w:val="31"/>
          <w:highlight w:val="none"/>
        </w:rPr>
        <w:t>无分标时填写“无”或者留空</w:t>
      </w:r>
      <w:r>
        <w:rPr>
          <w:rFonts w:ascii="宋体" w:hAnsi="宋体" w:eastAsia="宋体" w:cs="宋体"/>
          <w:color w:val="auto"/>
          <w:spacing w:val="-14"/>
          <w:sz w:val="31"/>
          <w:szCs w:val="31"/>
          <w:highlight w:val="none"/>
        </w:rPr>
        <w:t>）</w:t>
      </w:r>
      <w:r>
        <w:rPr>
          <w:rFonts w:ascii="宋体" w:hAnsi="宋体" w:eastAsia="宋体" w:cs="宋体"/>
          <w:color w:val="auto"/>
          <w:spacing w:val="29"/>
          <w:sz w:val="31"/>
          <w:szCs w:val="31"/>
          <w:highlight w:val="none"/>
        </w:rPr>
        <w:t xml:space="preserve"> </w:t>
      </w:r>
      <w:r>
        <w:rPr>
          <w:rFonts w:ascii="宋体" w:hAnsi="宋体" w:eastAsia="宋体" w:cs="宋体"/>
          <w:color w:val="auto"/>
          <w:spacing w:val="-14"/>
          <w:sz w:val="31"/>
          <w:szCs w:val="31"/>
          <w:highlight w:val="none"/>
        </w:rPr>
        <w:t>：</w:t>
      </w:r>
    </w:p>
    <w:p w14:paraId="3F6F871C">
      <w:pPr>
        <w:spacing w:line="276" w:lineRule="auto"/>
        <w:rPr>
          <w:rFonts w:ascii="Arial"/>
          <w:color w:val="auto"/>
          <w:sz w:val="21"/>
          <w:highlight w:val="none"/>
        </w:rPr>
      </w:pPr>
    </w:p>
    <w:p w14:paraId="18A46257">
      <w:pPr>
        <w:spacing w:line="276" w:lineRule="auto"/>
        <w:rPr>
          <w:rFonts w:ascii="Arial"/>
          <w:color w:val="auto"/>
          <w:sz w:val="21"/>
          <w:highlight w:val="none"/>
        </w:rPr>
      </w:pPr>
    </w:p>
    <w:p w14:paraId="561B9A17">
      <w:pPr>
        <w:spacing w:before="101" w:line="225" w:lineRule="auto"/>
        <w:ind w:left="635"/>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653C3892">
      <w:pPr>
        <w:spacing w:line="242" w:lineRule="auto"/>
        <w:rPr>
          <w:rFonts w:ascii="Arial"/>
          <w:color w:val="auto"/>
          <w:sz w:val="21"/>
          <w:highlight w:val="none"/>
        </w:rPr>
      </w:pPr>
    </w:p>
    <w:p w14:paraId="21DE1CE5">
      <w:pPr>
        <w:spacing w:line="242" w:lineRule="auto"/>
        <w:rPr>
          <w:rFonts w:ascii="Arial"/>
          <w:color w:val="auto"/>
          <w:sz w:val="21"/>
          <w:highlight w:val="none"/>
        </w:rPr>
      </w:pPr>
    </w:p>
    <w:p w14:paraId="17163A09">
      <w:pPr>
        <w:spacing w:line="242" w:lineRule="auto"/>
        <w:rPr>
          <w:rFonts w:ascii="Arial"/>
          <w:color w:val="auto"/>
          <w:sz w:val="21"/>
          <w:highlight w:val="none"/>
        </w:rPr>
      </w:pPr>
    </w:p>
    <w:p w14:paraId="5365CC3D">
      <w:pPr>
        <w:spacing w:line="242" w:lineRule="auto"/>
        <w:rPr>
          <w:rFonts w:ascii="Arial"/>
          <w:color w:val="auto"/>
          <w:sz w:val="21"/>
          <w:highlight w:val="none"/>
        </w:rPr>
      </w:pPr>
    </w:p>
    <w:p w14:paraId="0508C791">
      <w:pPr>
        <w:spacing w:line="243" w:lineRule="auto"/>
        <w:rPr>
          <w:rFonts w:ascii="Arial"/>
          <w:color w:val="auto"/>
          <w:sz w:val="21"/>
          <w:highlight w:val="none"/>
        </w:rPr>
      </w:pPr>
    </w:p>
    <w:p w14:paraId="0C834E1A">
      <w:pPr>
        <w:spacing w:line="243" w:lineRule="auto"/>
        <w:rPr>
          <w:rFonts w:ascii="Arial"/>
          <w:color w:val="auto"/>
          <w:sz w:val="21"/>
          <w:highlight w:val="none"/>
        </w:rPr>
      </w:pPr>
    </w:p>
    <w:p w14:paraId="52537845">
      <w:pPr>
        <w:spacing w:line="243" w:lineRule="auto"/>
        <w:rPr>
          <w:rFonts w:ascii="Arial"/>
          <w:color w:val="auto"/>
          <w:sz w:val="21"/>
          <w:highlight w:val="none"/>
        </w:rPr>
      </w:pPr>
    </w:p>
    <w:p w14:paraId="6D6273DC">
      <w:pPr>
        <w:spacing w:line="243" w:lineRule="auto"/>
        <w:rPr>
          <w:rFonts w:ascii="Arial"/>
          <w:color w:val="auto"/>
          <w:sz w:val="21"/>
          <w:highlight w:val="none"/>
        </w:rPr>
      </w:pPr>
    </w:p>
    <w:p w14:paraId="2026D8C2">
      <w:pPr>
        <w:spacing w:before="102" w:line="226" w:lineRule="auto"/>
        <w:ind w:left="3601"/>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w:t>
      </w:r>
      <w:r>
        <w:rPr>
          <w:rFonts w:ascii="宋体" w:hAnsi="宋体" w:eastAsia="宋体" w:cs="宋体"/>
          <w:color w:val="auto"/>
          <w:spacing w:val="11"/>
          <w:sz w:val="31"/>
          <w:szCs w:val="31"/>
          <w:highlight w:val="none"/>
        </w:rPr>
        <w:t xml:space="preserve">    </w:t>
      </w:r>
      <w:r>
        <w:rPr>
          <w:rFonts w:ascii="宋体" w:hAnsi="宋体" w:eastAsia="宋体" w:cs="宋体"/>
          <w:color w:val="auto"/>
          <w:spacing w:val="-6"/>
          <w:sz w:val="31"/>
          <w:szCs w:val="31"/>
          <w:highlight w:val="none"/>
        </w:rPr>
        <w:t>月</w:t>
      </w:r>
      <w:r>
        <w:rPr>
          <w:rFonts w:ascii="宋体" w:hAnsi="宋体" w:eastAsia="宋体" w:cs="宋体"/>
          <w:color w:val="auto"/>
          <w:spacing w:val="22"/>
          <w:sz w:val="31"/>
          <w:szCs w:val="31"/>
          <w:highlight w:val="none"/>
        </w:rPr>
        <w:t xml:space="preserve">    </w:t>
      </w:r>
      <w:r>
        <w:rPr>
          <w:rFonts w:ascii="宋体" w:hAnsi="宋体" w:eastAsia="宋体" w:cs="宋体"/>
          <w:color w:val="auto"/>
          <w:spacing w:val="-6"/>
          <w:sz w:val="31"/>
          <w:szCs w:val="31"/>
          <w:highlight w:val="none"/>
        </w:rPr>
        <w:t>日</w:t>
      </w:r>
    </w:p>
    <w:p w14:paraId="64CFF4CB">
      <w:pPr>
        <w:spacing w:line="226" w:lineRule="auto"/>
        <w:rPr>
          <w:rFonts w:ascii="宋体" w:hAnsi="宋体" w:eastAsia="宋体" w:cs="宋体"/>
          <w:color w:val="auto"/>
          <w:sz w:val="31"/>
          <w:szCs w:val="31"/>
          <w:highlight w:val="none"/>
        </w:rPr>
        <w:sectPr>
          <w:headerReference r:id="rId6" w:type="default"/>
          <w:footerReference r:id="rId7" w:type="default"/>
          <w:pgSz w:w="11907" w:h="16839"/>
          <w:pgMar w:top="1417" w:right="1417" w:bottom="1417" w:left="1417" w:header="0" w:footer="856" w:gutter="0"/>
          <w:pgNumType w:fmt="decimal"/>
          <w:cols w:space="720" w:num="1"/>
          <w:rtlGutter w:val="0"/>
        </w:sectPr>
      </w:pPr>
    </w:p>
    <w:p w14:paraId="0DD2E862">
      <w:pPr>
        <w:keepNext w:val="0"/>
        <w:keepLines w:val="0"/>
        <w:widowControl/>
        <w:suppressLineNumbers w:val="0"/>
        <w:jc w:val="left"/>
        <w:rPr>
          <w:rFonts w:hint="eastAsia" w:ascii="宋体" w:hAnsi="宋体" w:eastAsia="宋体" w:cs="宋体"/>
          <w:b/>
          <w:bCs/>
          <w:color w:val="auto"/>
          <w:sz w:val="30"/>
          <w:szCs w:val="30"/>
          <w:highlight w:val="none"/>
          <w:lang w:bidi="ar"/>
        </w:rPr>
      </w:pPr>
      <w:r>
        <w:rPr>
          <w:rFonts w:ascii="宋体" w:hAnsi="宋体" w:eastAsia="宋体" w:cs="宋体"/>
          <w:color w:val="auto"/>
          <w:spacing w:val="2"/>
          <w:sz w:val="21"/>
          <w:szCs w:val="21"/>
          <w:highlight w:val="none"/>
          <w:u w:val="none"/>
        </w:rPr>
        <w:t xml:space="preserve">   </w:t>
      </w:r>
      <w:r>
        <w:rPr>
          <w:rFonts w:hint="eastAsia" w:ascii="宋体" w:hAnsi="宋体" w:eastAsia="宋体" w:cs="宋体"/>
          <w:b/>
          <w:bCs/>
          <w:color w:val="auto"/>
          <w:kern w:val="0"/>
          <w:sz w:val="30"/>
          <w:szCs w:val="30"/>
          <w:highlight w:val="none"/>
          <w:lang w:val="en-US" w:eastAsia="zh-CN" w:bidi="ar"/>
        </w:rPr>
        <w:t xml:space="preserve">2.报价文件目录 </w:t>
      </w:r>
    </w:p>
    <w:p w14:paraId="5CADD8FE">
      <w:pPr>
        <w:keepNext w:val="0"/>
        <w:keepLines w:val="0"/>
        <w:widowControl/>
        <w:suppressLineNumbers w:val="0"/>
        <w:jc w:val="left"/>
        <w:rPr>
          <w:rFonts w:hint="eastAsia" w:ascii="宋体" w:hAnsi="宋体" w:eastAsia="宋体" w:cs="宋体"/>
          <w:color w:val="auto"/>
          <w:kern w:val="0"/>
          <w:sz w:val="31"/>
          <w:szCs w:val="31"/>
          <w:highlight w:val="none"/>
          <w:lang w:val="en-US" w:eastAsia="zh-CN" w:bidi="ar"/>
        </w:rPr>
      </w:pPr>
    </w:p>
    <w:p w14:paraId="40149352">
      <w:pPr>
        <w:keepNext w:val="0"/>
        <w:keepLines w:val="0"/>
        <w:widowControl/>
        <w:suppressLineNumbers w:val="0"/>
        <w:jc w:val="left"/>
        <w:rPr>
          <w:rFonts w:hint="eastAsia" w:ascii="宋体" w:hAnsi="宋体" w:eastAsia="宋体" w:cs="宋体"/>
          <w:color w:val="auto"/>
          <w:kern w:val="0"/>
          <w:sz w:val="31"/>
          <w:szCs w:val="31"/>
          <w:highlight w:val="none"/>
          <w:lang w:val="en-US" w:eastAsia="zh-CN" w:bidi="ar"/>
        </w:rPr>
      </w:pPr>
    </w:p>
    <w:p w14:paraId="51A2DD5E">
      <w:pPr>
        <w:keepNext w:val="0"/>
        <w:keepLines w:val="0"/>
        <w:widowControl/>
        <w:suppressLineNumbers w:val="0"/>
        <w:spacing w:line="360" w:lineRule="auto"/>
        <w:ind w:firstLine="0" w:firstLineChars="0"/>
        <w:jc w:val="left"/>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根据磋商文件规定及供应商提供的材料自行编写目录（部分格式后附）。</w:t>
      </w:r>
    </w:p>
    <w:p w14:paraId="4CC692F7">
      <w:pPr>
        <w:numPr>
          <w:ilvl w:val="0"/>
          <w:numId w:val="0"/>
        </w:numPr>
        <w:spacing w:before="183" w:line="360" w:lineRule="auto"/>
        <w:ind w:left="0" w:right="2" w:firstLine="0"/>
        <w:rPr>
          <w:rFonts w:ascii="宋体" w:hAnsi="宋体" w:eastAsia="宋体" w:cs="宋体"/>
          <w:color w:val="auto"/>
          <w:spacing w:val="2"/>
          <w:sz w:val="21"/>
          <w:szCs w:val="21"/>
          <w:highlight w:val="none"/>
        </w:rPr>
        <w:sectPr>
          <w:footerReference r:id="rId8" w:type="default"/>
          <w:pgSz w:w="11907" w:h="16839"/>
          <w:pgMar w:top="1417" w:right="1417" w:bottom="1417" w:left="1417" w:header="1134" w:footer="1134" w:gutter="0"/>
          <w:pgNumType w:fmt="decimal"/>
          <w:cols w:space="720" w:num="1"/>
          <w:rtlGutter w:val="0"/>
        </w:sectPr>
      </w:pPr>
    </w:p>
    <w:p w14:paraId="3971D212">
      <w:pPr>
        <w:spacing w:line="292" w:lineRule="auto"/>
        <w:rPr>
          <w:rFonts w:ascii="Arial"/>
          <w:color w:val="auto"/>
          <w:sz w:val="21"/>
          <w:highlight w:val="none"/>
        </w:rPr>
      </w:pPr>
    </w:p>
    <w:p w14:paraId="1F5CC82A">
      <w:pPr>
        <w:pStyle w:val="32"/>
        <w:jc w:val="both"/>
        <w:rPr>
          <w:b/>
          <w:color w:val="auto"/>
          <w:sz w:val="32"/>
          <w:highlight w:val="none"/>
        </w:rPr>
      </w:pPr>
      <w:r>
        <w:rPr>
          <w:rFonts w:hint="eastAsia" w:ascii="宋体" w:hAnsi="宋体" w:cs="宋体"/>
          <w:b/>
          <w:color w:val="auto"/>
          <w:sz w:val="24"/>
          <w:highlight w:val="none"/>
          <w:lang w:val="en-US" w:eastAsia="zh-CN"/>
        </w:rPr>
        <w:t xml:space="preserve">                              </w:t>
      </w:r>
      <w:r>
        <w:rPr>
          <w:rFonts w:hint="eastAsia" w:ascii="宋体" w:eastAsia="宋体" w:cs="Times New Roman"/>
          <w:b/>
          <w:color w:val="auto"/>
          <w:sz w:val="32"/>
          <w:highlight w:val="none"/>
          <w:lang w:val="en-US" w:eastAsia="zh-CN"/>
        </w:rPr>
        <w:t xml:space="preserve">竞 标 </w:t>
      </w:r>
      <w:r>
        <w:rPr>
          <w:rFonts w:ascii="宋体" w:eastAsia="宋体" w:cs="Times New Roman"/>
          <w:b/>
          <w:color w:val="auto"/>
          <w:sz w:val="32"/>
          <w:highlight w:val="none"/>
        </w:rPr>
        <w:t>报</w:t>
      </w:r>
      <w:r>
        <w:rPr>
          <w:rFonts w:hint="eastAsia" w:ascii="宋体" w:eastAsia="宋体" w:cs="Times New Roman"/>
          <w:b/>
          <w:color w:val="auto"/>
          <w:sz w:val="32"/>
          <w:highlight w:val="none"/>
          <w:lang w:val="en-US" w:eastAsia="zh-CN"/>
        </w:rPr>
        <w:t xml:space="preserve"> </w:t>
      </w:r>
      <w:r>
        <w:rPr>
          <w:b/>
          <w:color w:val="auto"/>
          <w:sz w:val="32"/>
          <w:highlight w:val="none"/>
        </w:rPr>
        <w:t>价</w:t>
      </w:r>
      <w:r>
        <w:rPr>
          <w:rFonts w:hint="eastAsia"/>
          <w:b/>
          <w:color w:val="auto"/>
          <w:sz w:val="32"/>
          <w:highlight w:val="none"/>
          <w:lang w:val="en-US" w:eastAsia="zh-CN"/>
        </w:rPr>
        <w:t xml:space="preserve"> </w:t>
      </w:r>
      <w:r>
        <w:rPr>
          <w:b/>
          <w:color w:val="auto"/>
          <w:sz w:val="32"/>
          <w:highlight w:val="none"/>
        </w:rPr>
        <w:t>表</w:t>
      </w:r>
      <w:r>
        <w:rPr>
          <w:rFonts w:ascii="宋体" w:hAnsi="宋体" w:cs="宋体"/>
          <w:b/>
          <w:color w:val="auto"/>
          <w:spacing w:val="5"/>
          <w:kern w:val="1"/>
          <w:sz w:val="32"/>
          <w:szCs w:val="32"/>
          <w:highlight w:val="none"/>
        </w:rPr>
        <w:t>（格式）</w:t>
      </w:r>
    </w:p>
    <w:p w14:paraId="40D993F2">
      <w:pPr>
        <w:spacing w:line="500" w:lineRule="exact"/>
        <w:rPr>
          <w:rFonts w:ascii="宋体" w:hAnsi="宋体" w:cs="宋体"/>
          <w:color w:val="auto"/>
          <w:kern w:val="1"/>
          <w:sz w:val="24"/>
          <w:szCs w:val="24"/>
          <w:highlight w:val="none"/>
          <w:u w:val="single"/>
        </w:rPr>
      </w:pPr>
      <w:r>
        <w:rPr>
          <w:rFonts w:ascii="宋体" w:hAnsi="宋体" w:cs="宋体"/>
          <w:color w:val="auto"/>
          <w:kern w:val="1"/>
          <w:sz w:val="24"/>
          <w:szCs w:val="24"/>
          <w:highlight w:val="none"/>
        </w:rPr>
        <w:t>项目名称:</w:t>
      </w:r>
      <w:r>
        <w:rPr>
          <w:rFonts w:ascii="宋体" w:hAnsi="宋体" w:cs="宋体"/>
          <w:color w:val="auto"/>
          <w:kern w:val="1"/>
          <w:sz w:val="24"/>
          <w:szCs w:val="24"/>
          <w:highlight w:val="none"/>
          <w:u w:val="single"/>
        </w:rPr>
        <w:t xml:space="preserve">                 </w:t>
      </w:r>
    </w:p>
    <w:p w14:paraId="368D58F5">
      <w:pPr>
        <w:spacing w:line="500" w:lineRule="exact"/>
        <w:rPr>
          <w:rFonts w:ascii="宋体" w:hAnsi="宋体" w:cs="宋体"/>
          <w:color w:val="auto"/>
          <w:kern w:val="1"/>
          <w:sz w:val="24"/>
          <w:szCs w:val="24"/>
          <w:highlight w:val="none"/>
          <w:u w:val="single"/>
        </w:rPr>
      </w:pPr>
      <w:r>
        <w:rPr>
          <w:rFonts w:ascii="宋体" w:hAnsi="宋体" w:cs="宋体"/>
          <w:color w:val="auto"/>
          <w:kern w:val="1"/>
          <w:sz w:val="24"/>
          <w:szCs w:val="24"/>
          <w:highlight w:val="none"/>
        </w:rPr>
        <w:t>项目编号:</w:t>
      </w:r>
      <w:r>
        <w:rPr>
          <w:rFonts w:ascii="宋体" w:hAnsi="宋体" w:cs="宋体"/>
          <w:color w:val="auto"/>
          <w:kern w:val="1"/>
          <w:sz w:val="24"/>
          <w:szCs w:val="24"/>
          <w:highlight w:val="none"/>
          <w:u w:val="single"/>
        </w:rPr>
        <w:t xml:space="preserve">                 </w:t>
      </w:r>
    </w:p>
    <w:p w14:paraId="7B681693">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所竞分标:</w:t>
      </w:r>
      <w:r>
        <w:rPr>
          <w:rFonts w:ascii="宋体" w:hAnsi="宋体" w:cs="宋体"/>
          <w:color w:val="auto"/>
          <w:kern w:val="1"/>
          <w:sz w:val="24"/>
          <w:szCs w:val="24"/>
          <w:highlight w:val="none"/>
          <w:u w:val="single"/>
        </w:rPr>
        <w:t xml:space="preserve">                 </w:t>
      </w:r>
    </w:p>
    <w:p w14:paraId="576FAB1A">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w:t>
      </w:r>
    </w:p>
    <w:p w14:paraId="587BB660">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w:t>
      </w:r>
    </w:p>
    <w:tbl>
      <w:tblPr>
        <w:tblStyle w:val="61"/>
        <w:tblW w:w="9281" w:type="dxa"/>
        <w:jc w:val="center"/>
        <w:tblLayout w:type="fixed"/>
        <w:tblCellMar>
          <w:top w:w="0" w:type="dxa"/>
          <w:left w:w="108" w:type="dxa"/>
          <w:bottom w:w="0" w:type="dxa"/>
          <w:right w:w="108" w:type="dxa"/>
        </w:tblCellMar>
      </w:tblPr>
      <w:tblGrid>
        <w:gridCol w:w="467"/>
        <w:gridCol w:w="2633"/>
        <w:gridCol w:w="1454"/>
        <w:gridCol w:w="1099"/>
        <w:gridCol w:w="1099"/>
        <w:gridCol w:w="1330"/>
        <w:gridCol w:w="1199"/>
      </w:tblGrid>
      <w:tr w14:paraId="69E0DD17">
        <w:tblPrEx>
          <w:tblCellMar>
            <w:top w:w="0" w:type="dxa"/>
            <w:left w:w="108" w:type="dxa"/>
            <w:bottom w:w="0" w:type="dxa"/>
            <w:right w:w="108" w:type="dxa"/>
          </w:tblCellMar>
        </w:tblPrEx>
        <w:trPr>
          <w:trHeight w:val="0" w:hRule="atLeast"/>
          <w:jc w:val="center"/>
        </w:trPr>
        <w:tc>
          <w:tcPr>
            <w:tcW w:w="467" w:type="dxa"/>
            <w:tcBorders>
              <w:top w:val="single" w:color="000000" w:sz="8" w:space="0"/>
              <w:left w:val="single" w:color="000000" w:sz="8" w:space="0"/>
              <w:bottom w:val="single" w:color="000000" w:sz="8" w:space="0"/>
              <w:right w:val="single" w:color="000000" w:sz="8" w:space="0"/>
            </w:tcBorders>
            <w:noWrap w:val="0"/>
            <w:vAlign w:val="center"/>
          </w:tcPr>
          <w:p w14:paraId="75BFC477">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序号</w:t>
            </w:r>
          </w:p>
        </w:tc>
        <w:tc>
          <w:tcPr>
            <w:tcW w:w="2633" w:type="dxa"/>
            <w:tcBorders>
              <w:top w:val="single" w:color="000000" w:sz="8" w:space="0"/>
              <w:left w:val="nil"/>
              <w:bottom w:val="single" w:color="000000" w:sz="8" w:space="0"/>
              <w:right w:val="single" w:color="000000" w:sz="8" w:space="0"/>
            </w:tcBorders>
            <w:noWrap w:val="0"/>
            <w:vAlign w:val="center"/>
          </w:tcPr>
          <w:p w14:paraId="436F1B7F">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en-US" w:eastAsia="zh-CN"/>
              </w:rPr>
              <w:t>服务</w:t>
            </w:r>
            <w:r>
              <w:rPr>
                <w:rFonts w:hint="eastAsia" w:cs="仿宋_GB2312" w:asciiTheme="minorEastAsia" w:hAnsiTheme="minorEastAsia" w:eastAsiaTheme="minorEastAsia"/>
                <w:color w:val="auto"/>
                <w:kern w:val="0"/>
                <w:sz w:val="24"/>
                <w:highlight w:val="none"/>
                <w:lang w:val="zh-CN"/>
              </w:rPr>
              <w:t>名称</w:t>
            </w:r>
          </w:p>
        </w:tc>
        <w:tc>
          <w:tcPr>
            <w:tcW w:w="1454" w:type="dxa"/>
            <w:tcBorders>
              <w:top w:val="single" w:color="000000" w:sz="8" w:space="0"/>
              <w:left w:val="nil"/>
              <w:bottom w:val="single" w:color="auto" w:sz="4" w:space="0"/>
              <w:right w:val="single" w:color="000000" w:sz="8" w:space="0"/>
            </w:tcBorders>
            <w:noWrap w:val="0"/>
            <w:vAlign w:val="center"/>
          </w:tcPr>
          <w:p w14:paraId="6C838231">
            <w:pPr>
              <w:spacing w:line="360" w:lineRule="auto"/>
              <w:jc w:val="center"/>
              <w:rPr>
                <w:rFonts w:hint="eastAsia" w:cs="仿宋_GB2312" w:asciiTheme="minorEastAsia" w:hAnsiTheme="minorEastAsia" w:eastAsiaTheme="minorEastAsia"/>
                <w:color w:val="auto"/>
                <w:kern w:val="0"/>
                <w:sz w:val="24"/>
                <w:highlight w:val="none"/>
                <w:lang w:val="zh-CN" w:eastAsia="zh-CN"/>
              </w:rPr>
            </w:pPr>
            <w:r>
              <w:rPr>
                <w:rFonts w:hint="eastAsia" w:cs="仿宋_GB2312" w:asciiTheme="minorEastAsia" w:hAnsiTheme="minorEastAsia" w:eastAsiaTheme="minorEastAsia"/>
                <w:color w:val="auto"/>
                <w:kern w:val="0"/>
                <w:sz w:val="24"/>
                <w:highlight w:val="none"/>
                <w:lang w:val="en-US" w:eastAsia="zh-CN"/>
              </w:rPr>
              <w:t>数量</w:t>
            </w:r>
          </w:p>
        </w:tc>
        <w:tc>
          <w:tcPr>
            <w:tcW w:w="1099" w:type="dxa"/>
            <w:tcBorders>
              <w:top w:val="single" w:color="000000" w:sz="8" w:space="0"/>
              <w:left w:val="nil"/>
              <w:bottom w:val="single" w:color="000000" w:sz="8" w:space="0"/>
              <w:right w:val="single" w:color="000000" w:sz="8" w:space="0"/>
            </w:tcBorders>
            <w:noWrap w:val="0"/>
            <w:vAlign w:val="center"/>
          </w:tcPr>
          <w:p w14:paraId="54F14BDF">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单位</w:t>
            </w:r>
          </w:p>
        </w:tc>
        <w:tc>
          <w:tcPr>
            <w:tcW w:w="1099" w:type="dxa"/>
            <w:tcBorders>
              <w:top w:val="single" w:color="000000" w:sz="8" w:space="0"/>
              <w:left w:val="nil"/>
              <w:bottom w:val="single" w:color="000000" w:sz="8" w:space="0"/>
              <w:right w:val="single" w:color="000000" w:sz="8" w:space="0"/>
            </w:tcBorders>
            <w:noWrap w:val="0"/>
            <w:vAlign w:val="center"/>
          </w:tcPr>
          <w:p w14:paraId="424947CF">
            <w:pPr>
              <w:spacing w:line="360" w:lineRule="auto"/>
              <w:jc w:val="center"/>
              <w:rPr>
                <w:rFonts w:hint="default" w:cs="仿宋_GB2312" w:asciiTheme="minorEastAsia" w:hAnsiTheme="minorEastAsia" w:eastAsiaTheme="minorEastAsia"/>
                <w:color w:val="auto"/>
                <w:kern w:val="0"/>
                <w:sz w:val="24"/>
                <w:highlight w:val="none"/>
                <w:lang w:val="en-US"/>
              </w:rPr>
            </w:pPr>
            <w:r>
              <w:rPr>
                <w:rFonts w:hint="eastAsia" w:cs="仿宋_GB2312" w:asciiTheme="minorEastAsia" w:hAnsiTheme="minorEastAsia" w:eastAsiaTheme="minorEastAsia"/>
                <w:color w:val="auto"/>
                <w:kern w:val="0"/>
                <w:sz w:val="24"/>
                <w:highlight w:val="none"/>
                <w:lang w:val="en-US" w:eastAsia="zh-CN"/>
              </w:rPr>
              <w:t>单价（元）</w:t>
            </w:r>
          </w:p>
        </w:tc>
        <w:tc>
          <w:tcPr>
            <w:tcW w:w="1330" w:type="dxa"/>
            <w:tcBorders>
              <w:top w:val="single" w:color="000000" w:sz="8" w:space="0"/>
              <w:left w:val="nil"/>
              <w:bottom w:val="single" w:color="auto" w:sz="4" w:space="0"/>
              <w:right w:val="single" w:color="000000" w:sz="8" w:space="0"/>
            </w:tcBorders>
            <w:noWrap w:val="0"/>
            <w:vAlign w:val="center"/>
          </w:tcPr>
          <w:p w14:paraId="54F279CC">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合计（元）</w:t>
            </w:r>
          </w:p>
        </w:tc>
        <w:tc>
          <w:tcPr>
            <w:tcW w:w="1199" w:type="dxa"/>
            <w:tcBorders>
              <w:top w:val="single" w:color="000000" w:sz="8" w:space="0"/>
              <w:left w:val="nil"/>
              <w:bottom w:val="single" w:color="auto" w:sz="4" w:space="0"/>
              <w:right w:val="single" w:color="000000" w:sz="8" w:space="0"/>
            </w:tcBorders>
            <w:noWrap w:val="0"/>
            <w:vAlign w:val="center"/>
          </w:tcPr>
          <w:p w14:paraId="64648AFD">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备注</w:t>
            </w:r>
          </w:p>
        </w:tc>
      </w:tr>
      <w:tr w14:paraId="60CC53D8">
        <w:tblPrEx>
          <w:tblCellMar>
            <w:top w:w="0" w:type="dxa"/>
            <w:left w:w="108" w:type="dxa"/>
            <w:bottom w:w="0" w:type="dxa"/>
            <w:right w:w="108" w:type="dxa"/>
          </w:tblCellMar>
        </w:tblPrEx>
        <w:trPr>
          <w:trHeight w:val="0" w:hRule="atLeast"/>
          <w:jc w:val="center"/>
        </w:trPr>
        <w:tc>
          <w:tcPr>
            <w:tcW w:w="467" w:type="dxa"/>
            <w:tcBorders>
              <w:top w:val="single" w:color="000000" w:sz="8" w:space="0"/>
              <w:left w:val="single" w:color="000000" w:sz="8" w:space="0"/>
              <w:bottom w:val="single" w:color="000000" w:sz="8" w:space="0"/>
              <w:right w:val="single" w:color="000000" w:sz="8" w:space="0"/>
            </w:tcBorders>
            <w:noWrap w:val="0"/>
            <w:vAlign w:val="center"/>
          </w:tcPr>
          <w:p w14:paraId="7DFABCDA">
            <w:pPr>
              <w:spacing w:line="360" w:lineRule="auto"/>
              <w:jc w:val="center"/>
              <w:rPr>
                <w:rFonts w:hint="eastAsia"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1</w:t>
            </w:r>
          </w:p>
        </w:tc>
        <w:tc>
          <w:tcPr>
            <w:tcW w:w="2633" w:type="dxa"/>
            <w:tcBorders>
              <w:top w:val="single" w:color="000000" w:sz="8" w:space="0"/>
              <w:left w:val="nil"/>
              <w:bottom w:val="single" w:color="000000" w:sz="8" w:space="0"/>
              <w:right w:val="single" w:color="auto" w:sz="4" w:space="0"/>
            </w:tcBorders>
            <w:noWrap w:val="0"/>
            <w:vAlign w:val="center"/>
          </w:tcPr>
          <w:p w14:paraId="2D194CE3">
            <w:pPr>
              <w:spacing w:line="360" w:lineRule="auto"/>
              <w:jc w:val="center"/>
              <w:rPr>
                <w:rFonts w:hint="default" w:cs="仿宋_GB2312" w:asciiTheme="minorEastAsia" w:hAnsiTheme="minorEastAsia" w:eastAsiaTheme="minorEastAsia"/>
                <w:color w:val="auto"/>
                <w:kern w:val="0"/>
                <w:sz w:val="24"/>
                <w:highlight w:val="none"/>
                <w:lang w:val="en-US" w:eastAsia="zh-CN"/>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01F27246">
            <w:pPr>
              <w:spacing w:line="360" w:lineRule="auto"/>
              <w:jc w:val="center"/>
              <w:rPr>
                <w:rFonts w:hint="default" w:cs="仿宋_GB2312" w:asciiTheme="minorEastAsia" w:hAnsiTheme="minorEastAsia" w:eastAsiaTheme="minorEastAsia"/>
                <w:color w:val="auto"/>
                <w:kern w:val="0"/>
                <w:sz w:val="24"/>
                <w:highlight w:val="none"/>
                <w:lang w:val="en-US" w:eastAsia="zh-CN"/>
              </w:rPr>
            </w:pPr>
          </w:p>
        </w:tc>
        <w:tc>
          <w:tcPr>
            <w:tcW w:w="1099" w:type="dxa"/>
            <w:tcBorders>
              <w:top w:val="single" w:color="000000" w:sz="8" w:space="0"/>
              <w:left w:val="single" w:color="auto" w:sz="4" w:space="0"/>
              <w:bottom w:val="single" w:color="000000" w:sz="8" w:space="0"/>
              <w:right w:val="single" w:color="auto" w:sz="4" w:space="0"/>
            </w:tcBorders>
            <w:noWrap w:val="0"/>
            <w:vAlign w:val="center"/>
          </w:tcPr>
          <w:p w14:paraId="5071DD3F">
            <w:pPr>
              <w:spacing w:line="360" w:lineRule="auto"/>
              <w:jc w:val="center"/>
              <w:rPr>
                <w:rFonts w:hint="default" w:cs="仿宋_GB2312" w:asciiTheme="minorEastAsia" w:hAnsiTheme="minorEastAsia" w:eastAsiaTheme="minorEastAsia"/>
                <w:color w:val="auto"/>
                <w:kern w:val="0"/>
                <w:sz w:val="24"/>
                <w:highlight w:val="none"/>
                <w:lang w:val="en-US" w:eastAsia="zh-CN"/>
              </w:rPr>
            </w:pPr>
          </w:p>
        </w:tc>
        <w:tc>
          <w:tcPr>
            <w:tcW w:w="1099" w:type="dxa"/>
            <w:tcBorders>
              <w:top w:val="single" w:color="000000" w:sz="8" w:space="0"/>
              <w:left w:val="single" w:color="auto" w:sz="4" w:space="0"/>
              <w:bottom w:val="single" w:color="000000" w:sz="8" w:space="0"/>
              <w:right w:val="single" w:color="auto" w:sz="4" w:space="0"/>
            </w:tcBorders>
            <w:noWrap w:val="0"/>
            <w:vAlign w:val="center"/>
          </w:tcPr>
          <w:p w14:paraId="13DB8A97">
            <w:pPr>
              <w:spacing w:line="360" w:lineRule="auto"/>
              <w:jc w:val="center"/>
              <w:rPr>
                <w:rFonts w:hint="eastAsia" w:cs="仿宋_GB2312" w:asciiTheme="minorEastAsia" w:hAnsiTheme="minorEastAsia" w:eastAsiaTheme="minorEastAsia"/>
                <w:color w:val="auto"/>
                <w:kern w:val="0"/>
                <w:sz w:val="24"/>
                <w:highlight w:val="none"/>
                <w:lang w:val="en-US" w:eastAsia="zh-CN"/>
              </w:rPr>
            </w:pPr>
          </w:p>
        </w:tc>
        <w:tc>
          <w:tcPr>
            <w:tcW w:w="1330" w:type="dxa"/>
            <w:tcBorders>
              <w:top w:val="single" w:color="auto" w:sz="4" w:space="0"/>
              <w:left w:val="single" w:color="auto" w:sz="4" w:space="0"/>
              <w:bottom w:val="single" w:color="auto" w:sz="4" w:space="0"/>
              <w:right w:val="single" w:color="000000" w:sz="8" w:space="0"/>
            </w:tcBorders>
            <w:noWrap w:val="0"/>
            <w:vAlign w:val="center"/>
          </w:tcPr>
          <w:p w14:paraId="201495EA">
            <w:pPr>
              <w:spacing w:line="360" w:lineRule="auto"/>
              <w:jc w:val="center"/>
              <w:rPr>
                <w:rFonts w:hint="default" w:cs="仿宋_GB2312" w:asciiTheme="minorEastAsia" w:hAnsiTheme="minorEastAsia" w:eastAsiaTheme="minorEastAsia"/>
                <w:color w:val="auto"/>
                <w:kern w:val="0"/>
                <w:sz w:val="24"/>
                <w:highlight w:val="none"/>
                <w:lang w:val="en-US"/>
              </w:rPr>
            </w:pPr>
          </w:p>
        </w:tc>
        <w:tc>
          <w:tcPr>
            <w:tcW w:w="1199" w:type="dxa"/>
            <w:tcBorders>
              <w:top w:val="single" w:color="auto" w:sz="4" w:space="0"/>
              <w:left w:val="single" w:color="auto" w:sz="4" w:space="0"/>
              <w:bottom w:val="single" w:color="auto" w:sz="4" w:space="0"/>
              <w:right w:val="single" w:color="000000" w:sz="8" w:space="0"/>
            </w:tcBorders>
            <w:noWrap w:val="0"/>
            <w:vAlign w:val="center"/>
          </w:tcPr>
          <w:p w14:paraId="332CFF0C">
            <w:pPr>
              <w:spacing w:line="360" w:lineRule="auto"/>
              <w:jc w:val="both"/>
              <w:rPr>
                <w:rFonts w:hint="default" w:cs="仿宋_GB2312" w:asciiTheme="minorEastAsia" w:hAnsiTheme="minorEastAsia" w:eastAsiaTheme="minorEastAsia"/>
                <w:color w:val="auto"/>
                <w:kern w:val="0"/>
                <w:sz w:val="24"/>
                <w:highlight w:val="none"/>
                <w:lang w:val="en-US" w:eastAsia="zh-CN"/>
              </w:rPr>
            </w:pPr>
          </w:p>
        </w:tc>
      </w:tr>
      <w:tr w14:paraId="17D7CBB3">
        <w:tblPrEx>
          <w:tblCellMar>
            <w:top w:w="0" w:type="dxa"/>
            <w:left w:w="108" w:type="dxa"/>
            <w:bottom w:w="0" w:type="dxa"/>
            <w:right w:w="108" w:type="dxa"/>
          </w:tblCellMar>
        </w:tblPrEx>
        <w:trPr>
          <w:trHeight w:val="0" w:hRule="atLeast"/>
          <w:jc w:val="center"/>
        </w:trPr>
        <w:tc>
          <w:tcPr>
            <w:tcW w:w="6752" w:type="dxa"/>
            <w:gridSpan w:val="5"/>
            <w:tcBorders>
              <w:top w:val="single" w:color="000000" w:sz="8" w:space="0"/>
              <w:left w:val="single" w:color="000000" w:sz="8" w:space="0"/>
              <w:bottom w:val="single" w:color="000000" w:sz="8" w:space="0"/>
              <w:right w:val="single" w:color="auto" w:sz="4" w:space="0"/>
            </w:tcBorders>
            <w:noWrap w:val="0"/>
            <w:vAlign w:val="center"/>
          </w:tcPr>
          <w:p w14:paraId="1FFAA4E2">
            <w:pPr>
              <w:spacing w:line="360" w:lineRule="auto"/>
              <w:jc w:val="right"/>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合计</w:t>
            </w:r>
          </w:p>
        </w:tc>
        <w:tc>
          <w:tcPr>
            <w:tcW w:w="1330" w:type="dxa"/>
            <w:tcBorders>
              <w:top w:val="single" w:color="auto" w:sz="4" w:space="0"/>
              <w:left w:val="single" w:color="auto" w:sz="4" w:space="0"/>
              <w:bottom w:val="single" w:color="auto" w:sz="4" w:space="0"/>
              <w:right w:val="single" w:color="000000" w:sz="8" w:space="0"/>
            </w:tcBorders>
            <w:noWrap w:val="0"/>
            <w:vAlign w:val="center"/>
          </w:tcPr>
          <w:p w14:paraId="0D1FAF0E">
            <w:pPr>
              <w:spacing w:line="360" w:lineRule="auto"/>
              <w:jc w:val="center"/>
              <w:rPr>
                <w:rFonts w:hint="default" w:cs="仿宋_GB2312" w:asciiTheme="minorEastAsia" w:hAnsiTheme="minorEastAsia" w:eastAsiaTheme="minorEastAsia"/>
                <w:color w:val="auto"/>
                <w:kern w:val="0"/>
                <w:sz w:val="24"/>
                <w:highlight w:val="none"/>
                <w:lang w:val="en-US"/>
              </w:rPr>
            </w:pPr>
          </w:p>
        </w:tc>
        <w:tc>
          <w:tcPr>
            <w:tcW w:w="1199" w:type="dxa"/>
            <w:tcBorders>
              <w:top w:val="single" w:color="auto" w:sz="4" w:space="0"/>
              <w:left w:val="single" w:color="auto" w:sz="4" w:space="0"/>
              <w:bottom w:val="single" w:color="auto" w:sz="4" w:space="0"/>
              <w:right w:val="single" w:color="000000" w:sz="8" w:space="0"/>
            </w:tcBorders>
            <w:noWrap w:val="0"/>
            <w:vAlign w:val="center"/>
          </w:tcPr>
          <w:p w14:paraId="0A4E4FC0">
            <w:pPr>
              <w:spacing w:line="360" w:lineRule="auto"/>
              <w:jc w:val="both"/>
              <w:rPr>
                <w:rFonts w:hint="default" w:cs="仿宋_GB2312" w:asciiTheme="minorEastAsia" w:hAnsiTheme="minorEastAsia" w:eastAsiaTheme="minorEastAsia"/>
                <w:color w:val="auto"/>
                <w:kern w:val="0"/>
                <w:sz w:val="24"/>
                <w:highlight w:val="none"/>
                <w:lang w:val="en-US" w:eastAsia="zh-CN"/>
              </w:rPr>
            </w:pPr>
          </w:p>
        </w:tc>
      </w:tr>
    </w:tbl>
    <w:p w14:paraId="062CD04A">
      <w:pPr>
        <w:spacing w:line="500" w:lineRule="exact"/>
        <w:rPr>
          <w:rFonts w:ascii="宋体" w:hAnsi="宋体" w:cs="宋体"/>
          <w:color w:val="auto"/>
          <w:kern w:val="1"/>
          <w:sz w:val="24"/>
          <w:szCs w:val="24"/>
          <w:highlight w:val="none"/>
        </w:rPr>
      </w:pPr>
    </w:p>
    <w:p w14:paraId="7653E8FE">
      <w:pPr>
        <w:pStyle w:val="2"/>
        <w:ind w:firstLine="482" w:firstLineChars="200"/>
        <w:rPr>
          <w:rFonts w:hint="eastAsia" w:ascii="宋体" w:hAnsi="宋体" w:cs="宋体"/>
          <w:b/>
          <w:color w:val="auto"/>
          <w:kern w:val="1"/>
          <w:sz w:val="24"/>
          <w:szCs w:val="24"/>
          <w:highlight w:val="none"/>
        </w:rPr>
      </w:pPr>
      <w:r>
        <w:rPr>
          <w:rFonts w:hint="eastAsia" w:ascii="宋体" w:hAnsi="宋体" w:cs="宋体"/>
          <w:b/>
          <w:color w:val="auto"/>
          <w:kern w:val="1"/>
          <w:sz w:val="24"/>
          <w:szCs w:val="24"/>
          <w:highlight w:val="none"/>
        </w:rPr>
        <w:t>注：</w:t>
      </w:r>
    </w:p>
    <w:p w14:paraId="68E088EE">
      <w:pPr>
        <w:pStyle w:val="2"/>
        <w:ind w:firstLine="482" w:firstLineChars="200"/>
        <w:rPr>
          <w:rFonts w:hint="eastAsia" w:ascii="宋体" w:hAnsi="宋体" w:cs="宋体"/>
          <w:b/>
          <w:color w:val="auto"/>
          <w:kern w:val="1"/>
          <w:sz w:val="24"/>
          <w:szCs w:val="24"/>
          <w:highlight w:val="none"/>
        </w:rPr>
      </w:pPr>
      <w:r>
        <w:rPr>
          <w:rFonts w:hint="eastAsia" w:ascii="宋体" w:hAnsi="宋体" w:cs="宋体"/>
          <w:b/>
          <w:color w:val="auto"/>
          <w:kern w:val="1"/>
          <w:sz w:val="24"/>
          <w:szCs w:val="24"/>
          <w:highlight w:val="none"/>
        </w:rPr>
        <w:t>1.供应商的报价表必须加盖供应商公章并由法定代表人或者委托代理人签字，否则其响应文件按无效响应处理。</w:t>
      </w:r>
    </w:p>
    <w:p w14:paraId="6FB12A70">
      <w:pPr>
        <w:pStyle w:val="2"/>
        <w:ind w:firstLine="482" w:firstLineChars="200"/>
        <w:rPr>
          <w:rFonts w:hint="eastAsia" w:eastAsia="宋体"/>
          <w:color w:val="auto"/>
          <w:highlight w:val="none"/>
          <w:lang w:eastAsia="zh-CN"/>
        </w:rPr>
      </w:pPr>
      <w:r>
        <w:rPr>
          <w:rFonts w:hint="eastAsia" w:ascii="宋体" w:hAnsi="宋体" w:cs="宋体"/>
          <w:b/>
          <w:color w:val="auto"/>
          <w:kern w:val="1"/>
          <w:sz w:val="24"/>
          <w:szCs w:val="24"/>
          <w:highlight w:val="none"/>
        </w:rPr>
        <w:t>2.报价一经涂改，应在涂改处加盖供应商公章或者由法定代表人或者委托代理人签字，否则其响应文件按无效响应处理。</w:t>
      </w:r>
    </w:p>
    <w:p w14:paraId="7074FD23">
      <w:pPr>
        <w:tabs>
          <w:tab w:val="left" w:pos="1418"/>
        </w:tabs>
        <w:spacing w:before="50" w:after="50" w:line="360" w:lineRule="exact"/>
        <w:ind w:firstLine="502"/>
        <w:jc w:val="left"/>
        <w:rPr>
          <w:rFonts w:ascii="宋体" w:hAnsi="宋体" w:cs="宋体"/>
          <w:b/>
          <w:color w:val="auto"/>
          <w:spacing w:val="17"/>
          <w:kern w:val="1"/>
          <w:sz w:val="24"/>
          <w:szCs w:val="24"/>
          <w:highlight w:val="none"/>
        </w:rPr>
      </w:pPr>
    </w:p>
    <w:p w14:paraId="7D391B4E">
      <w:pPr>
        <w:spacing w:line="300" w:lineRule="auto"/>
        <w:ind w:firstLine="480" w:firstLineChars="200"/>
        <w:rPr>
          <w:rFonts w:ascii="宋体" w:hAnsi="宋体" w:cs="宋体"/>
          <w:color w:val="auto"/>
          <w:kern w:val="1"/>
          <w:sz w:val="24"/>
          <w:szCs w:val="24"/>
          <w:highlight w:val="non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color w:val="auto"/>
          <w:sz w:val="24"/>
          <w:highlight w:val="none"/>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173F23E9">
      <w:pPr>
        <w:spacing w:line="500" w:lineRule="exact"/>
        <w:ind w:firstLine="420"/>
        <w:rPr>
          <w:rFonts w:ascii="宋体" w:hAnsi="宋体" w:cs="Courier New"/>
          <w:color w:val="auto"/>
          <w:kern w:val="1"/>
          <w:sz w:val="24"/>
          <w:szCs w:val="24"/>
          <w:highlight w:val="none"/>
          <w:u w:val="single"/>
        </w:rPr>
      </w:pPr>
      <w:r>
        <w:rPr>
          <w:rFonts w:ascii="宋体" w:hAnsi="宋体" w:cs="Courier New"/>
          <w:color w:val="auto"/>
          <w:kern w:val="1"/>
          <w:sz w:val="24"/>
          <w:szCs w:val="24"/>
          <w:highlight w:val="none"/>
        </w:rPr>
        <w:t>磋商供应商名称（</w:t>
      </w:r>
      <w:r>
        <w:rPr>
          <w:rFonts w:hint="eastAsia" w:ascii="宋体" w:hAnsi="宋体" w:cs="宋体"/>
          <w:b/>
          <w:bCs/>
          <w:color w:val="auto"/>
          <w:sz w:val="24"/>
          <w:szCs w:val="24"/>
          <w:highlight w:val="none"/>
          <w:lang w:eastAsia="zh-CN"/>
        </w:rPr>
        <w:t>盖公章</w:t>
      </w:r>
      <w:r>
        <w:rPr>
          <w:rFonts w:ascii="宋体" w:hAnsi="宋体" w:cs="Courier New"/>
          <w:color w:val="auto"/>
          <w:kern w:val="1"/>
          <w:sz w:val="24"/>
          <w:szCs w:val="24"/>
          <w:highlight w:val="none"/>
        </w:rPr>
        <w:t>）：</w:t>
      </w:r>
      <w:r>
        <w:rPr>
          <w:rFonts w:ascii="宋体" w:hAnsi="宋体" w:cs="Courier New"/>
          <w:color w:val="auto"/>
          <w:kern w:val="1"/>
          <w:sz w:val="24"/>
          <w:szCs w:val="24"/>
          <w:highlight w:val="none"/>
          <w:u w:val="single"/>
        </w:rPr>
        <w:t xml:space="preserve">       </w:t>
      </w:r>
    </w:p>
    <w:p w14:paraId="0174AF8D">
      <w:pPr>
        <w:spacing w:line="500" w:lineRule="exact"/>
        <w:ind w:firstLine="420"/>
        <w:rPr>
          <w:rFonts w:ascii="宋体" w:hAnsi="宋体" w:cs="宋体"/>
          <w:color w:val="auto"/>
          <w:kern w:val="1"/>
          <w:sz w:val="24"/>
          <w:szCs w:val="24"/>
          <w:highlight w:val="none"/>
        </w:rPr>
      </w:pPr>
      <w:r>
        <w:rPr>
          <w:rFonts w:ascii="宋体" w:hAnsi="宋体" w:cs="宋体"/>
          <w:color w:val="auto"/>
          <w:kern w:val="1"/>
          <w:sz w:val="24"/>
          <w:szCs w:val="24"/>
          <w:highlight w:val="none"/>
        </w:rPr>
        <w:t>报价时间：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月</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日</w:t>
      </w:r>
    </w:p>
    <w:p w14:paraId="13AEFF1D">
      <w:pPr>
        <w:spacing w:before="101" w:line="676" w:lineRule="exact"/>
        <w:ind w:left="0"/>
        <w:rPr>
          <w:rFonts w:ascii="宋体" w:hAnsi="宋体" w:eastAsia="宋体" w:cs="宋体"/>
          <w:color w:val="auto"/>
          <w:sz w:val="31"/>
          <w:szCs w:val="31"/>
          <w:highlight w:val="none"/>
        </w:rPr>
      </w:pPr>
      <w:r>
        <w:rPr>
          <w:rFonts w:ascii="宋体" w:hAnsi="宋体" w:cs="宋体"/>
          <w:color w:val="auto"/>
          <w:kern w:val="1"/>
          <w:highlight w:val="none"/>
        </w:rPr>
        <w:br w:type="page"/>
      </w:r>
      <w:r>
        <w:rPr>
          <w:rFonts w:ascii="宋体" w:hAnsi="宋体" w:eastAsia="宋体" w:cs="宋体"/>
          <w:color w:val="auto"/>
          <w:spacing w:val="9"/>
          <w:position w:val="27"/>
          <w:sz w:val="31"/>
          <w:szCs w:val="31"/>
          <w:highlight w:val="none"/>
        </w:rPr>
        <w:t>三、商务技术文件格式</w:t>
      </w:r>
    </w:p>
    <w:p w14:paraId="2BC9D513">
      <w:pPr>
        <w:spacing w:before="1" w:line="225" w:lineRule="auto"/>
        <w:rPr>
          <w:rFonts w:ascii="宋体" w:hAnsi="宋体" w:eastAsia="宋体" w:cs="宋体"/>
          <w:color w:val="auto"/>
          <w:sz w:val="31"/>
          <w:szCs w:val="31"/>
          <w:highlight w:val="none"/>
        </w:rPr>
      </w:pPr>
      <w:r>
        <w:rPr>
          <w:rFonts w:ascii="宋体" w:hAnsi="宋体" w:eastAsia="宋体" w:cs="宋体"/>
          <w:color w:val="auto"/>
          <w:spacing w:val="7"/>
          <w:sz w:val="31"/>
          <w:szCs w:val="31"/>
          <w:highlight w:val="none"/>
        </w:rPr>
        <w:t>1.商务技术文件封面格式</w:t>
      </w:r>
    </w:p>
    <w:p w14:paraId="4ECED894">
      <w:pPr>
        <w:spacing w:line="280" w:lineRule="auto"/>
        <w:rPr>
          <w:rFonts w:ascii="Arial"/>
          <w:color w:val="auto"/>
          <w:sz w:val="21"/>
          <w:highlight w:val="none"/>
        </w:rPr>
      </w:pPr>
    </w:p>
    <w:p w14:paraId="620AD2FD">
      <w:pPr>
        <w:spacing w:line="281" w:lineRule="auto"/>
        <w:rPr>
          <w:rFonts w:ascii="Arial"/>
          <w:color w:val="auto"/>
          <w:sz w:val="21"/>
          <w:highlight w:val="none"/>
        </w:rPr>
      </w:pPr>
    </w:p>
    <w:p w14:paraId="134A1CAD">
      <w:pPr>
        <w:spacing w:line="281" w:lineRule="auto"/>
        <w:rPr>
          <w:rFonts w:ascii="Arial"/>
          <w:color w:val="auto"/>
          <w:sz w:val="21"/>
          <w:highlight w:val="none"/>
        </w:rPr>
      </w:pPr>
    </w:p>
    <w:p w14:paraId="72640E3E">
      <w:pPr>
        <w:spacing w:before="139" w:line="224" w:lineRule="auto"/>
        <w:ind w:left="2888"/>
        <w:rPr>
          <w:rFonts w:ascii="宋体" w:hAnsi="宋体" w:eastAsia="宋体" w:cs="宋体"/>
          <w:color w:val="auto"/>
          <w:sz w:val="43"/>
          <w:szCs w:val="43"/>
          <w:highlight w:val="none"/>
        </w:rPr>
      </w:pPr>
      <w:r>
        <w:rPr>
          <w:rFonts w:ascii="宋体" w:hAnsi="宋体" w:eastAsia="宋体" w:cs="宋体"/>
          <w:color w:val="auto"/>
          <w:spacing w:val="-20"/>
          <w:sz w:val="43"/>
          <w:szCs w:val="43"/>
          <w:highlight w:val="none"/>
        </w:rPr>
        <w:t>电</w:t>
      </w:r>
      <w:r>
        <w:rPr>
          <w:rFonts w:ascii="宋体" w:hAnsi="宋体" w:eastAsia="宋体" w:cs="宋体"/>
          <w:color w:val="auto"/>
          <w:spacing w:val="25"/>
          <w:sz w:val="43"/>
          <w:szCs w:val="43"/>
          <w:highlight w:val="none"/>
        </w:rPr>
        <w:t xml:space="preserve"> </w:t>
      </w:r>
      <w:r>
        <w:rPr>
          <w:rFonts w:ascii="宋体" w:hAnsi="宋体" w:eastAsia="宋体" w:cs="宋体"/>
          <w:color w:val="auto"/>
          <w:spacing w:val="-20"/>
          <w:sz w:val="43"/>
          <w:szCs w:val="43"/>
          <w:highlight w:val="none"/>
        </w:rPr>
        <w:t>子</w:t>
      </w:r>
      <w:r>
        <w:rPr>
          <w:rFonts w:ascii="宋体" w:hAnsi="宋体" w:eastAsia="宋体" w:cs="宋体"/>
          <w:color w:val="auto"/>
          <w:spacing w:val="45"/>
          <w:sz w:val="43"/>
          <w:szCs w:val="43"/>
          <w:highlight w:val="none"/>
        </w:rPr>
        <w:t xml:space="preserve"> </w:t>
      </w:r>
      <w:r>
        <w:rPr>
          <w:rFonts w:ascii="宋体" w:hAnsi="宋体" w:eastAsia="宋体" w:cs="宋体"/>
          <w:color w:val="auto"/>
          <w:spacing w:val="-20"/>
          <w:sz w:val="43"/>
          <w:szCs w:val="43"/>
          <w:highlight w:val="none"/>
        </w:rPr>
        <w:t>响</w:t>
      </w:r>
      <w:r>
        <w:rPr>
          <w:rFonts w:ascii="宋体" w:hAnsi="宋体" w:eastAsia="宋体" w:cs="宋体"/>
          <w:color w:val="auto"/>
          <w:spacing w:val="23"/>
          <w:sz w:val="43"/>
          <w:szCs w:val="43"/>
          <w:highlight w:val="none"/>
        </w:rPr>
        <w:t xml:space="preserve"> </w:t>
      </w:r>
      <w:r>
        <w:rPr>
          <w:rFonts w:ascii="宋体" w:hAnsi="宋体" w:eastAsia="宋体" w:cs="宋体"/>
          <w:color w:val="auto"/>
          <w:spacing w:val="-20"/>
          <w:sz w:val="43"/>
          <w:szCs w:val="43"/>
          <w:highlight w:val="none"/>
        </w:rPr>
        <w:t>应</w:t>
      </w:r>
      <w:r>
        <w:rPr>
          <w:rFonts w:ascii="宋体" w:hAnsi="宋体" w:eastAsia="宋体" w:cs="宋体"/>
          <w:color w:val="auto"/>
          <w:spacing w:val="27"/>
          <w:sz w:val="43"/>
          <w:szCs w:val="43"/>
          <w:highlight w:val="none"/>
        </w:rPr>
        <w:t xml:space="preserve"> </w:t>
      </w:r>
      <w:r>
        <w:rPr>
          <w:rFonts w:ascii="宋体" w:hAnsi="宋体" w:eastAsia="宋体" w:cs="宋体"/>
          <w:color w:val="auto"/>
          <w:spacing w:val="-20"/>
          <w:sz w:val="43"/>
          <w:szCs w:val="43"/>
          <w:highlight w:val="none"/>
        </w:rPr>
        <w:t>文</w:t>
      </w:r>
      <w:r>
        <w:rPr>
          <w:rFonts w:ascii="宋体" w:hAnsi="宋体" w:eastAsia="宋体" w:cs="宋体"/>
          <w:color w:val="auto"/>
          <w:spacing w:val="21"/>
          <w:sz w:val="43"/>
          <w:szCs w:val="43"/>
          <w:highlight w:val="none"/>
        </w:rPr>
        <w:t xml:space="preserve"> </w:t>
      </w:r>
      <w:r>
        <w:rPr>
          <w:rFonts w:ascii="宋体" w:hAnsi="宋体" w:eastAsia="宋体" w:cs="宋体"/>
          <w:color w:val="auto"/>
          <w:spacing w:val="-20"/>
          <w:sz w:val="43"/>
          <w:szCs w:val="43"/>
          <w:highlight w:val="none"/>
        </w:rPr>
        <w:t>件</w:t>
      </w:r>
    </w:p>
    <w:p w14:paraId="5F2BB2AF">
      <w:pPr>
        <w:spacing w:line="265" w:lineRule="auto"/>
        <w:rPr>
          <w:rFonts w:ascii="Arial"/>
          <w:color w:val="auto"/>
          <w:sz w:val="21"/>
          <w:highlight w:val="none"/>
        </w:rPr>
      </w:pPr>
    </w:p>
    <w:p w14:paraId="6DBF4F0D">
      <w:pPr>
        <w:spacing w:line="265" w:lineRule="auto"/>
        <w:rPr>
          <w:rFonts w:ascii="Arial"/>
          <w:color w:val="auto"/>
          <w:sz w:val="21"/>
          <w:highlight w:val="none"/>
        </w:rPr>
      </w:pPr>
    </w:p>
    <w:p w14:paraId="4BB1117F">
      <w:pPr>
        <w:spacing w:line="266" w:lineRule="auto"/>
        <w:rPr>
          <w:rFonts w:ascii="Arial"/>
          <w:color w:val="auto"/>
          <w:sz w:val="21"/>
          <w:highlight w:val="none"/>
        </w:rPr>
      </w:pPr>
    </w:p>
    <w:p w14:paraId="693A78FB">
      <w:pPr>
        <w:spacing w:line="266" w:lineRule="auto"/>
        <w:rPr>
          <w:rFonts w:ascii="Arial"/>
          <w:color w:val="auto"/>
          <w:sz w:val="21"/>
          <w:highlight w:val="none"/>
        </w:rPr>
      </w:pPr>
    </w:p>
    <w:p w14:paraId="1C1F8C6C">
      <w:pPr>
        <w:spacing w:before="188" w:line="185" w:lineRule="auto"/>
        <w:ind w:left="2294"/>
        <w:rPr>
          <w:rFonts w:ascii="Arial Unicode MS" w:hAnsi="Arial Unicode MS" w:eastAsia="Arial Unicode MS" w:cs="Arial Unicode MS"/>
          <w:color w:val="auto"/>
          <w:sz w:val="43"/>
          <w:szCs w:val="43"/>
          <w:highlight w:val="none"/>
        </w:rPr>
      </w:pPr>
      <w:r>
        <w:rPr>
          <w:rFonts w:ascii="Arial Unicode MS" w:hAnsi="Arial Unicode MS" w:eastAsia="Arial Unicode MS" w:cs="Arial Unicode MS"/>
          <w:color w:val="auto"/>
          <w:spacing w:val="-7"/>
          <w:sz w:val="43"/>
          <w:szCs w:val="43"/>
          <w:highlight w:val="none"/>
        </w:rPr>
        <w:t>商</w:t>
      </w:r>
      <w:r>
        <w:rPr>
          <w:rFonts w:ascii="Arial Unicode MS" w:hAnsi="Arial Unicode MS" w:eastAsia="Arial Unicode MS" w:cs="Arial Unicode MS"/>
          <w:color w:val="auto"/>
          <w:spacing w:val="35"/>
          <w:sz w:val="43"/>
          <w:szCs w:val="43"/>
          <w:highlight w:val="none"/>
        </w:rPr>
        <w:t xml:space="preserve">  </w:t>
      </w:r>
      <w:r>
        <w:rPr>
          <w:rFonts w:ascii="Arial Unicode MS" w:hAnsi="Arial Unicode MS" w:eastAsia="Arial Unicode MS" w:cs="Arial Unicode MS"/>
          <w:color w:val="auto"/>
          <w:spacing w:val="-7"/>
          <w:sz w:val="43"/>
          <w:szCs w:val="43"/>
          <w:highlight w:val="none"/>
        </w:rPr>
        <w:t>务</w:t>
      </w:r>
      <w:r>
        <w:rPr>
          <w:rFonts w:ascii="Arial Unicode MS" w:hAnsi="Arial Unicode MS" w:eastAsia="Arial Unicode MS" w:cs="Arial Unicode MS"/>
          <w:color w:val="auto"/>
          <w:spacing w:val="33"/>
          <w:sz w:val="43"/>
          <w:szCs w:val="43"/>
          <w:highlight w:val="none"/>
        </w:rPr>
        <w:t xml:space="preserve">  </w:t>
      </w:r>
      <w:r>
        <w:rPr>
          <w:rFonts w:ascii="Arial Unicode MS" w:hAnsi="Arial Unicode MS" w:eastAsia="Arial Unicode MS" w:cs="Arial Unicode MS"/>
          <w:color w:val="auto"/>
          <w:spacing w:val="-7"/>
          <w:sz w:val="43"/>
          <w:szCs w:val="43"/>
          <w:highlight w:val="none"/>
        </w:rPr>
        <w:t>技</w:t>
      </w:r>
      <w:r>
        <w:rPr>
          <w:rFonts w:ascii="Arial Unicode MS" w:hAnsi="Arial Unicode MS" w:eastAsia="Arial Unicode MS" w:cs="Arial Unicode MS"/>
          <w:color w:val="auto"/>
          <w:spacing w:val="32"/>
          <w:sz w:val="43"/>
          <w:szCs w:val="43"/>
          <w:highlight w:val="none"/>
        </w:rPr>
        <w:t xml:space="preserve">  </w:t>
      </w:r>
      <w:r>
        <w:rPr>
          <w:rFonts w:ascii="Arial Unicode MS" w:hAnsi="Arial Unicode MS" w:eastAsia="Arial Unicode MS" w:cs="Arial Unicode MS"/>
          <w:color w:val="auto"/>
          <w:spacing w:val="-7"/>
          <w:sz w:val="43"/>
          <w:szCs w:val="43"/>
          <w:highlight w:val="none"/>
        </w:rPr>
        <w:t>术   文</w:t>
      </w:r>
      <w:r>
        <w:rPr>
          <w:rFonts w:ascii="Arial Unicode MS" w:hAnsi="Arial Unicode MS" w:eastAsia="Arial Unicode MS" w:cs="Arial Unicode MS"/>
          <w:color w:val="auto"/>
          <w:spacing w:val="35"/>
          <w:sz w:val="43"/>
          <w:szCs w:val="43"/>
          <w:highlight w:val="none"/>
        </w:rPr>
        <w:t xml:space="preserve">  </w:t>
      </w:r>
      <w:r>
        <w:rPr>
          <w:rFonts w:ascii="Arial Unicode MS" w:hAnsi="Arial Unicode MS" w:eastAsia="Arial Unicode MS" w:cs="Arial Unicode MS"/>
          <w:color w:val="auto"/>
          <w:spacing w:val="-7"/>
          <w:sz w:val="43"/>
          <w:szCs w:val="43"/>
          <w:highlight w:val="none"/>
        </w:rPr>
        <w:t>件</w:t>
      </w:r>
    </w:p>
    <w:p w14:paraId="38774D08">
      <w:pPr>
        <w:spacing w:line="242" w:lineRule="auto"/>
        <w:rPr>
          <w:rFonts w:ascii="Arial"/>
          <w:color w:val="auto"/>
          <w:sz w:val="21"/>
          <w:highlight w:val="none"/>
        </w:rPr>
      </w:pPr>
    </w:p>
    <w:p w14:paraId="75D962DD">
      <w:pPr>
        <w:spacing w:line="243" w:lineRule="auto"/>
        <w:rPr>
          <w:rFonts w:ascii="Arial"/>
          <w:color w:val="auto"/>
          <w:sz w:val="21"/>
          <w:highlight w:val="none"/>
        </w:rPr>
      </w:pPr>
    </w:p>
    <w:p w14:paraId="1259FDED">
      <w:pPr>
        <w:spacing w:line="243" w:lineRule="auto"/>
        <w:rPr>
          <w:rFonts w:ascii="Arial"/>
          <w:color w:val="auto"/>
          <w:sz w:val="21"/>
          <w:highlight w:val="none"/>
        </w:rPr>
      </w:pPr>
    </w:p>
    <w:p w14:paraId="2611B40A">
      <w:pPr>
        <w:spacing w:line="243" w:lineRule="auto"/>
        <w:rPr>
          <w:rFonts w:ascii="Arial"/>
          <w:color w:val="auto"/>
          <w:sz w:val="21"/>
          <w:highlight w:val="none"/>
        </w:rPr>
      </w:pPr>
    </w:p>
    <w:p w14:paraId="34B7FEE5">
      <w:pPr>
        <w:spacing w:line="243" w:lineRule="auto"/>
        <w:rPr>
          <w:rFonts w:ascii="Arial"/>
          <w:color w:val="auto"/>
          <w:sz w:val="21"/>
          <w:highlight w:val="none"/>
        </w:rPr>
      </w:pPr>
    </w:p>
    <w:p w14:paraId="1D05543B">
      <w:pPr>
        <w:spacing w:line="243" w:lineRule="auto"/>
        <w:rPr>
          <w:rFonts w:ascii="Arial"/>
          <w:color w:val="auto"/>
          <w:sz w:val="21"/>
          <w:highlight w:val="none"/>
        </w:rPr>
      </w:pPr>
    </w:p>
    <w:p w14:paraId="55C2716D">
      <w:pPr>
        <w:spacing w:line="243" w:lineRule="auto"/>
        <w:rPr>
          <w:rFonts w:ascii="Arial"/>
          <w:color w:val="auto"/>
          <w:sz w:val="21"/>
          <w:highlight w:val="none"/>
        </w:rPr>
      </w:pPr>
    </w:p>
    <w:p w14:paraId="6F518AD0">
      <w:pPr>
        <w:spacing w:line="243" w:lineRule="auto"/>
        <w:rPr>
          <w:rFonts w:ascii="Arial"/>
          <w:color w:val="auto"/>
          <w:sz w:val="21"/>
          <w:highlight w:val="none"/>
        </w:rPr>
      </w:pPr>
    </w:p>
    <w:p w14:paraId="42263A41">
      <w:pPr>
        <w:spacing w:line="243" w:lineRule="auto"/>
        <w:rPr>
          <w:rFonts w:ascii="Arial"/>
          <w:color w:val="auto"/>
          <w:sz w:val="21"/>
          <w:highlight w:val="none"/>
        </w:rPr>
      </w:pPr>
    </w:p>
    <w:p w14:paraId="63B73DB0">
      <w:pPr>
        <w:spacing w:line="243" w:lineRule="auto"/>
        <w:rPr>
          <w:rFonts w:ascii="Arial"/>
          <w:color w:val="auto"/>
          <w:sz w:val="21"/>
          <w:highlight w:val="none"/>
        </w:rPr>
      </w:pPr>
    </w:p>
    <w:p w14:paraId="085FDA51">
      <w:pPr>
        <w:spacing w:before="101" w:line="226" w:lineRule="auto"/>
        <w:ind w:left="622"/>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项目名称：</w:t>
      </w:r>
    </w:p>
    <w:p w14:paraId="60EF6CC3">
      <w:pPr>
        <w:spacing w:line="328" w:lineRule="auto"/>
        <w:rPr>
          <w:rFonts w:ascii="Arial"/>
          <w:color w:val="auto"/>
          <w:sz w:val="21"/>
          <w:highlight w:val="none"/>
        </w:rPr>
      </w:pPr>
    </w:p>
    <w:p w14:paraId="1D105841">
      <w:pPr>
        <w:spacing w:line="328" w:lineRule="auto"/>
        <w:rPr>
          <w:rFonts w:ascii="Arial"/>
          <w:color w:val="auto"/>
          <w:sz w:val="21"/>
          <w:highlight w:val="none"/>
        </w:rPr>
      </w:pPr>
    </w:p>
    <w:p w14:paraId="4D3C0013">
      <w:pPr>
        <w:spacing w:before="101" w:line="226" w:lineRule="auto"/>
        <w:ind w:left="622"/>
        <w:rPr>
          <w:rFonts w:ascii="宋体" w:hAnsi="宋体" w:eastAsia="宋体" w:cs="宋体"/>
          <w:color w:val="auto"/>
          <w:sz w:val="31"/>
          <w:szCs w:val="31"/>
          <w:highlight w:val="none"/>
        </w:rPr>
      </w:pPr>
      <w:r>
        <w:rPr>
          <w:rFonts w:ascii="宋体" w:hAnsi="宋体" w:eastAsia="宋体" w:cs="宋体"/>
          <w:color w:val="auto"/>
          <w:spacing w:val="3"/>
          <w:sz w:val="31"/>
          <w:szCs w:val="31"/>
          <w:highlight w:val="none"/>
        </w:rPr>
        <w:t>项目编号：</w:t>
      </w:r>
    </w:p>
    <w:p w14:paraId="239207B8">
      <w:pPr>
        <w:spacing w:line="328" w:lineRule="auto"/>
        <w:rPr>
          <w:rFonts w:ascii="Arial"/>
          <w:color w:val="auto"/>
          <w:sz w:val="21"/>
          <w:highlight w:val="none"/>
        </w:rPr>
      </w:pPr>
    </w:p>
    <w:p w14:paraId="197606DF">
      <w:pPr>
        <w:spacing w:line="328" w:lineRule="auto"/>
        <w:rPr>
          <w:rFonts w:ascii="Arial"/>
          <w:color w:val="auto"/>
          <w:sz w:val="21"/>
          <w:highlight w:val="none"/>
        </w:rPr>
      </w:pPr>
    </w:p>
    <w:p w14:paraId="508AAE3E">
      <w:pPr>
        <w:spacing w:before="102" w:line="226" w:lineRule="auto"/>
        <w:ind w:right="38"/>
        <w:jc w:val="right"/>
        <w:rPr>
          <w:rFonts w:ascii="宋体" w:hAnsi="宋体" w:eastAsia="宋体" w:cs="宋体"/>
          <w:color w:val="auto"/>
          <w:sz w:val="31"/>
          <w:szCs w:val="31"/>
          <w:highlight w:val="none"/>
        </w:rPr>
      </w:pPr>
      <w:r>
        <w:rPr>
          <w:rFonts w:ascii="宋体" w:hAnsi="宋体" w:eastAsia="宋体" w:cs="宋体"/>
          <w:color w:val="auto"/>
          <w:spacing w:val="-7"/>
          <w:sz w:val="31"/>
          <w:szCs w:val="31"/>
          <w:highlight w:val="none"/>
        </w:rPr>
        <w:t>所竞分标（如有则填写，</w:t>
      </w:r>
      <w:r>
        <w:rPr>
          <w:rFonts w:ascii="宋体" w:hAnsi="宋体" w:eastAsia="宋体" w:cs="宋体"/>
          <w:color w:val="auto"/>
          <w:spacing w:val="91"/>
          <w:sz w:val="31"/>
          <w:szCs w:val="31"/>
          <w:highlight w:val="none"/>
        </w:rPr>
        <w:t xml:space="preserve"> </w:t>
      </w:r>
      <w:r>
        <w:rPr>
          <w:rFonts w:ascii="宋体" w:hAnsi="宋体" w:eastAsia="宋体" w:cs="宋体"/>
          <w:color w:val="auto"/>
          <w:spacing w:val="-7"/>
          <w:sz w:val="31"/>
          <w:szCs w:val="31"/>
          <w:highlight w:val="none"/>
        </w:rPr>
        <w:t>无分标时填写“无”或者留空</w:t>
      </w:r>
      <w:r>
        <w:rPr>
          <w:rFonts w:ascii="宋体" w:hAnsi="宋体" w:eastAsia="宋体" w:cs="宋体"/>
          <w:color w:val="auto"/>
          <w:spacing w:val="-14"/>
          <w:sz w:val="31"/>
          <w:szCs w:val="31"/>
          <w:highlight w:val="none"/>
        </w:rPr>
        <w:t>）</w:t>
      </w:r>
      <w:r>
        <w:rPr>
          <w:rFonts w:ascii="宋体" w:hAnsi="宋体" w:eastAsia="宋体" w:cs="宋体"/>
          <w:color w:val="auto"/>
          <w:spacing w:val="29"/>
          <w:sz w:val="31"/>
          <w:szCs w:val="31"/>
          <w:highlight w:val="none"/>
        </w:rPr>
        <w:t xml:space="preserve"> </w:t>
      </w:r>
      <w:r>
        <w:rPr>
          <w:rFonts w:ascii="宋体" w:hAnsi="宋体" w:eastAsia="宋体" w:cs="宋体"/>
          <w:color w:val="auto"/>
          <w:spacing w:val="-14"/>
          <w:sz w:val="31"/>
          <w:szCs w:val="31"/>
          <w:highlight w:val="none"/>
        </w:rPr>
        <w:t>：</w:t>
      </w:r>
    </w:p>
    <w:p w14:paraId="09AAEFB4">
      <w:pPr>
        <w:spacing w:line="276" w:lineRule="auto"/>
        <w:rPr>
          <w:rFonts w:ascii="Arial"/>
          <w:color w:val="auto"/>
          <w:sz w:val="21"/>
          <w:highlight w:val="none"/>
        </w:rPr>
      </w:pPr>
    </w:p>
    <w:p w14:paraId="697997AB">
      <w:pPr>
        <w:spacing w:line="276" w:lineRule="auto"/>
        <w:rPr>
          <w:rFonts w:ascii="Arial"/>
          <w:color w:val="auto"/>
          <w:sz w:val="21"/>
          <w:highlight w:val="none"/>
        </w:rPr>
      </w:pPr>
    </w:p>
    <w:p w14:paraId="77DAED77">
      <w:pPr>
        <w:spacing w:before="101" w:line="225" w:lineRule="auto"/>
        <w:ind w:left="617"/>
        <w:rPr>
          <w:rFonts w:ascii="宋体" w:hAnsi="宋体" w:eastAsia="宋体" w:cs="宋体"/>
          <w:color w:val="auto"/>
          <w:sz w:val="31"/>
          <w:szCs w:val="31"/>
          <w:highlight w:val="none"/>
        </w:rPr>
      </w:pPr>
      <w:r>
        <w:rPr>
          <w:rFonts w:ascii="宋体" w:hAnsi="宋体" w:eastAsia="宋体" w:cs="宋体"/>
          <w:color w:val="auto"/>
          <w:spacing w:val="-1"/>
          <w:sz w:val="31"/>
          <w:szCs w:val="31"/>
          <w:highlight w:val="none"/>
        </w:rPr>
        <w:t>供应商名称：</w:t>
      </w:r>
    </w:p>
    <w:p w14:paraId="5F5732C5">
      <w:pPr>
        <w:spacing w:line="242" w:lineRule="auto"/>
        <w:rPr>
          <w:rFonts w:ascii="Arial"/>
          <w:color w:val="auto"/>
          <w:sz w:val="21"/>
          <w:highlight w:val="none"/>
        </w:rPr>
      </w:pPr>
    </w:p>
    <w:p w14:paraId="29D4BD33">
      <w:pPr>
        <w:spacing w:line="242" w:lineRule="auto"/>
        <w:rPr>
          <w:rFonts w:ascii="Arial"/>
          <w:color w:val="auto"/>
          <w:sz w:val="21"/>
          <w:highlight w:val="none"/>
        </w:rPr>
      </w:pPr>
    </w:p>
    <w:p w14:paraId="2A8C0EFF">
      <w:pPr>
        <w:spacing w:line="242" w:lineRule="auto"/>
        <w:rPr>
          <w:rFonts w:ascii="Arial"/>
          <w:color w:val="auto"/>
          <w:sz w:val="21"/>
          <w:highlight w:val="none"/>
        </w:rPr>
      </w:pPr>
    </w:p>
    <w:p w14:paraId="414A6FF5">
      <w:pPr>
        <w:spacing w:line="242" w:lineRule="auto"/>
        <w:rPr>
          <w:rFonts w:ascii="Arial"/>
          <w:color w:val="auto"/>
          <w:sz w:val="21"/>
          <w:highlight w:val="none"/>
        </w:rPr>
      </w:pPr>
    </w:p>
    <w:p w14:paraId="7065ABB7">
      <w:pPr>
        <w:spacing w:line="243" w:lineRule="auto"/>
        <w:rPr>
          <w:rFonts w:ascii="Arial"/>
          <w:color w:val="auto"/>
          <w:sz w:val="21"/>
          <w:highlight w:val="none"/>
        </w:rPr>
      </w:pPr>
    </w:p>
    <w:p w14:paraId="554AA2A3">
      <w:pPr>
        <w:spacing w:line="243" w:lineRule="auto"/>
        <w:rPr>
          <w:rFonts w:ascii="Arial"/>
          <w:color w:val="auto"/>
          <w:sz w:val="21"/>
          <w:highlight w:val="none"/>
        </w:rPr>
      </w:pPr>
    </w:p>
    <w:p w14:paraId="3A3BFCAC">
      <w:pPr>
        <w:spacing w:line="243" w:lineRule="auto"/>
        <w:rPr>
          <w:rFonts w:ascii="Arial"/>
          <w:color w:val="auto"/>
          <w:sz w:val="21"/>
          <w:highlight w:val="none"/>
        </w:rPr>
      </w:pPr>
    </w:p>
    <w:p w14:paraId="7309204C">
      <w:pPr>
        <w:spacing w:line="243" w:lineRule="auto"/>
        <w:rPr>
          <w:rFonts w:ascii="Arial"/>
          <w:color w:val="auto"/>
          <w:sz w:val="21"/>
          <w:highlight w:val="none"/>
        </w:rPr>
      </w:pPr>
    </w:p>
    <w:p w14:paraId="731AA96B">
      <w:pPr>
        <w:spacing w:before="101" w:line="226" w:lineRule="auto"/>
        <w:ind w:left="3582"/>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年</w:t>
      </w:r>
      <w:r>
        <w:rPr>
          <w:rFonts w:ascii="宋体" w:hAnsi="宋体" w:eastAsia="宋体" w:cs="宋体"/>
          <w:color w:val="auto"/>
          <w:spacing w:val="11"/>
          <w:sz w:val="31"/>
          <w:szCs w:val="31"/>
          <w:highlight w:val="none"/>
        </w:rPr>
        <w:t xml:space="preserve">    </w:t>
      </w:r>
      <w:r>
        <w:rPr>
          <w:rFonts w:ascii="宋体" w:hAnsi="宋体" w:eastAsia="宋体" w:cs="宋体"/>
          <w:color w:val="auto"/>
          <w:spacing w:val="-6"/>
          <w:sz w:val="31"/>
          <w:szCs w:val="31"/>
          <w:highlight w:val="none"/>
        </w:rPr>
        <w:t>月</w:t>
      </w:r>
      <w:r>
        <w:rPr>
          <w:rFonts w:ascii="宋体" w:hAnsi="宋体" w:eastAsia="宋体" w:cs="宋体"/>
          <w:color w:val="auto"/>
          <w:spacing w:val="22"/>
          <w:sz w:val="31"/>
          <w:szCs w:val="31"/>
          <w:highlight w:val="none"/>
        </w:rPr>
        <w:t xml:space="preserve">    </w:t>
      </w:r>
      <w:r>
        <w:rPr>
          <w:rFonts w:ascii="宋体" w:hAnsi="宋体" w:eastAsia="宋体" w:cs="宋体"/>
          <w:color w:val="auto"/>
          <w:spacing w:val="-6"/>
          <w:sz w:val="31"/>
          <w:szCs w:val="31"/>
          <w:highlight w:val="none"/>
        </w:rPr>
        <w:t>日</w:t>
      </w:r>
    </w:p>
    <w:p w14:paraId="1E8C8494">
      <w:pPr>
        <w:spacing w:line="226" w:lineRule="auto"/>
        <w:rPr>
          <w:rFonts w:ascii="宋体" w:hAnsi="宋体" w:eastAsia="宋体" w:cs="宋体"/>
          <w:color w:val="auto"/>
          <w:sz w:val="31"/>
          <w:szCs w:val="31"/>
          <w:highlight w:val="none"/>
        </w:rPr>
        <w:sectPr>
          <w:footerReference r:id="rId9" w:type="default"/>
          <w:pgSz w:w="11907" w:h="16839"/>
          <w:pgMar w:top="1417" w:right="1417" w:bottom="1417" w:left="1417" w:header="1134" w:footer="1134" w:gutter="0"/>
          <w:pgNumType w:fmt="decimal"/>
          <w:cols w:space="720" w:num="1"/>
          <w:rtlGutter w:val="0"/>
        </w:sectPr>
      </w:pPr>
    </w:p>
    <w:p w14:paraId="1EA1792C">
      <w:pPr>
        <w:spacing w:before="101" w:line="226" w:lineRule="auto"/>
        <w:ind w:left="241"/>
        <w:rPr>
          <w:rFonts w:ascii="宋体" w:hAnsi="宋体" w:eastAsia="宋体" w:cs="宋体"/>
          <w:color w:val="auto"/>
          <w:sz w:val="31"/>
          <w:szCs w:val="31"/>
          <w:highlight w:val="none"/>
        </w:rPr>
      </w:pPr>
      <w:r>
        <w:rPr>
          <w:rFonts w:ascii="宋体" w:hAnsi="宋体" w:eastAsia="宋体" w:cs="宋体"/>
          <w:color w:val="auto"/>
          <w:spacing w:val="8"/>
          <w:sz w:val="31"/>
          <w:szCs w:val="31"/>
          <w:highlight w:val="none"/>
        </w:rPr>
        <w:t>2.商务技术文件目录</w:t>
      </w:r>
    </w:p>
    <w:p w14:paraId="011F7A3C">
      <w:pPr>
        <w:spacing w:line="295" w:lineRule="auto"/>
        <w:rPr>
          <w:rFonts w:ascii="Arial"/>
          <w:color w:val="auto"/>
          <w:sz w:val="21"/>
          <w:highlight w:val="none"/>
        </w:rPr>
      </w:pPr>
    </w:p>
    <w:p w14:paraId="3131503C">
      <w:pPr>
        <w:spacing w:before="101" w:line="624" w:lineRule="exact"/>
        <w:jc w:val="right"/>
        <w:rPr>
          <w:rFonts w:ascii="宋体" w:hAnsi="宋体" w:eastAsia="宋体" w:cs="宋体"/>
          <w:color w:val="auto"/>
          <w:sz w:val="31"/>
          <w:szCs w:val="31"/>
          <w:highlight w:val="none"/>
        </w:rPr>
      </w:pPr>
      <w:r>
        <w:rPr>
          <w:rFonts w:ascii="宋体" w:hAnsi="宋体" w:eastAsia="宋体" w:cs="宋体"/>
          <w:color w:val="auto"/>
          <w:spacing w:val="4"/>
          <w:position w:val="23"/>
          <w:sz w:val="31"/>
          <w:szCs w:val="31"/>
          <w:highlight w:val="none"/>
        </w:rPr>
        <w:t>根据磋商文件规定及供应商提供的材料自行编写目录（部分格式</w:t>
      </w:r>
    </w:p>
    <w:p w14:paraId="696D636C">
      <w:pPr>
        <w:spacing w:line="225" w:lineRule="auto"/>
        <w:rPr>
          <w:rFonts w:ascii="宋体" w:hAnsi="宋体" w:eastAsia="宋体" w:cs="宋体"/>
          <w:color w:val="auto"/>
          <w:sz w:val="31"/>
          <w:szCs w:val="31"/>
          <w:highlight w:val="none"/>
        </w:rPr>
      </w:pPr>
      <w:r>
        <w:rPr>
          <w:rFonts w:ascii="宋体" w:hAnsi="宋体" w:eastAsia="宋体" w:cs="宋体"/>
          <w:color w:val="auto"/>
          <w:spacing w:val="-6"/>
          <w:sz w:val="31"/>
          <w:szCs w:val="31"/>
          <w:highlight w:val="none"/>
        </w:rPr>
        <w:t>后附）。</w:t>
      </w:r>
    </w:p>
    <w:p w14:paraId="094E26F8">
      <w:pPr>
        <w:spacing w:line="225" w:lineRule="auto"/>
        <w:rPr>
          <w:rFonts w:ascii="宋体" w:hAnsi="宋体" w:eastAsia="宋体" w:cs="宋体"/>
          <w:color w:val="auto"/>
          <w:sz w:val="31"/>
          <w:szCs w:val="31"/>
          <w:highlight w:val="none"/>
        </w:rPr>
        <w:sectPr>
          <w:footerReference r:id="rId10" w:type="default"/>
          <w:pgSz w:w="11907" w:h="16839"/>
          <w:pgMar w:top="1417" w:right="1417" w:bottom="1417" w:left="1417" w:header="0" w:footer="856" w:gutter="0"/>
          <w:pgNumType w:fmt="decimal"/>
          <w:cols w:space="720" w:num="1"/>
          <w:rtlGutter w:val="0"/>
        </w:sectPr>
      </w:pPr>
    </w:p>
    <w:p w14:paraId="29546978">
      <w:pPr>
        <w:spacing w:line="520" w:lineRule="exact"/>
        <w:jc w:val="center"/>
        <w:rPr>
          <w:rFonts w:ascii="宋体" w:hAnsi="宋体" w:cs="宋体"/>
          <w:b/>
          <w:color w:val="auto"/>
          <w:kern w:val="1"/>
          <w:sz w:val="32"/>
          <w:szCs w:val="32"/>
          <w:highlight w:val="none"/>
        </w:rPr>
      </w:pPr>
      <w:r>
        <w:rPr>
          <w:rFonts w:ascii="宋体" w:hAnsi="宋体" w:cs="宋体"/>
          <w:b/>
          <w:color w:val="auto"/>
          <w:kern w:val="1"/>
          <w:sz w:val="32"/>
          <w:szCs w:val="32"/>
          <w:highlight w:val="none"/>
        </w:rPr>
        <w:t>磋 商 书</w:t>
      </w:r>
      <w:r>
        <w:rPr>
          <w:rFonts w:ascii="宋体" w:hAnsi="宋体" w:cs="宋体"/>
          <w:b/>
          <w:color w:val="auto"/>
          <w:spacing w:val="5"/>
          <w:kern w:val="1"/>
          <w:sz w:val="32"/>
          <w:szCs w:val="32"/>
          <w:highlight w:val="none"/>
        </w:rPr>
        <w:t>（格式）</w:t>
      </w:r>
    </w:p>
    <w:p w14:paraId="39E5213B">
      <w:pPr>
        <w:spacing w:line="520" w:lineRule="exact"/>
        <w:jc w:val="center"/>
        <w:rPr>
          <w:rFonts w:ascii="宋体" w:hAnsi="宋体" w:cs="宋体"/>
          <w:b/>
          <w:color w:val="auto"/>
          <w:kern w:val="1"/>
          <w:szCs w:val="21"/>
          <w:highlight w:val="none"/>
        </w:rPr>
      </w:pPr>
    </w:p>
    <w:p w14:paraId="42782D60">
      <w:pPr>
        <w:pStyle w:val="32"/>
        <w:spacing w:line="520" w:lineRule="exact"/>
        <w:rPr>
          <w:color w:val="auto"/>
          <w:sz w:val="24"/>
          <w:szCs w:val="24"/>
          <w:highlight w:val="none"/>
        </w:rPr>
      </w:pPr>
      <w:r>
        <w:rPr>
          <w:rFonts w:hint="eastAsia"/>
          <w:color w:val="auto"/>
          <w:sz w:val="24"/>
          <w:szCs w:val="24"/>
          <w:highlight w:val="none"/>
          <w:u w:val="single"/>
          <w:lang w:eastAsia="zh-CN"/>
        </w:rPr>
        <w:t>广西北部湾宏亚建设管理有限公司</w:t>
      </w:r>
      <w:r>
        <w:rPr>
          <w:color w:val="auto"/>
          <w:sz w:val="24"/>
          <w:szCs w:val="24"/>
          <w:highlight w:val="none"/>
        </w:rPr>
        <w:t>：</w:t>
      </w:r>
    </w:p>
    <w:p w14:paraId="178FC42B">
      <w:pPr>
        <w:pStyle w:val="32"/>
        <w:spacing w:line="520" w:lineRule="exact"/>
        <w:ind w:firstLine="480"/>
        <w:rPr>
          <w:color w:val="auto"/>
          <w:sz w:val="24"/>
          <w:szCs w:val="24"/>
          <w:highlight w:val="none"/>
        </w:rPr>
      </w:pPr>
      <w:r>
        <w:rPr>
          <w:color w:val="auto"/>
          <w:sz w:val="24"/>
          <w:szCs w:val="24"/>
          <w:highlight w:val="none"/>
        </w:rPr>
        <w:t>依据贵方</w:t>
      </w:r>
      <w:r>
        <w:rPr>
          <w:color w:val="auto"/>
          <w:sz w:val="24"/>
          <w:szCs w:val="24"/>
          <w:highlight w:val="none"/>
          <w:u w:val="single"/>
        </w:rPr>
        <w:t>（项目名称/项目编号）</w:t>
      </w:r>
      <w:r>
        <w:rPr>
          <w:color w:val="auto"/>
          <w:sz w:val="24"/>
          <w:szCs w:val="24"/>
          <w:highlight w:val="none"/>
        </w:rPr>
        <w:t>项目政府采购的磋商邀请，我方</w:t>
      </w:r>
      <w:r>
        <w:rPr>
          <w:color w:val="auto"/>
          <w:sz w:val="24"/>
          <w:szCs w:val="24"/>
          <w:highlight w:val="none"/>
          <w:u w:val="single"/>
        </w:rPr>
        <w:t>（姓名和职务）</w:t>
      </w:r>
      <w:r>
        <w:rPr>
          <w:color w:val="auto"/>
          <w:sz w:val="24"/>
          <w:szCs w:val="24"/>
          <w:highlight w:val="none"/>
        </w:rPr>
        <w:t>经正式授权并代表本单位</w:t>
      </w:r>
      <w:r>
        <w:rPr>
          <w:color w:val="auto"/>
          <w:sz w:val="24"/>
          <w:szCs w:val="24"/>
          <w:highlight w:val="none"/>
          <w:u w:val="single"/>
        </w:rPr>
        <w:t>（供应商名称、地址）</w:t>
      </w:r>
      <w:r>
        <w:rPr>
          <w:color w:val="auto"/>
          <w:sz w:val="24"/>
          <w:szCs w:val="24"/>
          <w:highlight w:val="none"/>
        </w:rPr>
        <w:t>提交下述竞争性磋商响应文件</w:t>
      </w:r>
      <w:r>
        <w:rPr>
          <w:b/>
          <w:color w:val="auto"/>
          <w:sz w:val="24"/>
          <w:szCs w:val="24"/>
          <w:highlight w:val="none"/>
        </w:rPr>
        <w:t>（资格文件、价格文件、商务技术文件）</w:t>
      </w:r>
      <w:r>
        <w:rPr>
          <w:color w:val="auto"/>
          <w:sz w:val="24"/>
          <w:szCs w:val="24"/>
          <w:highlight w:val="none"/>
        </w:rPr>
        <w:t>。</w:t>
      </w:r>
    </w:p>
    <w:p w14:paraId="6EA6D004">
      <w:pPr>
        <w:pStyle w:val="32"/>
        <w:spacing w:line="520" w:lineRule="exact"/>
        <w:ind w:firstLine="480"/>
        <w:rPr>
          <w:color w:val="auto"/>
          <w:sz w:val="24"/>
          <w:szCs w:val="24"/>
          <w:highlight w:val="none"/>
        </w:rPr>
      </w:pPr>
      <w:r>
        <w:rPr>
          <w:color w:val="auto"/>
          <w:sz w:val="24"/>
          <w:szCs w:val="24"/>
          <w:highlight w:val="none"/>
        </w:rPr>
        <w:t>1. 报价表；</w:t>
      </w:r>
    </w:p>
    <w:p w14:paraId="015D2E9F">
      <w:pPr>
        <w:pStyle w:val="32"/>
        <w:spacing w:line="520" w:lineRule="exact"/>
        <w:ind w:firstLine="480"/>
        <w:rPr>
          <w:color w:val="auto"/>
          <w:sz w:val="24"/>
          <w:szCs w:val="24"/>
          <w:highlight w:val="none"/>
        </w:rPr>
      </w:pPr>
      <w:r>
        <w:rPr>
          <w:color w:val="auto"/>
          <w:sz w:val="24"/>
          <w:szCs w:val="24"/>
          <w:highlight w:val="none"/>
        </w:rPr>
        <w:t>2．服务方案(含服务承诺)；</w:t>
      </w:r>
    </w:p>
    <w:p w14:paraId="686FE9D8">
      <w:pPr>
        <w:pStyle w:val="32"/>
        <w:spacing w:line="520" w:lineRule="exact"/>
        <w:ind w:firstLine="480"/>
        <w:rPr>
          <w:color w:val="auto"/>
          <w:sz w:val="24"/>
          <w:szCs w:val="24"/>
          <w:highlight w:val="none"/>
        </w:rPr>
      </w:pPr>
      <w:r>
        <w:rPr>
          <w:color w:val="auto"/>
          <w:sz w:val="24"/>
          <w:szCs w:val="24"/>
          <w:highlight w:val="none"/>
        </w:rPr>
        <w:t xml:space="preserve">3. 资格证明文件； </w:t>
      </w:r>
    </w:p>
    <w:p w14:paraId="092C7779">
      <w:pPr>
        <w:pStyle w:val="32"/>
        <w:spacing w:line="520" w:lineRule="exact"/>
        <w:ind w:firstLine="480"/>
        <w:rPr>
          <w:color w:val="auto"/>
          <w:sz w:val="24"/>
          <w:szCs w:val="24"/>
          <w:highlight w:val="none"/>
        </w:rPr>
      </w:pPr>
      <w:r>
        <w:rPr>
          <w:color w:val="auto"/>
          <w:sz w:val="24"/>
          <w:szCs w:val="24"/>
          <w:highlight w:val="none"/>
        </w:rPr>
        <w:t>4. 按竞争性磋商文件供应商须知和采购需求提供的有关文件。</w:t>
      </w:r>
    </w:p>
    <w:p w14:paraId="568111C5">
      <w:pPr>
        <w:pStyle w:val="32"/>
        <w:spacing w:line="520" w:lineRule="exact"/>
        <w:ind w:firstLine="315"/>
        <w:rPr>
          <w:color w:val="auto"/>
          <w:sz w:val="24"/>
          <w:szCs w:val="24"/>
          <w:highlight w:val="none"/>
        </w:rPr>
      </w:pPr>
      <w:r>
        <w:rPr>
          <w:color w:val="auto"/>
          <w:sz w:val="24"/>
          <w:szCs w:val="24"/>
          <w:highlight w:val="none"/>
        </w:rPr>
        <w:t>在此，授权代表宣布同意如下：</w:t>
      </w:r>
    </w:p>
    <w:p w14:paraId="10F1D1B3">
      <w:pPr>
        <w:pStyle w:val="32"/>
        <w:spacing w:line="520" w:lineRule="exact"/>
        <w:ind w:firstLine="480" w:firstLineChars="200"/>
        <w:rPr>
          <w:color w:val="auto"/>
          <w:sz w:val="24"/>
          <w:szCs w:val="24"/>
          <w:highlight w:val="none"/>
        </w:rPr>
      </w:pPr>
      <w:r>
        <w:rPr>
          <w:color w:val="auto"/>
          <w:sz w:val="24"/>
          <w:szCs w:val="24"/>
          <w:highlight w:val="none"/>
        </w:rPr>
        <w:t>1. 将按竞争性磋商文件的约定履行合同责任和义务；</w:t>
      </w:r>
    </w:p>
    <w:p w14:paraId="783746DD">
      <w:pPr>
        <w:pStyle w:val="32"/>
        <w:spacing w:line="520" w:lineRule="exact"/>
        <w:ind w:firstLine="480" w:firstLineChars="200"/>
        <w:rPr>
          <w:color w:val="auto"/>
          <w:sz w:val="24"/>
          <w:szCs w:val="24"/>
          <w:highlight w:val="none"/>
        </w:rPr>
      </w:pPr>
      <w:r>
        <w:rPr>
          <w:color w:val="auto"/>
          <w:sz w:val="24"/>
          <w:szCs w:val="24"/>
          <w:highlight w:val="none"/>
        </w:rPr>
        <w:t>2. 已详细审查全部竞争性磋商文件，包括</w:t>
      </w:r>
      <w:r>
        <w:rPr>
          <w:color w:val="auto"/>
          <w:sz w:val="24"/>
          <w:szCs w:val="24"/>
          <w:highlight w:val="none"/>
          <w:u w:val="single"/>
        </w:rPr>
        <w:t>（补遗文件）（如果有的话）</w:t>
      </w:r>
      <w:r>
        <w:rPr>
          <w:color w:val="auto"/>
          <w:sz w:val="24"/>
          <w:szCs w:val="24"/>
          <w:highlight w:val="none"/>
        </w:rPr>
        <w:t>；</w:t>
      </w:r>
    </w:p>
    <w:p w14:paraId="59AE401D">
      <w:pPr>
        <w:pStyle w:val="32"/>
        <w:spacing w:line="520" w:lineRule="exact"/>
        <w:ind w:firstLine="480" w:firstLineChars="200"/>
        <w:rPr>
          <w:color w:val="auto"/>
          <w:sz w:val="24"/>
          <w:szCs w:val="24"/>
          <w:highlight w:val="none"/>
        </w:rPr>
      </w:pPr>
      <w:r>
        <w:rPr>
          <w:color w:val="auto"/>
          <w:sz w:val="24"/>
          <w:szCs w:val="24"/>
          <w:highlight w:val="none"/>
        </w:rPr>
        <w:t>3. 同意提供按照贵方可能要求的与其磋商有关的一切数据或资料；</w:t>
      </w:r>
    </w:p>
    <w:p w14:paraId="6EBC9E8A">
      <w:pPr>
        <w:pStyle w:val="32"/>
        <w:spacing w:line="520" w:lineRule="exact"/>
        <w:ind w:firstLine="480" w:firstLineChars="200"/>
        <w:rPr>
          <w:color w:val="auto"/>
          <w:sz w:val="24"/>
          <w:szCs w:val="24"/>
          <w:highlight w:val="none"/>
          <w:u w:val="single"/>
        </w:rPr>
      </w:pPr>
      <w:r>
        <w:rPr>
          <w:color w:val="auto"/>
          <w:sz w:val="24"/>
          <w:szCs w:val="24"/>
          <w:highlight w:val="none"/>
        </w:rPr>
        <w:t>4. 与本磋商有关的一切正式往来信函请寄：</w:t>
      </w:r>
      <w:r>
        <w:rPr>
          <w:color w:val="auto"/>
          <w:sz w:val="24"/>
          <w:szCs w:val="24"/>
          <w:highlight w:val="none"/>
          <w:u w:val="single"/>
        </w:rPr>
        <w:t xml:space="preserve">                       </w:t>
      </w:r>
    </w:p>
    <w:p w14:paraId="09F02FAB">
      <w:pPr>
        <w:pStyle w:val="32"/>
        <w:spacing w:line="520" w:lineRule="exact"/>
        <w:ind w:firstLine="840"/>
        <w:rPr>
          <w:color w:val="auto"/>
          <w:sz w:val="24"/>
          <w:szCs w:val="24"/>
          <w:highlight w:val="none"/>
          <w:u w:val="single"/>
        </w:rPr>
      </w:pPr>
      <w:r>
        <w:rPr>
          <w:color w:val="auto"/>
          <w:sz w:val="24"/>
          <w:szCs w:val="24"/>
          <w:highlight w:val="none"/>
        </w:rPr>
        <w:t>开户银行：</w:t>
      </w:r>
      <w:r>
        <w:rPr>
          <w:color w:val="auto"/>
          <w:sz w:val="24"/>
          <w:szCs w:val="24"/>
          <w:highlight w:val="none"/>
          <w:u w:val="single"/>
        </w:rPr>
        <w:t xml:space="preserve">                         </w:t>
      </w:r>
      <w:r>
        <w:rPr>
          <w:color w:val="auto"/>
          <w:sz w:val="24"/>
          <w:szCs w:val="24"/>
          <w:highlight w:val="none"/>
        </w:rPr>
        <w:t xml:space="preserve">  帐号/行号：</w:t>
      </w:r>
      <w:r>
        <w:rPr>
          <w:color w:val="auto"/>
          <w:sz w:val="24"/>
          <w:szCs w:val="24"/>
          <w:highlight w:val="none"/>
          <w:u w:val="single"/>
        </w:rPr>
        <w:t xml:space="preserve">          </w:t>
      </w:r>
    </w:p>
    <w:p w14:paraId="19CE4967">
      <w:pPr>
        <w:pStyle w:val="32"/>
        <w:spacing w:line="520" w:lineRule="exact"/>
        <w:ind w:firstLine="840"/>
        <w:rPr>
          <w:color w:val="auto"/>
          <w:sz w:val="24"/>
          <w:szCs w:val="24"/>
          <w:highlight w:val="none"/>
        </w:rPr>
      </w:pPr>
      <w:r>
        <w:rPr>
          <w:color w:val="auto"/>
          <w:sz w:val="24"/>
          <w:szCs w:val="24"/>
          <w:highlight w:val="none"/>
        </w:rPr>
        <w:t>电话/传真：</w:t>
      </w:r>
      <w:r>
        <w:rPr>
          <w:color w:val="auto"/>
          <w:sz w:val="24"/>
          <w:szCs w:val="24"/>
          <w:highlight w:val="none"/>
          <w:u w:val="single"/>
        </w:rPr>
        <w:t xml:space="preserve">                        </w:t>
      </w:r>
      <w:r>
        <w:rPr>
          <w:color w:val="auto"/>
          <w:sz w:val="24"/>
          <w:szCs w:val="24"/>
          <w:highlight w:val="none"/>
        </w:rPr>
        <w:t xml:space="preserve"> 电子函件：</w:t>
      </w:r>
      <w:r>
        <w:rPr>
          <w:color w:val="auto"/>
          <w:sz w:val="24"/>
          <w:szCs w:val="24"/>
          <w:highlight w:val="none"/>
          <w:u w:val="single"/>
        </w:rPr>
        <w:t xml:space="preserve">             </w:t>
      </w:r>
      <w:r>
        <w:rPr>
          <w:color w:val="auto"/>
          <w:sz w:val="24"/>
          <w:szCs w:val="24"/>
          <w:highlight w:val="none"/>
        </w:rPr>
        <w:t xml:space="preserve">              </w:t>
      </w:r>
    </w:p>
    <w:p w14:paraId="1500D536">
      <w:pPr>
        <w:pStyle w:val="32"/>
        <w:spacing w:line="520" w:lineRule="exact"/>
        <w:ind w:firstLine="840"/>
        <w:rPr>
          <w:color w:val="auto"/>
          <w:sz w:val="24"/>
          <w:szCs w:val="24"/>
          <w:highlight w:val="none"/>
          <w:u w:val="single"/>
        </w:rPr>
      </w:pPr>
      <w:r>
        <w:rPr>
          <w:color w:val="auto"/>
          <w:sz w:val="24"/>
          <w:szCs w:val="24"/>
          <w:highlight w:val="none"/>
        </w:rPr>
        <w:t>日期：</w:t>
      </w:r>
      <w:r>
        <w:rPr>
          <w:color w:val="auto"/>
          <w:sz w:val="24"/>
          <w:szCs w:val="24"/>
          <w:highlight w:val="none"/>
          <w:u w:val="single"/>
        </w:rPr>
        <w:t xml:space="preserve">      </w:t>
      </w:r>
      <w:r>
        <w:rPr>
          <w:color w:val="auto"/>
          <w:sz w:val="24"/>
          <w:szCs w:val="24"/>
          <w:highlight w:val="none"/>
        </w:rPr>
        <w:t>年</w:t>
      </w:r>
      <w:r>
        <w:rPr>
          <w:color w:val="auto"/>
          <w:sz w:val="24"/>
          <w:szCs w:val="24"/>
          <w:highlight w:val="none"/>
          <w:u w:val="single"/>
        </w:rPr>
        <w:t xml:space="preserve">   </w:t>
      </w:r>
      <w:r>
        <w:rPr>
          <w:color w:val="auto"/>
          <w:sz w:val="24"/>
          <w:szCs w:val="24"/>
          <w:highlight w:val="none"/>
        </w:rPr>
        <w:t>月</w:t>
      </w:r>
      <w:r>
        <w:rPr>
          <w:color w:val="auto"/>
          <w:sz w:val="24"/>
          <w:szCs w:val="24"/>
          <w:highlight w:val="none"/>
          <w:u w:val="single"/>
        </w:rPr>
        <w:t xml:space="preserve">    </w:t>
      </w:r>
      <w:r>
        <w:rPr>
          <w:color w:val="auto"/>
          <w:sz w:val="24"/>
          <w:szCs w:val="24"/>
          <w:highlight w:val="none"/>
        </w:rPr>
        <w:t>日</w:t>
      </w:r>
    </w:p>
    <w:p w14:paraId="626EE823">
      <w:pPr>
        <w:spacing w:line="300" w:lineRule="auto"/>
        <w:ind w:firstLine="720" w:firstLineChars="300"/>
        <w:rPr>
          <w:color w:val="auto"/>
          <w:sz w:val="24"/>
          <w:szCs w:val="24"/>
          <w:highlight w:val="none"/>
          <w:u w:val="singl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color w:val="auto"/>
          <w:sz w:val="24"/>
          <w:highlight w:val="none"/>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r>
        <w:rPr>
          <w:color w:val="auto"/>
          <w:sz w:val="24"/>
          <w:szCs w:val="24"/>
          <w:highlight w:val="none"/>
          <w:u w:val="single"/>
        </w:rPr>
        <w:t xml:space="preserve">         </w:t>
      </w:r>
    </w:p>
    <w:p w14:paraId="6DF32032">
      <w:pPr>
        <w:pStyle w:val="32"/>
        <w:spacing w:line="520" w:lineRule="exact"/>
        <w:ind w:firstLine="840"/>
        <w:rPr>
          <w:color w:val="auto"/>
          <w:sz w:val="24"/>
          <w:szCs w:val="24"/>
          <w:highlight w:val="none"/>
        </w:rPr>
      </w:pPr>
      <w:r>
        <w:rPr>
          <w:color w:val="auto"/>
          <w:sz w:val="24"/>
          <w:szCs w:val="24"/>
          <w:highlight w:val="none"/>
        </w:rPr>
        <w:t>供应商名称（</w:t>
      </w:r>
      <w:r>
        <w:rPr>
          <w:rFonts w:hint="eastAsia" w:cs="宋体"/>
          <w:b/>
          <w:bCs/>
          <w:color w:val="auto"/>
          <w:sz w:val="24"/>
          <w:szCs w:val="24"/>
          <w:highlight w:val="none"/>
          <w:lang w:eastAsia="zh-CN"/>
        </w:rPr>
        <w:t>盖公章</w:t>
      </w:r>
      <w:r>
        <w:rPr>
          <w:color w:val="auto"/>
          <w:sz w:val="24"/>
          <w:szCs w:val="24"/>
          <w:highlight w:val="none"/>
        </w:rPr>
        <w:t>）：</w:t>
      </w:r>
      <w:r>
        <w:rPr>
          <w:color w:val="auto"/>
          <w:sz w:val="24"/>
          <w:szCs w:val="24"/>
          <w:highlight w:val="none"/>
          <w:u w:val="single"/>
        </w:rPr>
        <w:t xml:space="preserve">                                          </w:t>
      </w:r>
      <w:r>
        <w:rPr>
          <w:color w:val="auto"/>
          <w:sz w:val="24"/>
          <w:szCs w:val="24"/>
          <w:highlight w:val="none"/>
        </w:rPr>
        <w:t xml:space="preserve">       </w:t>
      </w:r>
    </w:p>
    <w:p w14:paraId="24C48333">
      <w:pPr>
        <w:spacing w:line="500" w:lineRule="exact"/>
        <w:rPr>
          <w:rFonts w:ascii="宋体" w:hAnsi="宋体" w:cs="宋体"/>
          <w:color w:val="auto"/>
          <w:kern w:val="1"/>
          <w:szCs w:val="21"/>
          <w:highlight w:val="none"/>
        </w:rPr>
      </w:pPr>
    </w:p>
    <w:p w14:paraId="6DB78649">
      <w:pPr>
        <w:spacing w:line="300" w:lineRule="auto"/>
        <w:jc w:val="center"/>
        <w:rPr>
          <w:rFonts w:ascii="黑体" w:hAnsi="黑体" w:eastAsia="黑体" w:cs="黑体"/>
          <w:color w:val="auto"/>
          <w:sz w:val="32"/>
          <w:szCs w:val="21"/>
          <w:highlight w:val="none"/>
        </w:rPr>
      </w:pPr>
      <w:r>
        <w:rPr>
          <w:color w:val="auto"/>
          <w:kern w:val="1"/>
          <w:highlight w:val="none"/>
        </w:rPr>
        <w:br w:type="page"/>
      </w:r>
      <w:r>
        <w:rPr>
          <w:rFonts w:ascii="宋体" w:hAnsi="宋体" w:cs="宋体"/>
          <w:b/>
          <w:color w:val="auto"/>
          <w:spacing w:val="5"/>
          <w:kern w:val="1"/>
          <w:sz w:val="32"/>
          <w:szCs w:val="32"/>
          <w:highlight w:val="none"/>
        </w:rPr>
        <w:t>承诺函（格式）</w:t>
      </w:r>
    </w:p>
    <w:p w14:paraId="0B31769B">
      <w:pPr>
        <w:widowControl/>
        <w:ind w:firstLine="640"/>
        <w:jc w:val="left"/>
        <w:rPr>
          <w:rFonts w:ascii="仿宋_GB2312" w:hAnsi="仿宋_GB2312" w:eastAsia="仿宋" w:cs="仿宋_GB2312"/>
          <w:color w:val="auto"/>
          <w:sz w:val="32"/>
          <w:szCs w:val="21"/>
          <w:highlight w:val="none"/>
        </w:rPr>
      </w:pPr>
    </w:p>
    <w:p w14:paraId="35C3065E">
      <w:pPr>
        <w:widowControl/>
        <w:spacing w:line="300" w:lineRule="auto"/>
        <w:jc w:val="left"/>
        <w:rPr>
          <w:rFonts w:ascii="宋体" w:hAnsi="宋体" w:cs="宋体"/>
          <w:color w:val="auto"/>
          <w:sz w:val="24"/>
          <w:szCs w:val="24"/>
          <w:highlight w:val="none"/>
        </w:rPr>
      </w:pPr>
      <w:r>
        <w:rPr>
          <w:rFonts w:hint="eastAsia" w:ascii="宋体" w:hAnsi="宋体" w:cs="Courier New"/>
          <w:color w:val="auto"/>
          <w:sz w:val="24"/>
          <w:szCs w:val="24"/>
          <w:highlight w:val="none"/>
          <w:u w:val="single"/>
          <w:lang w:eastAsia="zh-CN"/>
        </w:rPr>
        <w:t>广西北部湾宏亚建设管理有限公司</w:t>
      </w:r>
      <w:r>
        <w:rPr>
          <w:rFonts w:ascii="宋体" w:hAnsi="宋体" w:cs="宋体"/>
          <w:color w:val="auto"/>
          <w:sz w:val="24"/>
          <w:szCs w:val="24"/>
          <w:highlight w:val="none"/>
        </w:rPr>
        <w:t>：</w:t>
      </w:r>
    </w:p>
    <w:p w14:paraId="3F063572">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我方作为本次采购项目的磋商供应商，根据磋商文件要求，现郑重承诺如下：</w:t>
      </w:r>
    </w:p>
    <w:p w14:paraId="35B91132">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021A64F0">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二、参加本次采购活动，不存在与单位负责人为同一人或者存在直接控股、管理关系的其他供应商参与同一合同项下的政府采购活动的行为。</w:t>
      </w:r>
    </w:p>
    <w:p w14:paraId="6EAADD8D">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三、为采购项目提供整体设计、规范编制或者项目管理、监理、检测等服务的供应商，不得再参加该采购项目的其他采购活动，我方承诺不属于此类禁止参加本项目的供应商。</w:t>
      </w:r>
    </w:p>
    <w:p w14:paraId="52E1EF9C">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四、参加本次采购活动，不存在和其他供应商在同一合同项下的采购项目中，同时委托同一个自然人、同一家庭的人员、同一单位的人员作为代理人的行为。</w:t>
      </w:r>
    </w:p>
    <w:p w14:paraId="42615113">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五、磋商文件中提供的能够给予我方带来优惠、好处的任何材料资料和技术、服务、商务、响应产品等响应承诺情况都是真实的、有效的、合法的。</w:t>
      </w:r>
    </w:p>
    <w:p w14:paraId="235F833C">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六、参加本次采购活动，我方完全同意磋商文件第二章关于“成交费用”、 “履约保证金”的实质性要求，并承诺严格按照磋商文件要求履行。</w:t>
      </w:r>
    </w:p>
    <w:p w14:paraId="4219D5B0">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七、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磋商报价中已包括合法获取该知识产权的相关费用。</w:t>
      </w:r>
    </w:p>
    <w:p w14:paraId="3DE74B64">
      <w:pPr>
        <w:widowControl/>
        <w:spacing w:line="300" w:lineRule="auto"/>
        <w:ind w:firstLine="420"/>
        <w:jc w:val="left"/>
        <w:rPr>
          <w:rFonts w:ascii="宋体" w:hAnsi="宋体" w:cs="宋体"/>
          <w:color w:val="auto"/>
          <w:sz w:val="24"/>
          <w:szCs w:val="24"/>
          <w:highlight w:val="none"/>
        </w:rPr>
      </w:pPr>
      <w:r>
        <w:rPr>
          <w:rFonts w:ascii="宋体" w:hAnsi="宋体" w:cs="宋体"/>
          <w:color w:val="auto"/>
          <w:sz w:val="24"/>
          <w:szCs w:val="24"/>
          <w:highlight w:val="none"/>
        </w:rPr>
        <w:t>我方对上述承诺的内容事项真实性负责。如经查实上述承诺的内容事项存在虚假，我方愿意接受以提供虚假材料谋取成交追究法律责任。</w:t>
      </w:r>
    </w:p>
    <w:p w14:paraId="52A8035F">
      <w:pPr>
        <w:spacing w:line="300" w:lineRule="auto"/>
        <w:ind w:right="1470"/>
        <w:rPr>
          <w:rFonts w:ascii="宋体" w:hAnsi="宋体" w:cs="宋体"/>
          <w:color w:val="auto"/>
          <w:sz w:val="24"/>
          <w:szCs w:val="24"/>
          <w:highlight w:val="none"/>
        </w:rPr>
      </w:pPr>
    </w:p>
    <w:p w14:paraId="370D9F14">
      <w:pPr>
        <w:spacing w:line="300" w:lineRule="auto"/>
        <w:rPr>
          <w:rFonts w:ascii="宋体" w:hAnsi="宋体" w:cs="宋体"/>
          <w:color w:val="auto"/>
          <w:kern w:val="1"/>
          <w:sz w:val="24"/>
          <w:szCs w:val="24"/>
          <w:highlight w:val="none"/>
        </w:rPr>
      </w:pPr>
      <w:r>
        <w:rPr>
          <w:rFonts w:ascii="宋体" w:hAnsi="宋体" w:cs="宋体"/>
          <w:color w:val="auto"/>
          <w:kern w:val="1"/>
          <w:sz w:val="24"/>
          <w:szCs w:val="24"/>
          <w:highlight w:val="none"/>
        </w:rPr>
        <w:t>磋商供应商</w:t>
      </w:r>
      <w:r>
        <w:rPr>
          <w:rFonts w:ascii="宋体" w:hAnsi="宋体" w:cs="Courier New"/>
          <w:color w:val="auto"/>
          <w:kern w:val="1"/>
          <w:sz w:val="24"/>
          <w:szCs w:val="24"/>
          <w:highlight w:val="none"/>
        </w:rPr>
        <w:t>（</w:t>
      </w:r>
      <w:r>
        <w:rPr>
          <w:rFonts w:hint="eastAsia" w:ascii="宋体" w:hAnsi="宋体" w:cs="宋体"/>
          <w:b/>
          <w:bCs/>
          <w:color w:val="auto"/>
          <w:sz w:val="24"/>
          <w:szCs w:val="24"/>
          <w:highlight w:val="none"/>
          <w:lang w:eastAsia="zh-CN"/>
        </w:rPr>
        <w:t>盖公章</w:t>
      </w:r>
      <w:r>
        <w:rPr>
          <w:rFonts w:ascii="宋体" w:hAnsi="宋体" w:cs="Courier New"/>
          <w:color w:val="auto"/>
          <w:kern w:val="1"/>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7C807D0D">
      <w:pPr>
        <w:spacing w:line="300" w:lineRule="auto"/>
        <w:rPr>
          <w:rFonts w:ascii="宋体" w:hAnsi="宋体" w:cs="宋体"/>
          <w:color w:val="auto"/>
          <w:kern w:val="1"/>
          <w:sz w:val="24"/>
          <w:szCs w:val="24"/>
          <w:highlight w:val="non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color w:val="auto"/>
          <w:sz w:val="24"/>
          <w:highlight w:val="none"/>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5820AA4D">
      <w:pPr>
        <w:spacing w:line="300" w:lineRule="auto"/>
        <w:ind w:right="1470"/>
        <w:rPr>
          <w:rFonts w:ascii="宋体" w:hAnsi="宋体" w:cs="宋体"/>
          <w:color w:val="auto"/>
          <w:sz w:val="24"/>
          <w:szCs w:val="24"/>
          <w:highlight w:val="none"/>
        </w:rPr>
      </w:pPr>
      <w:r>
        <w:rPr>
          <w:rFonts w:ascii="宋体" w:hAnsi="宋体" w:cs="宋体"/>
          <w:color w:val="auto"/>
          <w:kern w:val="1"/>
          <w:sz w:val="24"/>
          <w:szCs w:val="24"/>
          <w:highlight w:val="none"/>
        </w:rPr>
        <w:t>签发日期：</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月</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日</w:t>
      </w:r>
    </w:p>
    <w:p w14:paraId="5CCBFDAC">
      <w:pPr>
        <w:spacing w:line="300" w:lineRule="auto"/>
        <w:jc w:val="center"/>
        <w:rPr>
          <w:rFonts w:ascii="宋体" w:hAnsi="宋体" w:cs="宋体"/>
          <w:b/>
          <w:color w:val="auto"/>
          <w:spacing w:val="5"/>
          <w:kern w:val="1"/>
          <w:sz w:val="32"/>
          <w:szCs w:val="32"/>
          <w:highlight w:val="none"/>
        </w:rPr>
      </w:pPr>
      <w:r>
        <w:rPr>
          <w:rFonts w:ascii="宋体" w:hAnsi="宋体" w:cs="宋体"/>
          <w:b/>
          <w:color w:val="auto"/>
          <w:sz w:val="44"/>
          <w:szCs w:val="44"/>
          <w:highlight w:val="none"/>
        </w:rPr>
        <w:br w:type="page"/>
      </w:r>
      <w:r>
        <w:rPr>
          <w:rFonts w:ascii="宋体" w:hAnsi="宋体" w:cs="宋体"/>
          <w:b/>
          <w:color w:val="auto"/>
          <w:spacing w:val="5"/>
          <w:kern w:val="1"/>
          <w:sz w:val="32"/>
          <w:szCs w:val="32"/>
          <w:highlight w:val="none"/>
        </w:rPr>
        <w:t>商务、服务（技术）响应、偏离情况说明表</w:t>
      </w:r>
      <w:r>
        <w:rPr>
          <w:rFonts w:hint="eastAsia" w:ascii="宋体" w:hAnsi="宋体" w:eastAsia="宋体" w:cs="宋体"/>
          <w:b/>
          <w:bCs w:val="0"/>
          <w:color w:val="auto"/>
          <w:sz w:val="32"/>
          <w:szCs w:val="32"/>
          <w:highlight w:val="none"/>
        </w:rPr>
        <w:t>（格式）</w:t>
      </w:r>
    </w:p>
    <w:p w14:paraId="2AFBE6C3">
      <w:pPr>
        <w:spacing w:line="300" w:lineRule="auto"/>
        <w:rPr>
          <w:rFonts w:ascii="宋体" w:hAnsi="宋体" w:cs="宋体"/>
          <w:color w:val="auto"/>
          <w:kern w:val="1"/>
          <w:szCs w:val="21"/>
          <w:highlight w:val="none"/>
        </w:rPr>
      </w:pPr>
    </w:p>
    <w:p w14:paraId="7619941E">
      <w:pPr>
        <w:spacing w:line="500" w:lineRule="exact"/>
        <w:rPr>
          <w:rFonts w:ascii="宋体" w:hAnsi="宋体" w:cs="宋体"/>
          <w:color w:val="auto"/>
          <w:kern w:val="1"/>
          <w:sz w:val="24"/>
          <w:szCs w:val="24"/>
          <w:highlight w:val="none"/>
          <w:u w:val="single"/>
        </w:rPr>
      </w:pPr>
      <w:r>
        <w:rPr>
          <w:rFonts w:ascii="宋体" w:hAnsi="宋体" w:cs="宋体"/>
          <w:color w:val="auto"/>
          <w:kern w:val="1"/>
          <w:sz w:val="24"/>
          <w:szCs w:val="24"/>
          <w:highlight w:val="none"/>
        </w:rPr>
        <w:t>项目名称:</w:t>
      </w:r>
      <w:r>
        <w:rPr>
          <w:rFonts w:ascii="宋体" w:hAnsi="宋体" w:cs="宋体"/>
          <w:color w:val="auto"/>
          <w:kern w:val="1"/>
          <w:sz w:val="24"/>
          <w:szCs w:val="24"/>
          <w:highlight w:val="none"/>
          <w:u w:val="single"/>
        </w:rPr>
        <w:t xml:space="preserve">                 </w:t>
      </w:r>
    </w:p>
    <w:p w14:paraId="04773C8E">
      <w:pPr>
        <w:spacing w:line="500" w:lineRule="exact"/>
        <w:rPr>
          <w:rFonts w:ascii="宋体" w:hAnsi="宋体" w:cs="宋体"/>
          <w:color w:val="auto"/>
          <w:kern w:val="1"/>
          <w:sz w:val="24"/>
          <w:szCs w:val="24"/>
          <w:highlight w:val="none"/>
        </w:rPr>
      </w:pPr>
      <w:r>
        <w:rPr>
          <w:rFonts w:ascii="宋体" w:hAnsi="宋体" w:cs="宋体"/>
          <w:color w:val="auto"/>
          <w:kern w:val="1"/>
          <w:sz w:val="24"/>
          <w:szCs w:val="24"/>
          <w:highlight w:val="none"/>
        </w:rPr>
        <w:t>项目编号:</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 xml:space="preserve">    </w:t>
      </w:r>
    </w:p>
    <w:p w14:paraId="20422BE1">
      <w:pPr>
        <w:spacing w:line="500" w:lineRule="exact"/>
        <w:rPr>
          <w:rFonts w:ascii="宋体" w:hAnsi="宋体" w:cs="宋体"/>
          <w:color w:val="auto"/>
          <w:kern w:val="1"/>
          <w:sz w:val="24"/>
          <w:szCs w:val="24"/>
          <w:highlight w:val="none"/>
        </w:rPr>
      </w:pPr>
    </w:p>
    <w:tbl>
      <w:tblPr>
        <w:tblStyle w:val="61"/>
        <w:tblW w:w="0" w:type="auto"/>
        <w:tblInd w:w="0" w:type="dxa"/>
        <w:tblLayout w:type="fixed"/>
        <w:tblCellMar>
          <w:top w:w="0" w:type="dxa"/>
          <w:left w:w="108" w:type="dxa"/>
          <w:bottom w:w="0" w:type="dxa"/>
          <w:right w:w="108" w:type="dxa"/>
        </w:tblCellMar>
      </w:tblPr>
      <w:tblGrid>
        <w:gridCol w:w="606"/>
        <w:gridCol w:w="2809"/>
        <w:gridCol w:w="2945"/>
        <w:gridCol w:w="1464"/>
        <w:gridCol w:w="1361"/>
      </w:tblGrid>
      <w:tr w14:paraId="502A7575">
        <w:tblPrEx>
          <w:tblCellMar>
            <w:top w:w="0" w:type="dxa"/>
            <w:left w:w="108" w:type="dxa"/>
            <w:bottom w:w="0" w:type="dxa"/>
            <w:right w:w="108" w:type="dxa"/>
          </w:tblCellMar>
        </w:tblPrEx>
        <w:trPr>
          <w:trHeight w:val="420" w:hRule="atLeast"/>
        </w:trPr>
        <w:tc>
          <w:tcPr>
            <w:tcW w:w="606" w:type="dxa"/>
            <w:tcBorders>
              <w:top w:val="single" w:color="000000" w:sz="4" w:space="0"/>
              <w:left w:val="single" w:color="000000" w:sz="4" w:space="0"/>
              <w:bottom w:val="single" w:color="000000" w:sz="6" w:space="0"/>
              <w:right w:val="single" w:color="000000" w:sz="6" w:space="0"/>
            </w:tcBorders>
            <w:noWrap w:val="0"/>
            <w:vAlign w:val="center"/>
          </w:tcPr>
          <w:p w14:paraId="6C61DFD7">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                     序号</w:t>
            </w:r>
          </w:p>
        </w:tc>
        <w:tc>
          <w:tcPr>
            <w:tcW w:w="2809" w:type="dxa"/>
            <w:tcBorders>
              <w:top w:val="single" w:color="000000" w:sz="4" w:space="0"/>
              <w:left w:val="single" w:color="000000" w:sz="6" w:space="0"/>
              <w:bottom w:val="single" w:color="000000" w:sz="6" w:space="0"/>
              <w:right w:val="single" w:color="000000" w:sz="6" w:space="0"/>
            </w:tcBorders>
            <w:noWrap w:val="0"/>
            <w:vAlign w:val="center"/>
          </w:tcPr>
          <w:p w14:paraId="6E1065E9">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竞争性磋商文件要求</w:t>
            </w:r>
          </w:p>
        </w:tc>
        <w:tc>
          <w:tcPr>
            <w:tcW w:w="2945" w:type="dxa"/>
            <w:tcBorders>
              <w:top w:val="single" w:color="000000" w:sz="4" w:space="0"/>
              <w:left w:val="single" w:color="000000" w:sz="6" w:space="0"/>
              <w:bottom w:val="single" w:color="000000" w:sz="6" w:space="0"/>
              <w:right w:val="single" w:color="000000" w:sz="6" w:space="0"/>
            </w:tcBorders>
            <w:noWrap w:val="0"/>
            <w:vAlign w:val="center"/>
          </w:tcPr>
          <w:p w14:paraId="23039B2F">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竞争性磋商响应文件具体响应</w:t>
            </w:r>
          </w:p>
        </w:tc>
        <w:tc>
          <w:tcPr>
            <w:tcW w:w="1464" w:type="dxa"/>
            <w:tcBorders>
              <w:top w:val="single" w:color="000000" w:sz="4" w:space="0"/>
              <w:left w:val="single" w:color="000000" w:sz="6" w:space="0"/>
              <w:bottom w:val="single" w:color="000000" w:sz="6" w:space="0"/>
              <w:right w:val="single" w:color="000000" w:sz="6" w:space="0"/>
            </w:tcBorders>
            <w:noWrap w:val="0"/>
            <w:vAlign w:val="center"/>
          </w:tcPr>
          <w:p w14:paraId="69106329">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响应/偏离</w:t>
            </w:r>
          </w:p>
        </w:tc>
        <w:tc>
          <w:tcPr>
            <w:tcW w:w="1361" w:type="dxa"/>
            <w:tcBorders>
              <w:top w:val="single" w:color="000000" w:sz="4" w:space="0"/>
              <w:left w:val="single" w:color="000000" w:sz="6" w:space="0"/>
              <w:bottom w:val="single" w:color="000000" w:sz="6" w:space="0"/>
              <w:right w:val="single" w:color="000000" w:sz="4" w:space="0"/>
            </w:tcBorders>
            <w:noWrap w:val="0"/>
            <w:vAlign w:val="center"/>
          </w:tcPr>
          <w:p w14:paraId="3FE0CE1D">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说明</w:t>
            </w:r>
          </w:p>
        </w:tc>
      </w:tr>
      <w:tr w14:paraId="27F52B4B">
        <w:tblPrEx>
          <w:tblCellMar>
            <w:top w:w="0" w:type="dxa"/>
            <w:left w:w="108" w:type="dxa"/>
            <w:bottom w:w="0" w:type="dxa"/>
            <w:right w:w="108" w:type="dxa"/>
          </w:tblCellMar>
        </w:tblPrEx>
        <w:trPr>
          <w:trHeight w:val="420" w:hRule="atLeast"/>
        </w:trPr>
        <w:tc>
          <w:tcPr>
            <w:tcW w:w="9185" w:type="dxa"/>
            <w:gridSpan w:val="5"/>
            <w:tcBorders>
              <w:top w:val="single" w:color="000000" w:sz="6" w:space="0"/>
              <w:left w:val="single" w:color="000000" w:sz="4" w:space="0"/>
              <w:bottom w:val="single" w:color="000000" w:sz="6" w:space="0"/>
              <w:right w:val="single" w:color="000000" w:sz="4" w:space="0"/>
            </w:tcBorders>
            <w:noWrap w:val="0"/>
            <w:vAlign w:val="center"/>
          </w:tcPr>
          <w:p w14:paraId="3210C36A">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商务部分</w:t>
            </w:r>
          </w:p>
        </w:tc>
      </w:tr>
      <w:tr w14:paraId="4794F1EA">
        <w:tblPrEx>
          <w:tblCellMar>
            <w:top w:w="0" w:type="dxa"/>
            <w:left w:w="108" w:type="dxa"/>
            <w:bottom w:w="0" w:type="dxa"/>
            <w:right w:w="108" w:type="dxa"/>
          </w:tblCellMar>
        </w:tblPrEx>
        <w:trPr>
          <w:trHeight w:val="20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3454A8A0">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1</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6C95D4E0">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3047CEDA">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2235984E">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0C5F6ED4">
            <w:pPr>
              <w:spacing w:line="300" w:lineRule="auto"/>
              <w:jc w:val="center"/>
              <w:rPr>
                <w:rFonts w:ascii="宋体" w:hAnsi="宋体" w:cs="宋体"/>
                <w:color w:val="auto"/>
                <w:kern w:val="1"/>
                <w:sz w:val="24"/>
                <w:szCs w:val="24"/>
                <w:highlight w:val="none"/>
              </w:rPr>
            </w:pPr>
          </w:p>
        </w:tc>
      </w:tr>
      <w:tr w14:paraId="690D9B58">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69C3B5CD">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2</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7544DF1B">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7229A145">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79B451AB">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57BE2044">
            <w:pPr>
              <w:spacing w:line="300" w:lineRule="auto"/>
              <w:jc w:val="center"/>
              <w:rPr>
                <w:rFonts w:ascii="宋体" w:hAnsi="宋体" w:cs="宋体"/>
                <w:color w:val="auto"/>
                <w:kern w:val="1"/>
                <w:sz w:val="24"/>
                <w:szCs w:val="24"/>
                <w:highlight w:val="none"/>
              </w:rPr>
            </w:pPr>
          </w:p>
        </w:tc>
      </w:tr>
      <w:tr w14:paraId="55E44ED4">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7C2B25A6">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3</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51B9C51A">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08A5B4C6">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29360FF8">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35B38A15">
            <w:pPr>
              <w:spacing w:line="300" w:lineRule="auto"/>
              <w:jc w:val="center"/>
              <w:rPr>
                <w:rFonts w:ascii="宋体" w:hAnsi="宋体" w:cs="宋体"/>
                <w:color w:val="auto"/>
                <w:kern w:val="1"/>
                <w:sz w:val="24"/>
                <w:szCs w:val="24"/>
                <w:highlight w:val="none"/>
              </w:rPr>
            </w:pPr>
          </w:p>
        </w:tc>
      </w:tr>
      <w:tr w14:paraId="148EF2C7">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541B2588">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6AB63775">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313A2B45">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158DC4E9">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34437DCD">
            <w:pPr>
              <w:spacing w:line="300" w:lineRule="auto"/>
              <w:jc w:val="center"/>
              <w:rPr>
                <w:rFonts w:ascii="宋体" w:hAnsi="宋体" w:cs="宋体"/>
                <w:color w:val="auto"/>
                <w:kern w:val="1"/>
                <w:sz w:val="24"/>
                <w:szCs w:val="24"/>
                <w:highlight w:val="none"/>
              </w:rPr>
            </w:pPr>
          </w:p>
        </w:tc>
      </w:tr>
      <w:tr w14:paraId="1FD56666">
        <w:tblPrEx>
          <w:tblCellMar>
            <w:top w:w="0" w:type="dxa"/>
            <w:left w:w="108" w:type="dxa"/>
            <w:bottom w:w="0" w:type="dxa"/>
            <w:right w:w="108" w:type="dxa"/>
          </w:tblCellMar>
        </w:tblPrEx>
        <w:trPr>
          <w:trHeight w:val="420" w:hRule="atLeast"/>
        </w:trPr>
        <w:tc>
          <w:tcPr>
            <w:tcW w:w="9185" w:type="dxa"/>
            <w:gridSpan w:val="5"/>
            <w:tcBorders>
              <w:top w:val="single" w:color="000000" w:sz="6" w:space="0"/>
              <w:left w:val="single" w:color="000000" w:sz="4" w:space="0"/>
              <w:bottom w:val="single" w:color="000000" w:sz="6" w:space="0"/>
              <w:right w:val="single" w:color="000000" w:sz="4" w:space="0"/>
            </w:tcBorders>
            <w:noWrap w:val="0"/>
            <w:vAlign w:val="center"/>
          </w:tcPr>
          <w:p w14:paraId="73FB7D89">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服务（技术）部分</w:t>
            </w:r>
          </w:p>
        </w:tc>
      </w:tr>
      <w:tr w14:paraId="1E73AB1B">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6E8C40BC">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1</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5EAB38BC">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6923C998">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6FF562E0">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495F011B">
            <w:pPr>
              <w:spacing w:line="300" w:lineRule="auto"/>
              <w:jc w:val="center"/>
              <w:rPr>
                <w:rFonts w:ascii="宋体" w:hAnsi="宋体" w:cs="宋体"/>
                <w:color w:val="auto"/>
                <w:kern w:val="1"/>
                <w:sz w:val="24"/>
                <w:szCs w:val="24"/>
                <w:highlight w:val="none"/>
              </w:rPr>
            </w:pPr>
          </w:p>
        </w:tc>
      </w:tr>
      <w:tr w14:paraId="5F1E179C">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2EB825E2">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2</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4EF15877">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0949EFB5">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3C01D9F8">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20657C2E">
            <w:pPr>
              <w:spacing w:line="300" w:lineRule="auto"/>
              <w:jc w:val="center"/>
              <w:rPr>
                <w:rFonts w:ascii="宋体" w:hAnsi="宋体" w:cs="宋体"/>
                <w:color w:val="auto"/>
                <w:kern w:val="1"/>
                <w:sz w:val="24"/>
                <w:szCs w:val="24"/>
                <w:highlight w:val="none"/>
              </w:rPr>
            </w:pPr>
          </w:p>
        </w:tc>
      </w:tr>
      <w:tr w14:paraId="5C6E5478">
        <w:tblPrEx>
          <w:tblCellMar>
            <w:top w:w="0" w:type="dxa"/>
            <w:left w:w="108" w:type="dxa"/>
            <w:bottom w:w="0" w:type="dxa"/>
            <w:right w:w="108" w:type="dxa"/>
          </w:tblCellMar>
        </w:tblPrEx>
        <w:trPr>
          <w:trHeight w:val="420" w:hRule="atLeast"/>
        </w:trPr>
        <w:tc>
          <w:tcPr>
            <w:tcW w:w="606" w:type="dxa"/>
            <w:tcBorders>
              <w:top w:val="single" w:color="000000" w:sz="6" w:space="0"/>
              <w:left w:val="single" w:color="000000" w:sz="4" w:space="0"/>
              <w:bottom w:val="single" w:color="000000" w:sz="6" w:space="0"/>
              <w:right w:val="single" w:color="000000" w:sz="6" w:space="0"/>
            </w:tcBorders>
            <w:noWrap w:val="0"/>
            <w:vAlign w:val="center"/>
          </w:tcPr>
          <w:p w14:paraId="62DE2CE8">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3</w:t>
            </w:r>
          </w:p>
        </w:tc>
        <w:tc>
          <w:tcPr>
            <w:tcW w:w="2809" w:type="dxa"/>
            <w:tcBorders>
              <w:top w:val="single" w:color="000000" w:sz="6" w:space="0"/>
              <w:left w:val="single" w:color="000000" w:sz="6" w:space="0"/>
              <w:bottom w:val="single" w:color="000000" w:sz="6" w:space="0"/>
              <w:right w:val="single" w:color="000000" w:sz="6" w:space="0"/>
            </w:tcBorders>
            <w:noWrap w:val="0"/>
            <w:vAlign w:val="center"/>
          </w:tcPr>
          <w:p w14:paraId="7A7AF045">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6" w:space="0"/>
              <w:right w:val="single" w:color="000000" w:sz="6" w:space="0"/>
            </w:tcBorders>
            <w:noWrap w:val="0"/>
            <w:vAlign w:val="center"/>
          </w:tcPr>
          <w:p w14:paraId="36818049">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6" w:space="0"/>
              <w:right w:val="single" w:color="000000" w:sz="6" w:space="0"/>
            </w:tcBorders>
            <w:noWrap w:val="0"/>
            <w:vAlign w:val="center"/>
          </w:tcPr>
          <w:p w14:paraId="655BB31A">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6" w:space="0"/>
              <w:bottom w:val="single" w:color="000000" w:sz="6" w:space="0"/>
              <w:right w:val="single" w:color="000000" w:sz="4" w:space="0"/>
            </w:tcBorders>
            <w:noWrap w:val="0"/>
            <w:vAlign w:val="center"/>
          </w:tcPr>
          <w:p w14:paraId="533AE7E1">
            <w:pPr>
              <w:spacing w:line="300" w:lineRule="auto"/>
              <w:jc w:val="center"/>
              <w:rPr>
                <w:rFonts w:ascii="宋体" w:hAnsi="宋体" w:cs="宋体"/>
                <w:color w:val="auto"/>
                <w:kern w:val="1"/>
                <w:sz w:val="24"/>
                <w:szCs w:val="24"/>
                <w:highlight w:val="none"/>
              </w:rPr>
            </w:pPr>
          </w:p>
        </w:tc>
      </w:tr>
      <w:tr w14:paraId="22667741">
        <w:trPr>
          <w:trHeight w:val="190" w:hRule="atLeast"/>
        </w:trPr>
        <w:tc>
          <w:tcPr>
            <w:tcW w:w="606" w:type="dxa"/>
            <w:tcBorders>
              <w:top w:val="single" w:color="000000" w:sz="6" w:space="0"/>
              <w:left w:val="single" w:color="000000" w:sz="4" w:space="0"/>
              <w:bottom w:val="single" w:color="000000" w:sz="4" w:space="0"/>
              <w:right w:val="single" w:color="000000" w:sz="6" w:space="0"/>
            </w:tcBorders>
            <w:noWrap w:val="0"/>
            <w:vAlign w:val="center"/>
          </w:tcPr>
          <w:p w14:paraId="6EAF0715">
            <w:pPr>
              <w:spacing w:line="300" w:lineRule="auto"/>
              <w:jc w:val="center"/>
              <w:rPr>
                <w:rFonts w:ascii="宋体" w:hAnsi="宋体" w:cs="宋体"/>
                <w:color w:val="auto"/>
                <w:kern w:val="1"/>
                <w:sz w:val="24"/>
                <w:szCs w:val="24"/>
                <w:highlight w:val="none"/>
              </w:rPr>
            </w:pPr>
            <w:r>
              <w:rPr>
                <w:rFonts w:ascii="宋体" w:hAnsi="宋体" w:cs="宋体"/>
                <w:color w:val="auto"/>
                <w:kern w:val="1"/>
                <w:sz w:val="24"/>
                <w:szCs w:val="24"/>
                <w:highlight w:val="none"/>
              </w:rPr>
              <w:t>…</w:t>
            </w:r>
          </w:p>
        </w:tc>
        <w:tc>
          <w:tcPr>
            <w:tcW w:w="2809" w:type="dxa"/>
            <w:tcBorders>
              <w:top w:val="single" w:color="000000" w:sz="6" w:space="0"/>
              <w:left w:val="single" w:color="000000" w:sz="6" w:space="0"/>
              <w:bottom w:val="single" w:color="000000" w:sz="4" w:space="0"/>
              <w:right w:val="single" w:color="000000" w:sz="6" w:space="0"/>
            </w:tcBorders>
            <w:noWrap w:val="0"/>
            <w:vAlign w:val="center"/>
          </w:tcPr>
          <w:p w14:paraId="5B9B1381">
            <w:pPr>
              <w:spacing w:line="300" w:lineRule="auto"/>
              <w:jc w:val="center"/>
              <w:rPr>
                <w:rFonts w:ascii="宋体" w:hAnsi="宋体" w:cs="宋体"/>
                <w:color w:val="auto"/>
                <w:kern w:val="1"/>
                <w:sz w:val="24"/>
                <w:szCs w:val="24"/>
                <w:highlight w:val="none"/>
              </w:rPr>
            </w:pPr>
          </w:p>
        </w:tc>
        <w:tc>
          <w:tcPr>
            <w:tcW w:w="2945" w:type="dxa"/>
            <w:tcBorders>
              <w:top w:val="single" w:color="000000" w:sz="6" w:space="0"/>
              <w:left w:val="single" w:color="000000" w:sz="6" w:space="0"/>
              <w:bottom w:val="single" w:color="000000" w:sz="4" w:space="0"/>
              <w:right w:val="single" w:color="000000" w:sz="6" w:space="0"/>
            </w:tcBorders>
            <w:noWrap w:val="0"/>
            <w:vAlign w:val="center"/>
          </w:tcPr>
          <w:p w14:paraId="75EB78F8">
            <w:pPr>
              <w:spacing w:line="300" w:lineRule="auto"/>
              <w:jc w:val="center"/>
              <w:rPr>
                <w:rFonts w:ascii="宋体" w:hAnsi="宋体" w:cs="宋体"/>
                <w:color w:val="auto"/>
                <w:kern w:val="1"/>
                <w:sz w:val="24"/>
                <w:szCs w:val="24"/>
                <w:highlight w:val="none"/>
              </w:rPr>
            </w:pPr>
          </w:p>
        </w:tc>
        <w:tc>
          <w:tcPr>
            <w:tcW w:w="1464" w:type="dxa"/>
            <w:tcBorders>
              <w:top w:val="single" w:color="000000" w:sz="6" w:space="0"/>
              <w:left w:val="single" w:color="000000" w:sz="6" w:space="0"/>
              <w:bottom w:val="single" w:color="000000" w:sz="4" w:space="0"/>
              <w:right w:val="single" w:color="000000" w:sz="4" w:space="0"/>
            </w:tcBorders>
            <w:noWrap w:val="0"/>
            <w:vAlign w:val="center"/>
          </w:tcPr>
          <w:p w14:paraId="241F216C">
            <w:pPr>
              <w:spacing w:line="300" w:lineRule="auto"/>
              <w:jc w:val="center"/>
              <w:rPr>
                <w:rFonts w:ascii="宋体" w:hAnsi="宋体" w:cs="宋体"/>
                <w:color w:val="auto"/>
                <w:kern w:val="1"/>
                <w:sz w:val="24"/>
                <w:szCs w:val="24"/>
                <w:highlight w:val="none"/>
              </w:rPr>
            </w:pPr>
          </w:p>
        </w:tc>
        <w:tc>
          <w:tcPr>
            <w:tcW w:w="1361" w:type="dxa"/>
            <w:tcBorders>
              <w:top w:val="single" w:color="000000" w:sz="6" w:space="0"/>
              <w:left w:val="single" w:color="000000" w:sz="4" w:space="0"/>
              <w:bottom w:val="single" w:color="000000" w:sz="4" w:space="0"/>
              <w:right w:val="single" w:color="000000" w:sz="4" w:space="0"/>
            </w:tcBorders>
            <w:noWrap w:val="0"/>
            <w:vAlign w:val="center"/>
          </w:tcPr>
          <w:p w14:paraId="577417A3">
            <w:pPr>
              <w:spacing w:line="300" w:lineRule="auto"/>
              <w:jc w:val="center"/>
              <w:rPr>
                <w:rFonts w:ascii="宋体" w:hAnsi="宋体" w:cs="宋体"/>
                <w:color w:val="auto"/>
                <w:kern w:val="1"/>
                <w:sz w:val="24"/>
                <w:szCs w:val="24"/>
                <w:highlight w:val="none"/>
              </w:rPr>
            </w:pPr>
          </w:p>
        </w:tc>
      </w:tr>
    </w:tbl>
    <w:p w14:paraId="2F6E8103">
      <w:pPr>
        <w:spacing w:line="360" w:lineRule="exact"/>
        <w:rPr>
          <w:rFonts w:ascii="宋体" w:hAnsi="宋体" w:cs="宋体"/>
          <w:color w:val="auto"/>
          <w:kern w:val="1"/>
          <w:sz w:val="24"/>
          <w:szCs w:val="24"/>
          <w:highlight w:val="none"/>
        </w:rPr>
      </w:pPr>
      <w:r>
        <w:rPr>
          <w:rFonts w:ascii="宋体" w:hAnsi="宋体" w:cs="宋体"/>
          <w:color w:val="auto"/>
          <w:kern w:val="1"/>
          <w:sz w:val="24"/>
          <w:szCs w:val="24"/>
          <w:highlight w:val="none"/>
        </w:rPr>
        <w:t>说明：1.应写明竞争性磋商响应文件对商务与服务技术要求的响应和偏离情况</w:t>
      </w:r>
      <w:r>
        <w:rPr>
          <w:rFonts w:ascii="宋体" w:hAnsi="宋体" w:cs="宋体"/>
          <w:bCs/>
          <w:color w:val="auto"/>
          <w:kern w:val="1"/>
          <w:sz w:val="24"/>
          <w:szCs w:val="24"/>
          <w:highlight w:val="none"/>
        </w:rPr>
        <w:t>；</w:t>
      </w:r>
    </w:p>
    <w:p w14:paraId="401F8B37">
      <w:pPr>
        <w:spacing w:line="360" w:lineRule="exact"/>
        <w:ind w:firstLine="630"/>
        <w:rPr>
          <w:rFonts w:ascii="宋体" w:hAnsi="宋体" w:cs="宋体"/>
          <w:color w:val="auto"/>
          <w:kern w:val="1"/>
          <w:sz w:val="24"/>
          <w:szCs w:val="24"/>
          <w:highlight w:val="none"/>
        </w:rPr>
      </w:pPr>
      <w:r>
        <w:rPr>
          <w:rFonts w:ascii="宋体" w:hAnsi="宋体" w:cs="宋体"/>
          <w:color w:val="auto"/>
          <w:kern w:val="1"/>
          <w:sz w:val="24"/>
          <w:szCs w:val="24"/>
          <w:highlight w:val="none"/>
        </w:rPr>
        <w:t xml:space="preserve">2.应对照竞争性磋商文件“第三章  </w:t>
      </w:r>
      <w:r>
        <w:rPr>
          <w:rFonts w:hint="eastAsia" w:ascii="宋体" w:hAnsi="宋体" w:cs="宋体"/>
          <w:color w:val="auto"/>
          <w:kern w:val="1"/>
          <w:sz w:val="24"/>
          <w:szCs w:val="24"/>
          <w:highlight w:val="none"/>
          <w:lang w:val="en-US" w:eastAsia="zh-CN"/>
        </w:rPr>
        <w:t>采购</w:t>
      </w:r>
      <w:r>
        <w:rPr>
          <w:rFonts w:ascii="宋体" w:hAnsi="宋体" w:cs="宋体"/>
          <w:color w:val="auto"/>
          <w:kern w:val="1"/>
          <w:sz w:val="24"/>
          <w:szCs w:val="24"/>
          <w:highlight w:val="none"/>
        </w:rPr>
        <w:t>需求”，逐条说明所提供服务已对竞争性磋商文件的商务、服务、技术要求做出了实质性的响应，并申明与采购项目要求的响应和偏离。特别对有具体商务、服务、技术要求的，磋商供应商必须提供对应的详细应答。如果仅注明“符合”、“满足”或简单复制竞争性磋商文件要求，将导致磋商被拒绝。</w:t>
      </w:r>
    </w:p>
    <w:p w14:paraId="4B73DFCF">
      <w:pPr>
        <w:spacing w:line="360" w:lineRule="exact"/>
        <w:rPr>
          <w:rFonts w:ascii="宋体" w:hAnsi="宋体" w:cs="Courier New"/>
          <w:color w:val="auto"/>
          <w:kern w:val="1"/>
          <w:sz w:val="24"/>
          <w:szCs w:val="24"/>
          <w:highlight w:val="none"/>
        </w:rPr>
      </w:pPr>
    </w:p>
    <w:p w14:paraId="5A70A041">
      <w:pPr>
        <w:spacing w:line="300" w:lineRule="auto"/>
        <w:rPr>
          <w:rFonts w:ascii="宋体" w:hAnsi="宋体" w:cs="宋体"/>
          <w:color w:val="auto"/>
          <w:kern w:val="1"/>
          <w:sz w:val="24"/>
          <w:szCs w:val="24"/>
          <w:highlight w:val="none"/>
        </w:rPr>
      </w:pPr>
      <w:r>
        <w:rPr>
          <w:rFonts w:ascii="宋体" w:hAnsi="宋体" w:cs="宋体"/>
          <w:color w:val="auto"/>
          <w:kern w:val="1"/>
          <w:sz w:val="24"/>
          <w:szCs w:val="24"/>
          <w:highlight w:val="none"/>
        </w:rPr>
        <w:t>磋商供应商</w:t>
      </w:r>
      <w:r>
        <w:rPr>
          <w:rFonts w:ascii="宋体" w:hAnsi="宋体" w:cs="Courier New"/>
          <w:color w:val="auto"/>
          <w:kern w:val="1"/>
          <w:sz w:val="24"/>
          <w:szCs w:val="24"/>
          <w:highlight w:val="none"/>
        </w:rPr>
        <w:t>（</w:t>
      </w:r>
      <w:r>
        <w:rPr>
          <w:rFonts w:hint="eastAsia" w:ascii="宋体" w:hAnsi="宋体" w:cs="宋体"/>
          <w:b/>
          <w:bCs/>
          <w:color w:val="auto"/>
          <w:sz w:val="24"/>
          <w:szCs w:val="24"/>
          <w:highlight w:val="none"/>
          <w:lang w:eastAsia="zh-CN"/>
        </w:rPr>
        <w:t>盖公章</w:t>
      </w:r>
      <w:r>
        <w:rPr>
          <w:rFonts w:ascii="宋体" w:hAnsi="宋体" w:cs="Courier New"/>
          <w:color w:val="auto"/>
          <w:kern w:val="1"/>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6E02901B">
      <w:pPr>
        <w:spacing w:line="300" w:lineRule="auto"/>
        <w:rPr>
          <w:rFonts w:ascii="宋体" w:hAnsi="宋体" w:cs="宋体"/>
          <w:color w:val="auto"/>
          <w:kern w:val="1"/>
          <w:sz w:val="24"/>
          <w:szCs w:val="24"/>
          <w:highlight w:val="non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color w:val="auto"/>
          <w:sz w:val="24"/>
          <w:highlight w:val="none"/>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68ED936C">
      <w:pPr>
        <w:spacing w:line="300" w:lineRule="auto"/>
        <w:ind w:right="1470"/>
        <w:rPr>
          <w:rFonts w:ascii="宋体" w:hAnsi="宋体" w:cs="宋体"/>
          <w:color w:val="auto"/>
          <w:sz w:val="24"/>
          <w:szCs w:val="24"/>
          <w:highlight w:val="none"/>
        </w:rPr>
      </w:pPr>
      <w:r>
        <w:rPr>
          <w:rFonts w:ascii="宋体" w:hAnsi="宋体" w:cs="宋体"/>
          <w:color w:val="auto"/>
          <w:kern w:val="1"/>
          <w:sz w:val="24"/>
          <w:szCs w:val="24"/>
          <w:highlight w:val="none"/>
        </w:rPr>
        <w:t>日期：</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年</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月</w:t>
      </w:r>
      <w:r>
        <w:rPr>
          <w:rFonts w:ascii="宋体" w:hAnsi="宋体" w:cs="宋体"/>
          <w:color w:val="auto"/>
          <w:kern w:val="1"/>
          <w:sz w:val="24"/>
          <w:szCs w:val="24"/>
          <w:highlight w:val="none"/>
          <w:u w:val="single"/>
        </w:rPr>
        <w:t xml:space="preserve">   </w:t>
      </w:r>
      <w:r>
        <w:rPr>
          <w:rFonts w:ascii="宋体" w:hAnsi="宋体" w:cs="宋体"/>
          <w:color w:val="auto"/>
          <w:kern w:val="1"/>
          <w:sz w:val="24"/>
          <w:szCs w:val="24"/>
          <w:highlight w:val="none"/>
        </w:rPr>
        <w:t>日</w:t>
      </w:r>
    </w:p>
    <w:p w14:paraId="270F4FCF">
      <w:pPr>
        <w:spacing w:line="360" w:lineRule="exact"/>
        <w:ind w:firstLine="6720"/>
        <w:rPr>
          <w:rFonts w:ascii="宋体" w:hAnsi="宋体" w:cs="Courier New"/>
          <w:color w:val="auto"/>
          <w:kern w:val="1"/>
          <w:szCs w:val="21"/>
          <w:highlight w:val="none"/>
        </w:rPr>
      </w:pPr>
    </w:p>
    <w:p w14:paraId="6E488011">
      <w:pPr>
        <w:spacing w:line="300" w:lineRule="auto"/>
        <w:rPr>
          <w:color w:val="auto"/>
          <w:kern w:val="1"/>
          <w:highlight w:val="none"/>
        </w:rPr>
        <w:sectPr>
          <w:pgSz w:w="11906" w:h="16838"/>
          <w:pgMar w:top="1417" w:right="1417" w:bottom="1417" w:left="1417" w:header="851" w:footer="992" w:gutter="0"/>
          <w:pgNumType w:fmt="decimal"/>
          <w:cols w:space="720" w:num="1"/>
          <w:titlePg/>
          <w:rtlGutter w:val="0"/>
        </w:sectPr>
      </w:pPr>
    </w:p>
    <w:p w14:paraId="7552DACB">
      <w:pPr>
        <w:spacing w:line="520" w:lineRule="exact"/>
        <w:jc w:val="center"/>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lang w:val="en-US" w:eastAsia="zh-CN"/>
        </w:rPr>
        <w:t>人员</w:t>
      </w:r>
      <w:r>
        <w:rPr>
          <w:rFonts w:hint="eastAsia" w:ascii="宋体" w:hAnsi="宋体" w:eastAsia="宋体" w:cs="宋体"/>
          <w:b/>
          <w:bCs w:val="0"/>
          <w:color w:val="auto"/>
          <w:sz w:val="32"/>
          <w:szCs w:val="32"/>
          <w:highlight w:val="none"/>
        </w:rPr>
        <w:t>配备情况表（格式）</w:t>
      </w:r>
    </w:p>
    <w:p w14:paraId="384E97D2">
      <w:pPr>
        <w:widowControl w:val="0"/>
        <w:jc w:val="both"/>
        <w:rPr>
          <w:rFonts w:ascii="Times New Roman" w:hAnsi="Times New Roman" w:eastAsia="宋体" w:cs="Times New Roman"/>
          <w:color w:val="auto"/>
          <w:kern w:val="2"/>
          <w:sz w:val="21"/>
          <w:szCs w:val="24"/>
          <w:highlight w:val="none"/>
          <w:u w:val="single"/>
          <w:lang w:val="en-US" w:eastAsia="zh-CN" w:bidi="ar-SA"/>
        </w:rPr>
      </w:pPr>
    </w:p>
    <w:p w14:paraId="548513C2">
      <w:pPr>
        <w:widowControl w:val="0"/>
        <w:jc w:val="both"/>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u w:val="single"/>
          <w:lang w:val="en-US" w:eastAsia="zh-CN" w:bidi="ar-SA"/>
        </w:rPr>
        <w:t xml:space="preserve">       </w:t>
      </w:r>
      <w:r>
        <w:rPr>
          <w:rFonts w:hint="eastAsia" w:ascii="Times New Roman" w:hAnsi="Times New Roman" w:eastAsia="宋体" w:cs="Times New Roman"/>
          <w:color w:val="auto"/>
          <w:kern w:val="2"/>
          <w:sz w:val="21"/>
          <w:szCs w:val="24"/>
          <w:highlight w:val="none"/>
          <w:u w:val="single"/>
          <w:lang w:val="en-US" w:eastAsia="zh-CN" w:bidi="ar-SA"/>
        </w:rPr>
        <w:t>（项目名称）</w:t>
      </w:r>
      <w:r>
        <w:rPr>
          <w:rFonts w:ascii="Times New Roman" w:hAnsi="Times New Roman" w:eastAsia="宋体" w:cs="Times New Roman"/>
          <w:color w:val="auto"/>
          <w:kern w:val="2"/>
          <w:sz w:val="21"/>
          <w:szCs w:val="24"/>
          <w:highlight w:val="none"/>
          <w:u w:val="single"/>
          <w:lang w:val="en-US" w:eastAsia="zh-CN" w:bidi="ar-SA"/>
        </w:rPr>
        <w:t xml:space="preserve">     </w:t>
      </w:r>
      <w:r>
        <w:rPr>
          <w:rFonts w:ascii="Times New Roman" w:hAnsi="Times New Roman" w:eastAsia="宋体" w:cs="Times New Roman"/>
          <w:color w:val="auto"/>
          <w:kern w:val="2"/>
          <w:sz w:val="21"/>
          <w:szCs w:val="24"/>
          <w:highlight w:val="none"/>
          <w:lang w:val="en-US" w:eastAsia="zh-CN" w:bidi="ar-SA"/>
        </w:rPr>
        <w:t xml:space="preserve"> </w:t>
      </w:r>
    </w:p>
    <w:tbl>
      <w:tblPr>
        <w:tblStyle w:val="61"/>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1187"/>
        <w:gridCol w:w="971"/>
        <w:gridCol w:w="1276"/>
        <w:gridCol w:w="1073"/>
        <w:gridCol w:w="1289"/>
        <w:gridCol w:w="1034"/>
        <w:gridCol w:w="1102"/>
      </w:tblGrid>
      <w:tr w14:paraId="2978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1051" w:type="dxa"/>
            <w:vMerge w:val="restart"/>
            <w:noWrap w:val="0"/>
            <w:vAlign w:val="center"/>
          </w:tcPr>
          <w:p w14:paraId="72D2489D">
            <w:pPr>
              <w:adjustRightInd/>
              <w:snapToGrid w:val="0"/>
              <w:ind w:left="0" w:leftChars="0" w:right="0" w:rightChars="0" w:firstLine="0" w:firstLineChars="0"/>
              <w:jc w:val="center"/>
              <w:rPr>
                <w:b/>
                <w:color w:val="auto"/>
                <w:highlight w:val="none"/>
              </w:rPr>
            </w:pPr>
            <w:r>
              <w:rPr>
                <w:b/>
                <w:color w:val="auto"/>
                <w:highlight w:val="none"/>
              </w:rPr>
              <w:t>岗位</w:t>
            </w:r>
          </w:p>
        </w:tc>
        <w:tc>
          <w:tcPr>
            <w:tcW w:w="1187" w:type="dxa"/>
            <w:vMerge w:val="restart"/>
            <w:noWrap w:val="0"/>
            <w:vAlign w:val="center"/>
          </w:tcPr>
          <w:p w14:paraId="3643B1F4">
            <w:pPr>
              <w:adjustRightInd/>
              <w:snapToGrid w:val="0"/>
              <w:ind w:left="0" w:leftChars="0" w:right="0" w:rightChars="0" w:firstLine="0" w:firstLineChars="0"/>
              <w:jc w:val="center"/>
              <w:rPr>
                <w:b/>
                <w:color w:val="auto"/>
                <w:highlight w:val="none"/>
              </w:rPr>
            </w:pPr>
            <w:r>
              <w:rPr>
                <w:b/>
                <w:color w:val="auto"/>
                <w:highlight w:val="none"/>
              </w:rPr>
              <w:t>姓名</w:t>
            </w:r>
          </w:p>
        </w:tc>
        <w:tc>
          <w:tcPr>
            <w:tcW w:w="971" w:type="dxa"/>
            <w:vMerge w:val="restart"/>
            <w:noWrap w:val="0"/>
            <w:vAlign w:val="center"/>
          </w:tcPr>
          <w:p w14:paraId="6119A405">
            <w:pPr>
              <w:adjustRightInd/>
              <w:snapToGrid w:val="0"/>
              <w:ind w:left="0" w:leftChars="0" w:right="0" w:rightChars="0" w:firstLine="0" w:firstLineChars="0"/>
              <w:jc w:val="center"/>
              <w:rPr>
                <w:b/>
                <w:color w:val="auto"/>
                <w:highlight w:val="none"/>
              </w:rPr>
            </w:pPr>
            <w:r>
              <w:rPr>
                <w:b/>
                <w:color w:val="auto"/>
                <w:highlight w:val="none"/>
              </w:rPr>
              <w:t>职称</w:t>
            </w:r>
          </w:p>
        </w:tc>
        <w:tc>
          <w:tcPr>
            <w:tcW w:w="4672" w:type="dxa"/>
            <w:gridSpan w:val="4"/>
            <w:noWrap w:val="0"/>
            <w:vAlign w:val="center"/>
          </w:tcPr>
          <w:p w14:paraId="6AEA47DF">
            <w:pPr>
              <w:adjustRightInd/>
              <w:snapToGrid w:val="0"/>
              <w:ind w:left="0" w:leftChars="0" w:right="0" w:rightChars="0" w:firstLine="0" w:firstLineChars="0"/>
              <w:jc w:val="center"/>
              <w:rPr>
                <w:b/>
                <w:color w:val="auto"/>
                <w:highlight w:val="none"/>
              </w:rPr>
            </w:pPr>
            <w:r>
              <w:rPr>
                <w:b/>
                <w:color w:val="auto"/>
                <w:highlight w:val="none"/>
              </w:rPr>
              <w:t>执业或职业资格</w:t>
            </w:r>
          </w:p>
        </w:tc>
        <w:tc>
          <w:tcPr>
            <w:tcW w:w="1102" w:type="dxa"/>
            <w:vMerge w:val="restart"/>
            <w:noWrap w:val="0"/>
            <w:vAlign w:val="center"/>
          </w:tcPr>
          <w:p w14:paraId="5325D34D">
            <w:pPr>
              <w:adjustRightInd/>
              <w:snapToGrid w:val="0"/>
              <w:ind w:left="0" w:leftChars="0" w:right="0" w:rightChars="0" w:firstLine="0" w:firstLineChars="0"/>
              <w:jc w:val="center"/>
              <w:rPr>
                <w:rFonts w:hint="default" w:eastAsia="宋体"/>
                <w:b/>
                <w:color w:val="auto"/>
                <w:highlight w:val="none"/>
                <w:lang w:val="en-US" w:eastAsia="zh-CN"/>
              </w:rPr>
            </w:pPr>
            <w:r>
              <w:rPr>
                <w:rFonts w:hint="eastAsia" w:ascii="Times New Roman" w:eastAsia="宋体"/>
                <w:b/>
                <w:color w:val="auto"/>
                <w:highlight w:val="none"/>
                <w:lang w:val="en-US" w:eastAsia="zh-CN"/>
              </w:rPr>
              <w:t>从业年限</w:t>
            </w:r>
          </w:p>
        </w:tc>
      </w:tr>
      <w:tr w14:paraId="79FB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1051" w:type="dxa"/>
            <w:vMerge w:val="continue"/>
            <w:noWrap w:val="0"/>
            <w:vAlign w:val="center"/>
          </w:tcPr>
          <w:p w14:paraId="0AABB90D">
            <w:pPr>
              <w:adjustRightInd/>
              <w:snapToGrid w:val="0"/>
              <w:ind w:left="0" w:leftChars="0" w:right="0" w:rightChars="0" w:firstLine="0" w:firstLineChars="0"/>
              <w:jc w:val="center"/>
              <w:rPr>
                <w:b/>
                <w:color w:val="auto"/>
                <w:highlight w:val="none"/>
              </w:rPr>
            </w:pPr>
          </w:p>
        </w:tc>
        <w:tc>
          <w:tcPr>
            <w:tcW w:w="1187" w:type="dxa"/>
            <w:vMerge w:val="continue"/>
            <w:noWrap w:val="0"/>
            <w:vAlign w:val="center"/>
          </w:tcPr>
          <w:p w14:paraId="7CFD0418">
            <w:pPr>
              <w:adjustRightInd/>
              <w:snapToGrid w:val="0"/>
              <w:ind w:left="0" w:leftChars="0" w:right="0" w:rightChars="0" w:firstLine="0" w:firstLineChars="0"/>
              <w:jc w:val="center"/>
              <w:rPr>
                <w:b/>
                <w:color w:val="auto"/>
                <w:highlight w:val="none"/>
              </w:rPr>
            </w:pPr>
          </w:p>
        </w:tc>
        <w:tc>
          <w:tcPr>
            <w:tcW w:w="971" w:type="dxa"/>
            <w:vMerge w:val="continue"/>
            <w:noWrap w:val="0"/>
            <w:vAlign w:val="center"/>
          </w:tcPr>
          <w:p w14:paraId="0E7AA217">
            <w:pPr>
              <w:adjustRightInd/>
              <w:snapToGrid w:val="0"/>
              <w:ind w:left="0" w:leftChars="0" w:right="0" w:rightChars="0" w:firstLine="0" w:firstLineChars="0"/>
              <w:jc w:val="center"/>
              <w:rPr>
                <w:b/>
                <w:color w:val="auto"/>
                <w:highlight w:val="none"/>
              </w:rPr>
            </w:pPr>
          </w:p>
        </w:tc>
        <w:tc>
          <w:tcPr>
            <w:tcW w:w="1276" w:type="dxa"/>
            <w:noWrap w:val="0"/>
            <w:vAlign w:val="center"/>
          </w:tcPr>
          <w:p w14:paraId="5E5FE5EA">
            <w:pPr>
              <w:adjustRightInd/>
              <w:snapToGrid w:val="0"/>
              <w:ind w:left="0" w:leftChars="0" w:right="0" w:rightChars="0" w:firstLine="0" w:firstLineChars="0"/>
              <w:jc w:val="center"/>
              <w:rPr>
                <w:b/>
                <w:color w:val="auto"/>
                <w:highlight w:val="none"/>
              </w:rPr>
            </w:pPr>
            <w:r>
              <w:rPr>
                <w:b/>
                <w:color w:val="auto"/>
                <w:highlight w:val="none"/>
              </w:rPr>
              <w:t>证书名称</w:t>
            </w:r>
          </w:p>
        </w:tc>
        <w:tc>
          <w:tcPr>
            <w:tcW w:w="1073" w:type="dxa"/>
            <w:noWrap w:val="0"/>
            <w:vAlign w:val="center"/>
          </w:tcPr>
          <w:p w14:paraId="74BADADD">
            <w:pPr>
              <w:adjustRightInd/>
              <w:snapToGrid w:val="0"/>
              <w:ind w:left="0" w:leftChars="0" w:right="0" w:rightChars="0" w:firstLine="0" w:firstLineChars="0"/>
              <w:jc w:val="center"/>
              <w:rPr>
                <w:b/>
                <w:color w:val="auto"/>
                <w:highlight w:val="none"/>
              </w:rPr>
            </w:pPr>
            <w:r>
              <w:rPr>
                <w:b/>
                <w:color w:val="auto"/>
                <w:highlight w:val="none"/>
              </w:rPr>
              <w:t>级别</w:t>
            </w:r>
          </w:p>
        </w:tc>
        <w:tc>
          <w:tcPr>
            <w:tcW w:w="1289" w:type="dxa"/>
            <w:noWrap w:val="0"/>
            <w:vAlign w:val="center"/>
          </w:tcPr>
          <w:p w14:paraId="784D676A">
            <w:pPr>
              <w:adjustRightInd/>
              <w:snapToGrid w:val="0"/>
              <w:ind w:left="0" w:leftChars="0" w:right="0" w:rightChars="0" w:firstLine="0" w:firstLineChars="0"/>
              <w:jc w:val="center"/>
              <w:rPr>
                <w:b/>
                <w:color w:val="auto"/>
                <w:highlight w:val="none"/>
              </w:rPr>
            </w:pPr>
            <w:r>
              <w:rPr>
                <w:b/>
                <w:color w:val="auto"/>
                <w:highlight w:val="none"/>
              </w:rPr>
              <w:t>证</w:t>
            </w:r>
            <w:r>
              <w:rPr>
                <w:rFonts w:hint="eastAsia"/>
                <w:b/>
                <w:color w:val="auto"/>
                <w:highlight w:val="none"/>
              </w:rPr>
              <w:t>书</w:t>
            </w:r>
            <w:r>
              <w:rPr>
                <w:rFonts w:hint="eastAsia" w:ascii="Times New Roman" w:eastAsia="宋体"/>
                <w:b/>
                <w:color w:val="auto"/>
                <w:highlight w:val="none"/>
                <w:lang w:val="en-US" w:eastAsia="zh-CN"/>
              </w:rPr>
              <w:t>编号</w:t>
            </w:r>
          </w:p>
        </w:tc>
        <w:tc>
          <w:tcPr>
            <w:tcW w:w="1034" w:type="dxa"/>
            <w:noWrap w:val="0"/>
            <w:vAlign w:val="center"/>
          </w:tcPr>
          <w:p w14:paraId="3896B5AB">
            <w:pPr>
              <w:adjustRightInd/>
              <w:snapToGrid w:val="0"/>
              <w:ind w:left="0" w:leftChars="0" w:right="0" w:rightChars="0" w:firstLine="0" w:firstLineChars="0"/>
              <w:jc w:val="center"/>
              <w:rPr>
                <w:b/>
                <w:color w:val="auto"/>
                <w:highlight w:val="none"/>
              </w:rPr>
            </w:pPr>
            <w:r>
              <w:rPr>
                <w:b/>
                <w:color w:val="auto"/>
                <w:highlight w:val="none"/>
              </w:rPr>
              <w:t>专业</w:t>
            </w:r>
          </w:p>
        </w:tc>
        <w:tc>
          <w:tcPr>
            <w:tcW w:w="1102" w:type="dxa"/>
            <w:vMerge w:val="continue"/>
            <w:noWrap w:val="0"/>
            <w:vAlign w:val="center"/>
          </w:tcPr>
          <w:p w14:paraId="3871FB4A">
            <w:pPr>
              <w:adjustRightInd/>
              <w:snapToGrid w:val="0"/>
              <w:ind w:left="0" w:leftChars="0" w:right="0" w:rightChars="0" w:firstLine="0" w:firstLineChars="0"/>
              <w:jc w:val="center"/>
              <w:rPr>
                <w:b/>
                <w:color w:val="auto"/>
                <w:highlight w:val="none"/>
              </w:rPr>
            </w:pPr>
          </w:p>
        </w:tc>
      </w:tr>
      <w:tr w14:paraId="453B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634EF0B1">
            <w:pPr>
              <w:adjustRightInd/>
              <w:snapToGrid w:val="0"/>
              <w:ind w:left="0" w:leftChars="0" w:right="0" w:rightChars="0" w:firstLine="0" w:firstLineChars="0"/>
              <w:jc w:val="center"/>
              <w:rPr>
                <w:color w:val="auto"/>
                <w:highlight w:val="none"/>
              </w:rPr>
            </w:pPr>
          </w:p>
        </w:tc>
        <w:tc>
          <w:tcPr>
            <w:tcW w:w="1187" w:type="dxa"/>
            <w:noWrap w:val="0"/>
            <w:vAlign w:val="center"/>
          </w:tcPr>
          <w:p w14:paraId="1EC23042">
            <w:pPr>
              <w:adjustRightInd/>
              <w:snapToGrid w:val="0"/>
              <w:ind w:left="0" w:leftChars="0" w:right="0" w:rightChars="0" w:firstLine="0" w:firstLineChars="0"/>
              <w:jc w:val="center"/>
              <w:rPr>
                <w:color w:val="auto"/>
                <w:highlight w:val="none"/>
              </w:rPr>
            </w:pPr>
          </w:p>
        </w:tc>
        <w:tc>
          <w:tcPr>
            <w:tcW w:w="971" w:type="dxa"/>
            <w:noWrap w:val="0"/>
            <w:vAlign w:val="center"/>
          </w:tcPr>
          <w:p w14:paraId="5ACA4110">
            <w:pPr>
              <w:adjustRightInd/>
              <w:snapToGrid w:val="0"/>
              <w:ind w:left="0" w:leftChars="0" w:right="0" w:rightChars="0" w:firstLine="0" w:firstLineChars="0"/>
              <w:jc w:val="center"/>
              <w:rPr>
                <w:color w:val="auto"/>
                <w:highlight w:val="none"/>
              </w:rPr>
            </w:pPr>
          </w:p>
        </w:tc>
        <w:tc>
          <w:tcPr>
            <w:tcW w:w="1276" w:type="dxa"/>
            <w:noWrap w:val="0"/>
            <w:vAlign w:val="center"/>
          </w:tcPr>
          <w:p w14:paraId="651752BE">
            <w:pPr>
              <w:adjustRightInd/>
              <w:snapToGrid w:val="0"/>
              <w:ind w:left="0" w:leftChars="0" w:right="0" w:rightChars="0" w:firstLine="0" w:firstLineChars="0"/>
              <w:jc w:val="center"/>
              <w:rPr>
                <w:color w:val="auto"/>
                <w:highlight w:val="none"/>
              </w:rPr>
            </w:pPr>
          </w:p>
        </w:tc>
        <w:tc>
          <w:tcPr>
            <w:tcW w:w="1073" w:type="dxa"/>
            <w:noWrap w:val="0"/>
            <w:vAlign w:val="center"/>
          </w:tcPr>
          <w:p w14:paraId="1F5D2B97">
            <w:pPr>
              <w:adjustRightInd/>
              <w:snapToGrid w:val="0"/>
              <w:ind w:left="0" w:leftChars="0" w:right="0" w:rightChars="0" w:firstLine="0" w:firstLineChars="0"/>
              <w:jc w:val="center"/>
              <w:rPr>
                <w:color w:val="auto"/>
                <w:highlight w:val="none"/>
              </w:rPr>
            </w:pPr>
          </w:p>
        </w:tc>
        <w:tc>
          <w:tcPr>
            <w:tcW w:w="1289" w:type="dxa"/>
            <w:noWrap w:val="0"/>
            <w:vAlign w:val="center"/>
          </w:tcPr>
          <w:p w14:paraId="1B689A94">
            <w:pPr>
              <w:adjustRightInd/>
              <w:snapToGrid w:val="0"/>
              <w:ind w:left="0" w:leftChars="0" w:right="0" w:rightChars="0" w:firstLine="0" w:firstLineChars="0"/>
              <w:jc w:val="center"/>
              <w:rPr>
                <w:color w:val="auto"/>
                <w:highlight w:val="none"/>
              </w:rPr>
            </w:pPr>
          </w:p>
        </w:tc>
        <w:tc>
          <w:tcPr>
            <w:tcW w:w="1034" w:type="dxa"/>
            <w:noWrap w:val="0"/>
            <w:vAlign w:val="center"/>
          </w:tcPr>
          <w:p w14:paraId="00F77B99">
            <w:pPr>
              <w:adjustRightInd/>
              <w:snapToGrid w:val="0"/>
              <w:ind w:left="0" w:leftChars="0" w:right="0" w:rightChars="0" w:firstLine="0" w:firstLineChars="0"/>
              <w:jc w:val="center"/>
              <w:rPr>
                <w:color w:val="auto"/>
                <w:highlight w:val="none"/>
              </w:rPr>
            </w:pPr>
          </w:p>
        </w:tc>
        <w:tc>
          <w:tcPr>
            <w:tcW w:w="1102" w:type="dxa"/>
            <w:noWrap w:val="0"/>
            <w:vAlign w:val="center"/>
          </w:tcPr>
          <w:p w14:paraId="6F89FDB2">
            <w:pPr>
              <w:adjustRightInd/>
              <w:snapToGrid w:val="0"/>
              <w:ind w:left="0" w:leftChars="0" w:right="0" w:rightChars="0" w:firstLine="0" w:firstLineChars="0"/>
              <w:jc w:val="center"/>
              <w:rPr>
                <w:color w:val="auto"/>
                <w:highlight w:val="none"/>
              </w:rPr>
            </w:pPr>
          </w:p>
        </w:tc>
      </w:tr>
      <w:tr w14:paraId="4B5B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1003B7DC">
            <w:pPr>
              <w:adjustRightInd/>
              <w:snapToGrid w:val="0"/>
              <w:ind w:left="0" w:leftChars="0" w:right="0" w:rightChars="0" w:firstLine="0" w:firstLineChars="0"/>
              <w:jc w:val="center"/>
              <w:rPr>
                <w:color w:val="auto"/>
                <w:highlight w:val="none"/>
              </w:rPr>
            </w:pPr>
          </w:p>
        </w:tc>
        <w:tc>
          <w:tcPr>
            <w:tcW w:w="1187" w:type="dxa"/>
            <w:noWrap w:val="0"/>
            <w:vAlign w:val="center"/>
          </w:tcPr>
          <w:p w14:paraId="5F2CABC8">
            <w:pPr>
              <w:adjustRightInd/>
              <w:snapToGrid w:val="0"/>
              <w:ind w:left="0" w:leftChars="0" w:right="0" w:rightChars="0" w:firstLine="0" w:firstLineChars="0"/>
              <w:jc w:val="center"/>
              <w:rPr>
                <w:color w:val="auto"/>
                <w:highlight w:val="none"/>
              </w:rPr>
            </w:pPr>
          </w:p>
        </w:tc>
        <w:tc>
          <w:tcPr>
            <w:tcW w:w="971" w:type="dxa"/>
            <w:noWrap w:val="0"/>
            <w:vAlign w:val="center"/>
          </w:tcPr>
          <w:p w14:paraId="4DD57F2D">
            <w:pPr>
              <w:adjustRightInd/>
              <w:snapToGrid w:val="0"/>
              <w:ind w:left="0" w:leftChars="0" w:right="0" w:rightChars="0" w:firstLine="0" w:firstLineChars="0"/>
              <w:jc w:val="center"/>
              <w:rPr>
                <w:color w:val="auto"/>
                <w:highlight w:val="none"/>
              </w:rPr>
            </w:pPr>
          </w:p>
        </w:tc>
        <w:tc>
          <w:tcPr>
            <w:tcW w:w="1276" w:type="dxa"/>
            <w:noWrap w:val="0"/>
            <w:vAlign w:val="center"/>
          </w:tcPr>
          <w:p w14:paraId="0984001F">
            <w:pPr>
              <w:adjustRightInd/>
              <w:snapToGrid w:val="0"/>
              <w:ind w:left="0" w:leftChars="0" w:right="0" w:rightChars="0" w:firstLine="0" w:firstLineChars="0"/>
              <w:jc w:val="center"/>
              <w:rPr>
                <w:color w:val="auto"/>
                <w:highlight w:val="none"/>
              </w:rPr>
            </w:pPr>
          </w:p>
        </w:tc>
        <w:tc>
          <w:tcPr>
            <w:tcW w:w="1073" w:type="dxa"/>
            <w:noWrap w:val="0"/>
            <w:vAlign w:val="center"/>
          </w:tcPr>
          <w:p w14:paraId="09BEDED3">
            <w:pPr>
              <w:adjustRightInd/>
              <w:snapToGrid w:val="0"/>
              <w:ind w:left="0" w:leftChars="0" w:right="0" w:rightChars="0" w:firstLine="0" w:firstLineChars="0"/>
              <w:jc w:val="center"/>
              <w:rPr>
                <w:color w:val="auto"/>
                <w:highlight w:val="none"/>
              </w:rPr>
            </w:pPr>
          </w:p>
        </w:tc>
        <w:tc>
          <w:tcPr>
            <w:tcW w:w="1289" w:type="dxa"/>
            <w:noWrap w:val="0"/>
            <w:vAlign w:val="center"/>
          </w:tcPr>
          <w:p w14:paraId="1FD351B8">
            <w:pPr>
              <w:adjustRightInd/>
              <w:snapToGrid w:val="0"/>
              <w:ind w:left="0" w:leftChars="0" w:right="0" w:rightChars="0" w:firstLine="0" w:firstLineChars="0"/>
              <w:jc w:val="center"/>
              <w:rPr>
                <w:color w:val="auto"/>
                <w:highlight w:val="none"/>
              </w:rPr>
            </w:pPr>
          </w:p>
        </w:tc>
        <w:tc>
          <w:tcPr>
            <w:tcW w:w="1034" w:type="dxa"/>
            <w:noWrap w:val="0"/>
            <w:vAlign w:val="center"/>
          </w:tcPr>
          <w:p w14:paraId="57F69C87">
            <w:pPr>
              <w:adjustRightInd/>
              <w:snapToGrid w:val="0"/>
              <w:ind w:left="0" w:leftChars="0" w:right="0" w:rightChars="0" w:firstLine="0" w:firstLineChars="0"/>
              <w:jc w:val="center"/>
              <w:rPr>
                <w:color w:val="auto"/>
                <w:highlight w:val="none"/>
              </w:rPr>
            </w:pPr>
          </w:p>
        </w:tc>
        <w:tc>
          <w:tcPr>
            <w:tcW w:w="1102" w:type="dxa"/>
            <w:noWrap w:val="0"/>
            <w:vAlign w:val="center"/>
          </w:tcPr>
          <w:p w14:paraId="49E37DD4">
            <w:pPr>
              <w:adjustRightInd/>
              <w:snapToGrid w:val="0"/>
              <w:ind w:left="0" w:leftChars="0" w:right="0" w:rightChars="0" w:firstLine="0" w:firstLineChars="0"/>
              <w:jc w:val="center"/>
              <w:rPr>
                <w:color w:val="auto"/>
                <w:highlight w:val="none"/>
              </w:rPr>
            </w:pPr>
          </w:p>
        </w:tc>
      </w:tr>
      <w:tr w14:paraId="767C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1C9D15C3">
            <w:pPr>
              <w:adjustRightInd/>
              <w:snapToGrid w:val="0"/>
              <w:ind w:left="0" w:leftChars="0" w:right="0" w:rightChars="0" w:firstLine="0" w:firstLineChars="0"/>
              <w:jc w:val="center"/>
              <w:rPr>
                <w:color w:val="auto"/>
                <w:highlight w:val="none"/>
              </w:rPr>
            </w:pPr>
          </w:p>
        </w:tc>
        <w:tc>
          <w:tcPr>
            <w:tcW w:w="1187" w:type="dxa"/>
            <w:noWrap w:val="0"/>
            <w:vAlign w:val="center"/>
          </w:tcPr>
          <w:p w14:paraId="09014574">
            <w:pPr>
              <w:adjustRightInd/>
              <w:snapToGrid w:val="0"/>
              <w:ind w:left="0" w:leftChars="0" w:right="0" w:rightChars="0" w:firstLine="0" w:firstLineChars="0"/>
              <w:jc w:val="center"/>
              <w:rPr>
                <w:color w:val="auto"/>
                <w:highlight w:val="none"/>
              </w:rPr>
            </w:pPr>
          </w:p>
        </w:tc>
        <w:tc>
          <w:tcPr>
            <w:tcW w:w="971" w:type="dxa"/>
            <w:noWrap w:val="0"/>
            <w:vAlign w:val="center"/>
          </w:tcPr>
          <w:p w14:paraId="3D227B09">
            <w:pPr>
              <w:adjustRightInd/>
              <w:snapToGrid w:val="0"/>
              <w:ind w:left="0" w:leftChars="0" w:right="0" w:rightChars="0" w:firstLine="0" w:firstLineChars="0"/>
              <w:jc w:val="center"/>
              <w:rPr>
                <w:color w:val="auto"/>
                <w:highlight w:val="none"/>
              </w:rPr>
            </w:pPr>
          </w:p>
        </w:tc>
        <w:tc>
          <w:tcPr>
            <w:tcW w:w="1276" w:type="dxa"/>
            <w:noWrap w:val="0"/>
            <w:vAlign w:val="center"/>
          </w:tcPr>
          <w:p w14:paraId="37DADBB2">
            <w:pPr>
              <w:adjustRightInd/>
              <w:snapToGrid w:val="0"/>
              <w:ind w:left="0" w:leftChars="0" w:right="0" w:rightChars="0" w:firstLine="0" w:firstLineChars="0"/>
              <w:jc w:val="center"/>
              <w:rPr>
                <w:color w:val="auto"/>
                <w:highlight w:val="none"/>
              </w:rPr>
            </w:pPr>
          </w:p>
        </w:tc>
        <w:tc>
          <w:tcPr>
            <w:tcW w:w="1073" w:type="dxa"/>
            <w:noWrap w:val="0"/>
            <w:vAlign w:val="center"/>
          </w:tcPr>
          <w:p w14:paraId="0D6BADF8">
            <w:pPr>
              <w:adjustRightInd/>
              <w:snapToGrid w:val="0"/>
              <w:ind w:left="0" w:leftChars="0" w:right="0" w:rightChars="0" w:firstLine="0" w:firstLineChars="0"/>
              <w:jc w:val="center"/>
              <w:rPr>
                <w:color w:val="auto"/>
                <w:highlight w:val="none"/>
              </w:rPr>
            </w:pPr>
          </w:p>
        </w:tc>
        <w:tc>
          <w:tcPr>
            <w:tcW w:w="1289" w:type="dxa"/>
            <w:noWrap w:val="0"/>
            <w:vAlign w:val="center"/>
          </w:tcPr>
          <w:p w14:paraId="06347782">
            <w:pPr>
              <w:adjustRightInd/>
              <w:snapToGrid w:val="0"/>
              <w:ind w:left="0" w:leftChars="0" w:right="0" w:rightChars="0" w:firstLine="0" w:firstLineChars="0"/>
              <w:jc w:val="center"/>
              <w:rPr>
                <w:color w:val="auto"/>
                <w:highlight w:val="none"/>
              </w:rPr>
            </w:pPr>
          </w:p>
        </w:tc>
        <w:tc>
          <w:tcPr>
            <w:tcW w:w="1034" w:type="dxa"/>
            <w:noWrap w:val="0"/>
            <w:vAlign w:val="center"/>
          </w:tcPr>
          <w:p w14:paraId="6538E882">
            <w:pPr>
              <w:adjustRightInd/>
              <w:snapToGrid w:val="0"/>
              <w:ind w:left="0" w:leftChars="0" w:right="0" w:rightChars="0" w:firstLine="0" w:firstLineChars="0"/>
              <w:jc w:val="center"/>
              <w:rPr>
                <w:color w:val="auto"/>
                <w:highlight w:val="none"/>
              </w:rPr>
            </w:pPr>
          </w:p>
        </w:tc>
        <w:tc>
          <w:tcPr>
            <w:tcW w:w="1102" w:type="dxa"/>
            <w:noWrap w:val="0"/>
            <w:vAlign w:val="center"/>
          </w:tcPr>
          <w:p w14:paraId="3BEF2D6B">
            <w:pPr>
              <w:adjustRightInd/>
              <w:snapToGrid w:val="0"/>
              <w:ind w:left="0" w:leftChars="0" w:right="0" w:rightChars="0" w:firstLine="0" w:firstLineChars="0"/>
              <w:jc w:val="center"/>
              <w:rPr>
                <w:color w:val="auto"/>
                <w:highlight w:val="none"/>
              </w:rPr>
            </w:pPr>
          </w:p>
        </w:tc>
      </w:tr>
      <w:tr w14:paraId="3564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0EDE1B25">
            <w:pPr>
              <w:adjustRightInd/>
              <w:snapToGrid w:val="0"/>
              <w:ind w:left="0" w:leftChars="0" w:right="0" w:rightChars="0" w:firstLine="0" w:firstLineChars="0"/>
              <w:jc w:val="center"/>
              <w:rPr>
                <w:color w:val="auto"/>
                <w:highlight w:val="none"/>
              </w:rPr>
            </w:pPr>
          </w:p>
        </w:tc>
        <w:tc>
          <w:tcPr>
            <w:tcW w:w="1187" w:type="dxa"/>
            <w:noWrap w:val="0"/>
            <w:vAlign w:val="center"/>
          </w:tcPr>
          <w:p w14:paraId="700277E6">
            <w:pPr>
              <w:adjustRightInd/>
              <w:snapToGrid w:val="0"/>
              <w:ind w:left="0" w:leftChars="0" w:right="0" w:rightChars="0" w:firstLine="0" w:firstLineChars="0"/>
              <w:jc w:val="center"/>
              <w:rPr>
                <w:color w:val="auto"/>
                <w:highlight w:val="none"/>
              </w:rPr>
            </w:pPr>
          </w:p>
        </w:tc>
        <w:tc>
          <w:tcPr>
            <w:tcW w:w="971" w:type="dxa"/>
            <w:noWrap w:val="0"/>
            <w:vAlign w:val="center"/>
          </w:tcPr>
          <w:p w14:paraId="12DA570F">
            <w:pPr>
              <w:adjustRightInd/>
              <w:snapToGrid w:val="0"/>
              <w:ind w:left="0" w:leftChars="0" w:right="0" w:rightChars="0" w:firstLine="0" w:firstLineChars="0"/>
              <w:jc w:val="center"/>
              <w:rPr>
                <w:color w:val="auto"/>
                <w:highlight w:val="none"/>
              </w:rPr>
            </w:pPr>
          </w:p>
        </w:tc>
        <w:tc>
          <w:tcPr>
            <w:tcW w:w="1276" w:type="dxa"/>
            <w:noWrap w:val="0"/>
            <w:vAlign w:val="center"/>
          </w:tcPr>
          <w:p w14:paraId="21E15AF5">
            <w:pPr>
              <w:adjustRightInd/>
              <w:snapToGrid w:val="0"/>
              <w:ind w:left="0" w:leftChars="0" w:right="0" w:rightChars="0" w:firstLine="0" w:firstLineChars="0"/>
              <w:jc w:val="center"/>
              <w:rPr>
                <w:color w:val="auto"/>
                <w:highlight w:val="none"/>
              </w:rPr>
            </w:pPr>
          </w:p>
        </w:tc>
        <w:tc>
          <w:tcPr>
            <w:tcW w:w="1073" w:type="dxa"/>
            <w:noWrap w:val="0"/>
            <w:vAlign w:val="center"/>
          </w:tcPr>
          <w:p w14:paraId="0035AF2E">
            <w:pPr>
              <w:adjustRightInd/>
              <w:snapToGrid w:val="0"/>
              <w:ind w:left="0" w:leftChars="0" w:right="0" w:rightChars="0" w:firstLine="0" w:firstLineChars="0"/>
              <w:jc w:val="center"/>
              <w:rPr>
                <w:color w:val="auto"/>
                <w:highlight w:val="none"/>
              </w:rPr>
            </w:pPr>
          </w:p>
        </w:tc>
        <w:tc>
          <w:tcPr>
            <w:tcW w:w="1289" w:type="dxa"/>
            <w:noWrap w:val="0"/>
            <w:vAlign w:val="center"/>
          </w:tcPr>
          <w:p w14:paraId="5E80C4A4">
            <w:pPr>
              <w:adjustRightInd/>
              <w:snapToGrid w:val="0"/>
              <w:ind w:left="0" w:leftChars="0" w:right="0" w:rightChars="0" w:firstLine="0" w:firstLineChars="0"/>
              <w:jc w:val="center"/>
              <w:rPr>
                <w:color w:val="auto"/>
                <w:highlight w:val="none"/>
              </w:rPr>
            </w:pPr>
          </w:p>
        </w:tc>
        <w:tc>
          <w:tcPr>
            <w:tcW w:w="1034" w:type="dxa"/>
            <w:noWrap w:val="0"/>
            <w:vAlign w:val="center"/>
          </w:tcPr>
          <w:p w14:paraId="673AB38D">
            <w:pPr>
              <w:adjustRightInd/>
              <w:snapToGrid w:val="0"/>
              <w:ind w:left="0" w:leftChars="0" w:right="0" w:rightChars="0" w:firstLine="0" w:firstLineChars="0"/>
              <w:jc w:val="center"/>
              <w:rPr>
                <w:color w:val="auto"/>
                <w:highlight w:val="none"/>
              </w:rPr>
            </w:pPr>
          </w:p>
        </w:tc>
        <w:tc>
          <w:tcPr>
            <w:tcW w:w="1102" w:type="dxa"/>
            <w:noWrap w:val="0"/>
            <w:vAlign w:val="center"/>
          </w:tcPr>
          <w:p w14:paraId="29EFD8B2">
            <w:pPr>
              <w:adjustRightInd/>
              <w:snapToGrid w:val="0"/>
              <w:ind w:left="0" w:leftChars="0" w:right="0" w:rightChars="0" w:firstLine="0" w:firstLineChars="0"/>
              <w:jc w:val="center"/>
              <w:rPr>
                <w:color w:val="auto"/>
                <w:highlight w:val="none"/>
              </w:rPr>
            </w:pPr>
          </w:p>
        </w:tc>
      </w:tr>
      <w:tr w14:paraId="66C9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51" w:type="dxa"/>
            <w:noWrap w:val="0"/>
            <w:vAlign w:val="center"/>
          </w:tcPr>
          <w:p w14:paraId="3F612EF9">
            <w:pPr>
              <w:adjustRightInd/>
              <w:snapToGrid w:val="0"/>
              <w:ind w:left="0" w:leftChars="0" w:right="0" w:rightChars="0" w:firstLine="0" w:firstLineChars="0"/>
              <w:jc w:val="center"/>
              <w:rPr>
                <w:color w:val="auto"/>
                <w:highlight w:val="none"/>
              </w:rPr>
            </w:pPr>
          </w:p>
        </w:tc>
        <w:tc>
          <w:tcPr>
            <w:tcW w:w="1187" w:type="dxa"/>
            <w:noWrap w:val="0"/>
            <w:vAlign w:val="center"/>
          </w:tcPr>
          <w:p w14:paraId="587586E7">
            <w:pPr>
              <w:adjustRightInd/>
              <w:snapToGrid w:val="0"/>
              <w:ind w:left="0" w:leftChars="0" w:right="0" w:rightChars="0" w:firstLine="0" w:firstLineChars="0"/>
              <w:jc w:val="center"/>
              <w:rPr>
                <w:color w:val="auto"/>
                <w:highlight w:val="none"/>
              </w:rPr>
            </w:pPr>
          </w:p>
        </w:tc>
        <w:tc>
          <w:tcPr>
            <w:tcW w:w="971" w:type="dxa"/>
            <w:noWrap w:val="0"/>
            <w:vAlign w:val="center"/>
          </w:tcPr>
          <w:p w14:paraId="23F20E0D">
            <w:pPr>
              <w:adjustRightInd/>
              <w:snapToGrid w:val="0"/>
              <w:ind w:left="0" w:leftChars="0" w:right="0" w:rightChars="0" w:firstLine="0" w:firstLineChars="0"/>
              <w:jc w:val="center"/>
              <w:rPr>
                <w:color w:val="auto"/>
                <w:highlight w:val="none"/>
              </w:rPr>
            </w:pPr>
          </w:p>
        </w:tc>
        <w:tc>
          <w:tcPr>
            <w:tcW w:w="1276" w:type="dxa"/>
            <w:noWrap w:val="0"/>
            <w:vAlign w:val="center"/>
          </w:tcPr>
          <w:p w14:paraId="4C8FF3CA">
            <w:pPr>
              <w:adjustRightInd/>
              <w:snapToGrid w:val="0"/>
              <w:ind w:left="0" w:leftChars="0" w:right="0" w:rightChars="0" w:firstLine="0" w:firstLineChars="0"/>
              <w:jc w:val="center"/>
              <w:rPr>
                <w:color w:val="auto"/>
                <w:highlight w:val="none"/>
              </w:rPr>
            </w:pPr>
          </w:p>
        </w:tc>
        <w:tc>
          <w:tcPr>
            <w:tcW w:w="1073" w:type="dxa"/>
            <w:noWrap w:val="0"/>
            <w:vAlign w:val="center"/>
          </w:tcPr>
          <w:p w14:paraId="77C90A29">
            <w:pPr>
              <w:adjustRightInd/>
              <w:snapToGrid w:val="0"/>
              <w:ind w:left="0" w:leftChars="0" w:right="0" w:rightChars="0" w:firstLine="0" w:firstLineChars="0"/>
              <w:jc w:val="center"/>
              <w:rPr>
                <w:color w:val="auto"/>
                <w:highlight w:val="none"/>
              </w:rPr>
            </w:pPr>
          </w:p>
        </w:tc>
        <w:tc>
          <w:tcPr>
            <w:tcW w:w="1289" w:type="dxa"/>
            <w:noWrap w:val="0"/>
            <w:vAlign w:val="center"/>
          </w:tcPr>
          <w:p w14:paraId="4737F17F">
            <w:pPr>
              <w:adjustRightInd/>
              <w:snapToGrid w:val="0"/>
              <w:ind w:left="0" w:leftChars="0" w:right="0" w:rightChars="0" w:firstLine="0" w:firstLineChars="0"/>
              <w:jc w:val="center"/>
              <w:rPr>
                <w:color w:val="auto"/>
                <w:highlight w:val="none"/>
              </w:rPr>
            </w:pPr>
          </w:p>
        </w:tc>
        <w:tc>
          <w:tcPr>
            <w:tcW w:w="1034" w:type="dxa"/>
            <w:noWrap w:val="0"/>
            <w:vAlign w:val="center"/>
          </w:tcPr>
          <w:p w14:paraId="4BE96E2F">
            <w:pPr>
              <w:adjustRightInd/>
              <w:snapToGrid w:val="0"/>
              <w:ind w:left="0" w:leftChars="0" w:right="0" w:rightChars="0" w:firstLine="0" w:firstLineChars="0"/>
              <w:jc w:val="center"/>
              <w:rPr>
                <w:color w:val="auto"/>
                <w:highlight w:val="none"/>
              </w:rPr>
            </w:pPr>
          </w:p>
        </w:tc>
        <w:tc>
          <w:tcPr>
            <w:tcW w:w="1102" w:type="dxa"/>
            <w:noWrap w:val="0"/>
            <w:vAlign w:val="center"/>
          </w:tcPr>
          <w:p w14:paraId="5646F18A">
            <w:pPr>
              <w:adjustRightInd/>
              <w:snapToGrid w:val="0"/>
              <w:ind w:left="0" w:leftChars="0" w:right="0" w:rightChars="0" w:firstLine="0" w:firstLineChars="0"/>
              <w:jc w:val="center"/>
              <w:rPr>
                <w:color w:val="auto"/>
                <w:highlight w:val="none"/>
              </w:rPr>
            </w:pPr>
          </w:p>
        </w:tc>
      </w:tr>
      <w:tr w14:paraId="47D8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jc w:val="center"/>
        </w:trPr>
        <w:tc>
          <w:tcPr>
            <w:tcW w:w="1051" w:type="dxa"/>
            <w:noWrap w:val="0"/>
            <w:vAlign w:val="center"/>
          </w:tcPr>
          <w:p w14:paraId="2A23A819">
            <w:pPr>
              <w:adjustRightInd/>
              <w:snapToGrid w:val="0"/>
              <w:ind w:left="0" w:leftChars="0" w:right="0" w:rightChars="0" w:firstLine="0" w:firstLineChars="0"/>
              <w:jc w:val="center"/>
              <w:rPr>
                <w:color w:val="auto"/>
                <w:highlight w:val="none"/>
              </w:rPr>
            </w:pPr>
          </w:p>
        </w:tc>
        <w:tc>
          <w:tcPr>
            <w:tcW w:w="1187" w:type="dxa"/>
            <w:noWrap w:val="0"/>
            <w:vAlign w:val="center"/>
          </w:tcPr>
          <w:p w14:paraId="342B112C">
            <w:pPr>
              <w:adjustRightInd/>
              <w:snapToGrid w:val="0"/>
              <w:ind w:left="0" w:leftChars="0" w:right="0" w:rightChars="0" w:firstLine="0" w:firstLineChars="0"/>
              <w:jc w:val="center"/>
              <w:rPr>
                <w:color w:val="auto"/>
                <w:highlight w:val="none"/>
              </w:rPr>
            </w:pPr>
          </w:p>
        </w:tc>
        <w:tc>
          <w:tcPr>
            <w:tcW w:w="971" w:type="dxa"/>
            <w:noWrap w:val="0"/>
            <w:vAlign w:val="center"/>
          </w:tcPr>
          <w:p w14:paraId="4C22EE7E">
            <w:pPr>
              <w:adjustRightInd/>
              <w:snapToGrid w:val="0"/>
              <w:ind w:left="0" w:leftChars="0" w:right="0" w:rightChars="0" w:firstLine="0" w:firstLineChars="0"/>
              <w:jc w:val="center"/>
              <w:rPr>
                <w:color w:val="auto"/>
                <w:highlight w:val="none"/>
              </w:rPr>
            </w:pPr>
          </w:p>
        </w:tc>
        <w:tc>
          <w:tcPr>
            <w:tcW w:w="1276" w:type="dxa"/>
            <w:noWrap w:val="0"/>
            <w:vAlign w:val="center"/>
          </w:tcPr>
          <w:p w14:paraId="6BFBC612">
            <w:pPr>
              <w:adjustRightInd/>
              <w:snapToGrid w:val="0"/>
              <w:ind w:left="0" w:leftChars="0" w:right="0" w:rightChars="0" w:firstLine="0" w:firstLineChars="0"/>
              <w:jc w:val="center"/>
              <w:rPr>
                <w:color w:val="auto"/>
                <w:highlight w:val="none"/>
              </w:rPr>
            </w:pPr>
          </w:p>
        </w:tc>
        <w:tc>
          <w:tcPr>
            <w:tcW w:w="1073" w:type="dxa"/>
            <w:noWrap w:val="0"/>
            <w:vAlign w:val="center"/>
          </w:tcPr>
          <w:p w14:paraId="25A47F1D">
            <w:pPr>
              <w:adjustRightInd/>
              <w:snapToGrid w:val="0"/>
              <w:ind w:left="0" w:leftChars="0" w:right="0" w:rightChars="0" w:firstLine="0" w:firstLineChars="0"/>
              <w:jc w:val="center"/>
              <w:rPr>
                <w:color w:val="auto"/>
                <w:highlight w:val="none"/>
              </w:rPr>
            </w:pPr>
          </w:p>
        </w:tc>
        <w:tc>
          <w:tcPr>
            <w:tcW w:w="1289" w:type="dxa"/>
            <w:noWrap w:val="0"/>
            <w:vAlign w:val="center"/>
          </w:tcPr>
          <w:p w14:paraId="62ED81D0">
            <w:pPr>
              <w:adjustRightInd/>
              <w:snapToGrid w:val="0"/>
              <w:ind w:left="0" w:leftChars="0" w:right="0" w:rightChars="0" w:firstLine="0" w:firstLineChars="0"/>
              <w:jc w:val="center"/>
              <w:rPr>
                <w:color w:val="auto"/>
                <w:highlight w:val="none"/>
              </w:rPr>
            </w:pPr>
          </w:p>
        </w:tc>
        <w:tc>
          <w:tcPr>
            <w:tcW w:w="1034" w:type="dxa"/>
            <w:noWrap w:val="0"/>
            <w:vAlign w:val="center"/>
          </w:tcPr>
          <w:p w14:paraId="6C51B775">
            <w:pPr>
              <w:adjustRightInd/>
              <w:snapToGrid w:val="0"/>
              <w:ind w:left="0" w:leftChars="0" w:right="0" w:rightChars="0" w:firstLine="0" w:firstLineChars="0"/>
              <w:jc w:val="center"/>
              <w:rPr>
                <w:color w:val="auto"/>
                <w:highlight w:val="none"/>
              </w:rPr>
            </w:pPr>
          </w:p>
        </w:tc>
        <w:tc>
          <w:tcPr>
            <w:tcW w:w="1102" w:type="dxa"/>
            <w:noWrap w:val="0"/>
            <w:vAlign w:val="center"/>
          </w:tcPr>
          <w:p w14:paraId="6E7CCDC7">
            <w:pPr>
              <w:adjustRightInd/>
              <w:snapToGrid w:val="0"/>
              <w:ind w:left="0" w:leftChars="0" w:right="0" w:rightChars="0" w:firstLine="0" w:firstLineChars="0"/>
              <w:jc w:val="center"/>
              <w:rPr>
                <w:color w:val="auto"/>
                <w:highlight w:val="none"/>
              </w:rPr>
            </w:pPr>
          </w:p>
        </w:tc>
      </w:tr>
      <w:tr w14:paraId="0792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jc w:val="center"/>
        </w:trPr>
        <w:tc>
          <w:tcPr>
            <w:tcW w:w="1051" w:type="dxa"/>
            <w:noWrap w:val="0"/>
            <w:vAlign w:val="center"/>
          </w:tcPr>
          <w:p w14:paraId="79C98D7A">
            <w:pPr>
              <w:adjustRightInd/>
              <w:snapToGrid w:val="0"/>
              <w:ind w:left="0" w:leftChars="0" w:right="0" w:rightChars="0" w:firstLine="0" w:firstLineChars="0"/>
              <w:jc w:val="center"/>
              <w:rPr>
                <w:color w:val="auto"/>
                <w:highlight w:val="none"/>
              </w:rPr>
            </w:pPr>
          </w:p>
        </w:tc>
        <w:tc>
          <w:tcPr>
            <w:tcW w:w="1187" w:type="dxa"/>
            <w:noWrap w:val="0"/>
            <w:vAlign w:val="center"/>
          </w:tcPr>
          <w:p w14:paraId="4BDDE0C9">
            <w:pPr>
              <w:adjustRightInd/>
              <w:snapToGrid w:val="0"/>
              <w:ind w:left="0" w:leftChars="0" w:right="0" w:rightChars="0" w:firstLine="0" w:firstLineChars="0"/>
              <w:jc w:val="center"/>
              <w:rPr>
                <w:color w:val="auto"/>
                <w:highlight w:val="none"/>
              </w:rPr>
            </w:pPr>
          </w:p>
        </w:tc>
        <w:tc>
          <w:tcPr>
            <w:tcW w:w="971" w:type="dxa"/>
            <w:noWrap w:val="0"/>
            <w:vAlign w:val="center"/>
          </w:tcPr>
          <w:p w14:paraId="730AA4E1">
            <w:pPr>
              <w:adjustRightInd/>
              <w:snapToGrid w:val="0"/>
              <w:ind w:left="0" w:leftChars="0" w:right="0" w:rightChars="0" w:firstLine="0" w:firstLineChars="0"/>
              <w:jc w:val="center"/>
              <w:rPr>
                <w:color w:val="auto"/>
                <w:highlight w:val="none"/>
              </w:rPr>
            </w:pPr>
          </w:p>
        </w:tc>
        <w:tc>
          <w:tcPr>
            <w:tcW w:w="1276" w:type="dxa"/>
            <w:noWrap w:val="0"/>
            <w:vAlign w:val="center"/>
          </w:tcPr>
          <w:p w14:paraId="321FC18A">
            <w:pPr>
              <w:adjustRightInd/>
              <w:snapToGrid w:val="0"/>
              <w:ind w:left="0" w:leftChars="0" w:right="0" w:rightChars="0" w:firstLine="0" w:firstLineChars="0"/>
              <w:jc w:val="center"/>
              <w:rPr>
                <w:color w:val="auto"/>
                <w:highlight w:val="none"/>
              </w:rPr>
            </w:pPr>
          </w:p>
        </w:tc>
        <w:tc>
          <w:tcPr>
            <w:tcW w:w="1073" w:type="dxa"/>
            <w:noWrap w:val="0"/>
            <w:vAlign w:val="center"/>
          </w:tcPr>
          <w:p w14:paraId="7A66DE24">
            <w:pPr>
              <w:adjustRightInd/>
              <w:snapToGrid w:val="0"/>
              <w:ind w:left="0" w:leftChars="0" w:right="0" w:rightChars="0" w:firstLine="0" w:firstLineChars="0"/>
              <w:jc w:val="center"/>
              <w:rPr>
                <w:color w:val="auto"/>
                <w:highlight w:val="none"/>
              </w:rPr>
            </w:pPr>
          </w:p>
        </w:tc>
        <w:tc>
          <w:tcPr>
            <w:tcW w:w="1289" w:type="dxa"/>
            <w:noWrap w:val="0"/>
            <w:vAlign w:val="center"/>
          </w:tcPr>
          <w:p w14:paraId="5EF5E6D5">
            <w:pPr>
              <w:adjustRightInd/>
              <w:snapToGrid w:val="0"/>
              <w:ind w:left="0" w:leftChars="0" w:right="0" w:rightChars="0" w:firstLine="0" w:firstLineChars="0"/>
              <w:jc w:val="center"/>
              <w:rPr>
                <w:color w:val="auto"/>
                <w:highlight w:val="none"/>
              </w:rPr>
            </w:pPr>
          </w:p>
        </w:tc>
        <w:tc>
          <w:tcPr>
            <w:tcW w:w="1034" w:type="dxa"/>
            <w:noWrap w:val="0"/>
            <w:vAlign w:val="center"/>
          </w:tcPr>
          <w:p w14:paraId="368A122C">
            <w:pPr>
              <w:adjustRightInd/>
              <w:snapToGrid w:val="0"/>
              <w:ind w:left="0" w:leftChars="0" w:right="0" w:rightChars="0" w:firstLine="0" w:firstLineChars="0"/>
              <w:jc w:val="center"/>
              <w:rPr>
                <w:color w:val="auto"/>
                <w:highlight w:val="none"/>
              </w:rPr>
            </w:pPr>
          </w:p>
        </w:tc>
        <w:tc>
          <w:tcPr>
            <w:tcW w:w="1102" w:type="dxa"/>
            <w:noWrap w:val="0"/>
            <w:vAlign w:val="center"/>
          </w:tcPr>
          <w:p w14:paraId="75471EA1">
            <w:pPr>
              <w:adjustRightInd/>
              <w:snapToGrid w:val="0"/>
              <w:ind w:left="0" w:leftChars="0" w:right="0" w:rightChars="0" w:firstLine="0" w:firstLineChars="0"/>
              <w:jc w:val="center"/>
              <w:rPr>
                <w:color w:val="auto"/>
                <w:highlight w:val="none"/>
              </w:rPr>
            </w:pPr>
          </w:p>
        </w:tc>
      </w:tr>
    </w:tbl>
    <w:p w14:paraId="7AEAF750">
      <w:pPr>
        <w:adjustRightInd/>
        <w:spacing w:line="360" w:lineRule="auto"/>
        <w:contextualSpacing/>
        <w:rPr>
          <w:rFonts w:ascii="宋体" w:hAnsi="宋体"/>
          <w:color w:val="auto"/>
          <w:sz w:val="24"/>
          <w:highlight w:val="none"/>
        </w:rPr>
      </w:pPr>
    </w:p>
    <w:p w14:paraId="4E97034F">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磋商供应商（公章）：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028F91A">
      <w:pPr>
        <w:spacing w:line="300" w:lineRule="auto"/>
        <w:ind w:firstLine="480" w:firstLineChars="200"/>
        <w:rPr>
          <w:rFonts w:ascii="宋体" w:hAnsi="宋体" w:cs="宋体"/>
          <w:color w:val="auto"/>
          <w:kern w:val="1"/>
          <w:sz w:val="24"/>
          <w:szCs w:val="24"/>
          <w:highlight w:val="none"/>
        </w:rPr>
      </w:pPr>
      <w:r>
        <w:rPr>
          <w:rFonts w:ascii="宋体" w:hAnsi="宋体" w:cs="Courier New"/>
          <w:color w:val="auto"/>
          <w:kern w:val="1"/>
          <w:sz w:val="24"/>
          <w:szCs w:val="24"/>
          <w:highlight w:val="none"/>
        </w:rPr>
        <w:t>法定代表人</w:t>
      </w:r>
      <w:r>
        <w:rPr>
          <w:color w:val="auto"/>
          <w:kern w:val="1"/>
          <w:sz w:val="24"/>
          <w:szCs w:val="24"/>
          <w:highlight w:val="none"/>
        </w:rPr>
        <w:t>（负责人）</w:t>
      </w:r>
      <w:r>
        <w:rPr>
          <w:rFonts w:ascii="宋体" w:hAnsi="宋体" w:cs="Courier New"/>
          <w:color w:val="auto"/>
          <w:kern w:val="1"/>
          <w:sz w:val="24"/>
          <w:szCs w:val="24"/>
          <w:highlight w:val="none"/>
        </w:rPr>
        <w:t>或委托代理人</w:t>
      </w:r>
      <w:r>
        <w:rPr>
          <w:rFonts w:hint="eastAsia" w:ascii="宋体" w:hAnsi="宋体"/>
          <w:b/>
          <w:bCs/>
          <w:color w:val="auto"/>
          <w:kern w:val="2"/>
          <w:sz w:val="24"/>
          <w:szCs w:val="24"/>
          <w:highlight w:val="none"/>
        </w:rPr>
        <w:t>（</w:t>
      </w:r>
      <w:r>
        <w:rPr>
          <w:rFonts w:hint="eastAsia" w:ascii="宋体" w:hAnsi="宋体"/>
          <w:color w:val="auto"/>
          <w:sz w:val="24"/>
          <w:highlight w:val="none"/>
        </w:rPr>
        <w:t>签字或者盖章或者电子签名</w:t>
      </w:r>
      <w:r>
        <w:rPr>
          <w:rFonts w:hint="eastAsia" w:ascii="宋体" w:hAnsi="宋体"/>
          <w:b/>
          <w:bCs/>
          <w:color w:val="auto"/>
          <w:kern w:val="2"/>
          <w:sz w:val="24"/>
          <w:szCs w:val="24"/>
          <w:highlight w:val="none"/>
        </w:rPr>
        <w:t>）</w:t>
      </w:r>
      <w:r>
        <w:rPr>
          <w:rFonts w:ascii="宋体" w:hAnsi="宋体" w:cs="宋体"/>
          <w:color w:val="auto"/>
          <w:kern w:val="1"/>
          <w:sz w:val="24"/>
          <w:szCs w:val="24"/>
          <w:highlight w:val="none"/>
        </w:rPr>
        <w:t>：</w:t>
      </w:r>
      <w:r>
        <w:rPr>
          <w:rFonts w:ascii="宋体" w:hAnsi="宋体" w:cs="宋体"/>
          <w:color w:val="auto"/>
          <w:kern w:val="1"/>
          <w:sz w:val="24"/>
          <w:szCs w:val="24"/>
          <w:highlight w:val="none"/>
          <w:u w:val="single"/>
        </w:rPr>
        <w:t xml:space="preserve">              </w:t>
      </w:r>
    </w:p>
    <w:p w14:paraId="40352BB2">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p>
    <w:p w14:paraId="3518BEC4">
      <w:pPr>
        <w:spacing w:line="300" w:lineRule="auto"/>
        <w:rPr>
          <w:rFonts w:ascii="宋体" w:hAnsi="宋体" w:cs="宋体"/>
          <w:b/>
          <w:color w:val="auto"/>
          <w:kern w:val="1"/>
          <w:szCs w:val="21"/>
          <w:highlight w:val="none"/>
        </w:rPr>
        <w:sectPr>
          <w:pgSz w:w="11906" w:h="16838"/>
          <w:pgMar w:top="1417" w:right="1417" w:bottom="1417" w:left="1417" w:header="851" w:footer="992" w:gutter="0"/>
          <w:pgNumType w:fmt="decimal"/>
          <w:cols w:space="720" w:num="1"/>
          <w:titlePg/>
          <w:rtlGutter w:val="0"/>
        </w:sectPr>
      </w:pPr>
    </w:p>
    <w:p w14:paraId="257EC0CF">
      <w:pPr>
        <w:spacing w:line="520" w:lineRule="exact"/>
        <w:jc w:val="center"/>
        <w:rPr>
          <w:rFonts w:hint="default" w:ascii="仿宋_GB2312" w:hAnsi="仿宋_GB2312" w:eastAsia="宋体" w:cs="仿宋_GB2312"/>
          <w:color w:val="auto"/>
          <w:sz w:val="32"/>
          <w:szCs w:val="32"/>
          <w:highlight w:val="none"/>
          <w:lang w:val="en-US" w:eastAsia="zh-CN"/>
        </w:rPr>
      </w:pPr>
      <w:r>
        <w:rPr>
          <w:rFonts w:hint="eastAsia" w:ascii="宋体" w:hAnsi="宋体" w:eastAsia="宋体" w:cs="宋体"/>
          <w:b/>
          <w:bCs w:val="0"/>
          <w:color w:val="auto"/>
          <w:sz w:val="32"/>
          <w:szCs w:val="32"/>
          <w:highlight w:val="none"/>
        </w:rPr>
        <w:t>法定代表人证明书（格式）</w:t>
      </w:r>
    </w:p>
    <w:p w14:paraId="18363457">
      <w:pPr>
        <w:spacing w:line="360" w:lineRule="auto"/>
        <w:ind w:left="540"/>
        <w:contextualSpacing/>
        <w:rPr>
          <w:rFonts w:ascii="仿宋_GB2312" w:hAnsi="仿宋_GB2312" w:eastAsia="仿宋_GB2312" w:cs="仿宋_GB2312"/>
          <w:color w:val="auto"/>
          <w:sz w:val="32"/>
          <w:szCs w:val="32"/>
          <w:highlight w:val="none"/>
        </w:rPr>
      </w:pPr>
    </w:p>
    <w:p w14:paraId="3B0203DD">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供应商名称：</w:t>
      </w:r>
      <w:r>
        <w:rPr>
          <w:rFonts w:hint="eastAsia" w:ascii="宋体" w:hAnsi="宋体" w:eastAsia="宋体" w:cs="仿宋_GB2312"/>
          <w:color w:val="auto"/>
          <w:sz w:val="24"/>
          <w:highlight w:val="none"/>
          <w:u w:val="single"/>
        </w:rPr>
        <w:t xml:space="preserve">                                                        </w:t>
      </w:r>
    </w:p>
    <w:p w14:paraId="18E9E996">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地    址：</w:t>
      </w:r>
      <w:r>
        <w:rPr>
          <w:rFonts w:hint="eastAsia" w:ascii="宋体" w:hAnsi="宋体" w:eastAsia="宋体" w:cs="仿宋_GB2312"/>
          <w:color w:val="auto"/>
          <w:sz w:val="24"/>
          <w:highlight w:val="none"/>
          <w:u w:val="single"/>
        </w:rPr>
        <w:t xml:space="preserve">                                                        </w:t>
      </w:r>
    </w:p>
    <w:p w14:paraId="5E68D8A6">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姓    名：</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性     别：</w:t>
      </w:r>
      <w:r>
        <w:rPr>
          <w:rFonts w:hint="eastAsia" w:ascii="宋体" w:hAnsi="宋体" w:eastAsia="宋体" w:cs="仿宋_GB2312"/>
          <w:color w:val="auto"/>
          <w:sz w:val="24"/>
          <w:highlight w:val="none"/>
          <w:u w:val="single"/>
        </w:rPr>
        <w:t xml:space="preserve">                </w:t>
      </w:r>
    </w:p>
    <w:p w14:paraId="350AED2C">
      <w:pPr>
        <w:spacing w:line="360" w:lineRule="auto"/>
        <w:ind w:left="540"/>
        <w:contextualSpacing/>
        <w:rPr>
          <w:rFonts w:ascii="宋体" w:hAnsi="宋体" w:eastAsia="宋体" w:cs="仿宋_GB2312"/>
          <w:color w:val="auto"/>
          <w:sz w:val="24"/>
          <w:highlight w:val="none"/>
          <w:u w:val="single"/>
        </w:rPr>
      </w:pPr>
      <w:r>
        <w:rPr>
          <w:rFonts w:hint="eastAsia" w:ascii="宋体" w:hAnsi="宋体" w:eastAsia="宋体" w:cs="仿宋_GB2312"/>
          <w:color w:val="auto"/>
          <w:sz w:val="24"/>
          <w:highlight w:val="none"/>
        </w:rPr>
        <w:t>年    龄：</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职     务：</w:t>
      </w:r>
      <w:r>
        <w:rPr>
          <w:rFonts w:hint="eastAsia" w:ascii="宋体" w:hAnsi="宋体" w:eastAsia="宋体" w:cs="仿宋_GB2312"/>
          <w:color w:val="auto"/>
          <w:sz w:val="24"/>
          <w:highlight w:val="none"/>
          <w:u w:val="single"/>
        </w:rPr>
        <w:t xml:space="preserve">                </w:t>
      </w:r>
    </w:p>
    <w:p w14:paraId="48651A3B">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身份证号码：</w:t>
      </w:r>
      <w:r>
        <w:rPr>
          <w:rFonts w:hint="eastAsia" w:ascii="宋体" w:hAnsi="宋体" w:eastAsia="宋体" w:cs="仿宋_GB2312"/>
          <w:color w:val="auto"/>
          <w:sz w:val="24"/>
          <w:highlight w:val="none"/>
          <w:u w:val="single"/>
        </w:rPr>
        <w:t xml:space="preserve">                                        </w:t>
      </w:r>
    </w:p>
    <w:p w14:paraId="5645F998">
      <w:pPr>
        <w:spacing w:line="360" w:lineRule="auto"/>
        <w:ind w:firstLine="480" w:firstLineChars="20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系</w:t>
      </w:r>
      <w:r>
        <w:rPr>
          <w:rFonts w:hint="eastAsia" w:ascii="宋体" w:hAnsi="宋体" w:eastAsia="宋体" w:cs="仿宋_GB2312"/>
          <w:color w:val="auto"/>
          <w:sz w:val="24"/>
          <w:highlight w:val="none"/>
          <w:u w:val="single"/>
        </w:rPr>
        <w:t>（供应商名称）</w:t>
      </w:r>
      <w:r>
        <w:rPr>
          <w:rFonts w:hint="eastAsia" w:ascii="宋体" w:hAnsi="宋体" w:eastAsia="宋体" w:cs="仿宋_GB2312"/>
          <w:color w:val="auto"/>
          <w:sz w:val="24"/>
          <w:highlight w:val="none"/>
        </w:rPr>
        <w:t>的法定代表人。</w:t>
      </w:r>
    </w:p>
    <w:p w14:paraId="6BE4CA2F">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特此证明。</w:t>
      </w:r>
    </w:p>
    <w:p w14:paraId="4011947A">
      <w:pPr>
        <w:spacing w:line="360" w:lineRule="auto"/>
        <w:ind w:left="540"/>
        <w:contextualSpacing/>
        <w:rPr>
          <w:rFonts w:ascii="宋体" w:hAnsi="宋体" w:eastAsia="宋体" w:cs="仿宋_GB2312"/>
          <w:color w:val="auto"/>
          <w:sz w:val="24"/>
          <w:highlight w:val="none"/>
        </w:rPr>
      </w:pPr>
    </w:p>
    <w:p w14:paraId="2792D430">
      <w:pPr>
        <w:spacing w:line="360" w:lineRule="auto"/>
        <w:ind w:left="540"/>
        <w:contextualSpacing/>
        <w:rPr>
          <w:rFonts w:ascii="宋体" w:hAnsi="宋体" w:eastAsia="宋体" w:cs="仿宋_GB2312"/>
          <w:color w:val="auto"/>
          <w:sz w:val="24"/>
          <w:highlight w:val="none"/>
        </w:rPr>
      </w:pPr>
    </w:p>
    <w:p w14:paraId="29F66AA6">
      <w:pPr>
        <w:spacing w:line="360" w:lineRule="auto"/>
        <w:ind w:left="540"/>
        <w:contextualSpacing/>
        <w:rPr>
          <w:rFonts w:ascii="宋体" w:hAnsi="宋体" w:eastAsia="宋体" w:cs="仿宋_GB2312"/>
          <w:color w:val="auto"/>
          <w:sz w:val="24"/>
          <w:highlight w:val="none"/>
        </w:rPr>
      </w:pPr>
    </w:p>
    <w:p w14:paraId="7E5F030E">
      <w:pPr>
        <w:spacing w:line="360" w:lineRule="auto"/>
        <w:ind w:left="54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rPr>
        <w:t>附件：法定代表人有效身份证正反面复印件</w:t>
      </w:r>
    </w:p>
    <w:p w14:paraId="6C1FFC06">
      <w:pPr>
        <w:spacing w:line="360" w:lineRule="auto"/>
        <w:ind w:left="540"/>
        <w:contextualSpacing/>
        <w:rPr>
          <w:rFonts w:ascii="宋体" w:hAnsi="宋体" w:eastAsia="宋体" w:cs="仿宋_GB2312"/>
          <w:color w:val="auto"/>
          <w:sz w:val="24"/>
          <w:highlight w:val="none"/>
        </w:rPr>
      </w:pPr>
    </w:p>
    <w:p w14:paraId="6368B665">
      <w:pPr>
        <w:spacing w:line="360" w:lineRule="auto"/>
        <w:ind w:left="540"/>
        <w:contextualSpacing/>
        <w:jc w:val="right"/>
        <w:rPr>
          <w:rFonts w:ascii="宋体" w:hAnsi="宋体" w:eastAsia="宋体" w:cs="仿宋_GB2312"/>
          <w:color w:val="auto"/>
          <w:sz w:val="24"/>
          <w:highlight w:val="none"/>
        </w:rPr>
      </w:pPr>
      <w:r>
        <w:rPr>
          <w:rFonts w:hint="eastAsia" w:ascii="宋体" w:hAnsi="宋体" w:eastAsia="宋体" w:cs="仿宋_GB2312"/>
          <w:color w:val="auto"/>
          <w:sz w:val="24"/>
          <w:highlight w:val="none"/>
        </w:rPr>
        <w:t>供应商名称（电子签章）：</w:t>
      </w:r>
      <w:r>
        <w:rPr>
          <w:rFonts w:hint="eastAsia" w:ascii="宋体" w:hAnsi="宋体" w:eastAsia="宋体" w:cs="仿宋_GB2312"/>
          <w:color w:val="auto"/>
          <w:sz w:val="24"/>
          <w:highlight w:val="none"/>
          <w:u w:val="single"/>
        </w:rPr>
        <w:t xml:space="preserve">               </w:t>
      </w:r>
    </w:p>
    <w:p w14:paraId="71DBA226">
      <w:pPr>
        <w:spacing w:line="360" w:lineRule="auto"/>
        <w:ind w:firstLine="4080" w:firstLineChars="1700"/>
        <w:contextualSpacing/>
        <w:rPr>
          <w:rFonts w:ascii="宋体" w:hAnsi="宋体" w:eastAsia="宋体" w:cs="仿宋_GB2312"/>
          <w:color w:val="auto"/>
          <w:sz w:val="24"/>
          <w:highlight w:val="none"/>
        </w:rPr>
      </w:pP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年</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月</w:t>
      </w:r>
      <w:r>
        <w:rPr>
          <w:rFonts w:hint="eastAsia" w:ascii="宋体" w:hAnsi="宋体" w:eastAsia="宋体" w:cs="仿宋_GB2312"/>
          <w:color w:val="auto"/>
          <w:sz w:val="24"/>
          <w:highlight w:val="none"/>
          <w:u w:val="single"/>
        </w:rPr>
        <w:t xml:space="preserve">     </w:t>
      </w:r>
      <w:r>
        <w:rPr>
          <w:rFonts w:hint="eastAsia" w:ascii="宋体" w:hAnsi="宋体" w:eastAsia="宋体" w:cs="仿宋_GB2312"/>
          <w:color w:val="auto"/>
          <w:sz w:val="24"/>
          <w:highlight w:val="none"/>
        </w:rPr>
        <w:t>日</w:t>
      </w:r>
    </w:p>
    <w:p w14:paraId="4ECC2624">
      <w:pPr>
        <w:spacing w:line="360" w:lineRule="auto"/>
        <w:contextualSpacing/>
        <w:jc w:val="center"/>
        <w:rPr>
          <w:rFonts w:ascii="宋体" w:hAnsi="宋体" w:eastAsia="宋体" w:cs="仿宋_GB2312"/>
          <w:b/>
          <w:color w:val="auto"/>
          <w:sz w:val="24"/>
          <w:highlight w:val="none"/>
        </w:rPr>
      </w:pPr>
    </w:p>
    <w:p w14:paraId="49A6B229">
      <w:pPr>
        <w:spacing w:line="360" w:lineRule="auto"/>
        <w:contextualSpacing/>
        <w:jc w:val="left"/>
        <w:rPr>
          <w:rFonts w:ascii="宋体" w:hAnsi="宋体" w:eastAsia="宋体" w:cs="仿宋_GB2312"/>
          <w:color w:val="auto"/>
          <w:sz w:val="24"/>
          <w:highlight w:val="none"/>
        </w:rPr>
      </w:pPr>
    </w:p>
    <w:p w14:paraId="31A3FDDA">
      <w:pPr>
        <w:spacing w:line="360" w:lineRule="auto"/>
        <w:contextualSpacing/>
        <w:jc w:val="left"/>
        <w:rPr>
          <w:rFonts w:ascii="宋体" w:hAnsi="宋体" w:eastAsia="宋体" w:cs="仿宋_GB2312"/>
          <w:color w:val="auto"/>
          <w:sz w:val="24"/>
          <w:highlight w:val="none"/>
        </w:rPr>
      </w:pPr>
      <w:r>
        <w:rPr>
          <w:rFonts w:hint="eastAsia" w:ascii="宋体" w:hAnsi="宋体" w:eastAsia="宋体" w:cs="仿宋_GB2312"/>
          <w:color w:val="auto"/>
          <w:sz w:val="24"/>
          <w:highlight w:val="none"/>
        </w:rPr>
        <w:t>注：自然人竞标的无需提供，联合体竞标的只需牵头人出具。</w:t>
      </w:r>
    </w:p>
    <w:p w14:paraId="5BE78422">
      <w:pPr>
        <w:adjustRightInd w:val="0"/>
        <w:snapToGrid w:val="0"/>
        <w:spacing w:line="300" w:lineRule="auto"/>
        <w:jc w:val="left"/>
        <w:rPr>
          <w:rFonts w:ascii="宋体" w:hAnsi="宋体" w:eastAsia="宋体" w:cs="Times New Roman"/>
          <w:b/>
          <w:color w:val="auto"/>
          <w:szCs w:val="21"/>
          <w:highlight w:val="none"/>
        </w:rPr>
      </w:pPr>
    </w:p>
    <w:p w14:paraId="75FDBFF2">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r>
        <w:rPr>
          <w:rFonts w:ascii="方正小标宋简体" w:hAnsi="方正小标宋简体" w:eastAsia="方正小标宋简体" w:cs="方正小标宋简体"/>
          <w:color w:val="auto"/>
          <w:sz w:val="44"/>
          <w:szCs w:val="44"/>
          <w:highlight w:val="none"/>
        </w:rPr>
        <w:t xml:space="preserve"> </w:t>
      </w:r>
    </w:p>
    <w:p w14:paraId="25C2884B">
      <w:pPr>
        <w:snapToGrid w:val="0"/>
        <w:spacing w:line="360" w:lineRule="auto"/>
        <w:ind w:firstLine="2872" w:firstLineChars="894"/>
        <w:rPr>
          <w:rFonts w:ascii="宋体" w:hAnsi="宋体" w:cs="宋体"/>
          <w:color w:val="auto"/>
          <w:highlight w:val="none"/>
        </w:rPr>
      </w:pPr>
      <w:bookmarkStart w:id="146" w:name="_Hlk65853542"/>
      <w:r>
        <w:rPr>
          <w:rFonts w:hint="eastAsia" w:ascii="宋体" w:hAnsi="宋体" w:cs="宋体"/>
          <w:b/>
          <w:color w:val="auto"/>
          <w:kern w:val="0"/>
          <w:sz w:val="32"/>
          <w:szCs w:val="32"/>
          <w:highlight w:val="none"/>
          <w:lang w:val="zh-CN"/>
        </w:rPr>
        <w:t>授权委托书（适用于非联合体磋商）</w:t>
      </w:r>
      <w:r>
        <w:rPr>
          <w:rFonts w:hint="eastAsia" w:ascii="宋体" w:hAnsi="宋体" w:cs="宋体"/>
          <w:color w:val="auto"/>
          <w:highlight w:val="none"/>
        </w:rPr>
        <w:t xml:space="preserve">                               </w:t>
      </w:r>
    </w:p>
    <w:p w14:paraId="2E4FD1B1">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3B8ACF0E">
      <w:pPr>
        <w:snapToGrid w:val="0"/>
        <w:spacing w:line="360" w:lineRule="auto"/>
        <w:ind w:firstLine="576"/>
        <w:rPr>
          <w:rFonts w:ascii="宋体" w:hAnsi="宋体" w:cs="宋体"/>
          <w:color w:val="auto"/>
          <w:kern w:val="0"/>
          <w:sz w:val="24"/>
          <w:highlight w:val="none"/>
        </w:rPr>
      </w:pPr>
      <w:r>
        <w:rPr>
          <w:rFonts w:hint="eastAsia" w:ascii="宋体" w:hAnsi="宋体" w:cs="宋体"/>
          <w:color w:val="auto"/>
          <w:kern w:val="0"/>
          <w:sz w:val="24"/>
          <w:highlight w:val="none"/>
        </w:rPr>
        <w:t>现</w:t>
      </w:r>
      <w:r>
        <w:rPr>
          <w:rFonts w:hint="eastAsia" w:ascii="宋体" w:hAnsi="宋体" w:cs="宋体"/>
          <w:color w:val="auto"/>
          <w:kern w:val="0"/>
          <w:sz w:val="24"/>
          <w:highlight w:val="none"/>
          <w:lang w:val="zh-CN"/>
        </w:rPr>
        <w:t>委托</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（姓名）为我方代理人（身份证号码：</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，手机：</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），以我方名义处理</w:t>
      </w:r>
      <w:r>
        <w:rPr>
          <w:rFonts w:hint="eastAsia" w:ascii="宋体" w:hAnsi="宋体" w:cs="宋体"/>
          <w:color w:val="auto"/>
          <w:sz w:val="24"/>
          <w:highlight w:val="none"/>
        </w:rPr>
        <w:t>（项目名称）【项目编号：（采购编号）】</w:t>
      </w:r>
      <w:r>
        <w:rPr>
          <w:rFonts w:hint="eastAsia" w:ascii="宋体" w:hAnsi="宋体" w:cs="宋体"/>
          <w:color w:val="auto"/>
          <w:kern w:val="0"/>
          <w:sz w:val="24"/>
          <w:highlight w:val="none"/>
          <w:lang w:val="zh-CN"/>
        </w:rPr>
        <w:t>政府采购磋商的一切事项，其法律后果由我方承担。</w:t>
      </w:r>
    </w:p>
    <w:p w14:paraId="12414493">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委托期限</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自</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日起至</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日止。</w:t>
      </w:r>
    </w:p>
    <w:p w14:paraId="43DAABB4">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特此告知。</w:t>
      </w:r>
    </w:p>
    <w:p w14:paraId="25FB259A">
      <w:pPr>
        <w:spacing w:line="360" w:lineRule="auto"/>
        <w:ind w:left="4649" w:leftChars="2214" w:firstLine="3600" w:firstLineChars="1500"/>
        <w:rPr>
          <w:rFonts w:ascii="宋体" w:hAnsi="宋体" w:cs="宋体"/>
          <w:color w:val="auto"/>
          <w:sz w:val="24"/>
          <w:highlight w:val="none"/>
        </w:rPr>
      </w:pPr>
      <w:r>
        <w:rPr>
          <w:rFonts w:hint="eastAsia" w:ascii="宋体" w:hAnsi="宋体" w:cs="宋体"/>
          <w:color w:val="auto"/>
          <w:kern w:val="0"/>
          <w:sz w:val="24"/>
          <w:highlight w:val="none"/>
          <w:lang w:val="zh-CN"/>
        </w:rPr>
        <w:t xml:space="preserve">                                                 </w:t>
      </w:r>
      <w:r>
        <w:rPr>
          <w:rFonts w:hint="eastAsia" w:ascii="宋体" w:hAnsi="宋体" w:cs="宋体"/>
          <w:color w:val="auto"/>
          <w:sz w:val="24"/>
          <w:highlight w:val="none"/>
        </w:rPr>
        <w:t>磋商供应商名称（公章）：</w:t>
      </w:r>
    </w:p>
    <w:p w14:paraId="4A1BF93C">
      <w:pPr>
        <w:snapToGrid w:val="0"/>
        <w:spacing w:line="360" w:lineRule="auto"/>
        <w:ind w:left="4649" w:leftChars="2214"/>
        <w:rPr>
          <w:rFonts w:ascii="宋体" w:hAnsi="宋体" w:cs="宋体"/>
          <w:color w:val="auto"/>
          <w:kern w:val="0"/>
          <w:sz w:val="24"/>
          <w:highlight w:val="none"/>
        </w:rPr>
      </w:pPr>
      <w:r>
        <w:rPr>
          <w:rFonts w:hint="eastAsia" w:ascii="宋体" w:hAnsi="宋体" w:cs="宋体"/>
          <w:color w:val="auto"/>
          <w:sz w:val="24"/>
          <w:highlight w:val="none"/>
        </w:rPr>
        <w:t>法定代表人（负责人） (</w:t>
      </w:r>
      <w:r>
        <w:rPr>
          <w:rFonts w:hint="eastAsia" w:ascii="宋体" w:hAnsi="宋体"/>
          <w:color w:val="auto"/>
          <w:sz w:val="24"/>
          <w:highlight w:val="none"/>
        </w:rPr>
        <w:t>签字或者盖章或者电子签名</w:t>
      </w:r>
      <w:r>
        <w:rPr>
          <w:rFonts w:hint="eastAsia" w:ascii="宋体" w:hAnsi="宋体" w:cs="宋体"/>
          <w:color w:val="auto"/>
          <w:sz w:val="24"/>
          <w:highlight w:val="none"/>
        </w:rPr>
        <w:t>)：</w:t>
      </w:r>
    </w:p>
    <w:p w14:paraId="57FC3268">
      <w:pPr>
        <w:snapToGrid w:val="0"/>
        <w:spacing w:line="360" w:lineRule="auto"/>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签发日期：  年  月   日</w:t>
      </w:r>
    </w:p>
    <w:p w14:paraId="18EAD625">
      <w:pPr>
        <w:adjustRightInd/>
        <w:spacing w:line="360" w:lineRule="auto"/>
        <w:rPr>
          <w:rFonts w:ascii="宋体" w:hAnsi="宋体"/>
          <w:color w:val="auto"/>
          <w:sz w:val="24"/>
          <w:szCs w:val="21"/>
          <w:highlight w:val="none"/>
        </w:rPr>
      </w:pPr>
    </w:p>
    <w:p w14:paraId="5ADD23CB">
      <w:pPr>
        <w:adjustRightInd/>
        <w:spacing w:line="360" w:lineRule="auto"/>
        <w:rPr>
          <w:rFonts w:ascii="宋体" w:hAnsi="宋体" w:cs="宋体"/>
          <w:bCs/>
          <w:color w:val="auto"/>
          <w:sz w:val="24"/>
          <w:szCs w:val="21"/>
          <w:highlight w:val="none"/>
        </w:rPr>
      </w:pPr>
      <w:r>
        <w:rPr>
          <w:rFonts w:hint="eastAsia" w:ascii="宋体" w:hAnsi="宋体"/>
          <w:color w:val="auto"/>
          <w:sz w:val="24"/>
          <w:szCs w:val="21"/>
          <w:highlight w:val="none"/>
        </w:rPr>
        <w:t>委托代理人和法定代表人</w:t>
      </w:r>
      <w:r>
        <w:rPr>
          <w:rFonts w:hint="eastAsia" w:ascii="宋体" w:hAnsi="宋体" w:cs="宋体"/>
          <w:color w:val="auto"/>
          <w:kern w:val="0"/>
          <w:sz w:val="24"/>
          <w:szCs w:val="21"/>
          <w:highlight w:val="none"/>
        </w:rPr>
        <w:t>（负责人）</w:t>
      </w:r>
      <w:r>
        <w:rPr>
          <w:rFonts w:hint="eastAsia" w:ascii="宋体" w:hAnsi="宋体" w:cs="宋体"/>
          <w:bCs/>
          <w:color w:val="auto"/>
          <w:sz w:val="24"/>
          <w:szCs w:val="21"/>
          <w:highlight w:val="none"/>
        </w:rPr>
        <w:t>身份证件扫描件：</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5F3B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64ED5DBC">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221181C5">
            <w:pPr>
              <w:spacing w:line="360" w:lineRule="auto"/>
              <w:rPr>
                <w:rFonts w:ascii="宋体" w:hAnsi="宋体" w:cs="宋体"/>
                <w:bCs/>
                <w:color w:val="auto"/>
                <w:sz w:val="24"/>
                <w:szCs w:val="21"/>
                <w:highlight w:val="none"/>
              </w:rPr>
            </w:pPr>
          </w:p>
          <w:p w14:paraId="26D67F46">
            <w:pPr>
              <w:spacing w:line="360" w:lineRule="auto"/>
              <w:rPr>
                <w:rFonts w:ascii="宋体" w:hAnsi="宋体" w:cs="宋体"/>
                <w:bCs/>
                <w:color w:val="auto"/>
                <w:sz w:val="24"/>
                <w:szCs w:val="21"/>
                <w:highlight w:val="none"/>
              </w:rPr>
            </w:pPr>
          </w:p>
          <w:p w14:paraId="40898D8B">
            <w:pPr>
              <w:spacing w:line="360" w:lineRule="auto"/>
              <w:rPr>
                <w:rFonts w:ascii="宋体" w:hAnsi="宋体" w:cs="宋体"/>
                <w:bCs/>
                <w:color w:val="auto"/>
                <w:sz w:val="24"/>
                <w:szCs w:val="21"/>
                <w:highlight w:val="none"/>
              </w:rPr>
            </w:pPr>
          </w:p>
          <w:p w14:paraId="22AC09F9">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5D32A18C">
            <w:pPr>
              <w:spacing w:line="360" w:lineRule="auto"/>
              <w:rPr>
                <w:rFonts w:ascii="宋体" w:hAnsi="宋体" w:cs="宋体"/>
                <w:bCs/>
                <w:color w:val="auto"/>
                <w:sz w:val="24"/>
                <w:szCs w:val="21"/>
                <w:highlight w:val="none"/>
              </w:rPr>
            </w:pPr>
          </w:p>
        </w:tc>
      </w:tr>
    </w:tbl>
    <w:p w14:paraId="65A1ED4E">
      <w:pPr>
        <w:rPr>
          <w:rFonts w:ascii="宋体" w:hAnsi="宋体" w:eastAsia="宋体" w:cs="仿宋_GB2312"/>
          <w:color w:val="auto"/>
          <w:sz w:val="24"/>
          <w:highlight w:val="none"/>
        </w:rPr>
      </w:pPr>
      <w:r>
        <w:rPr>
          <w:rFonts w:ascii="宋体" w:hAnsi="宋体" w:eastAsia="宋体" w:cs="仿宋_GB2312"/>
          <w:color w:val="auto"/>
          <w:sz w:val="24"/>
          <w:highlight w:val="none"/>
        </w:rPr>
        <w:br w:type="page"/>
      </w:r>
    </w:p>
    <w:p w14:paraId="576944AC">
      <w:pPr>
        <w:jc w:val="center"/>
        <w:rPr>
          <w:rFonts w:ascii="宋体" w:hAnsi="宋体" w:cs="宋体"/>
          <w:b/>
          <w:color w:val="auto"/>
          <w:kern w:val="0"/>
          <w:sz w:val="32"/>
          <w:szCs w:val="32"/>
          <w:highlight w:val="none"/>
          <w:lang w:val="zh-CN"/>
        </w:rPr>
      </w:pPr>
      <w:r>
        <w:rPr>
          <w:rFonts w:hint="eastAsia"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lang w:val="zh-CN"/>
        </w:rPr>
        <w:t>授权委托书（适用于联合体磋商）</w:t>
      </w:r>
    </w:p>
    <w:p w14:paraId="5F8F5B80">
      <w:pPr>
        <w:pStyle w:val="633"/>
        <w:rPr>
          <w:color w:val="auto"/>
          <w:highlight w:val="none"/>
        </w:rPr>
      </w:pPr>
    </w:p>
    <w:p w14:paraId="30C3E6A2">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03F6EB74">
      <w:pPr>
        <w:snapToGrid w:val="0"/>
        <w:spacing w:line="360" w:lineRule="auto"/>
        <w:ind w:firstLine="576"/>
        <w:rPr>
          <w:rFonts w:ascii="宋体" w:hAnsi="宋体" w:cs="宋体"/>
          <w:color w:val="auto"/>
          <w:kern w:val="0"/>
          <w:sz w:val="24"/>
          <w:highlight w:val="none"/>
        </w:rPr>
      </w:pPr>
      <w:r>
        <w:rPr>
          <w:rFonts w:hint="eastAsia" w:ascii="宋体" w:hAnsi="宋体" w:cs="宋体"/>
          <w:color w:val="auto"/>
          <w:kern w:val="0"/>
          <w:sz w:val="24"/>
          <w:highlight w:val="none"/>
        </w:rPr>
        <w:t>现</w:t>
      </w:r>
      <w:r>
        <w:rPr>
          <w:rFonts w:hint="eastAsia" w:ascii="宋体" w:hAnsi="宋体" w:cs="宋体"/>
          <w:color w:val="auto"/>
          <w:kern w:val="0"/>
          <w:sz w:val="24"/>
          <w:highlight w:val="none"/>
          <w:lang w:val="zh-CN"/>
        </w:rPr>
        <w:t>委托</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（姓名）为我方代理人（身份证号码：</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，手机：</w:t>
      </w:r>
      <w:r>
        <w:rPr>
          <w:rFonts w:hint="eastAsia" w:ascii="宋体" w:hAnsi="宋体" w:cs="宋体"/>
          <w:color w:val="auto"/>
          <w:kern w:val="0"/>
          <w:sz w:val="24"/>
          <w:highlight w:val="none"/>
          <w:u w:val="single"/>
          <w:lang w:val="zh-CN"/>
        </w:rPr>
        <w:t xml:space="preserve">          </w:t>
      </w:r>
      <w:r>
        <w:rPr>
          <w:rFonts w:hint="eastAsia" w:ascii="宋体" w:hAnsi="宋体" w:cs="宋体"/>
          <w:color w:val="auto"/>
          <w:kern w:val="0"/>
          <w:sz w:val="24"/>
          <w:highlight w:val="none"/>
          <w:lang w:val="zh-CN"/>
        </w:rPr>
        <w:t>），以我方名义处理</w:t>
      </w:r>
      <w:r>
        <w:rPr>
          <w:rFonts w:hint="eastAsia" w:ascii="宋体" w:hAnsi="宋体" w:cs="宋体"/>
          <w:color w:val="auto"/>
          <w:sz w:val="24"/>
          <w:highlight w:val="none"/>
        </w:rPr>
        <w:t>（项目名称）【项目编号：（采购编号）】</w:t>
      </w:r>
      <w:r>
        <w:rPr>
          <w:rFonts w:hint="eastAsia" w:ascii="宋体" w:hAnsi="宋体" w:cs="宋体"/>
          <w:color w:val="auto"/>
          <w:kern w:val="0"/>
          <w:sz w:val="24"/>
          <w:highlight w:val="none"/>
          <w:lang w:val="zh-CN"/>
        </w:rPr>
        <w:t>政府采购磋商的一切事项，其法律后果由我方承担。</w:t>
      </w:r>
    </w:p>
    <w:p w14:paraId="73FD1380">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委托期限</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自</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日起至</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年</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日止。</w:t>
      </w:r>
    </w:p>
    <w:p w14:paraId="661CE446">
      <w:pPr>
        <w:snapToGrid w:val="0"/>
        <w:spacing w:line="360" w:lineRule="auto"/>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特此告知。</w:t>
      </w:r>
    </w:p>
    <w:p w14:paraId="0E9BA65D">
      <w:pPr>
        <w:jc w:val="center"/>
        <w:rPr>
          <w:rFonts w:ascii="宋体" w:hAnsi="宋体" w:cs="宋体"/>
          <w:b/>
          <w:color w:val="auto"/>
          <w:kern w:val="0"/>
          <w:sz w:val="32"/>
          <w:szCs w:val="32"/>
          <w:highlight w:val="none"/>
        </w:rPr>
      </w:pPr>
    </w:p>
    <w:p w14:paraId="10792E27">
      <w:pPr>
        <w:jc w:val="center"/>
        <w:rPr>
          <w:rFonts w:ascii="宋体" w:hAnsi="宋体" w:cs="宋体"/>
          <w:b/>
          <w:color w:val="auto"/>
          <w:kern w:val="0"/>
          <w:sz w:val="32"/>
          <w:szCs w:val="32"/>
          <w:highlight w:val="none"/>
        </w:rPr>
      </w:pPr>
    </w:p>
    <w:p w14:paraId="544DAB0F">
      <w:pPr>
        <w:jc w:val="center"/>
        <w:rPr>
          <w:rFonts w:ascii="宋体" w:hAnsi="宋体" w:cs="宋体"/>
          <w:b/>
          <w:color w:val="auto"/>
          <w:kern w:val="0"/>
          <w:sz w:val="32"/>
          <w:szCs w:val="32"/>
          <w:highlight w:val="none"/>
        </w:rPr>
      </w:pPr>
    </w:p>
    <w:p w14:paraId="1006B228">
      <w:pPr>
        <w:rPr>
          <w:rFonts w:ascii="宋体" w:hAnsi="宋体" w:cs="宋体"/>
          <w:color w:val="auto"/>
          <w:highlight w:val="none"/>
        </w:rPr>
      </w:pPr>
    </w:p>
    <w:p w14:paraId="7C49B90E">
      <w:pPr>
        <w:snapToGrid w:val="0"/>
        <w:spacing w:line="360" w:lineRule="auto"/>
        <w:ind w:firstLine="5040" w:firstLineChars="21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联合体成员名称(公章)：</w:t>
      </w:r>
    </w:p>
    <w:p w14:paraId="00E9797A">
      <w:pPr>
        <w:snapToGrid w:val="0"/>
        <w:spacing w:line="360" w:lineRule="auto"/>
        <w:ind w:left="5027" w:leftChars="2394" w:firstLine="0" w:firstLineChars="0"/>
        <w:rPr>
          <w:rFonts w:ascii="宋体" w:hAnsi="宋体"/>
          <w:color w:val="auto"/>
          <w:sz w:val="24"/>
          <w:highlight w:val="none"/>
        </w:rPr>
      </w:pPr>
      <w:r>
        <w:rPr>
          <w:rFonts w:hint="eastAsia" w:ascii="宋体" w:hAnsi="宋体"/>
          <w:color w:val="auto"/>
          <w:sz w:val="24"/>
          <w:highlight w:val="none"/>
        </w:rPr>
        <w:t>法定代表人（负责人） (签字或者盖章或者电子签名)：</w:t>
      </w:r>
    </w:p>
    <w:p w14:paraId="2E33951F">
      <w:pPr>
        <w:snapToGrid w:val="0"/>
        <w:spacing w:line="360" w:lineRule="auto"/>
        <w:ind w:firstLine="5040" w:firstLineChars="2100"/>
        <w:rPr>
          <w:rFonts w:ascii="宋体" w:hAnsi="宋体" w:cs="宋体"/>
          <w:color w:val="auto"/>
          <w:kern w:val="0"/>
          <w:sz w:val="24"/>
          <w:highlight w:val="none"/>
          <w:lang w:val="zh-CN"/>
        </w:rPr>
      </w:pPr>
      <w:r>
        <w:rPr>
          <w:rFonts w:hint="eastAsia" w:ascii="宋体" w:hAnsi="宋体"/>
          <w:color w:val="auto"/>
          <w:sz w:val="24"/>
          <w:highlight w:val="none"/>
        </w:rPr>
        <w:t>联合体成</w:t>
      </w:r>
      <w:r>
        <w:rPr>
          <w:rFonts w:hint="eastAsia" w:ascii="宋体" w:hAnsi="宋体" w:cs="宋体"/>
          <w:color w:val="auto"/>
          <w:kern w:val="0"/>
          <w:sz w:val="24"/>
          <w:highlight w:val="none"/>
          <w:lang w:val="zh-CN"/>
        </w:rPr>
        <w:t>员名称(公章)：</w:t>
      </w:r>
    </w:p>
    <w:p w14:paraId="5BE0E5C5">
      <w:pPr>
        <w:snapToGrid w:val="0"/>
        <w:spacing w:line="360" w:lineRule="auto"/>
        <w:ind w:left="5027" w:leftChars="2394" w:firstLine="0" w:firstLineChars="0"/>
        <w:jc w:val="left"/>
        <w:rPr>
          <w:rFonts w:ascii="宋体" w:hAnsi="宋体"/>
          <w:color w:val="auto"/>
          <w:kern w:val="0"/>
          <w:sz w:val="24"/>
          <w:szCs w:val="20"/>
          <w:highlight w:val="none"/>
        </w:rPr>
      </w:pPr>
      <w:r>
        <w:rPr>
          <w:rFonts w:hint="eastAsia" w:ascii="宋体" w:hAnsi="宋体"/>
          <w:color w:val="auto"/>
          <w:kern w:val="0"/>
          <w:sz w:val="24"/>
          <w:szCs w:val="20"/>
          <w:highlight w:val="none"/>
        </w:rPr>
        <w:t>法定代表人（负责人） (</w:t>
      </w:r>
      <w:r>
        <w:rPr>
          <w:rFonts w:hint="eastAsia" w:ascii="宋体" w:hAnsi="宋体"/>
          <w:color w:val="auto"/>
          <w:sz w:val="24"/>
          <w:highlight w:val="none"/>
        </w:rPr>
        <w:t>签字或者盖章或者电子签名</w:t>
      </w:r>
      <w:r>
        <w:rPr>
          <w:rFonts w:hint="eastAsia" w:ascii="宋体" w:hAnsi="宋体"/>
          <w:color w:val="auto"/>
          <w:kern w:val="0"/>
          <w:sz w:val="24"/>
          <w:szCs w:val="20"/>
          <w:highlight w:val="none"/>
        </w:rPr>
        <w:t>)：</w:t>
      </w:r>
    </w:p>
    <w:p w14:paraId="109C6F6B">
      <w:pPr>
        <w:snapToGrid w:val="0"/>
        <w:spacing w:line="360" w:lineRule="auto"/>
        <w:ind w:firstLine="5040" w:firstLineChars="2100"/>
        <w:rPr>
          <w:rFonts w:ascii="宋体" w:hAnsi="宋体" w:cs="宋体"/>
          <w:color w:val="auto"/>
          <w:kern w:val="0"/>
          <w:sz w:val="24"/>
          <w:highlight w:val="none"/>
          <w:lang w:val="zh-CN"/>
        </w:rPr>
      </w:pPr>
    </w:p>
    <w:p w14:paraId="0C3C9D1B">
      <w:pPr>
        <w:snapToGrid w:val="0"/>
        <w:spacing w:line="360" w:lineRule="auto"/>
        <w:ind w:firstLine="5760" w:firstLineChars="2400"/>
        <w:rPr>
          <w:rFonts w:ascii="宋体" w:hAnsi="宋体" w:cs="宋体"/>
          <w:color w:val="auto"/>
          <w:highlight w:val="none"/>
        </w:rPr>
      </w:pPr>
      <w:r>
        <w:rPr>
          <w:rFonts w:hint="eastAsia" w:ascii="宋体" w:hAnsi="宋体" w:cs="宋体"/>
          <w:color w:val="auto"/>
          <w:kern w:val="0"/>
          <w:sz w:val="24"/>
          <w:highlight w:val="none"/>
          <w:lang w:val="zh-CN"/>
        </w:rPr>
        <w:t>……</w:t>
      </w:r>
    </w:p>
    <w:p w14:paraId="52B3CC83">
      <w:pPr>
        <w:snapToGrid w:val="0"/>
        <w:spacing w:line="360" w:lineRule="auto"/>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日期：  年  月   日</w:t>
      </w:r>
    </w:p>
    <w:p w14:paraId="47EFC2E7">
      <w:pPr>
        <w:adjustRightInd/>
        <w:spacing w:line="360" w:lineRule="auto"/>
        <w:rPr>
          <w:rFonts w:ascii="宋体" w:hAnsi="宋体"/>
          <w:color w:val="auto"/>
          <w:sz w:val="24"/>
          <w:szCs w:val="21"/>
          <w:highlight w:val="none"/>
        </w:rPr>
      </w:pPr>
    </w:p>
    <w:p w14:paraId="0F4A3419">
      <w:pPr>
        <w:adjustRightInd/>
        <w:spacing w:line="360" w:lineRule="auto"/>
        <w:rPr>
          <w:rFonts w:ascii="宋体" w:hAnsi="宋体" w:cs="宋体"/>
          <w:bCs/>
          <w:color w:val="auto"/>
          <w:sz w:val="24"/>
          <w:szCs w:val="21"/>
          <w:highlight w:val="none"/>
        </w:rPr>
      </w:pPr>
      <w:r>
        <w:rPr>
          <w:rFonts w:hint="eastAsia" w:ascii="宋体" w:hAnsi="宋体"/>
          <w:color w:val="auto"/>
          <w:sz w:val="24"/>
          <w:szCs w:val="21"/>
          <w:highlight w:val="none"/>
        </w:rPr>
        <w:t>委托代理人和联合体牵头单位法定代表人</w:t>
      </w:r>
      <w:r>
        <w:rPr>
          <w:rFonts w:hint="eastAsia" w:ascii="宋体" w:hAnsi="宋体" w:cs="宋体"/>
          <w:color w:val="auto"/>
          <w:kern w:val="0"/>
          <w:sz w:val="24"/>
          <w:szCs w:val="21"/>
          <w:highlight w:val="none"/>
        </w:rPr>
        <w:t>（负责人）</w:t>
      </w:r>
      <w:r>
        <w:rPr>
          <w:rFonts w:hint="eastAsia" w:ascii="宋体" w:hAnsi="宋体" w:cs="宋体"/>
          <w:bCs/>
          <w:color w:val="auto"/>
          <w:sz w:val="24"/>
          <w:szCs w:val="21"/>
          <w:highlight w:val="none"/>
        </w:rPr>
        <w:t>身份证件扫描件：</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5DB6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7DF9B347">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0E13C334">
            <w:pPr>
              <w:spacing w:line="360" w:lineRule="auto"/>
              <w:rPr>
                <w:rFonts w:ascii="宋体" w:hAnsi="宋体" w:cs="宋体"/>
                <w:bCs/>
                <w:color w:val="auto"/>
                <w:sz w:val="24"/>
                <w:szCs w:val="21"/>
                <w:highlight w:val="none"/>
              </w:rPr>
            </w:pPr>
          </w:p>
          <w:p w14:paraId="0A2EBC74">
            <w:pPr>
              <w:spacing w:line="360" w:lineRule="auto"/>
              <w:rPr>
                <w:rFonts w:ascii="宋体" w:hAnsi="宋体" w:cs="宋体"/>
                <w:bCs/>
                <w:color w:val="auto"/>
                <w:sz w:val="24"/>
                <w:szCs w:val="21"/>
                <w:highlight w:val="none"/>
              </w:rPr>
            </w:pPr>
          </w:p>
          <w:p w14:paraId="7A4904C5">
            <w:pPr>
              <w:spacing w:line="360" w:lineRule="auto"/>
              <w:rPr>
                <w:rFonts w:ascii="宋体" w:hAnsi="宋体" w:cs="宋体"/>
                <w:bCs/>
                <w:color w:val="auto"/>
                <w:sz w:val="24"/>
                <w:szCs w:val="21"/>
                <w:highlight w:val="none"/>
              </w:rPr>
            </w:pPr>
          </w:p>
          <w:p w14:paraId="24A1174F">
            <w:pPr>
              <w:spacing w:line="360" w:lineRule="auto"/>
              <w:rPr>
                <w:rFonts w:ascii="宋体" w:hAnsi="宋体" w:cs="宋体"/>
                <w:bCs/>
                <w:color w:val="auto"/>
                <w:sz w:val="24"/>
                <w:szCs w:val="21"/>
                <w:highlight w:val="none"/>
              </w:rPr>
            </w:pPr>
            <w:r>
              <w:rPr>
                <w:rFonts w:hint="eastAsia" w:ascii="宋体" w:hAnsi="宋体" w:cs="宋体"/>
                <w:bCs/>
                <w:color w:val="auto"/>
                <w:sz w:val="24"/>
                <w:szCs w:val="21"/>
                <w:highlight w:val="none"/>
              </w:rPr>
              <w:t>正面：                                 反面：</w:t>
            </w:r>
          </w:p>
          <w:p w14:paraId="2FCE53A7">
            <w:pPr>
              <w:spacing w:line="360" w:lineRule="auto"/>
              <w:rPr>
                <w:rFonts w:ascii="宋体" w:hAnsi="宋体" w:cs="宋体"/>
                <w:bCs/>
                <w:color w:val="auto"/>
                <w:sz w:val="24"/>
                <w:szCs w:val="21"/>
                <w:highlight w:val="none"/>
              </w:rPr>
            </w:pPr>
          </w:p>
        </w:tc>
      </w:tr>
    </w:tbl>
    <w:p w14:paraId="07B603B3">
      <w:pPr>
        <w:snapToGrid w:val="0"/>
        <w:spacing w:line="360" w:lineRule="auto"/>
        <w:ind w:firstLine="576"/>
        <w:jc w:val="center"/>
        <w:rPr>
          <w:rFonts w:ascii="宋体" w:hAnsi="宋体" w:cs="宋体"/>
          <w:color w:val="auto"/>
          <w:kern w:val="0"/>
          <w:sz w:val="24"/>
          <w:highlight w:val="none"/>
        </w:rPr>
      </w:pPr>
      <w:r>
        <w:rPr>
          <w:rFonts w:hint="eastAsia" w:ascii="宋体" w:hAnsi="宋体" w:cs="宋体"/>
          <w:color w:val="auto"/>
          <w:kern w:val="0"/>
          <w:sz w:val="24"/>
          <w:highlight w:val="none"/>
        </w:rPr>
        <w:t xml:space="preserve">                 </w:t>
      </w:r>
    </w:p>
    <w:p w14:paraId="22D92DE8">
      <w:pPr>
        <w:snapToGrid w:val="0"/>
        <w:spacing w:line="360" w:lineRule="auto"/>
        <w:ind w:right="480"/>
        <w:rPr>
          <w:rFonts w:ascii="宋体" w:hAnsi="宋体" w:cs="宋体"/>
          <w:b/>
          <w:color w:val="auto"/>
          <w:kern w:val="0"/>
          <w:sz w:val="32"/>
          <w:szCs w:val="32"/>
          <w:highlight w:val="none"/>
        </w:rPr>
        <w:sectPr>
          <w:headerReference r:id="rId12" w:type="first"/>
          <w:footerReference r:id="rId14" w:type="first"/>
          <w:headerReference r:id="rId11" w:type="default"/>
          <w:footerReference r:id="rId13" w:type="default"/>
          <w:pgSz w:w="11906" w:h="16838"/>
          <w:pgMar w:top="1276" w:right="1418" w:bottom="1247" w:left="1418" w:header="851" w:footer="992" w:gutter="0"/>
          <w:pgNumType w:fmt="decimal"/>
          <w:cols w:space="720" w:num="1"/>
          <w:titlePg/>
          <w:docGrid w:linePitch="312" w:charSpace="0"/>
        </w:sectPr>
      </w:pPr>
    </w:p>
    <w:bookmarkEnd w:id="146"/>
    <w:p w14:paraId="5EA0D81F">
      <w:pPr>
        <w:pStyle w:val="393"/>
        <w:ind w:firstLine="0" w:firstLineChars="0"/>
        <w:jc w:val="center"/>
        <w:outlineLvl w:val="0"/>
        <w:rPr>
          <w:rFonts w:hint="eastAsia" w:cs="仿宋_GB2312" w:asciiTheme="minorEastAsia" w:hAnsiTheme="minorEastAsia" w:eastAsiaTheme="minorEastAsia"/>
          <w:b/>
          <w:color w:val="auto"/>
          <w:sz w:val="36"/>
          <w:szCs w:val="36"/>
          <w:highlight w:val="none"/>
        </w:rPr>
      </w:pPr>
      <w:bookmarkStart w:id="147" w:name="_Toc6047"/>
      <w:r>
        <w:rPr>
          <w:rFonts w:hint="eastAsia" w:cs="仿宋_GB2312" w:asciiTheme="minorEastAsia" w:hAnsiTheme="minorEastAsia" w:eastAsiaTheme="minorEastAsia"/>
          <w:b/>
          <w:color w:val="auto"/>
          <w:sz w:val="36"/>
          <w:szCs w:val="36"/>
          <w:highlight w:val="none"/>
        </w:rPr>
        <w:t xml:space="preserve">第八部分  </w:t>
      </w:r>
      <w:r>
        <w:rPr>
          <w:rFonts w:hint="eastAsia" w:cs="仿宋_GB2312" w:asciiTheme="minorEastAsia" w:hAnsiTheme="minorEastAsia" w:eastAsiaTheme="minorEastAsia"/>
          <w:b/>
          <w:color w:val="auto"/>
          <w:sz w:val="36"/>
          <w:szCs w:val="36"/>
          <w:highlight w:val="none"/>
          <w:lang w:val="en-US" w:eastAsia="zh-CN"/>
        </w:rPr>
        <w:t>最后</w:t>
      </w:r>
      <w:r>
        <w:rPr>
          <w:rFonts w:hint="eastAsia" w:cs="仿宋_GB2312" w:asciiTheme="minorEastAsia" w:hAnsiTheme="minorEastAsia" w:eastAsiaTheme="minorEastAsia"/>
          <w:b/>
          <w:color w:val="auto"/>
          <w:sz w:val="36"/>
          <w:szCs w:val="36"/>
          <w:highlight w:val="none"/>
        </w:rPr>
        <w:t>报价格式</w:t>
      </w:r>
      <w:bookmarkEnd w:id="147"/>
    </w:p>
    <w:p w14:paraId="41441B3F">
      <w:pPr>
        <w:pStyle w:val="633"/>
        <w:jc w:val="center"/>
        <w:rPr>
          <w:rFonts w:hint="eastAsia"/>
          <w:b/>
          <w:color w:val="auto"/>
          <w:sz w:val="32"/>
          <w:szCs w:val="32"/>
          <w:highlight w:val="none"/>
        </w:rPr>
      </w:pPr>
      <w:r>
        <w:rPr>
          <w:rFonts w:hint="eastAsia"/>
          <w:b/>
          <w:color w:val="auto"/>
          <w:sz w:val="32"/>
          <w:szCs w:val="32"/>
          <w:highlight w:val="none"/>
        </w:rPr>
        <w:t>（一）报价一览表</w:t>
      </w:r>
    </w:p>
    <w:p w14:paraId="15525592">
      <w:pPr>
        <w:autoSpaceDE w:val="0"/>
        <w:autoSpaceDN w:val="0"/>
        <w:spacing w:line="360" w:lineRule="auto"/>
        <w:rPr>
          <w:rFonts w:hint="eastAsia" w:cs="仿宋_GB2312" w:asciiTheme="minorEastAsia" w:hAnsiTheme="minorEastAsia" w:eastAsiaTheme="minorEastAsia"/>
          <w:color w:val="auto"/>
          <w:kern w:val="0"/>
          <w:sz w:val="24"/>
          <w:highlight w:val="none"/>
        </w:rPr>
      </w:pPr>
      <w:r>
        <w:rPr>
          <w:rFonts w:hint="eastAsia" w:cs="仿宋_GB2312" w:asciiTheme="minorEastAsia" w:hAnsiTheme="minorEastAsia" w:eastAsiaTheme="minorEastAsia"/>
          <w:color w:val="auto"/>
          <w:sz w:val="24"/>
          <w:highlight w:val="none"/>
        </w:rPr>
        <w:t>（采购人）、（采购代理机构）</w:t>
      </w:r>
      <w:r>
        <w:rPr>
          <w:rFonts w:hint="eastAsia" w:cs="仿宋_GB2312" w:asciiTheme="minorEastAsia" w:hAnsiTheme="minorEastAsia" w:eastAsiaTheme="minorEastAsia"/>
          <w:color w:val="auto"/>
          <w:kern w:val="0"/>
          <w:sz w:val="24"/>
          <w:highlight w:val="none"/>
          <w:lang w:val="zh-CN"/>
        </w:rPr>
        <w:t>：</w:t>
      </w:r>
    </w:p>
    <w:p w14:paraId="23BD55E3">
      <w:pPr>
        <w:spacing w:line="360" w:lineRule="auto"/>
        <w:ind w:firstLine="72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按你方磋商文件要求，</w:t>
      </w:r>
      <w:r>
        <w:rPr>
          <w:rFonts w:hint="eastAsia" w:cs="仿宋_GB2312" w:asciiTheme="minorEastAsia" w:hAnsiTheme="minorEastAsia" w:eastAsiaTheme="minorEastAsia"/>
          <w:color w:val="auto"/>
          <w:sz w:val="24"/>
          <w:highlight w:val="none"/>
        </w:rPr>
        <w:t>我们即</w:t>
      </w:r>
      <w:r>
        <w:rPr>
          <w:rFonts w:hint="eastAsia" w:cs="仿宋_GB2312" w:asciiTheme="minorEastAsia" w:hAnsiTheme="minorEastAsia" w:eastAsiaTheme="minorEastAsia"/>
          <w:color w:val="auto"/>
          <w:kern w:val="0"/>
          <w:sz w:val="24"/>
          <w:highlight w:val="none"/>
          <w:lang w:val="zh-CN"/>
        </w:rPr>
        <w:t>本响应文件签字方，谨此向你方发出要约如下：如你方接受本响应，我方承诺按照如下最后报价一览表的价格完成</w:t>
      </w:r>
      <w:r>
        <w:rPr>
          <w:rFonts w:hint="eastAsia" w:cs="仿宋_GB2312" w:asciiTheme="minorEastAsia" w:hAnsiTheme="minorEastAsia" w:eastAsiaTheme="minorEastAsia"/>
          <w:color w:val="auto"/>
          <w:sz w:val="24"/>
          <w:highlight w:val="none"/>
        </w:rPr>
        <w:t>（项目名称）【项目编号：（采购编号）】</w:t>
      </w:r>
      <w:r>
        <w:rPr>
          <w:rFonts w:hint="eastAsia" w:cs="仿宋_GB2312" w:asciiTheme="minorEastAsia" w:hAnsiTheme="minorEastAsia" w:eastAsiaTheme="minorEastAsia"/>
          <w:color w:val="auto"/>
          <w:kern w:val="0"/>
          <w:sz w:val="24"/>
          <w:highlight w:val="none"/>
          <w:lang w:val="zh-CN"/>
        </w:rPr>
        <w:t>的实施。</w:t>
      </w:r>
    </w:p>
    <w:p w14:paraId="2917A8F4">
      <w:pPr>
        <w:snapToGrid w:val="0"/>
        <w:spacing w:line="360" w:lineRule="auto"/>
        <w:ind w:left="480"/>
        <w:jc w:val="center"/>
        <w:rPr>
          <w:rFonts w:hint="eastAsia" w:cs="仿宋_GB2312" w:asciiTheme="minorEastAsia" w:hAnsiTheme="minorEastAsia" w:eastAsiaTheme="minorEastAsia"/>
          <w:b/>
          <w:color w:val="auto"/>
          <w:kern w:val="0"/>
          <w:sz w:val="24"/>
          <w:highlight w:val="none"/>
          <w:lang w:val="en-US" w:eastAsia="zh-CN"/>
        </w:rPr>
      </w:pPr>
      <w:r>
        <w:rPr>
          <w:rFonts w:hint="eastAsia" w:cs="仿宋_GB2312" w:asciiTheme="minorEastAsia" w:hAnsiTheme="minorEastAsia" w:eastAsiaTheme="minorEastAsia"/>
          <w:b/>
          <w:color w:val="auto"/>
          <w:kern w:val="0"/>
          <w:sz w:val="24"/>
          <w:highlight w:val="none"/>
          <w:lang w:val="zh-CN"/>
        </w:rPr>
        <w:t>报价一览</w:t>
      </w:r>
      <w:r>
        <w:rPr>
          <w:rFonts w:hint="eastAsia" w:cs="仿宋_GB2312" w:asciiTheme="minorEastAsia" w:hAnsiTheme="minorEastAsia" w:eastAsiaTheme="minorEastAsia"/>
          <w:b/>
          <w:color w:val="auto"/>
          <w:kern w:val="0"/>
          <w:sz w:val="24"/>
          <w:highlight w:val="none"/>
          <w:lang w:val="en-US" w:eastAsia="zh-CN"/>
        </w:rPr>
        <w:t>表</w:t>
      </w:r>
    </w:p>
    <w:tbl>
      <w:tblPr>
        <w:tblStyle w:val="61"/>
        <w:tblW w:w="9281" w:type="dxa"/>
        <w:jc w:val="center"/>
        <w:tblLayout w:type="fixed"/>
        <w:tblCellMar>
          <w:top w:w="0" w:type="dxa"/>
          <w:left w:w="108" w:type="dxa"/>
          <w:bottom w:w="0" w:type="dxa"/>
          <w:right w:w="108" w:type="dxa"/>
        </w:tblCellMar>
      </w:tblPr>
      <w:tblGrid>
        <w:gridCol w:w="467"/>
        <w:gridCol w:w="2633"/>
        <w:gridCol w:w="1454"/>
        <w:gridCol w:w="1099"/>
        <w:gridCol w:w="1099"/>
        <w:gridCol w:w="1330"/>
        <w:gridCol w:w="1199"/>
      </w:tblGrid>
      <w:tr w14:paraId="59413276">
        <w:tblPrEx>
          <w:tblCellMar>
            <w:top w:w="0" w:type="dxa"/>
            <w:left w:w="108" w:type="dxa"/>
            <w:bottom w:w="0" w:type="dxa"/>
            <w:right w:w="108" w:type="dxa"/>
          </w:tblCellMar>
        </w:tblPrEx>
        <w:trPr>
          <w:trHeight w:val="0" w:hRule="atLeast"/>
          <w:jc w:val="center"/>
        </w:trPr>
        <w:tc>
          <w:tcPr>
            <w:tcW w:w="467" w:type="dxa"/>
            <w:tcBorders>
              <w:top w:val="single" w:color="000000" w:sz="8" w:space="0"/>
              <w:left w:val="single" w:color="000000" w:sz="8" w:space="0"/>
              <w:bottom w:val="single" w:color="000000" w:sz="8" w:space="0"/>
              <w:right w:val="single" w:color="000000" w:sz="8" w:space="0"/>
            </w:tcBorders>
            <w:noWrap w:val="0"/>
            <w:vAlign w:val="center"/>
          </w:tcPr>
          <w:p w14:paraId="5FCBC508">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序号</w:t>
            </w:r>
          </w:p>
        </w:tc>
        <w:tc>
          <w:tcPr>
            <w:tcW w:w="2633" w:type="dxa"/>
            <w:tcBorders>
              <w:top w:val="single" w:color="000000" w:sz="8" w:space="0"/>
              <w:left w:val="nil"/>
              <w:bottom w:val="single" w:color="000000" w:sz="8" w:space="0"/>
              <w:right w:val="single" w:color="000000" w:sz="8" w:space="0"/>
            </w:tcBorders>
            <w:noWrap w:val="0"/>
            <w:vAlign w:val="center"/>
          </w:tcPr>
          <w:p w14:paraId="0C663611">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en-US" w:eastAsia="zh-CN"/>
              </w:rPr>
              <w:t>服务</w:t>
            </w:r>
            <w:r>
              <w:rPr>
                <w:rFonts w:hint="eastAsia" w:cs="仿宋_GB2312" w:asciiTheme="minorEastAsia" w:hAnsiTheme="minorEastAsia" w:eastAsiaTheme="minorEastAsia"/>
                <w:color w:val="auto"/>
                <w:kern w:val="0"/>
                <w:sz w:val="24"/>
                <w:highlight w:val="none"/>
                <w:lang w:val="zh-CN"/>
              </w:rPr>
              <w:t>名称</w:t>
            </w:r>
          </w:p>
        </w:tc>
        <w:tc>
          <w:tcPr>
            <w:tcW w:w="1454" w:type="dxa"/>
            <w:tcBorders>
              <w:top w:val="single" w:color="000000" w:sz="8" w:space="0"/>
              <w:left w:val="nil"/>
              <w:bottom w:val="single" w:color="auto" w:sz="4" w:space="0"/>
              <w:right w:val="single" w:color="000000" w:sz="8" w:space="0"/>
            </w:tcBorders>
            <w:noWrap w:val="0"/>
            <w:vAlign w:val="center"/>
          </w:tcPr>
          <w:p w14:paraId="45DBF06A">
            <w:pPr>
              <w:spacing w:line="360" w:lineRule="auto"/>
              <w:jc w:val="center"/>
              <w:rPr>
                <w:rFonts w:hint="eastAsia" w:cs="仿宋_GB2312" w:asciiTheme="minorEastAsia" w:hAnsiTheme="minorEastAsia" w:eastAsiaTheme="minorEastAsia"/>
                <w:color w:val="auto"/>
                <w:kern w:val="0"/>
                <w:sz w:val="24"/>
                <w:highlight w:val="none"/>
                <w:lang w:val="zh-CN" w:eastAsia="zh-CN"/>
              </w:rPr>
            </w:pPr>
            <w:r>
              <w:rPr>
                <w:rFonts w:hint="eastAsia" w:cs="仿宋_GB2312" w:asciiTheme="minorEastAsia" w:hAnsiTheme="minorEastAsia" w:eastAsiaTheme="minorEastAsia"/>
                <w:color w:val="auto"/>
                <w:kern w:val="0"/>
                <w:sz w:val="24"/>
                <w:highlight w:val="none"/>
                <w:lang w:val="en-US" w:eastAsia="zh-CN"/>
              </w:rPr>
              <w:t>数量</w:t>
            </w:r>
          </w:p>
        </w:tc>
        <w:tc>
          <w:tcPr>
            <w:tcW w:w="1099" w:type="dxa"/>
            <w:tcBorders>
              <w:top w:val="single" w:color="000000" w:sz="8" w:space="0"/>
              <w:left w:val="nil"/>
              <w:bottom w:val="single" w:color="000000" w:sz="8" w:space="0"/>
              <w:right w:val="single" w:color="000000" w:sz="8" w:space="0"/>
            </w:tcBorders>
            <w:noWrap w:val="0"/>
            <w:vAlign w:val="center"/>
          </w:tcPr>
          <w:p w14:paraId="12070185">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单位</w:t>
            </w:r>
          </w:p>
        </w:tc>
        <w:tc>
          <w:tcPr>
            <w:tcW w:w="1099" w:type="dxa"/>
            <w:tcBorders>
              <w:top w:val="single" w:color="000000" w:sz="8" w:space="0"/>
              <w:left w:val="nil"/>
              <w:bottom w:val="single" w:color="000000" w:sz="8" w:space="0"/>
              <w:right w:val="single" w:color="000000" w:sz="8" w:space="0"/>
            </w:tcBorders>
            <w:noWrap w:val="0"/>
            <w:vAlign w:val="center"/>
          </w:tcPr>
          <w:p w14:paraId="7AB20091">
            <w:pPr>
              <w:spacing w:line="360" w:lineRule="auto"/>
              <w:jc w:val="center"/>
              <w:rPr>
                <w:rFonts w:hint="default" w:cs="仿宋_GB2312" w:asciiTheme="minorEastAsia" w:hAnsiTheme="minorEastAsia" w:eastAsiaTheme="minorEastAsia"/>
                <w:color w:val="auto"/>
                <w:kern w:val="0"/>
                <w:sz w:val="24"/>
                <w:highlight w:val="none"/>
                <w:lang w:val="en-US"/>
              </w:rPr>
            </w:pPr>
            <w:r>
              <w:rPr>
                <w:rFonts w:hint="eastAsia" w:cs="仿宋_GB2312" w:asciiTheme="minorEastAsia" w:hAnsiTheme="minorEastAsia" w:eastAsiaTheme="minorEastAsia"/>
                <w:color w:val="auto"/>
                <w:kern w:val="0"/>
                <w:sz w:val="24"/>
                <w:highlight w:val="none"/>
                <w:lang w:val="en-US" w:eastAsia="zh-CN"/>
              </w:rPr>
              <w:t>单价（元）</w:t>
            </w:r>
          </w:p>
        </w:tc>
        <w:tc>
          <w:tcPr>
            <w:tcW w:w="1330" w:type="dxa"/>
            <w:tcBorders>
              <w:top w:val="single" w:color="000000" w:sz="8" w:space="0"/>
              <w:left w:val="nil"/>
              <w:bottom w:val="single" w:color="auto" w:sz="4" w:space="0"/>
              <w:right w:val="single" w:color="000000" w:sz="8" w:space="0"/>
            </w:tcBorders>
            <w:noWrap w:val="0"/>
            <w:vAlign w:val="center"/>
          </w:tcPr>
          <w:p w14:paraId="3A479BFE">
            <w:pPr>
              <w:spacing w:line="360" w:lineRule="auto"/>
              <w:jc w:val="center"/>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合计（元）</w:t>
            </w:r>
          </w:p>
        </w:tc>
        <w:tc>
          <w:tcPr>
            <w:tcW w:w="1199" w:type="dxa"/>
            <w:tcBorders>
              <w:top w:val="single" w:color="000000" w:sz="8" w:space="0"/>
              <w:left w:val="nil"/>
              <w:bottom w:val="single" w:color="auto" w:sz="4" w:space="0"/>
              <w:right w:val="single" w:color="000000" w:sz="8" w:space="0"/>
            </w:tcBorders>
            <w:noWrap w:val="0"/>
            <w:vAlign w:val="center"/>
          </w:tcPr>
          <w:p w14:paraId="7F818C27">
            <w:pPr>
              <w:spacing w:line="360" w:lineRule="auto"/>
              <w:jc w:val="center"/>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备注</w:t>
            </w:r>
          </w:p>
        </w:tc>
      </w:tr>
      <w:tr w14:paraId="1EACF37B">
        <w:tblPrEx>
          <w:tblCellMar>
            <w:top w:w="0" w:type="dxa"/>
            <w:left w:w="108" w:type="dxa"/>
            <w:bottom w:w="0" w:type="dxa"/>
            <w:right w:w="108" w:type="dxa"/>
          </w:tblCellMar>
        </w:tblPrEx>
        <w:trPr>
          <w:trHeight w:val="0" w:hRule="atLeast"/>
          <w:jc w:val="center"/>
        </w:trPr>
        <w:tc>
          <w:tcPr>
            <w:tcW w:w="467" w:type="dxa"/>
            <w:tcBorders>
              <w:top w:val="single" w:color="000000" w:sz="8" w:space="0"/>
              <w:left w:val="single" w:color="000000" w:sz="8" w:space="0"/>
              <w:bottom w:val="single" w:color="000000" w:sz="8" w:space="0"/>
              <w:right w:val="single" w:color="000000" w:sz="8" w:space="0"/>
            </w:tcBorders>
            <w:noWrap w:val="0"/>
            <w:vAlign w:val="center"/>
          </w:tcPr>
          <w:p w14:paraId="4C3FEFA3">
            <w:pPr>
              <w:spacing w:line="360" w:lineRule="auto"/>
              <w:jc w:val="center"/>
              <w:rPr>
                <w:rFonts w:hint="eastAsia"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1</w:t>
            </w:r>
          </w:p>
        </w:tc>
        <w:tc>
          <w:tcPr>
            <w:tcW w:w="2633" w:type="dxa"/>
            <w:tcBorders>
              <w:top w:val="single" w:color="000000" w:sz="8" w:space="0"/>
              <w:left w:val="nil"/>
              <w:bottom w:val="single" w:color="000000" w:sz="8" w:space="0"/>
              <w:right w:val="single" w:color="auto" w:sz="4" w:space="0"/>
            </w:tcBorders>
            <w:noWrap w:val="0"/>
            <w:vAlign w:val="center"/>
          </w:tcPr>
          <w:p w14:paraId="0E22CD5F">
            <w:pPr>
              <w:spacing w:line="360" w:lineRule="auto"/>
              <w:jc w:val="center"/>
              <w:rPr>
                <w:rFonts w:hint="default" w:cs="仿宋_GB2312" w:asciiTheme="minorEastAsia" w:hAnsiTheme="minorEastAsia" w:eastAsiaTheme="minorEastAsia"/>
                <w:color w:val="auto"/>
                <w:kern w:val="0"/>
                <w:sz w:val="24"/>
                <w:highlight w:val="none"/>
                <w:lang w:val="en-US" w:eastAsia="zh-CN"/>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7CF1EF27">
            <w:pPr>
              <w:spacing w:line="360" w:lineRule="auto"/>
              <w:jc w:val="center"/>
              <w:rPr>
                <w:rFonts w:hint="default" w:cs="仿宋_GB2312" w:asciiTheme="minorEastAsia" w:hAnsiTheme="minorEastAsia" w:eastAsiaTheme="minorEastAsia"/>
                <w:color w:val="auto"/>
                <w:kern w:val="0"/>
                <w:sz w:val="24"/>
                <w:highlight w:val="none"/>
                <w:lang w:val="en-US" w:eastAsia="zh-CN"/>
              </w:rPr>
            </w:pPr>
          </w:p>
        </w:tc>
        <w:tc>
          <w:tcPr>
            <w:tcW w:w="1099" w:type="dxa"/>
            <w:tcBorders>
              <w:top w:val="single" w:color="000000" w:sz="8" w:space="0"/>
              <w:left w:val="single" w:color="auto" w:sz="4" w:space="0"/>
              <w:bottom w:val="single" w:color="000000" w:sz="8" w:space="0"/>
              <w:right w:val="single" w:color="auto" w:sz="4" w:space="0"/>
            </w:tcBorders>
            <w:noWrap w:val="0"/>
            <w:vAlign w:val="center"/>
          </w:tcPr>
          <w:p w14:paraId="6978DF31">
            <w:pPr>
              <w:spacing w:line="360" w:lineRule="auto"/>
              <w:jc w:val="center"/>
              <w:rPr>
                <w:rFonts w:hint="default" w:cs="仿宋_GB2312" w:asciiTheme="minorEastAsia" w:hAnsiTheme="minorEastAsia" w:eastAsiaTheme="minorEastAsia"/>
                <w:color w:val="auto"/>
                <w:kern w:val="0"/>
                <w:sz w:val="24"/>
                <w:highlight w:val="none"/>
                <w:lang w:val="en-US" w:eastAsia="zh-CN"/>
              </w:rPr>
            </w:pPr>
          </w:p>
        </w:tc>
        <w:tc>
          <w:tcPr>
            <w:tcW w:w="1099" w:type="dxa"/>
            <w:tcBorders>
              <w:top w:val="single" w:color="000000" w:sz="8" w:space="0"/>
              <w:left w:val="single" w:color="auto" w:sz="4" w:space="0"/>
              <w:bottom w:val="single" w:color="000000" w:sz="8" w:space="0"/>
              <w:right w:val="single" w:color="auto" w:sz="4" w:space="0"/>
            </w:tcBorders>
            <w:noWrap w:val="0"/>
            <w:vAlign w:val="center"/>
          </w:tcPr>
          <w:p w14:paraId="05F4F84D">
            <w:pPr>
              <w:spacing w:line="360" w:lineRule="auto"/>
              <w:jc w:val="center"/>
              <w:rPr>
                <w:rFonts w:hint="eastAsia" w:cs="仿宋_GB2312" w:asciiTheme="minorEastAsia" w:hAnsiTheme="minorEastAsia" w:eastAsiaTheme="minorEastAsia"/>
                <w:color w:val="auto"/>
                <w:kern w:val="0"/>
                <w:sz w:val="24"/>
                <w:highlight w:val="none"/>
                <w:lang w:val="en-US" w:eastAsia="zh-CN"/>
              </w:rPr>
            </w:pPr>
          </w:p>
        </w:tc>
        <w:tc>
          <w:tcPr>
            <w:tcW w:w="1330" w:type="dxa"/>
            <w:tcBorders>
              <w:top w:val="single" w:color="auto" w:sz="4" w:space="0"/>
              <w:left w:val="single" w:color="auto" w:sz="4" w:space="0"/>
              <w:bottom w:val="single" w:color="auto" w:sz="4" w:space="0"/>
              <w:right w:val="single" w:color="000000" w:sz="8" w:space="0"/>
            </w:tcBorders>
            <w:noWrap w:val="0"/>
            <w:vAlign w:val="center"/>
          </w:tcPr>
          <w:p w14:paraId="0DCD72F2">
            <w:pPr>
              <w:spacing w:line="360" w:lineRule="auto"/>
              <w:jc w:val="center"/>
              <w:rPr>
                <w:rFonts w:hint="default" w:cs="仿宋_GB2312" w:asciiTheme="minorEastAsia" w:hAnsiTheme="minorEastAsia" w:eastAsiaTheme="minorEastAsia"/>
                <w:color w:val="auto"/>
                <w:kern w:val="0"/>
                <w:sz w:val="24"/>
                <w:highlight w:val="none"/>
                <w:lang w:val="en-US"/>
              </w:rPr>
            </w:pPr>
          </w:p>
        </w:tc>
        <w:tc>
          <w:tcPr>
            <w:tcW w:w="1199" w:type="dxa"/>
            <w:tcBorders>
              <w:top w:val="single" w:color="auto" w:sz="4" w:space="0"/>
              <w:left w:val="single" w:color="auto" w:sz="4" w:space="0"/>
              <w:bottom w:val="single" w:color="auto" w:sz="4" w:space="0"/>
              <w:right w:val="single" w:color="000000" w:sz="8" w:space="0"/>
            </w:tcBorders>
            <w:noWrap w:val="0"/>
            <w:vAlign w:val="center"/>
          </w:tcPr>
          <w:p w14:paraId="748E3D6D">
            <w:pPr>
              <w:spacing w:line="360" w:lineRule="auto"/>
              <w:jc w:val="both"/>
              <w:rPr>
                <w:rFonts w:hint="default" w:cs="仿宋_GB2312" w:asciiTheme="minorEastAsia" w:hAnsiTheme="minorEastAsia" w:eastAsiaTheme="minorEastAsia"/>
                <w:color w:val="auto"/>
                <w:kern w:val="0"/>
                <w:sz w:val="24"/>
                <w:highlight w:val="none"/>
                <w:lang w:val="en-US" w:eastAsia="zh-CN"/>
              </w:rPr>
            </w:pPr>
          </w:p>
        </w:tc>
      </w:tr>
      <w:tr w14:paraId="603E5092">
        <w:tblPrEx>
          <w:tblCellMar>
            <w:top w:w="0" w:type="dxa"/>
            <w:left w:w="108" w:type="dxa"/>
            <w:bottom w:w="0" w:type="dxa"/>
            <w:right w:w="108" w:type="dxa"/>
          </w:tblCellMar>
        </w:tblPrEx>
        <w:trPr>
          <w:trHeight w:val="0" w:hRule="atLeast"/>
          <w:jc w:val="center"/>
        </w:trPr>
        <w:tc>
          <w:tcPr>
            <w:tcW w:w="6752" w:type="dxa"/>
            <w:gridSpan w:val="5"/>
            <w:tcBorders>
              <w:top w:val="single" w:color="000000" w:sz="8" w:space="0"/>
              <w:left w:val="single" w:color="000000" w:sz="8" w:space="0"/>
              <w:bottom w:val="single" w:color="000000" w:sz="8" w:space="0"/>
              <w:right w:val="single" w:color="auto" w:sz="4" w:space="0"/>
            </w:tcBorders>
            <w:noWrap w:val="0"/>
            <w:vAlign w:val="center"/>
          </w:tcPr>
          <w:p w14:paraId="043695AE">
            <w:pPr>
              <w:spacing w:line="360" w:lineRule="auto"/>
              <w:jc w:val="right"/>
              <w:rPr>
                <w:rFonts w:hint="default" w:cs="仿宋_GB2312" w:asciiTheme="minorEastAsia" w:hAnsiTheme="minorEastAsia" w:eastAsiaTheme="minorEastAsia"/>
                <w:color w:val="auto"/>
                <w:kern w:val="0"/>
                <w:sz w:val="24"/>
                <w:highlight w:val="none"/>
                <w:lang w:val="en-US" w:eastAsia="zh-CN"/>
              </w:rPr>
            </w:pPr>
            <w:r>
              <w:rPr>
                <w:rFonts w:hint="eastAsia" w:cs="仿宋_GB2312" w:asciiTheme="minorEastAsia" w:hAnsiTheme="minorEastAsia" w:eastAsiaTheme="minorEastAsia"/>
                <w:color w:val="auto"/>
                <w:kern w:val="0"/>
                <w:sz w:val="24"/>
                <w:highlight w:val="none"/>
                <w:lang w:val="en-US" w:eastAsia="zh-CN"/>
              </w:rPr>
              <w:t>合计</w:t>
            </w:r>
          </w:p>
        </w:tc>
        <w:tc>
          <w:tcPr>
            <w:tcW w:w="1330" w:type="dxa"/>
            <w:tcBorders>
              <w:top w:val="single" w:color="auto" w:sz="4" w:space="0"/>
              <w:left w:val="single" w:color="auto" w:sz="4" w:space="0"/>
              <w:bottom w:val="single" w:color="auto" w:sz="4" w:space="0"/>
              <w:right w:val="single" w:color="000000" w:sz="8" w:space="0"/>
            </w:tcBorders>
            <w:noWrap w:val="0"/>
            <w:vAlign w:val="center"/>
          </w:tcPr>
          <w:p w14:paraId="3D527FAB">
            <w:pPr>
              <w:spacing w:line="360" w:lineRule="auto"/>
              <w:jc w:val="center"/>
              <w:rPr>
                <w:rFonts w:hint="default" w:cs="仿宋_GB2312" w:asciiTheme="minorEastAsia" w:hAnsiTheme="minorEastAsia" w:eastAsiaTheme="minorEastAsia"/>
                <w:color w:val="auto"/>
                <w:kern w:val="0"/>
                <w:sz w:val="24"/>
                <w:highlight w:val="none"/>
                <w:lang w:val="en-US"/>
              </w:rPr>
            </w:pPr>
          </w:p>
        </w:tc>
        <w:tc>
          <w:tcPr>
            <w:tcW w:w="1199" w:type="dxa"/>
            <w:tcBorders>
              <w:top w:val="single" w:color="auto" w:sz="4" w:space="0"/>
              <w:left w:val="single" w:color="auto" w:sz="4" w:space="0"/>
              <w:bottom w:val="single" w:color="auto" w:sz="4" w:space="0"/>
              <w:right w:val="single" w:color="000000" w:sz="8" w:space="0"/>
            </w:tcBorders>
            <w:noWrap w:val="0"/>
            <w:vAlign w:val="center"/>
          </w:tcPr>
          <w:p w14:paraId="7BE489E8">
            <w:pPr>
              <w:spacing w:line="360" w:lineRule="auto"/>
              <w:jc w:val="both"/>
              <w:rPr>
                <w:rFonts w:hint="default" w:cs="仿宋_GB2312" w:asciiTheme="minorEastAsia" w:hAnsiTheme="minorEastAsia" w:eastAsiaTheme="minorEastAsia"/>
                <w:color w:val="auto"/>
                <w:kern w:val="0"/>
                <w:sz w:val="24"/>
                <w:highlight w:val="none"/>
                <w:lang w:val="en-US" w:eastAsia="zh-CN"/>
              </w:rPr>
            </w:pPr>
          </w:p>
        </w:tc>
      </w:tr>
    </w:tbl>
    <w:p w14:paraId="4B7A2C1B">
      <w:pPr>
        <w:spacing w:line="360" w:lineRule="auto"/>
        <w:ind w:left="-2" w:leftChars="-1" w:firstLine="480" w:firstLineChars="200"/>
        <w:rPr>
          <w:rFonts w:hint="eastAsia" w:cs="仿宋_GB2312" w:asciiTheme="minorEastAsia" w:hAnsiTheme="minorEastAsia" w:eastAsiaTheme="minorEastAsia"/>
          <w:color w:val="auto"/>
          <w:sz w:val="24"/>
          <w:highlight w:val="none"/>
        </w:rPr>
      </w:pPr>
    </w:p>
    <w:p w14:paraId="251AB9C1">
      <w:pPr>
        <w:spacing w:line="360" w:lineRule="auto"/>
        <w:ind w:left="-2" w:leftChars="-1" w:firstLine="480" w:firstLineChars="200"/>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sz w:val="24"/>
          <w:highlight w:val="none"/>
        </w:rPr>
        <w:t>注：</w:t>
      </w:r>
      <w:r>
        <w:rPr>
          <w:rFonts w:hint="eastAsia" w:cs="仿宋_GB2312" w:asciiTheme="minorEastAsia" w:hAnsiTheme="minorEastAsia" w:eastAsiaTheme="minorEastAsia"/>
          <w:color w:val="auto"/>
          <w:kern w:val="0"/>
          <w:sz w:val="24"/>
          <w:highlight w:val="none"/>
          <w:lang w:val="zh-CN"/>
        </w:rPr>
        <w:t>1、</w:t>
      </w:r>
      <w:r>
        <w:rPr>
          <w:rFonts w:hint="eastAsia" w:cs="宋体" w:asciiTheme="minorEastAsia" w:hAnsiTheme="minorEastAsia" w:eastAsiaTheme="minorEastAsia"/>
          <w:color w:val="auto"/>
          <w:kern w:val="0"/>
          <w:sz w:val="24"/>
          <w:highlight w:val="none"/>
          <w:lang w:val="zh-CN"/>
        </w:rPr>
        <w:t>供应商需按本表格式填写</w:t>
      </w:r>
      <w:r>
        <w:rPr>
          <w:rFonts w:hint="eastAsia" w:cs="宋体" w:asciiTheme="minorEastAsia" w:hAnsiTheme="minorEastAsia" w:eastAsiaTheme="minorEastAsia"/>
          <w:b/>
          <w:color w:val="auto"/>
          <w:kern w:val="0"/>
          <w:sz w:val="24"/>
          <w:highlight w:val="none"/>
          <w:lang w:val="zh-CN"/>
        </w:rPr>
        <w:t>，</w:t>
      </w:r>
      <w:r>
        <w:rPr>
          <w:rFonts w:hint="eastAsia" w:cs="宋体" w:asciiTheme="minorEastAsia" w:hAnsiTheme="minorEastAsia" w:eastAsiaTheme="minorEastAsia"/>
          <w:b/>
          <w:color w:val="auto"/>
          <w:kern w:val="0"/>
          <w:sz w:val="24"/>
          <w:highlight w:val="none"/>
        </w:rPr>
        <w:t>否则视为</w:t>
      </w:r>
      <w:r>
        <w:rPr>
          <w:rFonts w:hint="eastAsia" w:cs="宋体" w:asciiTheme="minorEastAsia" w:hAnsiTheme="minorEastAsia" w:eastAsiaTheme="minorEastAsia"/>
          <w:b/>
          <w:color w:val="auto"/>
          <w:sz w:val="24"/>
          <w:highlight w:val="none"/>
        </w:rPr>
        <w:t>响应文件含有采购人不能接受的附加条件，响应无效</w:t>
      </w:r>
      <w:r>
        <w:rPr>
          <w:rFonts w:hint="eastAsia" w:cs="仿宋_GB2312" w:asciiTheme="minorEastAsia" w:hAnsiTheme="minorEastAsia" w:eastAsiaTheme="minorEastAsia"/>
          <w:color w:val="auto"/>
          <w:kern w:val="0"/>
          <w:sz w:val="24"/>
          <w:highlight w:val="none"/>
          <w:lang w:val="zh-CN"/>
        </w:rPr>
        <w:t>。</w:t>
      </w:r>
    </w:p>
    <w:p w14:paraId="7DC8C7BA">
      <w:pPr>
        <w:snapToGrid w:val="0"/>
        <w:spacing w:line="360" w:lineRule="auto"/>
        <w:ind w:firstLine="480" w:firstLineChars="200"/>
        <w:jc w:val="lef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2</w:t>
      </w:r>
      <w:r>
        <w:rPr>
          <w:rFonts w:cs="仿宋_GB2312"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color w:val="auto"/>
          <w:kern w:val="0"/>
          <w:sz w:val="24"/>
          <w:highlight w:val="none"/>
          <w:lang w:val="zh-CN"/>
        </w:rPr>
        <w:t>有关本项目实施所涉及的一切费用均计入报价。</w:t>
      </w:r>
      <w:r>
        <w:rPr>
          <w:rFonts w:hint="eastAsia" w:cs="宋体" w:asciiTheme="minorEastAsia" w:hAnsiTheme="minorEastAsia" w:eastAsiaTheme="minorEastAsia"/>
          <w:b/>
          <w:color w:val="auto"/>
          <w:kern w:val="0"/>
          <w:sz w:val="24"/>
          <w:highlight w:val="none"/>
          <w:lang w:val="zh-CN"/>
        </w:rPr>
        <w:t>采购人将以合同形式有偿取得货物或服务，不接受供应商给予的赠品、回扣或者与采购无关的其他商品、服务</w:t>
      </w:r>
      <w:r>
        <w:rPr>
          <w:rFonts w:hint="eastAsia" w:cs="宋体" w:asciiTheme="minorEastAsia" w:hAnsiTheme="minorEastAsia" w:eastAsiaTheme="minorEastAsia"/>
          <w:color w:val="auto"/>
          <w:kern w:val="0"/>
          <w:sz w:val="24"/>
          <w:highlight w:val="none"/>
          <w:lang w:val="zh-CN"/>
        </w:rPr>
        <w:t>，</w:t>
      </w:r>
      <w:r>
        <w:rPr>
          <w:rFonts w:hint="eastAsia" w:cs="宋体" w:asciiTheme="minorEastAsia" w:hAnsiTheme="minorEastAsia" w:eastAsiaTheme="minorEastAsia"/>
          <w:b/>
          <w:color w:val="auto"/>
          <w:kern w:val="0"/>
          <w:sz w:val="24"/>
          <w:highlight w:val="none"/>
          <w:lang w:val="zh-CN"/>
        </w:rPr>
        <w:t>不得出现“0元”“免费赠送”等形式的无偿报价，</w:t>
      </w:r>
      <w:r>
        <w:rPr>
          <w:rFonts w:hint="eastAsia" w:cs="宋体" w:asciiTheme="minorEastAsia" w:hAnsiTheme="minorEastAsia" w:eastAsiaTheme="minorEastAsia"/>
          <w:b/>
          <w:color w:val="auto"/>
          <w:kern w:val="0"/>
          <w:sz w:val="24"/>
          <w:highlight w:val="none"/>
        </w:rPr>
        <w:t>否则视为</w:t>
      </w:r>
      <w:r>
        <w:rPr>
          <w:rFonts w:hint="eastAsia" w:cs="宋体" w:asciiTheme="minorEastAsia" w:hAnsiTheme="minorEastAsia" w:eastAsiaTheme="minorEastAsia"/>
          <w:b/>
          <w:color w:val="auto"/>
          <w:sz w:val="24"/>
          <w:highlight w:val="none"/>
        </w:rPr>
        <w:t>最后报价文件含有采购人不能接受的附加条件，响应无效</w:t>
      </w:r>
      <w:r>
        <w:rPr>
          <w:rFonts w:hint="eastAsia" w:cs="宋体" w:asciiTheme="minorEastAsia" w:hAnsiTheme="minorEastAsia" w:eastAsiaTheme="minorEastAsia"/>
          <w:b/>
          <w:color w:val="auto"/>
          <w:kern w:val="0"/>
          <w:sz w:val="24"/>
          <w:highlight w:val="none"/>
          <w:lang w:val="zh-CN"/>
        </w:rPr>
        <w:t>；采购内容未包含在《最后报价一览表》名称栏中，供应商不能作出合理解释的，</w:t>
      </w:r>
      <w:r>
        <w:rPr>
          <w:rFonts w:hint="eastAsia" w:cs="宋体" w:asciiTheme="minorEastAsia" w:hAnsiTheme="minorEastAsia" w:eastAsiaTheme="minorEastAsia"/>
          <w:b/>
          <w:color w:val="auto"/>
          <w:kern w:val="0"/>
          <w:sz w:val="24"/>
          <w:highlight w:val="none"/>
        </w:rPr>
        <w:t>视为</w:t>
      </w:r>
      <w:r>
        <w:rPr>
          <w:rFonts w:hint="eastAsia" w:cs="宋体" w:asciiTheme="minorEastAsia" w:hAnsiTheme="minorEastAsia" w:eastAsiaTheme="minorEastAsia"/>
          <w:b/>
          <w:color w:val="auto"/>
          <w:sz w:val="24"/>
          <w:highlight w:val="none"/>
        </w:rPr>
        <w:t>响应文件含有采购人不能接受的附加条件的，响应无效。</w:t>
      </w:r>
    </w:p>
    <w:p w14:paraId="51CB06E9">
      <w:pPr>
        <w:snapToGrid w:val="0"/>
        <w:spacing w:line="360" w:lineRule="auto"/>
        <w:ind w:firstLine="480" w:firstLineChars="200"/>
        <w:jc w:val="lef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3、特别提示：采购代理机构将对项目名称和项目编号，成交供应商名称、地址和成交金额，</w:t>
      </w:r>
      <w:r>
        <w:rPr>
          <w:rFonts w:hint="eastAsia" w:cs="宋体" w:asciiTheme="minorEastAsia" w:hAnsiTheme="minorEastAsia" w:eastAsiaTheme="minorEastAsia"/>
          <w:color w:val="auto"/>
          <w:kern w:val="0"/>
          <w:sz w:val="24"/>
          <w:highlight w:val="none"/>
          <w:lang w:val="zh-CN"/>
        </w:rPr>
        <w:t>主要成交标的名称、服务范围、服务要求、服务时间、服务标准等予以公示</w:t>
      </w:r>
      <w:r>
        <w:rPr>
          <w:rFonts w:hint="eastAsia" w:cs="仿宋_GB2312" w:asciiTheme="minorEastAsia" w:hAnsiTheme="minorEastAsia" w:eastAsiaTheme="minorEastAsia"/>
          <w:color w:val="auto"/>
          <w:kern w:val="0"/>
          <w:sz w:val="24"/>
          <w:highlight w:val="none"/>
          <w:lang w:val="zh-CN"/>
        </w:rPr>
        <w:t>。</w:t>
      </w:r>
    </w:p>
    <w:p w14:paraId="6766344A">
      <w:pPr>
        <w:spacing w:line="360" w:lineRule="auto"/>
        <w:ind w:firstLine="480" w:firstLineChars="200"/>
        <w:rPr>
          <w:rFonts w:hint="eastAsia"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kern w:val="0"/>
          <w:sz w:val="24"/>
          <w:szCs w:val="22"/>
          <w:highlight w:val="none"/>
          <w:lang w:val="zh-CN"/>
        </w:rPr>
        <w:t>4</w:t>
      </w:r>
      <w:r>
        <w:rPr>
          <w:rFonts w:cs="仿宋_GB2312" w:asciiTheme="minorEastAsia" w:hAnsiTheme="minorEastAsia" w:eastAsiaTheme="minorEastAsia"/>
          <w:color w:val="auto"/>
          <w:kern w:val="0"/>
          <w:sz w:val="24"/>
          <w:szCs w:val="22"/>
          <w:highlight w:val="none"/>
          <w:lang w:val="zh-CN"/>
        </w:rPr>
        <w:t>、</w:t>
      </w:r>
      <w:r>
        <w:rPr>
          <w:rFonts w:hint="eastAsia" w:cs="仿宋_GB2312" w:asciiTheme="minorEastAsia" w:hAnsiTheme="minorEastAsia" w:eastAsiaTheme="minorEastAsia"/>
          <w:color w:val="auto"/>
          <w:kern w:val="0"/>
          <w:sz w:val="24"/>
          <w:highlight w:val="none"/>
          <w:lang w:val="zh-CN"/>
        </w:rPr>
        <w:t>符合磋商文件中列明的可享受中小企业扶持政策的供应商，请填写中小企业声明函。注：供应商</w:t>
      </w:r>
      <w:r>
        <w:rPr>
          <w:rFonts w:cs="仿宋_GB2312" w:asciiTheme="minorEastAsia" w:hAnsiTheme="minorEastAsia" w:eastAsiaTheme="minorEastAsia"/>
          <w:color w:val="auto"/>
          <w:kern w:val="0"/>
          <w:sz w:val="24"/>
          <w:highlight w:val="none"/>
          <w:lang w:val="zh-CN"/>
        </w:rPr>
        <w:t>提供</w:t>
      </w:r>
      <w:r>
        <w:rPr>
          <w:rFonts w:hint="eastAsia" w:cs="仿宋_GB2312" w:asciiTheme="minorEastAsia" w:hAnsiTheme="minorEastAsia" w:eastAsiaTheme="minorEastAsia"/>
          <w:color w:val="auto"/>
          <w:kern w:val="0"/>
          <w:sz w:val="24"/>
          <w:highlight w:val="none"/>
          <w:lang w:val="zh-CN"/>
        </w:rPr>
        <w:t>的中小企业</w:t>
      </w:r>
      <w:r>
        <w:rPr>
          <w:rFonts w:cs="仿宋_GB2312" w:asciiTheme="minorEastAsia" w:hAnsiTheme="minorEastAsia" w:eastAsiaTheme="minorEastAsia"/>
          <w:color w:val="auto"/>
          <w:kern w:val="0"/>
          <w:sz w:val="24"/>
          <w:highlight w:val="none"/>
          <w:lang w:val="zh-CN"/>
        </w:rPr>
        <w:t>声明函内容不实的，属于提供虚假材料谋取中标、成交，依照《中华人民共和国政府采购法》等国家有关规定追究相应责任。</w:t>
      </w:r>
    </w:p>
    <w:p w14:paraId="73D3EB56">
      <w:pPr>
        <w:autoSpaceDE w:val="0"/>
        <w:autoSpaceDN w:val="0"/>
        <w:spacing w:line="360" w:lineRule="auto"/>
        <w:ind w:firstLine="4536" w:firstLineChars="1890"/>
        <w:jc w:val="left"/>
        <w:rPr>
          <w:rFonts w:hint="eastAsia" w:cs="仿宋_GB2312" w:asciiTheme="minorEastAsia" w:hAnsiTheme="minorEastAsia" w:eastAsiaTheme="minorEastAsia"/>
          <w:color w:val="auto"/>
          <w:kern w:val="0"/>
          <w:sz w:val="24"/>
          <w:highlight w:val="none"/>
          <w:lang w:val="zh-CN"/>
        </w:rPr>
      </w:pPr>
    </w:p>
    <w:p w14:paraId="5DE42F26">
      <w:pPr>
        <w:autoSpaceDE w:val="0"/>
        <w:autoSpaceDN w:val="0"/>
        <w:spacing w:line="360" w:lineRule="auto"/>
        <w:ind w:firstLine="4536" w:firstLineChars="1890"/>
        <w:jc w:val="lef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 xml:space="preserve">磋商供应商名称(公章)： </w:t>
      </w:r>
    </w:p>
    <w:p w14:paraId="3D6A2C74">
      <w:pPr>
        <w:autoSpaceDE w:val="0"/>
        <w:autoSpaceDN w:val="0"/>
        <w:spacing w:line="360" w:lineRule="auto"/>
        <w:jc w:val="righ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法定代表人（负责人）或委托代理人(</w:t>
      </w:r>
      <w:r>
        <w:rPr>
          <w:rFonts w:hint="eastAsia" w:ascii="宋体" w:hAnsi="宋体"/>
          <w:color w:val="auto"/>
          <w:sz w:val="24"/>
          <w:highlight w:val="none"/>
        </w:rPr>
        <w:t>签字或者盖章或者电子签名</w:t>
      </w:r>
      <w:r>
        <w:rPr>
          <w:rFonts w:hint="eastAsia" w:cs="仿宋_GB2312" w:asciiTheme="minorEastAsia" w:hAnsiTheme="minorEastAsia" w:eastAsiaTheme="minorEastAsia"/>
          <w:color w:val="auto"/>
          <w:kern w:val="0"/>
          <w:sz w:val="24"/>
          <w:highlight w:val="none"/>
          <w:lang w:val="zh-CN"/>
        </w:rPr>
        <w:t xml:space="preserve">)：              </w:t>
      </w:r>
    </w:p>
    <w:p w14:paraId="58921C9E">
      <w:pPr>
        <w:spacing w:line="360" w:lineRule="auto"/>
        <w:jc w:val="right"/>
        <w:rPr>
          <w:rFonts w:hint="eastAsia" w:cs="仿宋_GB2312" w:asciiTheme="minorEastAsia" w:hAnsiTheme="minorEastAsia" w:eastAsiaTheme="minorEastAsia"/>
          <w:color w:val="auto"/>
          <w:kern w:val="0"/>
          <w:sz w:val="24"/>
          <w:highlight w:val="none"/>
          <w:lang w:val="zh-CN"/>
        </w:rPr>
      </w:pPr>
      <w:r>
        <w:rPr>
          <w:rFonts w:hint="eastAsia" w:cs="仿宋_GB2312" w:asciiTheme="minorEastAsia" w:hAnsiTheme="minorEastAsia" w:eastAsiaTheme="minorEastAsia"/>
          <w:color w:val="auto"/>
          <w:kern w:val="0"/>
          <w:sz w:val="24"/>
          <w:highlight w:val="none"/>
          <w:lang w:val="zh-CN"/>
        </w:rPr>
        <w:t>日期</w:t>
      </w:r>
      <w:r>
        <w:rPr>
          <w:rFonts w:hint="eastAsia" w:cs="仿宋_GB2312" w:asciiTheme="minorEastAsia" w:hAnsiTheme="minorEastAsia" w:eastAsiaTheme="minorEastAsia"/>
          <w:color w:val="auto"/>
          <w:kern w:val="0"/>
          <w:sz w:val="24"/>
          <w:highlight w:val="none"/>
        </w:rPr>
        <w:t>：</w:t>
      </w:r>
      <w:r>
        <w:rPr>
          <w:rFonts w:hint="eastAsia" w:cs="仿宋_GB2312" w:asciiTheme="minorEastAsia" w:hAnsiTheme="minorEastAsia" w:eastAsiaTheme="minorEastAsia"/>
          <w:color w:val="auto"/>
          <w:kern w:val="0"/>
          <w:sz w:val="24"/>
          <w:highlight w:val="none"/>
          <w:lang w:val="zh-CN"/>
        </w:rPr>
        <w:t xml:space="preserve">   年   月   日</w:t>
      </w:r>
    </w:p>
    <w:sectPr>
      <w:headerReference r:id="rId16" w:type="first"/>
      <w:footerReference r:id="rId18" w:type="first"/>
      <w:headerReference r:id="rId15" w:type="default"/>
      <w:footerReference r:id="rId17" w:type="default"/>
      <w:pgSz w:w="11906" w:h="16838"/>
      <w:pgMar w:top="1417" w:right="1417" w:bottom="1417" w:left="1417" w:header="851" w:footer="992" w:gutter="0"/>
      <w:pgNumType w:fmt="decimal"/>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D011C90-CEBF-4296-B249-6A84A3AD53F5}"/>
  </w:font>
  <w:font w:name="Arial">
    <w:panose1 w:val="020B0604020202020204"/>
    <w:charset w:val="01"/>
    <w:family w:val="swiss"/>
    <w:pitch w:val="default"/>
    <w:sig w:usb0="E0002EFF" w:usb1="C000785B" w:usb2="00000009" w:usb3="00000000" w:csb0="400001FF" w:csb1="FFFF0000"/>
    <w:embedRegular r:id="rId2" w:fontKey="{E6D367A0-5FDE-4021-B798-31AC8E0358AD}"/>
  </w:font>
  <w:font w:name="黑体">
    <w:panose1 w:val="02010609060101010101"/>
    <w:charset w:val="86"/>
    <w:family w:val="auto"/>
    <w:pitch w:val="default"/>
    <w:sig w:usb0="800002BF" w:usb1="38CF7CFA" w:usb2="00000016" w:usb3="00000000" w:csb0="00040001" w:csb1="00000000"/>
    <w:embedRegular r:id="rId3" w:fontKey="{73D3E0FC-EE82-484E-8CCA-1E7028C4DF6A}"/>
  </w:font>
  <w:font w:name="Courier New">
    <w:panose1 w:val="02070309020205020404"/>
    <w:charset w:val="01"/>
    <w:family w:val="modern"/>
    <w:pitch w:val="default"/>
    <w:sig w:usb0="E0002EFF" w:usb1="C0007843" w:usb2="00000009" w:usb3="00000000" w:csb0="400001FF" w:csb1="FFFF0000"/>
    <w:embedRegular r:id="rId4" w:fontKey="{A321AA32-E252-4ECD-92D5-8DA684C4892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DCE8432D-3B72-4520-905E-93543CA4BDF9}"/>
  </w:font>
  <w:font w:name="仿宋_GB2312">
    <w:altName w:val="仿宋"/>
    <w:panose1 w:val="02010609030101010101"/>
    <w:charset w:val="86"/>
    <w:family w:val="modern"/>
    <w:pitch w:val="default"/>
    <w:sig w:usb0="00000000" w:usb1="00000000" w:usb2="00000000" w:usb3="00000000" w:csb0="00040000" w:csb1="00000000"/>
    <w:embedRegular r:id="rId6" w:fontKey="{E59C77C8-C527-4D4F-B7D7-FD6FF94C46EE}"/>
  </w:font>
  <w:font w:name="仿宋">
    <w:panose1 w:val="02010609060101010101"/>
    <w:charset w:val="86"/>
    <w:family w:val="modern"/>
    <w:pitch w:val="default"/>
    <w:sig w:usb0="800002BF" w:usb1="38CF7CFA" w:usb2="00000016" w:usb3="00000000" w:csb0="00040001" w:csb1="00000000"/>
    <w:embedRegular r:id="rId7" w:fontKey="{11299DBA-3839-4DB5-A949-91A7BF8E7FAC}"/>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embedRegular r:id="rId8" w:fontKey="{C94AE898-6BF3-4049-9497-8A6149710FE0}"/>
  </w:font>
  <w:font w:name="隶书">
    <w:altName w:val="宋体"/>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HLHE E+ Futura Bk">
    <w:altName w:val="宋体"/>
    <w:panose1 w:val="00000000000000000000"/>
    <w:charset w:val="86"/>
    <w:family w:val="swiss"/>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Helvetica">
    <w:altName w:val="Arial"/>
    <w:panose1 w:val="020B0504020202020204"/>
    <w:charset w:val="00"/>
    <w:family w:val="swiss"/>
    <w:pitch w:val="default"/>
    <w:sig w:usb0="00000000" w:usb1="00000000" w:usb2="00000000" w:usb3="00000000" w:csb0="00000001" w:csb1="00000000"/>
    <w:embedRegular r:id="rId9" w:fontKey="{67757B5C-1084-4244-8E0A-F8202143D56A}"/>
  </w:font>
  <w:font w:name="Arial Narrow">
    <w:altName w:val="Arial"/>
    <w:panose1 w:val="020B0606020202030204"/>
    <w:charset w:val="00"/>
    <w:family w:val="swiss"/>
    <w:pitch w:val="default"/>
    <w:sig w:usb0="00000000" w:usb1="00000000" w:usb2="00000000" w:usb3="00000000" w:csb0="2000009F" w:csb1="DFD7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Futura Bk">
    <w:altName w:val="ksdb"/>
    <w:panose1 w:val="00000000000000000000"/>
    <w:charset w:val="00"/>
    <w:family w:val="swiss"/>
    <w:pitch w:val="default"/>
    <w:sig w:usb0="00000000" w:usb1="00000000" w:usb2="00000000" w:usb3="00000000" w:csb0="00000011" w:csb1="00000000"/>
  </w:font>
  <w:font w:name="ksdb">
    <w:panose1 w:val="02000500000000000000"/>
    <w:charset w:val="00"/>
    <w:family w:val="auto"/>
    <w:pitch w:val="default"/>
    <w:sig w:usb0="00000001" w:usb1="00000000" w:usb2="00000000" w:usb3="00000000" w:csb0="00000001" w:csb1="00000000"/>
  </w:font>
  <w:font w:name="Arial (W1)">
    <w:altName w:val="Arial"/>
    <w:panose1 w:val="00000000000000000000"/>
    <w:charset w:val="00"/>
    <w:family w:val="swiss"/>
    <w:pitch w:val="default"/>
    <w:sig w:usb0="00000000" w:usb1="00000000" w:usb2="00000008" w:usb3="00000000" w:csb0="000001FF" w:csb1="00000000"/>
  </w:font>
  <w:font w:name="Segoe UI">
    <w:panose1 w:val="020B0502040204020203"/>
    <w:charset w:val="00"/>
    <w:family w:val="auto"/>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utura Hv">
    <w:altName w:val="ksdb"/>
    <w:panose1 w:val="00000000000000000000"/>
    <w:charset w:val="00"/>
    <w:family w:val="swiss"/>
    <w:pitch w:val="default"/>
    <w:sig w:usb0="00000000" w:usb1="00000000" w:usb2="00000000" w:usb3="00000000" w:csb0="000001FB" w:csb1="00000000"/>
  </w:font>
  <w:font w:name="Cumberland">
    <w:altName w:val="宋体"/>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embedRegular r:id="rId10" w:fontKey="{FA279A17-E4D3-43DD-8AA7-8466F8F4BB09}"/>
  </w:font>
  <w:font w:name="幼圆">
    <w:altName w:val="宋体"/>
    <w:panose1 w:val="02010509060101010101"/>
    <w:charset w:val="86"/>
    <w:family w:val="modern"/>
    <w:pitch w:val="default"/>
    <w:sig w:usb0="00000000" w:usb1="00000000" w:usb2="00000000" w:usb3="00000000" w:csb0="00040000" w:csb1="00000000"/>
  </w:font>
  <w:font w:name="Aldine401 BT">
    <w:altName w:val="ksdb"/>
    <w:panose1 w:val="00000000000000000000"/>
    <w:charset w:val="00"/>
    <w:family w:val="roman"/>
    <w:pitch w:val="default"/>
    <w:sig w:usb0="00000000" w:usb1="00000000" w:usb2="00000000" w:usb3="00000000" w:csb0="00000011" w:csb1="00000000"/>
  </w:font>
  <w:font w:name="Century Gothic">
    <w:altName w:val="ksdb"/>
    <w:panose1 w:val="020B0502020202020204"/>
    <w:charset w:val="00"/>
    <w:family w:val="swiss"/>
    <w:pitch w:val="default"/>
    <w:sig w:usb0="00000000" w:usb1="00000000" w:usb2="00000000" w:usb3="00000000" w:csb0="2000009F" w:csb1="DFD70000"/>
  </w:font>
  <w:font w:name="ˎ̥">
    <w:altName w:val="宋体"/>
    <w:panose1 w:val="00000000000000000000"/>
    <w:charset w:val="00"/>
    <w:family w:val="roman"/>
    <w:pitch w:val="default"/>
    <w:sig w:usb0="00000000" w:usb1="00000000" w:usb2="00000000" w:usb3="00000000" w:csb0="00040001" w:csb1="00000000"/>
  </w:font>
  <w:font w:name="MS Sans Serif">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华文中宋">
    <w:altName w:val="宋体"/>
    <w:panose1 w:val="02010600040101010101"/>
    <w:charset w:val="86"/>
    <w:family w:val="auto"/>
    <w:pitch w:val="default"/>
    <w:sig w:usb0="00000000" w:usb1="00000000" w:usb2="00000000" w:usb3="00000000" w:csb0="0004009F" w:csb1="DFD70000"/>
  </w:font>
  <w:font w:name="MS Mincho">
    <w:altName w:val="Yu Gothic UI"/>
    <w:panose1 w:val="02020609040205080304"/>
    <w:charset w:val="80"/>
    <w:family w:val="modern"/>
    <w:pitch w:val="default"/>
    <w:sig w:usb0="00000000" w:usb1="00000000" w:usb2="00000012" w:usb3="00000000" w:csb0="4002009F" w:csb1="DFD70000"/>
    <w:embedRegular r:id="rId11" w:fontKey="{18E13B63-EFCE-40F1-9201-24D2F518C8FC}"/>
  </w:font>
  <w:font w:name="Yu Gothic UI">
    <w:panose1 w:val="020B0500000000000000"/>
    <w:charset w:val="80"/>
    <w:family w:val="auto"/>
    <w:pitch w:val="default"/>
    <w:sig w:usb0="E00002FF" w:usb1="2AC7FDFF" w:usb2="00000016" w:usb3="00000000" w:csb0="2002009F" w:csb1="00000000"/>
  </w:font>
  <w:font w:name="方正小标宋简体">
    <w:panose1 w:val="02000000000000000000"/>
    <w:charset w:val="86"/>
    <w:family w:val="auto"/>
    <w:pitch w:val="default"/>
    <w:sig w:usb0="00000001" w:usb1="08000000" w:usb2="00000000" w:usb3="00000000" w:csb0="00040000" w:csb1="00000000"/>
    <w:embedRegular r:id="rId12" w:fontKey="{063D8319-2774-4D4C-AF4A-8D3CE6936723}"/>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6A85E">
    <w:pPr>
      <w:pStyle w:val="3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E35A0">
                          <w:pPr>
                            <w:pStyle w:val="3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BE35A0">
                    <w:pPr>
                      <w:pStyle w:val="3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36539">
    <w:pPr>
      <w:spacing w:line="174" w:lineRule="auto"/>
      <w:ind w:left="46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73E52">
                          <w:pPr>
                            <w:pStyle w:val="38"/>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173E52">
                    <w:pPr>
                      <w:pStyle w:val="38"/>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6023A">
    <w:pPr>
      <w:spacing w:line="174" w:lineRule="auto"/>
      <w:ind w:left="470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F6291">
                          <w:pPr>
                            <w:pStyle w:val="38"/>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85F6291">
                    <w:pPr>
                      <w:pStyle w:val="38"/>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7C7B4">
    <w:pPr>
      <w:spacing w:line="174" w:lineRule="auto"/>
      <w:ind w:left="46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A69A05">
                          <w:pPr>
                            <w:pStyle w:val="38"/>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A69A05">
                    <w:pPr>
                      <w:pStyle w:val="3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B6FD">
    <w:pPr>
      <w:spacing w:line="174" w:lineRule="auto"/>
      <w:ind w:left="46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BB79F">
                          <w:pPr>
                            <w:pStyle w:val="3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5FBB79F">
                    <w:pPr>
                      <w:pStyle w:val="3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20578">
    <w:pPr>
      <w:rPr>
        <w:rFonts w:ascii="仿宋_GB2312" w:eastAsia="仿宋_GB2312"/>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96313">
                          <w:pPr>
                            <w:pStyle w:val="38"/>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6396313">
                    <w:pPr>
                      <w:pStyle w:val="38"/>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2CE7A">
    <w:pPr>
      <w:rPr>
        <w:rFonts w:ascii="仿宋_GB2312" w:eastAsia="仿宋_GB2312"/>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2DF52">
                          <w:pPr>
                            <w:pStyle w:val="38"/>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F22DF52">
                    <w:pPr>
                      <w:pStyle w:val="3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8ED85">
    <w:pPr>
      <w:pStyle w:val="3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2D0AE">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D82D0AE">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A1C8C">
    <w:pPr>
      <w:pStyle w:val="38"/>
      <w:jc w:val="center"/>
      <w:rPr>
        <w:rFonts w:ascii="仿宋_GB2312" w:eastAsia="仿宋_GB2312"/>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9BAC48">
                          <w:pPr>
                            <w:pStyle w:val="38"/>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F9BAC48">
                    <w:pPr>
                      <w:pStyle w:val="38"/>
                    </w:pPr>
                    <w:r>
                      <w:fldChar w:fldCharType="begin"/>
                    </w:r>
                    <w:r>
                      <w:instrText xml:space="preserve"> PAGE  \* MERGEFORMAT </w:instrText>
                    </w:r>
                    <w:r>
                      <w:fldChar w:fldCharType="separate"/>
                    </w:r>
                    <w:r>
                      <w:t>88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CB680">
    <w:pPr>
      <w:pStyle w:val="3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78BB9">
    <w:pPr>
      <w:pStyle w:val="3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F7EF4">
    <w:pPr>
      <w:pStyle w:val="3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ABF2B">
    <w:pPr>
      <w:pStyle w:val="39"/>
      <w:pBdr>
        <w:bottom w:val="none" w:color="auto" w:sz="0" w:space="1"/>
      </w:pBdr>
      <w:spacing w:after="120"/>
      <w:jc w:val="right"/>
      <w:rPr>
        <w:rFonts w:ascii="仿宋_GB2312" w:eastAsia="仿宋_GB2312"/>
        <w:b/>
        <w:i/>
        <w:u w:val="single"/>
      </w:rPr>
    </w:pPr>
    <w:r>
      <w:t></w:t>
    </w: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21D3C">
    <w:pPr>
      <w:pStyle w:val="39"/>
      <w:pBdr>
        <w:bottom w:val="none" w:color="auto" w:sz="0" w:space="1"/>
      </w:pBdr>
      <w:spacing w:after="120"/>
    </w:pPr>
    <w:r>
      <w:t></w:t>
    </w:r>
    <w:r>
      <w:rPr>
        <w:rFonts w:hint="eastAsia"/>
      </w:rPr>
      <w:t xml:space="preserve">         </w:t>
    </w:r>
  </w:p>
  <w:p w14:paraId="196C5DA1">
    <w:pPr>
      <w:pStyle w:val="39"/>
      <w:pBdr>
        <w:bottom w:val="none" w:color="auto" w:sz="0" w:space="1"/>
      </w:pBdr>
      <w:spacing w:after="120"/>
      <w:rPr>
        <w:sz w:val="21"/>
        <w:szCs w:val="21"/>
      </w:rPr>
    </w:pP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8012">
    <w:pPr>
      <w:pStyle w:val="39"/>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46526">
    <w:pPr>
      <w:pStyle w:val="3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045A6"/>
    <w:multiLevelType w:val="multilevel"/>
    <w:tmpl w:val="989045A6"/>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1">
    <w:nsid w:val="CBDD0A60"/>
    <w:multiLevelType w:val="singleLevel"/>
    <w:tmpl w:val="CBDD0A60"/>
    <w:lvl w:ilvl="0" w:tentative="0">
      <w:start w:val="5"/>
      <w:numFmt w:val="decimal"/>
      <w:suff w:val="space"/>
      <w:lvlText w:val="%1."/>
      <w:lvlJc w:val="left"/>
    </w:lvl>
  </w:abstractNum>
  <w:abstractNum w:abstractNumId="2">
    <w:nsid w:val="E21CA953"/>
    <w:multiLevelType w:val="singleLevel"/>
    <w:tmpl w:val="E21CA953"/>
    <w:lvl w:ilvl="0" w:tentative="0">
      <w:start w:val="1"/>
      <w:numFmt w:val="chineseCounting"/>
      <w:suff w:val="nothing"/>
      <w:lvlText w:val="（%1）"/>
      <w:lvlJc w:val="left"/>
      <w:rPr>
        <w:rFonts w:hint="eastAsia"/>
      </w:rPr>
    </w:lvl>
  </w:abstractNum>
  <w:abstractNum w:abstractNumId="3">
    <w:nsid w:val="F692EA61"/>
    <w:multiLevelType w:val="multilevel"/>
    <w:tmpl w:val="F692EA61"/>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4">
    <w:nsid w:val="FFFFFF81"/>
    <w:multiLevelType w:val="singleLevel"/>
    <w:tmpl w:val="FFFFFF81"/>
    <w:lvl w:ilvl="0" w:tentative="0">
      <w:start w:val="1"/>
      <w:numFmt w:val="bullet"/>
      <w:pStyle w:val="14"/>
      <w:lvlText w:val=""/>
      <w:lvlJc w:val="left"/>
      <w:pPr>
        <w:tabs>
          <w:tab w:val="left" w:pos="1440"/>
        </w:tabs>
        <w:ind w:left="1440" w:hanging="360"/>
      </w:pPr>
      <w:rPr>
        <w:rFonts w:hint="default" w:ascii="Symbol" w:hAnsi="Symbol" w:eastAsia="Symbol"/>
      </w:rPr>
    </w:lvl>
  </w:abstractNum>
  <w:abstractNum w:abstractNumId="5">
    <w:nsid w:val="00000007"/>
    <w:multiLevelType w:val="multilevel"/>
    <w:tmpl w:val="00000007"/>
    <w:lvl w:ilvl="0" w:tentative="0">
      <w:start w:val="1"/>
      <w:numFmt w:val="bullet"/>
      <w:pStyle w:val="102"/>
      <w:lvlText w:val=""/>
      <w:lvlJc w:val="left"/>
      <w:pPr>
        <w:tabs>
          <w:tab w:val="left" w:pos="840"/>
        </w:tabs>
        <w:ind w:left="840" w:hanging="420"/>
      </w:pPr>
      <w:rPr>
        <w:rFonts w:hint="default" w:ascii="Wingdings" w:hAnsi="Wingdings"/>
      </w:rPr>
    </w:lvl>
    <w:lvl w:ilvl="1" w:tentative="0">
      <w:start w:val="1"/>
      <w:numFmt w:val="bullet"/>
      <w:pStyle w:val="86"/>
      <w:lvlText w:val=""/>
      <w:lvlJc w:val="left"/>
      <w:pPr>
        <w:tabs>
          <w:tab w:val="left" w:pos="1260"/>
        </w:tabs>
        <w:ind w:left="1260" w:hanging="420"/>
      </w:pPr>
      <w:rPr>
        <w:rFonts w:hint="default" w:ascii="Wingdings" w:hAnsi="Wingdings"/>
      </w:rPr>
    </w:lvl>
    <w:lvl w:ilvl="2" w:tentative="0">
      <w:start w:val="1"/>
      <w:numFmt w:val="bullet"/>
      <w:pStyle w:val="340"/>
      <w:lvlText w:val=""/>
      <w:lvlJc w:val="left"/>
      <w:pPr>
        <w:tabs>
          <w:tab w:val="left" w:pos="1680"/>
        </w:tabs>
        <w:ind w:left="1680" w:hanging="420"/>
      </w:pPr>
      <w:rPr>
        <w:rFonts w:hint="default" w:ascii="Wingdings" w:hAnsi="Wingdings"/>
      </w:rPr>
    </w:lvl>
    <w:lvl w:ilvl="3" w:tentative="0">
      <w:start w:val="1"/>
      <w:numFmt w:val="bullet"/>
      <w:pStyle w:val="173"/>
      <w:lvlText w:val=""/>
      <w:lvlJc w:val="left"/>
      <w:pPr>
        <w:tabs>
          <w:tab w:val="left" w:pos="2100"/>
        </w:tabs>
        <w:ind w:left="2100" w:hanging="420"/>
      </w:pPr>
      <w:rPr>
        <w:rFonts w:hint="default" w:ascii="Wingdings" w:hAnsi="Wingdings"/>
      </w:rPr>
    </w:lvl>
    <w:lvl w:ilvl="4" w:tentative="0">
      <w:start w:val="1"/>
      <w:numFmt w:val="bullet"/>
      <w:pStyle w:val="410"/>
      <w:lvlText w:val=""/>
      <w:lvlJc w:val="left"/>
      <w:pPr>
        <w:tabs>
          <w:tab w:val="left" w:pos="2520"/>
        </w:tabs>
        <w:ind w:left="2520" w:hanging="420"/>
      </w:pPr>
      <w:rPr>
        <w:rFonts w:hint="default" w:ascii="Wingdings" w:hAnsi="Wingdings"/>
      </w:rPr>
    </w:lvl>
    <w:lvl w:ilvl="5" w:tentative="0">
      <w:start w:val="1"/>
      <w:numFmt w:val="bullet"/>
      <w:pStyle w:val="171"/>
      <w:lvlText w:val=""/>
      <w:lvlJc w:val="left"/>
      <w:pPr>
        <w:tabs>
          <w:tab w:val="left" w:pos="2940"/>
        </w:tabs>
        <w:ind w:left="2940" w:hanging="420"/>
      </w:pPr>
      <w:rPr>
        <w:rFonts w:hint="default" w:ascii="Wingdings" w:hAnsi="Wingdings"/>
      </w:rPr>
    </w:lvl>
    <w:lvl w:ilvl="6" w:tentative="0">
      <w:start w:val="1"/>
      <w:numFmt w:val="bullet"/>
      <w:pStyle w:val="398"/>
      <w:lvlText w:val=""/>
      <w:lvlJc w:val="left"/>
      <w:pPr>
        <w:tabs>
          <w:tab w:val="left" w:pos="3360"/>
        </w:tabs>
        <w:ind w:left="3360" w:hanging="420"/>
      </w:pPr>
      <w:rPr>
        <w:rFonts w:hint="default" w:ascii="Wingdings" w:hAnsi="Wingdings"/>
      </w:rPr>
    </w:lvl>
    <w:lvl w:ilvl="7" w:tentative="0">
      <w:start w:val="1"/>
      <w:numFmt w:val="bullet"/>
      <w:pStyle w:val="278"/>
      <w:lvlText w:val=""/>
      <w:lvlJc w:val="left"/>
      <w:pPr>
        <w:tabs>
          <w:tab w:val="left" w:pos="3780"/>
        </w:tabs>
        <w:ind w:left="3780" w:hanging="420"/>
      </w:pPr>
      <w:rPr>
        <w:rFonts w:hint="default" w:ascii="Wingdings" w:hAnsi="Wingdings"/>
      </w:rPr>
    </w:lvl>
    <w:lvl w:ilvl="8" w:tentative="0">
      <w:start w:val="1"/>
      <w:numFmt w:val="bullet"/>
      <w:pStyle w:val="371"/>
      <w:lvlText w:val=""/>
      <w:lvlJc w:val="left"/>
      <w:pPr>
        <w:tabs>
          <w:tab w:val="left" w:pos="4200"/>
        </w:tabs>
        <w:ind w:left="4200" w:hanging="420"/>
      </w:pPr>
      <w:rPr>
        <w:rFonts w:hint="default" w:ascii="Wingdings" w:hAnsi="Wingdings"/>
      </w:rPr>
    </w:lvl>
  </w:abstractNum>
  <w:abstractNum w:abstractNumId="6">
    <w:nsid w:val="0000000A"/>
    <w:multiLevelType w:val="multilevel"/>
    <w:tmpl w:val="0000000A"/>
    <w:lvl w:ilvl="0" w:tentative="0">
      <w:start w:val="1"/>
      <w:numFmt w:val="decimal"/>
      <w:pStyle w:val="4"/>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7">
    <w:nsid w:val="11744E57"/>
    <w:multiLevelType w:val="multilevel"/>
    <w:tmpl w:val="11744E57"/>
    <w:lvl w:ilvl="0" w:tentative="0">
      <w:start w:val="1"/>
      <w:numFmt w:val="decimal"/>
      <w:pStyle w:val="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900"/>
        </w:tabs>
        <w:ind w:left="90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8">
    <w:nsid w:val="34088D56"/>
    <w:multiLevelType w:val="singleLevel"/>
    <w:tmpl w:val="34088D56"/>
    <w:lvl w:ilvl="0" w:tentative="0">
      <w:start w:val="5"/>
      <w:numFmt w:val="chineseCounting"/>
      <w:suff w:val="nothing"/>
      <w:lvlText w:val="（%1）"/>
      <w:lvlJc w:val="left"/>
      <w:rPr>
        <w:rFonts w:hint="eastAsia"/>
      </w:rPr>
    </w:lvl>
  </w:abstractNum>
  <w:abstractNum w:abstractNumId="9">
    <w:nsid w:val="4E54F165"/>
    <w:multiLevelType w:val="singleLevel"/>
    <w:tmpl w:val="4E54F165"/>
    <w:lvl w:ilvl="0" w:tentative="0">
      <w:start w:val="2"/>
      <w:numFmt w:val="chineseCounting"/>
      <w:suff w:val="nothing"/>
      <w:lvlText w:val="（%1）"/>
      <w:lvlJc w:val="left"/>
      <w:rPr>
        <w:rFonts w:hint="eastAsia"/>
      </w:rPr>
    </w:lvl>
  </w:abstractNum>
  <w:abstractNum w:abstractNumId="10">
    <w:nsid w:val="578B3BD2"/>
    <w:multiLevelType w:val="multilevel"/>
    <w:tmpl w:val="578B3BD2"/>
    <w:lvl w:ilvl="0" w:tentative="0">
      <w:start w:val="1"/>
      <w:numFmt w:val="decimal"/>
      <w:pStyle w:val="413"/>
      <w:lvlText w:val="%1"/>
      <w:lvlJc w:val="left"/>
      <w:pPr>
        <w:tabs>
          <w:tab w:val="left" w:pos="480"/>
        </w:tabs>
        <w:ind w:left="480" w:hanging="480"/>
      </w:pPr>
      <w:rPr>
        <w:rFonts w:hint="eastAsia"/>
        <w:sz w:val="44"/>
        <w:szCs w:val="44"/>
      </w:rPr>
    </w:lvl>
    <w:lvl w:ilvl="1" w:tentative="0">
      <w:start w:val="1"/>
      <w:numFmt w:val="decimal"/>
      <w:pStyle w:val="333"/>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401"/>
      <w:lvlText w:val="%1.%2.%3.%4.%5"/>
      <w:lvlJc w:val="left"/>
      <w:pPr>
        <w:tabs>
          <w:tab w:val="left" w:pos="1080"/>
        </w:tabs>
        <w:ind w:left="1080" w:hanging="1080"/>
      </w:pPr>
      <w:rPr>
        <w:rFonts w:hint="default"/>
      </w:rPr>
    </w:lvl>
    <w:lvl w:ilvl="5" w:tentative="0">
      <w:start w:val="1"/>
      <w:numFmt w:val="decimal"/>
      <w:pStyle w:val="215"/>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1">
    <w:nsid w:val="73596DCC"/>
    <w:multiLevelType w:val="multilevel"/>
    <w:tmpl w:val="73596DCC"/>
    <w:lvl w:ilvl="0" w:tentative="0">
      <w:start w:val="1"/>
      <w:numFmt w:val="bullet"/>
      <w:pStyle w:val="319"/>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2">
    <w:nsid w:val="7BF5E373"/>
    <w:multiLevelType w:val="singleLevel"/>
    <w:tmpl w:val="7BF5E373"/>
    <w:lvl w:ilvl="0" w:tentative="0">
      <w:start w:val="1"/>
      <w:numFmt w:val="chineseCounting"/>
      <w:suff w:val="nothing"/>
      <w:lvlText w:val="（%1）"/>
      <w:lvlJc w:val="left"/>
      <w:rPr>
        <w:rFonts w:hint="eastAsia"/>
      </w:rPr>
    </w:lvl>
  </w:abstractNum>
  <w:num w:numId="1">
    <w:abstractNumId w:val="7"/>
  </w:num>
  <w:num w:numId="2">
    <w:abstractNumId w:val="6"/>
  </w:num>
  <w:num w:numId="3">
    <w:abstractNumId w:val="4"/>
  </w:num>
  <w:num w:numId="4">
    <w:abstractNumId w:val="5"/>
  </w:num>
  <w:num w:numId="5">
    <w:abstractNumId w:val="10"/>
  </w:num>
  <w:num w:numId="6">
    <w:abstractNumId w:val="11"/>
  </w:num>
  <w:num w:numId="7">
    <w:abstractNumId w:val="1"/>
  </w:num>
  <w:num w:numId="8">
    <w:abstractNumId w:val="0"/>
  </w:num>
  <w:num w:numId="9">
    <w:abstractNumId w:val="12"/>
  </w:num>
  <w:num w:numId="10">
    <w:abstractNumId w:val="9"/>
  </w:num>
  <w:num w:numId="11">
    <w:abstractNumId w:val="8"/>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roeWWaGJxaTcemWeGnj8kOX8ytM=" w:salt="rYpO4UvojGomgJjn2pfidg=="/>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jZDdlZTgyNDM5MTU0YmM3NzA2Y2EwNTAxZDc0YmEifQ=="/>
  </w:docVars>
  <w:rsids>
    <w:rsidRoot w:val="00172A27"/>
    <w:rsid w:val="0000133D"/>
    <w:rsid w:val="00002C46"/>
    <w:rsid w:val="0000488B"/>
    <w:rsid w:val="00005CAC"/>
    <w:rsid w:val="00006109"/>
    <w:rsid w:val="00006725"/>
    <w:rsid w:val="0000675E"/>
    <w:rsid w:val="00007CAA"/>
    <w:rsid w:val="00010FE9"/>
    <w:rsid w:val="0001122F"/>
    <w:rsid w:val="00012BE8"/>
    <w:rsid w:val="00013F31"/>
    <w:rsid w:val="00015116"/>
    <w:rsid w:val="00015FD7"/>
    <w:rsid w:val="000170C8"/>
    <w:rsid w:val="000172A5"/>
    <w:rsid w:val="000173F4"/>
    <w:rsid w:val="000217DE"/>
    <w:rsid w:val="00022853"/>
    <w:rsid w:val="00025776"/>
    <w:rsid w:val="00025D90"/>
    <w:rsid w:val="000270F2"/>
    <w:rsid w:val="00027540"/>
    <w:rsid w:val="00030572"/>
    <w:rsid w:val="00030CB3"/>
    <w:rsid w:val="0003206A"/>
    <w:rsid w:val="00032EA0"/>
    <w:rsid w:val="00034FA7"/>
    <w:rsid w:val="000357E4"/>
    <w:rsid w:val="00042533"/>
    <w:rsid w:val="00042E65"/>
    <w:rsid w:val="0004347C"/>
    <w:rsid w:val="00043907"/>
    <w:rsid w:val="00044F48"/>
    <w:rsid w:val="0004651A"/>
    <w:rsid w:val="00050656"/>
    <w:rsid w:val="00051B54"/>
    <w:rsid w:val="000534EE"/>
    <w:rsid w:val="00054D39"/>
    <w:rsid w:val="0005501B"/>
    <w:rsid w:val="000554C7"/>
    <w:rsid w:val="00055A61"/>
    <w:rsid w:val="00056118"/>
    <w:rsid w:val="000578A3"/>
    <w:rsid w:val="00057FC8"/>
    <w:rsid w:val="000600BA"/>
    <w:rsid w:val="00061A3C"/>
    <w:rsid w:val="000620B0"/>
    <w:rsid w:val="000646CA"/>
    <w:rsid w:val="00064A21"/>
    <w:rsid w:val="00064D05"/>
    <w:rsid w:val="0006572A"/>
    <w:rsid w:val="00065868"/>
    <w:rsid w:val="000665C4"/>
    <w:rsid w:val="00067821"/>
    <w:rsid w:val="0006785E"/>
    <w:rsid w:val="00067E1A"/>
    <w:rsid w:val="00070825"/>
    <w:rsid w:val="00072AED"/>
    <w:rsid w:val="00072D2B"/>
    <w:rsid w:val="000730B1"/>
    <w:rsid w:val="00073860"/>
    <w:rsid w:val="00074528"/>
    <w:rsid w:val="00074B1F"/>
    <w:rsid w:val="00075D0E"/>
    <w:rsid w:val="00075F6A"/>
    <w:rsid w:val="000763F3"/>
    <w:rsid w:val="000768B4"/>
    <w:rsid w:val="00077607"/>
    <w:rsid w:val="00077756"/>
    <w:rsid w:val="0007784C"/>
    <w:rsid w:val="000802C0"/>
    <w:rsid w:val="00080970"/>
    <w:rsid w:val="00083DDA"/>
    <w:rsid w:val="0008580E"/>
    <w:rsid w:val="00085A0E"/>
    <w:rsid w:val="00086F8A"/>
    <w:rsid w:val="000904F6"/>
    <w:rsid w:val="00090ED8"/>
    <w:rsid w:val="0009145F"/>
    <w:rsid w:val="00091B4E"/>
    <w:rsid w:val="00091D89"/>
    <w:rsid w:val="00092FE9"/>
    <w:rsid w:val="00094342"/>
    <w:rsid w:val="000960BA"/>
    <w:rsid w:val="0009662A"/>
    <w:rsid w:val="000A1A52"/>
    <w:rsid w:val="000A1F98"/>
    <w:rsid w:val="000A23CE"/>
    <w:rsid w:val="000A2C30"/>
    <w:rsid w:val="000A4047"/>
    <w:rsid w:val="000A49BB"/>
    <w:rsid w:val="000A4C67"/>
    <w:rsid w:val="000A5674"/>
    <w:rsid w:val="000A5A46"/>
    <w:rsid w:val="000B0E04"/>
    <w:rsid w:val="000B3E3E"/>
    <w:rsid w:val="000B4B56"/>
    <w:rsid w:val="000B53F1"/>
    <w:rsid w:val="000B54C1"/>
    <w:rsid w:val="000B62AC"/>
    <w:rsid w:val="000B6BDF"/>
    <w:rsid w:val="000B73A2"/>
    <w:rsid w:val="000C053E"/>
    <w:rsid w:val="000C0A43"/>
    <w:rsid w:val="000C1ADE"/>
    <w:rsid w:val="000C1C38"/>
    <w:rsid w:val="000C222C"/>
    <w:rsid w:val="000C2264"/>
    <w:rsid w:val="000C33C8"/>
    <w:rsid w:val="000C3E9F"/>
    <w:rsid w:val="000C4727"/>
    <w:rsid w:val="000C47AE"/>
    <w:rsid w:val="000C51AD"/>
    <w:rsid w:val="000C5374"/>
    <w:rsid w:val="000C5EC0"/>
    <w:rsid w:val="000C6688"/>
    <w:rsid w:val="000C7BEB"/>
    <w:rsid w:val="000C7F90"/>
    <w:rsid w:val="000D11E5"/>
    <w:rsid w:val="000D1D28"/>
    <w:rsid w:val="000D2A10"/>
    <w:rsid w:val="000D2BB1"/>
    <w:rsid w:val="000D34C8"/>
    <w:rsid w:val="000D34FD"/>
    <w:rsid w:val="000D3BB6"/>
    <w:rsid w:val="000D3BE5"/>
    <w:rsid w:val="000D3C37"/>
    <w:rsid w:val="000D579C"/>
    <w:rsid w:val="000D5EA6"/>
    <w:rsid w:val="000D6C9F"/>
    <w:rsid w:val="000D6E3B"/>
    <w:rsid w:val="000D7902"/>
    <w:rsid w:val="000D7CE0"/>
    <w:rsid w:val="000E1DD9"/>
    <w:rsid w:val="000E2785"/>
    <w:rsid w:val="000E27BB"/>
    <w:rsid w:val="000E3153"/>
    <w:rsid w:val="000E3403"/>
    <w:rsid w:val="000E386F"/>
    <w:rsid w:val="000E4051"/>
    <w:rsid w:val="000E5B7E"/>
    <w:rsid w:val="000E5FF9"/>
    <w:rsid w:val="000E6AE1"/>
    <w:rsid w:val="000E7142"/>
    <w:rsid w:val="000E7632"/>
    <w:rsid w:val="000E7739"/>
    <w:rsid w:val="000E77EE"/>
    <w:rsid w:val="000F0789"/>
    <w:rsid w:val="000F159D"/>
    <w:rsid w:val="000F2940"/>
    <w:rsid w:val="000F3D08"/>
    <w:rsid w:val="000F505B"/>
    <w:rsid w:val="000F5837"/>
    <w:rsid w:val="000F68A0"/>
    <w:rsid w:val="00100976"/>
    <w:rsid w:val="0010118C"/>
    <w:rsid w:val="0010125E"/>
    <w:rsid w:val="00101967"/>
    <w:rsid w:val="001035C0"/>
    <w:rsid w:val="00104CAD"/>
    <w:rsid w:val="00104E5B"/>
    <w:rsid w:val="00104EEC"/>
    <w:rsid w:val="001050DC"/>
    <w:rsid w:val="001052A9"/>
    <w:rsid w:val="00105482"/>
    <w:rsid w:val="001055F5"/>
    <w:rsid w:val="00105BA9"/>
    <w:rsid w:val="00106C42"/>
    <w:rsid w:val="00107BBD"/>
    <w:rsid w:val="00107E1B"/>
    <w:rsid w:val="00111C7D"/>
    <w:rsid w:val="00112038"/>
    <w:rsid w:val="00112467"/>
    <w:rsid w:val="001127FF"/>
    <w:rsid w:val="00112B0B"/>
    <w:rsid w:val="00112B42"/>
    <w:rsid w:val="00114847"/>
    <w:rsid w:val="0011585B"/>
    <w:rsid w:val="00115B1A"/>
    <w:rsid w:val="001168F8"/>
    <w:rsid w:val="001228C8"/>
    <w:rsid w:val="0012419E"/>
    <w:rsid w:val="001243E9"/>
    <w:rsid w:val="001248EF"/>
    <w:rsid w:val="001249D1"/>
    <w:rsid w:val="00124F76"/>
    <w:rsid w:val="00124FC4"/>
    <w:rsid w:val="001259B8"/>
    <w:rsid w:val="00127DAB"/>
    <w:rsid w:val="00131C2D"/>
    <w:rsid w:val="001350F7"/>
    <w:rsid w:val="00135141"/>
    <w:rsid w:val="00135769"/>
    <w:rsid w:val="00135BE9"/>
    <w:rsid w:val="001374DC"/>
    <w:rsid w:val="0013773D"/>
    <w:rsid w:val="00140D7A"/>
    <w:rsid w:val="00141EDD"/>
    <w:rsid w:val="00142BAD"/>
    <w:rsid w:val="001430C3"/>
    <w:rsid w:val="00144649"/>
    <w:rsid w:val="001451BB"/>
    <w:rsid w:val="00145662"/>
    <w:rsid w:val="00145C6D"/>
    <w:rsid w:val="00146151"/>
    <w:rsid w:val="0014792B"/>
    <w:rsid w:val="00147EA7"/>
    <w:rsid w:val="00151B2F"/>
    <w:rsid w:val="001524DC"/>
    <w:rsid w:val="001525E5"/>
    <w:rsid w:val="00153859"/>
    <w:rsid w:val="00153ED0"/>
    <w:rsid w:val="00155A91"/>
    <w:rsid w:val="00157432"/>
    <w:rsid w:val="00160BE5"/>
    <w:rsid w:val="00161185"/>
    <w:rsid w:val="00161853"/>
    <w:rsid w:val="00161C7D"/>
    <w:rsid w:val="00162E0E"/>
    <w:rsid w:val="00167594"/>
    <w:rsid w:val="001702BE"/>
    <w:rsid w:val="00170442"/>
    <w:rsid w:val="001706E4"/>
    <w:rsid w:val="0017105C"/>
    <w:rsid w:val="00171622"/>
    <w:rsid w:val="001721CF"/>
    <w:rsid w:val="001728FD"/>
    <w:rsid w:val="00172A27"/>
    <w:rsid w:val="00172F02"/>
    <w:rsid w:val="001735D7"/>
    <w:rsid w:val="00173631"/>
    <w:rsid w:val="0017372D"/>
    <w:rsid w:val="00173E59"/>
    <w:rsid w:val="00176BC8"/>
    <w:rsid w:val="00180244"/>
    <w:rsid w:val="00180A47"/>
    <w:rsid w:val="00181272"/>
    <w:rsid w:val="001823B6"/>
    <w:rsid w:val="001827B7"/>
    <w:rsid w:val="001827EF"/>
    <w:rsid w:val="00182982"/>
    <w:rsid w:val="00182D68"/>
    <w:rsid w:val="00182E98"/>
    <w:rsid w:val="0018397E"/>
    <w:rsid w:val="00183BA7"/>
    <w:rsid w:val="00186D20"/>
    <w:rsid w:val="00187243"/>
    <w:rsid w:val="001878FE"/>
    <w:rsid w:val="00187C29"/>
    <w:rsid w:val="00187F55"/>
    <w:rsid w:val="00190942"/>
    <w:rsid w:val="00191459"/>
    <w:rsid w:val="0019174E"/>
    <w:rsid w:val="00191EF8"/>
    <w:rsid w:val="00192690"/>
    <w:rsid w:val="00193B94"/>
    <w:rsid w:val="001940A7"/>
    <w:rsid w:val="00194BB1"/>
    <w:rsid w:val="00195070"/>
    <w:rsid w:val="00195D82"/>
    <w:rsid w:val="0019602C"/>
    <w:rsid w:val="001A07F8"/>
    <w:rsid w:val="001A1D48"/>
    <w:rsid w:val="001A1F0E"/>
    <w:rsid w:val="001A1F2D"/>
    <w:rsid w:val="001A473A"/>
    <w:rsid w:val="001A4996"/>
    <w:rsid w:val="001A5785"/>
    <w:rsid w:val="001A66A6"/>
    <w:rsid w:val="001A6BBB"/>
    <w:rsid w:val="001A79A2"/>
    <w:rsid w:val="001B13BF"/>
    <w:rsid w:val="001B16B1"/>
    <w:rsid w:val="001B16F5"/>
    <w:rsid w:val="001B1992"/>
    <w:rsid w:val="001B1BD9"/>
    <w:rsid w:val="001B1C1F"/>
    <w:rsid w:val="001B219B"/>
    <w:rsid w:val="001B2703"/>
    <w:rsid w:val="001B2ABD"/>
    <w:rsid w:val="001B3D69"/>
    <w:rsid w:val="001B4272"/>
    <w:rsid w:val="001B46B2"/>
    <w:rsid w:val="001B4CA8"/>
    <w:rsid w:val="001B572D"/>
    <w:rsid w:val="001B738E"/>
    <w:rsid w:val="001B7B69"/>
    <w:rsid w:val="001C0616"/>
    <w:rsid w:val="001C0DD2"/>
    <w:rsid w:val="001C10BD"/>
    <w:rsid w:val="001C1B4A"/>
    <w:rsid w:val="001C1F01"/>
    <w:rsid w:val="001C232F"/>
    <w:rsid w:val="001C31F5"/>
    <w:rsid w:val="001C3EC2"/>
    <w:rsid w:val="001C44BC"/>
    <w:rsid w:val="001C5885"/>
    <w:rsid w:val="001C6698"/>
    <w:rsid w:val="001C6700"/>
    <w:rsid w:val="001D1D55"/>
    <w:rsid w:val="001D21EF"/>
    <w:rsid w:val="001D31D0"/>
    <w:rsid w:val="001D330D"/>
    <w:rsid w:val="001D4AD3"/>
    <w:rsid w:val="001D5A94"/>
    <w:rsid w:val="001E1ABC"/>
    <w:rsid w:val="001E59FB"/>
    <w:rsid w:val="001E787E"/>
    <w:rsid w:val="001F087C"/>
    <w:rsid w:val="001F0DA4"/>
    <w:rsid w:val="001F0FD1"/>
    <w:rsid w:val="001F1F18"/>
    <w:rsid w:val="001F2F92"/>
    <w:rsid w:val="001F6095"/>
    <w:rsid w:val="001F7957"/>
    <w:rsid w:val="00200E37"/>
    <w:rsid w:val="00201EE3"/>
    <w:rsid w:val="00202D33"/>
    <w:rsid w:val="00202F99"/>
    <w:rsid w:val="00203C85"/>
    <w:rsid w:val="002049C6"/>
    <w:rsid w:val="00205298"/>
    <w:rsid w:val="002054F4"/>
    <w:rsid w:val="00210221"/>
    <w:rsid w:val="00210B9C"/>
    <w:rsid w:val="002119BD"/>
    <w:rsid w:val="00212CFB"/>
    <w:rsid w:val="00212E87"/>
    <w:rsid w:val="00213FC4"/>
    <w:rsid w:val="00214028"/>
    <w:rsid w:val="002141C3"/>
    <w:rsid w:val="002141DC"/>
    <w:rsid w:val="00214479"/>
    <w:rsid w:val="002144F3"/>
    <w:rsid w:val="00215A2A"/>
    <w:rsid w:val="00216387"/>
    <w:rsid w:val="00217427"/>
    <w:rsid w:val="002204BC"/>
    <w:rsid w:val="0022234D"/>
    <w:rsid w:val="002223FA"/>
    <w:rsid w:val="00222C78"/>
    <w:rsid w:val="00224B9B"/>
    <w:rsid w:val="0022555A"/>
    <w:rsid w:val="0023114A"/>
    <w:rsid w:val="0023205A"/>
    <w:rsid w:val="0023265B"/>
    <w:rsid w:val="00233538"/>
    <w:rsid w:val="002344F5"/>
    <w:rsid w:val="0023454D"/>
    <w:rsid w:val="002345FC"/>
    <w:rsid w:val="00234679"/>
    <w:rsid w:val="00236127"/>
    <w:rsid w:val="002361A2"/>
    <w:rsid w:val="00236690"/>
    <w:rsid w:val="0023669D"/>
    <w:rsid w:val="002370E7"/>
    <w:rsid w:val="00237755"/>
    <w:rsid w:val="00237A7C"/>
    <w:rsid w:val="00237FA2"/>
    <w:rsid w:val="00240121"/>
    <w:rsid w:val="00240225"/>
    <w:rsid w:val="00240F67"/>
    <w:rsid w:val="00241144"/>
    <w:rsid w:val="00242009"/>
    <w:rsid w:val="0024216E"/>
    <w:rsid w:val="00242510"/>
    <w:rsid w:val="00243F5D"/>
    <w:rsid w:val="0024415B"/>
    <w:rsid w:val="0024503F"/>
    <w:rsid w:val="00245269"/>
    <w:rsid w:val="00247422"/>
    <w:rsid w:val="00247B53"/>
    <w:rsid w:val="00247BA2"/>
    <w:rsid w:val="00251CB4"/>
    <w:rsid w:val="00252862"/>
    <w:rsid w:val="002531BD"/>
    <w:rsid w:val="002533FE"/>
    <w:rsid w:val="002537FC"/>
    <w:rsid w:val="002543EF"/>
    <w:rsid w:val="00255146"/>
    <w:rsid w:val="00255ADA"/>
    <w:rsid w:val="0025631F"/>
    <w:rsid w:val="00256986"/>
    <w:rsid w:val="00257246"/>
    <w:rsid w:val="002601AE"/>
    <w:rsid w:val="0026130D"/>
    <w:rsid w:val="00263044"/>
    <w:rsid w:val="002630E7"/>
    <w:rsid w:val="00263759"/>
    <w:rsid w:val="0026385E"/>
    <w:rsid w:val="002645DB"/>
    <w:rsid w:val="0026470B"/>
    <w:rsid w:val="0026486D"/>
    <w:rsid w:val="00264966"/>
    <w:rsid w:val="00264CEB"/>
    <w:rsid w:val="002660C3"/>
    <w:rsid w:val="00266DE1"/>
    <w:rsid w:val="00266E08"/>
    <w:rsid w:val="00267E43"/>
    <w:rsid w:val="00273C5F"/>
    <w:rsid w:val="00274C6D"/>
    <w:rsid w:val="0027500A"/>
    <w:rsid w:val="002751CA"/>
    <w:rsid w:val="0027544D"/>
    <w:rsid w:val="002778AB"/>
    <w:rsid w:val="002802A5"/>
    <w:rsid w:val="00281BCB"/>
    <w:rsid w:val="00282CA4"/>
    <w:rsid w:val="00283025"/>
    <w:rsid w:val="00283B06"/>
    <w:rsid w:val="0028583E"/>
    <w:rsid w:val="00285FF3"/>
    <w:rsid w:val="0028744E"/>
    <w:rsid w:val="0028766A"/>
    <w:rsid w:val="00287936"/>
    <w:rsid w:val="002903C5"/>
    <w:rsid w:val="00290A99"/>
    <w:rsid w:val="00290EAF"/>
    <w:rsid w:val="0029159A"/>
    <w:rsid w:val="00292AA1"/>
    <w:rsid w:val="0029499D"/>
    <w:rsid w:val="00294A13"/>
    <w:rsid w:val="00295073"/>
    <w:rsid w:val="00295DC3"/>
    <w:rsid w:val="002968BD"/>
    <w:rsid w:val="0029704D"/>
    <w:rsid w:val="002979C5"/>
    <w:rsid w:val="00297AF5"/>
    <w:rsid w:val="002A02D6"/>
    <w:rsid w:val="002A07C4"/>
    <w:rsid w:val="002A0921"/>
    <w:rsid w:val="002A123D"/>
    <w:rsid w:val="002A2001"/>
    <w:rsid w:val="002A30AD"/>
    <w:rsid w:val="002A40B2"/>
    <w:rsid w:val="002A4EB3"/>
    <w:rsid w:val="002A51D9"/>
    <w:rsid w:val="002A5275"/>
    <w:rsid w:val="002A7FB3"/>
    <w:rsid w:val="002B2906"/>
    <w:rsid w:val="002B35C5"/>
    <w:rsid w:val="002B50B3"/>
    <w:rsid w:val="002B5AEE"/>
    <w:rsid w:val="002B5CD6"/>
    <w:rsid w:val="002B6177"/>
    <w:rsid w:val="002B646B"/>
    <w:rsid w:val="002B68E6"/>
    <w:rsid w:val="002B6985"/>
    <w:rsid w:val="002B7242"/>
    <w:rsid w:val="002C0032"/>
    <w:rsid w:val="002C0301"/>
    <w:rsid w:val="002C0326"/>
    <w:rsid w:val="002C0A9F"/>
    <w:rsid w:val="002C1BB7"/>
    <w:rsid w:val="002C1CC2"/>
    <w:rsid w:val="002C28E1"/>
    <w:rsid w:val="002C3890"/>
    <w:rsid w:val="002C3DD5"/>
    <w:rsid w:val="002C643D"/>
    <w:rsid w:val="002C70E7"/>
    <w:rsid w:val="002C77AC"/>
    <w:rsid w:val="002D22A6"/>
    <w:rsid w:val="002D2496"/>
    <w:rsid w:val="002D2C71"/>
    <w:rsid w:val="002D2CD6"/>
    <w:rsid w:val="002D2F81"/>
    <w:rsid w:val="002D3BA3"/>
    <w:rsid w:val="002D4892"/>
    <w:rsid w:val="002D4D06"/>
    <w:rsid w:val="002D4E19"/>
    <w:rsid w:val="002D4EE7"/>
    <w:rsid w:val="002D4EED"/>
    <w:rsid w:val="002D6782"/>
    <w:rsid w:val="002D707C"/>
    <w:rsid w:val="002D7DB2"/>
    <w:rsid w:val="002D7FB2"/>
    <w:rsid w:val="002E0542"/>
    <w:rsid w:val="002E0E87"/>
    <w:rsid w:val="002E1EC1"/>
    <w:rsid w:val="002E201C"/>
    <w:rsid w:val="002E28A0"/>
    <w:rsid w:val="002E2E79"/>
    <w:rsid w:val="002E3956"/>
    <w:rsid w:val="002E3D77"/>
    <w:rsid w:val="002E5359"/>
    <w:rsid w:val="002E672A"/>
    <w:rsid w:val="002E6853"/>
    <w:rsid w:val="002E7EE5"/>
    <w:rsid w:val="002F0323"/>
    <w:rsid w:val="002F0939"/>
    <w:rsid w:val="002F134F"/>
    <w:rsid w:val="002F1D0B"/>
    <w:rsid w:val="002F1F02"/>
    <w:rsid w:val="002F2048"/>
    <w:rsid w:val="002F2D81"/>
    <w:rsid w:val="002F44D0"/>
    <w:rsid w:val="002F47A6"/>
    <w:rsid w:val="002F541B"/>
    <w:rsid w:val="002F6EFF"/>
    <w:rsid w:val="002F7DF0"/>
    <w:rsid w:val="002F7FAF"/>
    <w:rsid w:val="00300AFA"/>
    <w:rsid w:val="00301A22"/>
    <w:rsid w:val="00303959"/>
    <w:rsid w:val="00303AB6"/>
    <w:rsid w:val="00304455"/>
    <w:rsid w:val="00304640"/>
    <w:rsid w:val="00304AC1"/>
    <w:rsid w:val="00305454"/>
    <w:rsid w:val="003066C6"/>
    <w:rsid w:val="00307DC7"/>
    <w:rsid w:val="003102E8"/>
    <w:rsid w:val="00310957"/>
    <w:rsid w:val="00310EDB"/>
    <w:rsid w:val="00312260"/>
    <w:rsid w:val="00312378"/>
    <w:rsid w:val="00312BF8"/>
    <w:rsid w:val="00312DFC"/>
    <w:rsid w:val="0031318C"/>
    <w:rsid w:val="00313C9D"/>
    <w:rsid w:val="00314C5A"/>
    <w:rsid w:val="00314D13"/>
    <w:rsid w:val="0031531A"/>
    <w:rsid w:val="00315394"/>
    <w:rsid w:val="00315A0E"/>
    <w:rsid w:val="00315D77"/>
    <w:rsid w:val="00316254"/>
    <w:rsid w:val="00316CDE"/>
    <w:rsid w:val="00317012"/>
    <w:rsid w:val="00320AAB"/>
    <w:rsid w:val="003219DA"/>
    <w:rsid w:val="0032226B"/>
    <w:rsid w:val="00324B2F"/>
    <w:rsid w:val="00325650"/>
    <w:rsid w:val="00326106"/>
    <w:rsid w:val="003262E4"/>
    <w:rsid w:val="003269B7"/>
    <w:rsid w:val="003272E4"/>
    <w:rsid w:val="003301D9"/>
    <w:rsid w:val="0033082E"/>
    <w:rsid w:val="00331461"/>
    <w:rsid w:val="003316A8"/>
    <w:rsid w:val="00331CC9"/>
    <w:rsid w:val="003320D7"/>
    <w:rsid w:val="00332D52"/>
    <w:rsid w:val="00333337"/>
    <w:rsid w:val="00333A28"/>
    <w:rsid w:val="0033631D"/>
    <w:rsid w:val="003365CB"/>
    <w:rsid w:val="00341225"/>
    <w:rsid w:val="00341CEB"/>
    <w:rsid w:val="0034396F"/>
    <w:rsid w:val="0034458E"/>
    <w:rsid w:val="00344BBF"/>
    <w:rsid w:val="00344F3C"/>
    <w:rsid w:val="00345644"/>
    <w:rsid w:val="00345D7A"/>
    <w:rsid w:val="00346B6D"/>
    <w:rsid w:val="00346BA3"/>
    <w:rsid w:val="00347356"/>
    <w:rsid w:val="00350896"/>
    <w:rsid w:val="003509F6"/>
    <w:rsid w:val="00350C31"/>
    <w:rsid w:val="003519CD"/>
    <w:rsid w:val="00351A3A"/>
    <w:rsid w:val="00352A88"/>
    <w:rsid w:val="0035455F"/>
    <w:rsid w:val="00355D8F"/>
    <w:rsid w:val="00357437"/>
    <w:rsid w:val="003577EF"/>
    <w:rsid w:val="00357F65"/>
    <w:rsid w:val="00360304"/>
    <w:rsid w:val="00361DB9"/>
    <w:rsid w:val="00365427"/>
    <w:rsid w:val="00365888"/>
    <w:rsid w:val="003669C8"/>
    <w:rsid w:val="00366CEB"/>
    <w:rsid w:val="00366D8A"/>
    <w:rsid w:val="003679D3"/>
    <w:rsid w:val="00367A87"/>
    <w:rsid w:val="003703CE"/>
    <w:rsid w:val="00371C6D"/>
    <w:rsid w:val="00372C89"/>
    <w:rsid w:val="00372E9A"/>
    <w:rsid w:val="00374677"/>
    <w:rsid w:val="0037632F"/>
    <w:rsid w:val="00377B26"/>
    <w:rsid w:val="00381014"/>
    <w:rsid w:val="00381F60"/>
    <w:rsid w:val="00382F6C"/>
    <w:rsid w:val="003836B6"/>
    <w:rsid w:val="00383AB0"/>
    <w:rsid w:val="00384814"/>
    <w:rsid w:val="00384C0A"/>
    <w:rsid w:val="00385B16"/>
    <w:rsid w:val="0038637D"/>
    <w:rsid w:val="003865A2"/>
    <w:rsid w:val="00386C07"/>
    <w:rsid w:val="00386F58"/>
    <w:rsid w:val="0038700D"/>
    <w:rsid w:val="0038701B"/>
    <w:rsid w:val="00390C0D"/>
    <w:rsid w:val="00391447"/>
    <w:rsid w:val="003922DE"/>
    <w:rsid w:val="00393B84"/>
    <w:rsid w:val="00393C6A"/>
    <w:rsid w:val="003944EA"/>
    <w:rsid w:val="00394639"/>
    <w:rsid w:val="003962E6"/>
    <w:rsid w:val="00396831"/>
    <w:rsid w:val="003A03EF"/>
    <w:rsid w:val="003A12B6"/>
    <w:rsid w:val="003A20D5"/>
    <w:rsid w:val="003A24CC"/>
    <w:rsid w:val="003A2EE8"/>
    <w:rsid w:val="003A373C"/>
    <w:rsid w:val="003A3E10"/>
    <w:rsid w:val="003A5378"/>
    <w:rsid w:val="003A5405"/>
    <w:rsid w:val="003A5567"/>
    <w:rsid w:val="003A7E2B"/>
    <w:rsid w:val="003A7E40"/>
    <w:rsid w:val="003B0336"/>
    <w:rsid w:val="003B0A3A"/>
    <w:rsid w:val="003B4810"/>
    <w:rsid w:val="003B514E"/>
    <w:rsid w:val="003B5E0A"/>
    <w:rsid w:val="003B613B"/>
    <w:rsid w:val="003B636A"/>
    <w:rsid w:val="003B6AF1"/>
    <w:rsid w:val="003B7D14"/>
    <w:rsid w:val="003C011C"/>
    <w:rsid w:val="003C435B"/>
    <w:rsid w:val="003C4EBE"/>
    <w:rsid w:val="003C685A"/>
    <w:rsid w:val="003C6B25"/>
    <w:rsid w:val="003C6E9C"/>
    <w:rsid w:val="003C781B"/>
    <w:rsid w:val="003C7F12"/>
    <w:rsid w:val="003D03D6"/>
    <w:rsid w:val="003D04C3"/>
    <w:rsid w:val="003D14C8"/>
    <w:rsid w:val="003D1517"/>
    <w:rsid w:val="003D2DA0"/>
    <w:rsid w:val="003D34C3"/>
    <w:rsid w:val="003D34F9"/>
    <w:rsid w:val="003D5681"/>
    <w:rsid w:val="003D5ADB"/>
    <w:rsid w:val="003D6249"/>
    <w:rsid w:val="003D62A2"/>
    <w:rsid w:val="003D663E"/>
    <w:rsid w:val="003D6793"/>
    <w:rsid w:val="003D6B03"/>
    <w:rsid w:val="003D75D8"/>
    <w:rsid w:val="003E0746"/>
    <w:rsid w:val="003E0E7C"/>
    <w:rsid w:val="003E2E25"/>
    <w:rsid w:val="003E336A"/>
    <w:rsid w:val="003E35A8"/>
    <w:rsid w:val="003E4D56"/>
    <w:rsid w:val="003E60DA"/>
    <w:rsid w:val="003E61F6"/>
    <w:rsid w:val="003E6439"/>
    <w:rsid w:val="003E6E00"/>
    <w:rsid w:val="003E725A"/>
    <w:rsid w:val="003E7940"/>
    <w:rsid w:val="003F01BD"/>
    <w:rsid w:val="003F048E"/>
    <w:rsid w:val="003F0AFF"/>
    <w:rsid w:val="003F2C48"/>
    <w:rsid w:val="003F3D90"/>
    <w:rsid w:val="003F431E"/>
    <w:rsid w:val="003F53BB"/>
    <w:rsid w:val="003F56B8"/>
    <w:rsid w:val="003F5D52"/>
    <w:rsid w:val="00400CCB"/>
    <w:rsid w:val="00401373"/>
    <w:rsid w:val="00401386"/>
    <w:rsid w:val="00401E31"/>
    <w:rsid w:val="004035D0"/>
    <w:rsid w:val="00403795"/>
    <w:rsid w:val="00405764"/>
    <w:rsid w:val="00406745"/>
    <w:rsid w:val="00406B32"/>
    <w:rsid w:val="00406D55"/>
    <w:rsid w:val="004074FA"/>
    <w:rsid w:val="00407A56"/>
    <w:rsid w:val="00407FC3"/>
    <w:rsid w:val="00407FCC"/>
    <w:rsid w:val="004113C9"/>
    <w:rsid w:val="00413B8F"/>
    <w:rsid w:val="0041461A"/>
    <w:rsid w:val="00414909"/>
    <w:rsid w:val="00415034"/>
    <w:rsid w:val="00415B1A"/>
    <w:rsid w:val="00415F72"/>
    <w:rsid w:val="004160C1"/>
    <w:rsid w:val="0041690F"/>
    <w:rsid w:val="00416D41"/>
    <w:rsid w:val="00416E7D"/>
    <w:rsid w:val="00417264"/>
    <w:rsid w:val="00417A5F"/>
    <w:rsid w:val="004210C0"/>
    <w:rsid w:val="004211DD"/>
    <w:rsid w:val="00421442"/>
    <w:rsid w:val="00421762"/>
    <w:rsid w:val="00421D4B"/>
    <w:rsid w:val="00421ED8"/>
    <w:rsid w:val="004233AD"/>
    <w:rsid w:val="00425724"/>
    <w:rsid w:val="00426B2C"/>
    <w:rsid w:val="00427FA8"/>
    <w:rsid w:val="004306D4"/>
    <w:rsid w:val="0043088A"/>
    <w:rsid w:val="00430FF1"/>
    <w:rsid w:val="00432ECA"/>
    <w:rsid w:val="004357B1"/>
    <w:rsid w:val="00436CCE"/>
    <w:rsid w:val="004379BB"/>
    <w:rsid w:val="00440262"/>
    <w:rsid w:val="00440814"/>
    <w:rsid w:val="00440844"/>
    <w:rsid w:val="00443EDE"/>
    <w:rsid w:val="0044739A"/>
    <w:rsid w:val="004475F7"/>
    <w:rsid w:val="00447DFB"/>
    <w:rsid w:val="00450522"/>
    <w:rsid w:val="00450B22"/>
    <w:rsid w:val="004533CE"/>
    <w:rsid w:val="0045434E"/>
    <w:rsid w:val="004543AB"/>
    <w:rsid w:val="00455F71"/>
    <w:rsid w:val="00456157"/>
    <w:rsid w:val="00456272"/>
    <w:rsid w:val="00457CF7"/>
    <w:rsid w:val="00457D37"/>
    <w:rsid w:val="00460E68"/>
    <w:rsid w:val="00461F80"/>
    <w:rsid w:val="0046240D"/>
    <w:rsid w:val="00463576"/>
    <w:rsid w:val="0046399D"/>
    <w:rsid w:val="00465264"/>
    <w:rsid w:val="00465781"/>
    <w:rsid w:val="00465A21"/>
    <w:rsid w:val="00466ABA"/>
    <w:rsid w:val="0046775D"/>
    <w:rsid w:val="00470A39"/>
    <w:rsid w:val="00471387"/>
    <w:rsid w:val="00471963"/>
    <w:rsid w:val="00473308"/>
    <w:rsid w:val="004749DA"/>
    <w:rsid w:val="004749DC"/>
    <w:rsid w:val="00474AAD"/>
    <w:rsid w:val="00474DEF"/>
    <w:rsid w:val="004750B9"/>
    <w:rsid w:val="004754AC"/>
    <w:rsid w:val="004758E7"/>
    <w:rsid w:val="00475F67"/>
    <w:rsid w:val="004764C6"/>
    <w:rsid w:val="00477247"/>
    <w:rsid w:val="00477529"/>
    <w:rsid w:val="004776BB"/>
    <w:rsid w:val="00480DC5"/>
    <w:rsid w:val="0048144A"/>
    <w:rsid w:val="00481886"/>
    <w:rsid w:val="00482288"/>
    <w:rsid w:val="00483984"/>
    <w:rsid w:val="00483BC7"/>
    <w:rsid w:val="00483CF0"/>
    <w:rsid w:val="00484D4D"/>
    <w:rsid w:val="004855D9"/>
    <w:rsid w:val="0048664F"/>
    <w:rsid w:val="004868AD"/>
    <w:rsid w:val="00486D00"/>
    <w:rsid w:val="00487FE1"/>
    <w:rsid w:val="00490707"/>
    <w:rsid w:val="00490815"/>
    <w:rsid w:val="004914E8"/>
    <w:rsid w:val="00492B76"/>
    <w:rsid w:val="0049333E"/>
    <w:rsid w:val="0049418F"/>
    <w:rsid w:val="00495DC6"/>
    <w:rsid w:val="00497AAD"/>
    <w:rsid w:val="00497D1A"/>
    <w:rsid w:val="00497EE7"/>
    <w:rsid w:val="004A1DBC"/>
    <w:rsid w:val="004A1EA7"/>
    <w:rsid w:val="004A2C96"/>
    <w:rsid w:val="004A4125"/>
    <w:rsid w:val="004A7364"/>
    <w:rsid w:val="004B026C"/>
    <w:rsid w:val="004B0271"/>
    <w:rsid w:val="004B0BE8"/>
    <w:rsid w:val="004B0E4A"/>
    <w:rsid w:val="004B2463"/>
    <w:rsid w:val="004B305F"/>
    <w:rsid w:val="004B3157"/>
    <w:rsid w:val="004B34C4"/>
    <w:rsid w:val="004B3981"/>
    <w:rsid w:val="004B3AD7"/>
    <w:rsid w:val="004B419F"/>
    <w:rsid w:val="004B7317"/>
    <w:rsid w:val="004B75B2"/>
    <w:rsid w:val="004C11A9"/>
    <w:rsid w:val="004C27CF"/>
    <w:rsid w:val="004C2CA7"/>
    <w:rsid w:val="004C38E3"/>
    <w:rsid w:val="004C45C8"/>
    <w:rsid w:val="004C612E"/>
    <w:rsid w:val="004C6C0A"/>
    <w:rsid w:val="004C7180"/>
    <w:rsid w:val="004C77FF"/>
    <w:rsid w:val="004D0223"/>
    <w:rsid w:val="004D12E8"/>
    <w:rsid w:val="004D138A"/>
    <w:rsid w:val="004D16A3"/>
    <w:rsid w:val="004D1E41"/>
    <w:rsid w:val="004D557D"/>
    <w:rsid w:val="004D6F29"/>
    <w:rsid w:val="004D7974"/>
    <w:rsid w:val="004D7F9C"/>
    <w:rsid w:val="004D7FF2"/>
    <w:rsid w:val="004E1D6F"/>
    <w:rsid w:val="004E1F19"/>
    <w:rsid w:val="004E3A2A"/>
    <w:rsid w:val="004E3AB1"/>
    <w:rsid w:val="004E4003"/>
    <w:rsid w:val="004E6746"/>
    <w:rsid w:val="004E75C1"/>
    <w:rsid w:val="004F045E"/>
    <w:rsid w:val="004F07F2"/>
    <w:rsid w:val="004F0E82"/>
    <w:rsid w:val="004F1847"/>
    <w:rsid w:val="004F2982"/>
    <w:rsid w:val="004F2B46"/>
    <w:rsid w:val="004F2C40"/>
    <w:rsid w:val="004F2CB6"/>
    <w:rsid w:val="004F313F"/>
    <w:rsid w:val="004F38CA"/>
    <w:rsid w:val="004F3EEF"/>
    <w:rsid w:val="004F447B"/>
    <w:rsid w:val="004F4FE8"/>
    <w:rsid w:val="004F531B"/>
    <w:rsid w:val="004F5395"/>
    <w:rsid w:val="004F560C"/>
    <w:rsid w:val="004F728A"/>
    <w:rsid w:val="004F7B47"/>
    <w:rsid w:val="004F7F43"/>
    <w:rsid w:val="005003ED"/>
    <w:rsid w:val="005010BC"/>
    <w:rsid w:val="005020F1"/>
    <w:rsid w:val="005039B8"/>
    <w:rsid w:val="00504CCC"/>
    <w:rsid w:val="0050537D"/>
    <w:rsid w:val="005079F5"/>
    <w:rsid w:val="0051037C"/>
    <w:rsid w:val="0051050F"/>
    <w:rsid w:val="00510DDC"/>
    <w:rsid w:val="00511427"/>
    <w:rsid w:val="005131A2"/>
    <w:rsid w:val="0051440E"/>
    <w:rsid w:val="00514F0B"/>
    <w:rsid w:val="005160EA"/>
    <w:rsid w:val="005173F3"/>
    <w:rsid w:val="00517AC8"/>
    <w:rsid w:val="00517C3E"/>
    <w:rsid w:val="00520581"/>
    <w:rsid w:val="005212F4"/>
    <w:rsid w:val="00521305"/>
    <w:rsid w:val="0052178F"/>
    <w:rsid w:val="00521908"/>
    <w:rsid w:val="00523606"/>
    <w:rsid w:val="00524895"/>
    <w:rsid w:val="005256D6"/>
    <w:rsid w:val="00525AD8"/>
    <w:rsid w:val="00525C01"/>
    <w:rsid w:val="00526429"/>
    <w:rsid w:val="005266C1"/>
    <w:rsid w:val="005267F4"/>
    <w:rsid w:val="00527317"/>
    <w:rsid w:val="00527ED6"/>
    <w:rsid w:val="00531064"/>
    <w:rsid w:val="005335A2"/>
    <w:rsid w:val="00533DEC"/>
    <w:rsid w:val="00536B03"/>
    <w:rsid w:val="00537917"/>
    <w:rsid w:val="00537E83"/>
    <w:rsid w:val="005405B2"/>
    <w:rsid w:val="00540EE7"/>
    <w:rsid w:val="00541A22"/>
    <w:rsid w:val="005426B2"/>
    <w:rsid w:val="00543640"/>
    <w:rsid w:val="005444C6"/>
    <w:rsid w:val="00544F05"/>
    <w:rsid w:val="005454B8"/>
    <w:rsid w:val="0054552C"/>
    <w:rsid w:val="00545B56"/>
    <w:rsid w:val="00545DB9"/>
    <w:rsid w:val="00546BF8"/>
    <w:rsid w:val="00550AD0"/>
    <w:rsid w:val="00550B7E"/>
    <w:rsid w:val="00551B96"/>
    <w:rsid w:val="00551EE7"/>
    <w:rsid w:val="005524ED"/>
    <w:rsid w:val="00554C03"/>
    <w:rsid w:val="005550F9"/>
    <w:rsid w:val="0055525C"/>
    <w:rsid w:val="00556386"/>
    <w:rsid w:val="00556441"/>
    <w:rsid w:val="00561903"/>
    <w:rsid w:val="00561A9B"/>
    <w:rsid w:val="00562FB1"/>
    <w:rsid w:val="00563068"/>
    <w:rsid w:val="00564DA7"/>
    <w:rsid w:val="00564EFA"/>
    <w:rsid w:val="00565204"/>
    <w:rsid w:val="00565473"/>
    <w:rsid w:val="00565DAC"/>
    <w:rsid w:val="00565F0D"/>
    <w:rsid w:val="005662DC"/>
    <w:rsid w:val="00566329"/>
    <w:rsid w:val="005701C2"/>
    <w:rsid w:val="0057117C"/>
    <w:rsid w:val="00573560"/>
    <w:rsid w:val="0057438C"/>
    <w:rsid w:val="00574E7B"/>
    <w:rsid w:val="00576B5C"/>
    <w:rsid w:val="00580DFC"/>
    <w:rsid w:val="00581EC5"/>
    <w:rsid w:val="00581F85"/>
    <w:rsid w:val="00583D43"/>
    <w:rsid w:val="00583FDC"/>
    <w:rsid w:val="005846C3"/>
    <w:rsid w:val="00584F04"/>
    <w:rsid w:val="0058577D"/>
    <w:rsid w:val="005857F7"/>
    <w:rsid w:val="0058589A"/>
    <w:rsid w:val="0058767F"/>
    <w:rsid w:val="00587D7B"/>
    <w:rsid w:val="005901B7"/>
    <w:rsid w:val="005904DB"/>
    <w:rsid w:val="00592825"/>
    <w:rsid w:val="005931BD"/>
    <w:rsid w:val="00593806"/>
    <w:rsid w:val="00594437"/>
    <w:rsid w:val="005955EB"/>
    <w:rsid w:val="0059683E"/>
    <w:rsid w:val="00596CFA"/>
    <w:rsid w:val="005975CE"/>
    <w:rsid w:val="005A1A31"/>
    <w:rsid w:val="005A3377"/>
    <w:rsid w:val="005A36C2"/>
    <w:rsid w:val="005A3719"/>
    <w:rsid w:val="005A3A4F"/>
    <w:rsid w:val="005A3DD7"/>
    <w:rsid w:val="005A418C"/>
    <w:rsid w:val="005A48B5"/>
    <w:rsid w:val="005A4F48"/>
    <w:rsid w:val="005A5036"/>
    <w:rsid w:val="005A56BB"/>
    <w:rsid w:val="005A733D"/>
    <w:rsid w:val="005A7A32"/>
    <w:rsid w:val="005A7F85"/>
    <w:rsid w:val="005B102C"/>
    <w:rsid w:val="005B1AAB"/>
    <w:rsid w:val="005B2930"/>
    <w:rsid w:val="005B2B87"/>
    <w:rsid w:val="005B30E7"/>
    <w:rsid w:val="005B387B"/>
    <w:rsid w:val="005B3B01"/>
    <w:rsid w:val="005B4333"/>
    <w:rsid w:val="005B4534"/>
    <w:rsid w:val="005B4F0B"/>
    <w:rsid w:val="005B5603"/>
    <w:rsid w:val="005B5994"/>
    <w:rsid w:val="005B61F4"/>
    <w:rsid w:val="005B667A"/>
    <w:rsid w:val="005B6FA1"/>
    <w:rsid w:val="005C0372"/>
    <w:rsid w:val="005C039B"/>
    <w:rsid w:val="005C059F"/>
    <w:rsid w:val="005C07CE"/>
    <w:rsid w:val="005C0B8F"/>
    <w:rsid w:val="005C2294"/>
    <w:rsid w:val="005C3344"/>
    <w:rsid w:val="005C4C71"/>
    <w:rsid w:val="005C4E4D"/>
    <w:rsid w:val="005C5A97"/>
    <w:rsid w:val="005C679D"/>
    <w:rsid w:val="005C6D5D"/>
    <w:rsid w:val="005D01C3"/>
    <w:rsid w:val="005D2578"/>
    <w:rsid w:val="005D266D"/>
    <w:rsid w:val="005D3327"/>
    <w:rsid w:val="005D5BCF"/>
    <w:rsid w:val="005D6D84"/>
    <w:rsid w:val="005D70A1"/>
    <w:rsid w:val="005D79F2"/>
    <w:rsid w:val="005E09CA"/>
    <w:rsid w:val="005E4543"/>
    <w:rsid w:val="005E4717"/>
    <w:rsid w:val="005E4B55"/>
    <w:rsid w:val="005E565C"/>
    <w:rsid w:val="005E56C9"/>
    <w:rsid w:val="005E5CF7"/>
    <w:rsid w:val="005E704E"/>
    <w:rsid w:val="005E721E"/>
    <w:rsid w:val="005E75E3"/>
    <w:rsid w:val="005F0857"/>
    <w:rsid w:val="005F2CD5"/>
    <w:rsid w:val="005F403D"/>
    <w:rsid w:val="005F5A0D"/>
    <w:rsid w:val="005F61DF"/>
    <w:rsid w:val="005F75E4"/>
    <w:rsid w:val="005F77F8"/>
    <w:rsid w:val="005F7D5B"/>
    <w:rsid w:val="00600FF9"/>
    <w:rsid w:val="006011E3"/>
    <w:rsid w:val="0060150C"/>
    <w:rsid w:val="00601F66"/>
    <w:rsid w:val="00601F8F"/>
    <w:rsid w:val="00603373"/>
    <w:rsid w:val="006036D0"/>
    <w:rsid w:val="006042CD"/>
    <w:rsid w:val="00604530"/>
    <w:rsid w:val="006054A5"/>
    <w:rsid w:val="006059E4"/>
    <w:rsid w:val="006062A0"/>
    <w:rsid w:val="006107AD"/>
    <w:rsid w:val="0061098D"/>
    <w:rsid w:val="00611367"/>
    <w:rsid w:val="00611AC8"/>
    <w:rsid w:val="00611B59"/>
    <w:rsid w:val="00611FBA"/>
    <w:rsid w:val="0061272A"/>
    <w:rsid w:val="00613AA2"/>
    <w:rsid w:val="006155F1"/>
    <w:rsid w:val="00615FAB"/>
    <w:rsid w:val="006161D6"/>
    <w:rsid w:val="00620055"/>
    <w:rsid w:val="006212D3"/>
    <w:rsid w:val="006217EF"/>
    <w:rsid w:val="00621988"/>
    <w:rsid w:val="0062213A"/>
    <w:rsid w:val="00623A5E"/>
    <w:rsid w:val="00625008"/>
    <w:rsid w:val="00626930"/>
    <w:rsid w:val="00626BAC"/>
    <w:rsid w:val="00626F04"/>
    <w:rsid w:val="006271C3"/>
    <w:rsid w:val="0063001E"/>
    <w:rsid w:val="00630D58"/>
    <w:rsid w:val="00631005"/>
    <w:rsid w:val="0063175A"/>
    <w:rsid w:val="00632727"/>
    <w:rsid w:val="00633EF3"/>
    <w:rsid w:val="00635B73"/>
    <w:rsid w:val="006368A8"/>
    <w:rsid w:val="00636CC7"/>
    <w:rsid w:val="00637F27"/>
    <w:rsid w:val="00643F89"/>
    <w:rsid w:val="00644BED"/>
    <w:rsid w:val="00644E2E"/>
    <w:rsid w:val="00645CB4"/>
    <w:rsid w:val="00651F59"/>
    <w:rsid w:val="00652CF5"/>
    <w:rsid w:val="0065343E"/>
    <w:rsid w:val="00653C7C"/>
    <w:rsid w:val="006540B1"/>
    <w:rsid w:val="006558CD"/>
    <w:rsid w:val="00656CD4"/>
    <w:rsid w:val="00656D49"/>
    <w:rsid w:val="00656E4D"/>
    <w:rsid w:val="006576BA"/>
    <w:rsid w:val="0066099B"/>
    <w:rsid w:val="00662401"/>
    <w:rsid w:val="00662D3D"/>
    <w:rsid w:val="00662F1F"/>
    <w:rsid w:val="00664DB5"/>
    <w:rsid w:val="006673B9"/>
    <w:rsid w:val="0066790C"/>
    <w:rsid w:val="006700F1"/>
    <w:rsid w:val="006708FC"/>
    <w:rsid w:val="006720BC"/>
    <w:rsid w:val="00672D0F"/>
    <w:rsid w:val="00673B64"/>
    <w:rsid w:val="00673FC1"/>
    <w:rsid w:val="00675430"/>
    <w:rsid w:val="00675749"/>
    <w:rsid w:val="00677382"/>
    <w:rsid w:val="006774EC"/>
    <w:rsid w:val="0067772D"/>
    <w:rsid w:val="00680714"/>
    <w:rsid w:val="0068071D"/>
    <w:rsid w:val="00680C6B"/>
    <w:rsid w:val="00681936"/>
    <w:rsid w:val="00683068"/>
    <w:rsid w:val="00683BE2"/>
    <w:rsid w:val="00683DAD"/>
    <w:rsid w:val="0068443C"/>
    <w:rsid w:val="00684727"/>
    <w:rsid w:val="00684963"/>
    <w:rsid w:val="00684F04"/>
    <w:rsid w:val="00685033"/>
    <w:rsid w:val="00685D65"/>
    <w:rsid w:val="00687031"/>
    <w:rsid w:val="0068790B"/>
    <w:rsid w:val="00687AF2"/>
    <w:rsid w:val="00687DA2"/>
    <w:rsid w:val="00687E87"/>
    <w:rsid w:val="006901AC"/>
    <w:rsid w:val="0069063A"/>
    <w:rsid w:val="00691890"/>
    <w:rsid w:val="00692DC4"/>
    <w:rsid w:val="006938E9"/>
    <w:rsid w:val="006945A1"/>
    <w:rsid w:val="00694982"/>
    <w:rsid w:val="006958AE"/>
    <w:rsid w:val="00695EAC"/>
    <w:rsid w:val="00697062"/>
    <w:rsid w:val="006971F8"/>
    <w:rsid w:val="00697D5F"/>
    <w:rsid w:val="006A060C"/>
    <w:rsid w:val="006A150D"/>
    <w:rsid w:val="006A1526"/>
    <w:rsid w:val="006A39D0"/>
    <w:rsid w:val="006A4321"/>
    <w:rsid w:val="006A61EE"/>
    <w:rsid w:val="006B0580"/>
    <w:rsid w:val="006B0F30"/>
    <w:rsid w:val="006B1D06"/>
    <w:rsid w:val="006B2823"/>
    <w:rsid w:val="006B33DB"/>
    <w:rsid w:val="006B4CF8"/>
    <w:rsid w:val="006B5FBC"/>
    <w:rsid w:val="006B6ED2"/>
    <w:rsid w:val="006C0230"/>
    <w:rsid w:val="006C09CC"/>
    <w:rsid w:val="006C09F4"/>
    <w:rsid w:val="006C3EFE"/>
    <w:rsid w:val="006C5D5D"/>
    <w:rsid w:val="006C6303"/>
    <w:rsid w:val="006C6D6B"/>
    <w:rsid w:val="006C6EBD"/>
    <w:rsid w:val="006D04B3"/>
    <w:rsid w:val="006D0681"/>
    <w:rsid w:val="006D0A80"/>
    <w:rsid w:val="006D312B"/>
    <w:rsid w:val="006D43C1"/>
    <w:rsid w:val="006D5442"/>
    <w:rsid w:val="006D66EF"/>
    <w:rsid w:val="006D6E4E"/>
    <w:rsid w:val="006E00E3"/>
    <w:rsid w:val="006E045C"/>
    <w:rsid w:val="006E065E"/>
    <w:rsid w:val="006E0C1B"/>
    <w:rsid w:val="006E189B"/>
    <w:rsid w:val="006E2902"/>
    <w:rsid w:val="006E2F9D"/>
    <w:rsid w:val="006E37C6"/>
    <w:rsid w:val="006E41ED"/>
    <w:rsid w:val="006E4667"/>
    <w:rsid w:val="006E5112"/>
    <w:rsid w:val="006F2046"/>
    <w:rsid w:val="006F3E2E"/>
    <w:rsid w:val="006F41F4"/>
    <w:rsid w:val="006F5813"/>
    <w:rsid w:val="006F59A8"/>
    <w:rsid w:val="006F5A1D"/>
    <w:rsid w:val="006F71A6"/>
    <w:rsid w:val="006F7974"/>
    <w:rsid w:val="006F7C2C"/>
    <w:rsid w:val="00700D18"/>
    <w:rsid w:val="007010CB"/>
    <w:rsid w:val="0070168D"/>
    <w:rsid w:val="00701C36"/>
    <w:rsid w:val="0070283C"/>
    <w:rsid w:val="0070353F"/>
    <w:rsid w:val="0070415E"/>
    <w:rsid w:val="00704D34"/>
    <w:rsid w:val="00705060"/>
    <w:rsid w:val="00705351"/>
    <w:rsid w:val="007069AE"/>
    <w:rsid w:val="00706C89"/>
    <w:rsid w:val="00707967"/>
    <w:rsid w:val="00710257"/>
    <w:rsid w:val="007108E6"/>
    <w:rsid w:val="007109E6"/>
    <w:rsid w:val="007119DC"/>
    <w:rsid w:val="00711CC7"/>
    <w:rsid w:val="0071293A"/>
    <w:rsid w:val="0071294A"/>
    <w:rsid w:val="00712BDD"/>
    <w:rsid w:val="00712E1E"/>
    <w:rsid w:val="00712F37"/>
    <w:rsid w:val="00713223"/>
    <w:rsid w:val="00713A6B"/>
    <w:rsid w:val="0071499C"/>
    <w:rsid w:val="00714F73"/>
    <w:rsid w:val="0071604D"/>
    <w:rsid w:val="00716186"/>
    <w:rsid w:val="00716DE6"/>
    <w:rsid w:val="0071724E"/>
    <w:rsid w:val="0071732D"/>
    <w:rsid w:val="00720AEE"/>
    <w:rsid w:val="007210F6"/>
    <w:rsid w:val="0072139F"/>
    <w:rsid w:val="00721FC3"/>
    <w:rsid w:val="00722A86"/>
    <w:rsid w:val="00722C69"/>
    <w:rsid w:val="0072388C"/>
    <w:rsid w:val="00726665"/>
    <w:rsid w:val="007266B9"/>
    <w:rsid w:val="00726B00"/>
    <w:rsid w:val="007278FE"/>
    <w:rsid w:val="00727AC5"/>
    <w:rsid w:val="00727C65"/>
    <w:rsid w:val="00731872"/>
    <w:rsid w:val="00731EA1"/>
    <w:rsid w:val="00733D6A"/>
    <w:rsid w:val="00734932"/>
    <w:rsid w:val="007364A3"/>
    <w:rsid w:val="007378FD"/>
    <w:rsid w:val="007413EB"/>
    <w:rsid w:val="00742B31"/>
    <w:rsid w:val="00742D32"/>
    <w:rsid w:val="00742E9B"/>
    <w:rsid w:val="007444E6"/>
    <w:rsid w:val="0074592C"/>
    <w:rsid w:val="00745F41"/>
    <w:rsid w:val="00747578"/>
    <w:rsid w:val="00751073"/>
    <w:rsid w:val="00752188"/>
    <w:rsid w:val="0075281E"/>
    <w:rsid w:val="00752A7F"/>
    <w:rsid w:val="00752CC6"/>
    <w:rsid w:val="00754580"/>
    <w:rsid w:val="00754A29"/>
    <w:rsid w:val="00755BCF"/>
    <w:rsid w:val="00756C5F"/>
    <w:rsid w:val="00756D69"/>
    <w:rsid w:val="00757029"/>
    <w:rsid w:val="0076065E"/>
    <w:rsid w:val="0076093D"/>
    <w:rsid w:val="00760C5C"/>
    <w:rsid w:val="00761002"/>
    <w:rsid w:val="0076161B"/>
    <w:rsid w:val="00761AA1"/>
    <w:rsid w:val="00761CB5"/>
    <w:rsid w:val="0076228C"/>
    <w:rsid w:val="00763137"/>
    <w:rsid w:val="00763278"/>
    <w:rsid w:val="0076417E"/>
    <w:rsid w:val="007675DD"/>
    <w:rsid w:val="00770462"/>
    <w:rsid w:val="007705F0"/>
    <w:rsid w:val="00770A16"/>
    <w:rsid w:val="0077142C"/>
    <w:rsid w:val="0077150D"/>
    <w:rsid w:val="00771CAC"/>
    <w:rsid w:val="00772036"/>
    <w:rsid w:val="007739A3"/>
    <w:rsid w:val="00773BD9"/>
    <w:rsid w:val="00773CB0"/>
    <w:rsid w:val="00773D71"/>
    <w:rsid w:val="007752EB"/>
    <w:rsid w:val="00775526"/>
    <w:rsid w:val="0077765A"/>
    <w:rsid w:val="00780032"/>
    <w:rsid w:val="00780E86"/>
    <w:rsid w:val="00781727"/>
    <w:rsid w:val="00781F96"/>
    <w:rsid w:val="007823F9"/>
    <w:rsid w:val="00782D32"/>
    <w:rsid w:val="007830E9"/>
    <w:rsid w:val="007833D8"/>
    <w:rsid w:val="00783959"/>
    <w:rsid w:val="0078585F"/>
    <w:rsid w:val="00786CBB"/>
    <w:rsid w:val="0079038E"/>
    <w:rsid w:val="00792909"/>
    <w:rsid w:val="00792A00"/>
    <w:rsid w:val="00792C3F"/>
    <w:rsid w:val="00792EE2"/>
    <w:rsid w:val="00793105"/>
    <w:rsid w:val="007931E8"/>
    <w:rsid w:val="00793333"/>
    <w:rsid w:val="00794E46"/>
    <w:rsid w:val="00794FB6"/>
    <w:rsid w:val="007952DE"/>
    <w:rsid w:val="00795479"/>
    <w:rsid w:val="00796292"/>
    <w:rsid w:val="007972D5"/>
    <w:rsid w:val="007978E8"/>
    <w:rsid w:val="007A0789"/>
    <w:rsid w:val="007A130E"/>
    <w:rsid w:val="007A18B1"/>
    <w:rsid w:val="007A1BBD"/>
    <w:rsid w:val="007A1F08"/>
    <w:rsid w:val="007A25FA"/>
    <w:rsid w:val="007A3520"/>
    <w:rsid w:val="007A3878"/>
    <w:rsid w:val="007A3D85"/>
    <w:rsid w:val="007A4998"/>
    <w:rsid w:val="007A54F6"/>
    <w:rsid w:val="007A5950"/>
    <w:rsid w:val="007A6D91"/>
    <w:rsid w:val="007A7371"/>
    <w:rsid w:val="007B0306"/>
    <w:rsid w:val="007B0A67"/>
    <w:rsid w:val="007B14A2"/>
    <w:rsid w:val="007B2705"/>
    <w:rsid w:val="007B2E54"/>
    <w:rsid w:val="007B3A8E"/>
    <w:rsid w:val="007B3C9B"/>
    <w:rsid w:val="007B54B7"/>
    <w:rsid w:val="007B54C7"/>
    <w:rsid w:val="007B5DC5"/>
    <w:rsid w:val="007B63FC"/>
    <w:rsid w:val="007B6708"/>
    <w:rsid w:val="007B6E8D"/>
    <w:rsid w:val="007B722F"/>
    <w:rsid w:val="007B755E"/>
    <w:rsid w:val="007C029E"/>
    <w:rsid w:val="007C0636"/>
    <w:rsid w:val="007C10E4"/>
    <w:rsid w:val="007C2434"/>
    <w:rsid w:val="007C27E0"/>
    <w:rsid w:val="007C3590"/>
    <w:rsid w:val="007C387A"/>
    <w:rsid w:val="007C43D6"/>
    <w:rsid w:val="007C660F"/>
    <w:rsid w:val="007C69AE"/>
    <w:rsid w:val="007C7688"/>
    <w:rsid w:val="007C76E3"/>
    <w:rsid w:val="007C7DD9"/>
    <w:rsid w:val="007D128D"/>
    <w:rsid w:val="007D1667"/>
    <w:rsid w:val="007D2606"/>
    <w:rsid w:val="007D282F"/>
    <w:rsid w:val="007D2836"/>
    <w:rsid w:val="007D2932"/>
    <w:rsid w:val="007D2C31"/>
    <w:rsid w:val="007D445F"/>
    <w:rsid w:val="007D4DED"/>
    <w:rsid w:val="007D5BA2"/>
    <w:rsid w:val="007D5ED3"/>
    <w:rsid w:val="007D63A6"/>
    <w:rsid w:val="007D6FB9"/>
    <w:rsid w:val="007D7656"/>
    <w:rsid w:val="007E0109"/>
    <w:rsid w:val="007E0A63"/>
    <w:rsid w:val="007E0C63"/>
    <w:rsid w:val="007E1DF8"/>
    <w:rsid w:val="007E404E"/>
    <w:rsid w:val="007E4EB3"/>
    <w:rsid w:val="007E50B4"/>
    <w:rsid w:val="007E54B8"/>
    <w:rsid w:val="007E54DB"/>
    <w:rsid w:val="007E6B25"/>
    <w:rsid w:val="007E6F55"/>
    <w:rsid w:val="007E7BF9"/>
    <w:rsid w:val="007E7DEA"/>
    <w:rsid w:val="007F0A65"/>
    <w:rsid w:val="007F21B6"/>
    <w:rsid w:val="007F2B4B"/>
    <w:rsid w:val="007F2C38"/>
    <w:rsid w:val="007F30C6"/>
    <w:rsid w:val="007F3651"/>
    <w:rsid w:val="007F3752"/>
    <w:rsid w:val="007F4318"/>
    <w:rsid w:val="007F47DA"/>
    <w:rsid w:val="007F4E52"/>
    <w:rsid w:val="007F4F84"/>
    <w:rsid w:val="007F55A4"/>
    <w:rsid w:val="007F661E"/>
    <w:rsid w:val="007F6D6B"/>
    <w:rsid w:val="007F74DA"/>
    <w:rsid w:val="007F75BB"/>
    <w:rsid w:val="00800766"/>
    <w:rsid w:val="00801D90"/>
    <w:rsid w:val="00803476"/>
    <w:rsid w:val="0080348B"/>
    <w:rsid w:val="00803EB0"/>
    <w:rsid w:val="008052CE"/>
    <w:rsid w:val="008052DB"/>
    <w:rsid w:val="0080705B"/>
    <w:rsid w:val="0081000F"/>
    <w:rsid w:val="0081264E"/>
    <w:rsid w:val="00812A1A"/>
    <w:rsid w:val="00812DFF"/>
    <w:rsid w:val="0081383A"/>
    <w:rsid w:val="00814DE6"/>
    <w:rsid w:val="00814FC7"/>
    <w:rsid w:val="00816182"/>
    <w:rsid w:val="00816CB4"/>
    <w:rsid w:val="00816FE0"/>
    <w:rsid w:val="00817416"/>
    <w:rsid w:val="00817583"/>
    <w:rsid w:val="00817FAD"/>
    <w:rsid w:val="00821306"/>
    <w:rsid w:val="00821D85"/>
    <w:rsid w:val="0082207E"/>
    <w:rsid w:val="00823FFD"/>
    <w:rsid w:val="008241F0"/>
    <w:rsid w:val="0082427D"/>
    <w:rsid w:val="0082646C"/>
    <w:rsid w:val="008270CE"/>
    <w:rsid w:val="00827E2A"/>
    <w:rsid w:val="00827E3D"/>
    <w:rsid w:val="00830052"/>
    <w:rsid w:val="008300D0"/>
    <w:rsid w:val="0083257C"/>
    <w:rsid w:val="00833108"/>
    <w:rsid w:val="00833307"/>
    <w:rsid w:val="00833583"/>
    <w:rsid w:val="00833B5B"/>
    <w:rsid w:val="00833E9A"/>
    <w:rsid w:val="00834FEF"/>
    <w:rsid w:val="00836323"/>
    <w:rsid w:val="00836492"/>
    <w:rsid w:val="008366FE"/>
    <w:rsid w:val="00836932"/>
    <w:rsid w:val="008404AA"/>
    <w:rsid w:val="00841F29"/>
    <w:rsid w:val="00841FDB"/>
    <w:rsid w:val="00842A0D"/>
    <w:rsid w:val="00842C69"/>
    <w:rsid w:val="008460D2"/>
    <w:rsid w:val="00850013"/>
    <w:rsid w:val="008500DD"/>
    <w:rsid w:val="00852426"/>
    <w:rsid w:val="00852FA5"/>
    <w:rsid w:val="0085476F"/>
    <w:rsid w:val="0085562D"/>
    <w:rsid w:val="00856154"/>
    <w:rsid w:val="00856286"/>
    <w:rsid w:val="00857337"/>
    <w:rsid w:val="008576B0"/>
    <w:rsid w:val="00861948"/>
    <w:rsid w:val="00862011"/>
    <w:rsid w:val="0086213D"/>
    <w:rsid w:val="0086290B"/>
    <w:rsid w:val="00862A15"/>
    <w:rsid w:val="00862D8E"/>
    <w:rsid w:val="00862EF2"/>
    <w:rsid w:val="00866453"/>
    <w:rsid w:val="0086707F"/>
    <w:rsid w:val="00867501"/>
    <w:rsid w:val="0087099A"/>
    <w:rsid w:val="00871333"/>
    <w:rsid w:val="00873128"/>
    <w:rsid w:val="00873AAC"/>
    <w:rsid w:val="00873C61"/>
    <w:rsid w:val="00874779"/>
    <w:rsid w:val="008749BF"/>
    <w:rsid w:val="00875542"/>
    <w:rsid w:val="00875E14"/>
    <w:rsid w:val="0087677E"/>
    <w:rsid w:val="0087712C"/>
    <w:rsid w:val="00877C5D"/>
    <w:rsid w:val="00877CB6"/>
    <w:rsid w:val="0088093C"/>
    <w:rsid w:val="00882474"/>
    <w:rsid w:val="008824DF"/>
    <w:rsid w:val="00884371"/>
    <w:rsid w:val="00884D47"/>
    <w:rsid w:val="00887392"/>
    <w:rsid w:val="00890C40"/>
    <w:rsid w:val="008911F7"/>
    <w:rsid w:val="008921D0"/>
    <w:rsid w:val="00893C08"/>
    <w:rsid w:val="00893F41"/>
    <w:rsid w:val="00894BBD"/>
    <w:rsid w:val="00894C79"/>
    <w:rsid w:val="0089558A"/>
    <w:rsid w:val="008972B6"/>
    <w:rsid w:val="008977E1"/>
    <w:rsid w:val="008A0115"/>
    <w:rsid w:val="008A2F5A"/>
    <w:rsid w:val="008A47CE"/>
    <w:rsid w:val="008A5CBF"/>
    <w:rsid w:val="008A6BAE"/>
    <w:rsid w:val="008A7350"/>
    <w:rsid w:val="008B16E6"/>
    <w:rsid w:val="008B2042"/>
    <w:rsid w:val="008B25F1"/>
    <w:rsid w:val="008B3737"/>
    <w:rsid w:val="008B3F4B"/>
    <w:rsid w:val="008B69B8"/>
    <w:rsid w:val="008B7912"/>
    <w:rsid w:val="008C0335"/>
    <w:rsid w:val="008C094A"/>
    <w:rsid w:val="008C1077"/>
    <w:rsid w:val="008C1570"/>
    <w:rsid w:val="008C2059"/>
    <w:rsid w:val="008C4C92"/>
    <w:rsid w:val="008C58E7"/>
    <w:rsid w:val="008C65F4"/>
    <w:rsid w:val="008C7368"/>
    <w:rsid w:val="008D0E65"/>
    <w:rsid w:val="008D18D0"/>
    <w:rsid w:val="008D1FAF"/>
    <w:rsid w:val="008D2259"/>
    <w:rsid w:val="008D33FE"/>
    <w:rsid w:val="008D3B9F"/>
    <w:rsid w:val="008D3D02"/>
    <w:rsid w:val="008D54C0"/>
    <w:rsid w:val="008D5760"/>
    <w:rsid w:val="008D577E"/>
    <w:rsid w:val="008D5CE5"/>
    <w:rsid w:val="008D5ED9"/>
    <w:rsid w:val="008D6147"/>
    <w:rsid w:val="008D7567"/>
    <w:rsid w:val="008D76E7"/>
    <w:rsid w:val="008E1C24"/>
    <w:rsid w:val="008E2626"/>
    <w:rsid w:val="008E27A9"/>
    <w:rsid w:val="008E2DA3"/>
    <w:rsid w:val="008E323C"/>
    <w:rsid w:val="008E35A6"/>
    <w:rsid w:val="008E3A5C"/>
    <w:rsid w:val="008E3A9A"/>
    <w:rsid w:val="008E429E"/>
    <w:rsid w:val="008E5452"/>
    <w:rsid w:val="008E7EAE"/>
    <w:rsid w:val="008F2F11"/>
    <w:rsid w:val="008F33A6"/>
    <w:rsid w:val="008F35EC"/>
    <w:rsid w:val="008F4FE8"/>
    <w:rsid w:val="008F4FED"/>
    <w:rsid w:val="008F6200"/>
    <w:rsid w:val="008F62F8"/>
    <w:rsid w:val="008F7292"/>
    <w:rsid w:val="008F7BE1"/>
    <w:rsid w:val="009000F2"/>
    <w:rsid w:val="0090079D"/>
    <w:rsid w:val="00900D2C"/>
    <w:rsid w:val="00901F0E"/>
    <w:rsid w:val="0090408F"/>
    <w:rsid w:val="0090446A"/>
    <w:rsid w:val="00904DC3"/>
    <w:rsid w:val="00905469"/>
    <w:rsid w:val="0090629C"/>
    <w:rsid w:val="009065C6"/>
    <w:rsid w:val="00906EA2"/>
    <w:rsid w:val="00907278"/>
    <w:rsid w:val="009128B8"/>
    <w:rsid w:val="00912C63"/>
    <w:rsid w:val="0091328F"/>
    <w:rsid w:val="00914D1C"/>
    <w:rsid w:val="00915679"/>
    <w:rsid w:val="009159C2"/>
    <w:rsid w:val="009175AF"/>
    <w:rsid w:val="00920A06"/>
    <w:rsid w:val="009221CB"/>
    <w:rsid w:val="00922320"/>
    <w:rsid w:val="0092298C"/>
    <w:rsid w:val="00923643"/>
    <w:rsid w:val="009261DB"/>
    <w:rsid w:val="0092623E"/>
    <w:rsid w:val="00927388"/>
    <w:rsid w:val="00931C63"/>
    <w:rsid w:val="00931D10"/>
    <w:rsid w:val="00933680"/>
    <w:rsid w:val="0093386D"/>
    <w:rsid w:val="00933C4F"/>
    <w:rsid w:val="00935194"/>
    <w:rsid w:val="0094015D"/>
    <w:rsid w:val="009441DB"/>
    <w:rsid w:val="0094424D"/>
    <w:rsid w:val="0094568E"/>
    <w:rsid w:val="0094633F"/>
    <w:rsid w:val="009468C5"/>
    <w:rsid w:val="00947BA5"/>
    <w:rsid w:val="009504B5"/>
    <w:rsid w:val="00950805"/>
    <w:rsid w:val="009518D4"/>
    <w:rsid w:val="00951E96"/>
    <w:rsid w:val="009520BC"/>
    <w:rsid w:val="00953573"/>
    <w:rsid w:val="009560DD"/>
    <w:rsid w:val="00957499"/>
    <w:rsid w:val="00957ED2"/>
    <w:rsid w:val="0096049C"/>
    <w:rsid w:val="009609F8"/>
    <w:rsid w:val="00960DE4"/>
    <w:rsid w:val="00961A4F"/>
    <w:rsid w:val="00962C9E"/>
    <w:rsid w:val="00963F03"/>
    <w:rsid w:val="00963F27"/>
    <w:rsid w:val="00964007"/>
    <w:rsid w:val="009643F4"/>
    <w:rsid w:val="00964F5A"/>
    <w:rsid w:val="00966AD2"/>
    <w:rsid w:val="009675F5"/>
    <w:rsid w:val="00967FC5"/>
    <w:rsid w:val="009716D8"/>
    <w:rsid w:val="00971F54"/>
    <w:rsid w:val="00972057"/>
    <w:rsid w:val="0097227B"/>
    <w:rsid w:val="0097262E"/>
    <w:rsid w:val="00974022"/>
    <w:rsid w:val="0097564A"/>
    <w:rsid w:val="009772F2"/>
    <w:rsid w:val="009778CF"/>
    <w:rsid w:val="00977B97"/>
    <w:rsid w:val="00980732"/>
    <w:rsid w:val="009810BE"/>
    <w:rsid w:val="009819A7"/>
    <w:rsid w:val="009851F5"/>
    <w:rsid w:val="0098534B"/>
    <w:rsid w:val="0098764E"/>
    <w:rsid w:val="00987D58"/>
    <w:rsid w:val="009906D4"/>
    <w:rsid w:val="00990EB7"/>
    <w:rsid w:val="00990F5F"/>
    <w:rsid w:val="0099263F"/>
    <w:rsid w:val="00993135"/>
    <w:rsid w:val="00993AC7"/>
    <w:rsid w:val="00997044"/>
    <w:rsid w:val="009973CC"/>
    <w:rsid w:val="0099792B"/>
    <w:rsid w:val="009A106B"/>
    <w:rsid w:val="009A20CB"/>
    <w:rsid w:val="009A2B9F"/>
    <w:rsid w:val="009A2BF3"/>
    <w:rsid w:val="009A3C3E"/>
    <w:rsid w:val="009A45D1"/>
    <w:rsid w:val="009A7E7C"/>
    <w:rsid w:val="009B2BF1"/>
    <w:rsid w:val="009B3564"/>
    <w:rsid w:val="009B3796"/>
    <w:rsid w:val="009B3D38"/>
    <w:rsid w:val="009B7505"/>
    <w:rsid w:val="009B7D45"/>
    <w:rsid w:val="009C0020"/>
    <w:rsid w:val="009C19FC"/>
    <w:rsid w:val="009C27F7"/>
    <w:rsid w:val="009C3BC4"/>
    <w:rsid w:val="009C424E"/>
    <w:rsid w:val="009C4708"/>
    <w:rsid w:val="009C4870"/>
    <w:rsid w:val="009C4C4E"/>
    <w:rsid w:val="009C4D37"/>
    <w:rsid w:val="009C574C"/>
    <w:rsid w:val="009C5753"/>
    <w:rsid w:val="009C620F"/>
    <w:rsid w:val="009C7F2B"/>
    <w:rsid w:val="009D1654"/>
    <w:rsid w:val="009D1BDB"/>
    <w:rsid w:val="009D24D5"/>
    <w:rsid w:val="009D256A"/>
    <w:rsid w:val="009D2F9C"/>
    <w:rsid w:val="009D4E4A"/>
    <w:rsid w:val="009D5130"/>
    <w:rsid w:val="009D6081"/>
    <w:rsid w:val="009D678C"/>
    <w:rsid w:val="009D7BC7"/>
    <w:rsid w:val="009D7E19"/>
    <w:rsid w:val="009D7FAC"/>
    <w:rsid w:val="009E0342"/>
    <w:rsid w:val="009E09AB"/>
    <w:rsid w:val="009E19BB"/>
    <w:rsid w:val="009E38D1"/>
    <w:rsid w:val="009E5701"/>
    <w:rsid w:val="009E5711"/>
    <w:rsid w:val="009E6249"/>
    <w:rsid w:val="009E6D26"/>
    <w:rsid w:val="009E758E"/>
    <w:rsid w:val="009E7A4C"/>
    <w:rsid w:val="009E7D6B"/>
    <w:rsid w:val="009F1109"/>
    <w:rsid w:val="009F2EDB"/>
    <w:rsid w:val="009F2F52"/>
    <w:rsid w:val="009F56C0"/>
    <w:rsid w:val="009F5C76"/>
    <w:rsid w:val="00A00E00"/>
    <w:rsid w:val="00A01221"/>
    <w:rsid w:val="00A012A8"/>
    <w:rsid w:val="00A016FF"/>
    <w:rsid w:val="00A0207F"/>
    <w:rsid w:val="00A02428"/>
    <w:rsid w:val="00A04337"/>
    <w:rsid w:val="00A044AA"/>
    <w:rsid w:val="00A04D99"/>
    <w:rsid w:val="00A05D02"/>
    <w:rsid w:val="00A078F6"/>
    <w:rsid w:val="00A102F8"/>
    <w:rsid w:val="00A10A20"/>
    <w:rsid w:val="00A116AC"/>
    <w:rsid w:val="00A117D5"/>
    <w:rsid w:val="00A123D0"/>
    <w:rsid w:val="00A12D7E"/>
    <w:rsid w:val="00A131F5"/>
    <w:rsid w:val="00A133C1"/>
    <w:rsid w:val="00A13F2D"/>
    <w:rsid w:val="00A14225"/>
    <w:rsid w:val="00A14F81"/>
    <w:rsid w:val="00A1535F"/>
    <w:rsid w:val="00A1543F"/>
    <w:rsid w:val="00A15CB1"/>
    <w:rsid w:val="00A15E84"/>
    <w:rsid w:val="00A16021"/>
    <w:rsid w:val="00A16F3E"/>
    <w:rsid w:val="00A22C3E"/>
    <w:rsid w:val="00A22C4D"/>
    <w:rsid w:val="00A25463"/>
    <w:rsid w:val="00A254AB"/>
    <w:rsid w:val="00A266CC"/>
    <w:rsid w:val="00A26DB4"/>
    <w:rsid w:val="00A27501"/>
    <w:rsid w:val="00A3023E"/>
    <w:rsid w:val="00A305C5"/>
    <w:rsid w:val="00A30919"/>
    <w:rsid w:val="00A31FD2"/>
    <w:rsid w:val="00A33A02"/>
    <w:rsid w:val="00A33BDB"/>
    <w:rsid w:val="00A341AB"/>
    <w:rsid w:val="00A355F9"/>
    <w:rsid w:val="00A35AA9"/>
    <w:rsid w:val="00A364BC"/>
    <w:rsid w:val="00A3786A"/>
    <w:rsid w:val="00A402ED"/>
    <w:rsid w:val="00A40685"/>
    <w:rsid w:val="00A41123"/>
    <w:rsid w:val="00A41819"/>
    <w:rsid w:val="00A41C9A"/>
    <w:rsid w:val="00A42F49"/>
    <w:rsid w:val="00A433DA"/>
    <w:rsid w:val="00A433E8"/>
    <w:rsid w:val="00A4424E"/>
    <w:rsid w:val="00A44A45"/>
    <w:rsid w:val="00A4534D"/>
    <w:rsid w:val="00A46BFB"/>
    <w:rsid w:val="00A46C6D"/>
    <w:rsid w:val="00A472B8"/>
    <w:rsid w:val="00A502F5"/>
    <w:rsid w:val="00A504F4"/>
    <w:rsid w:val="00A51577"/>
    <w:rsid w:val="00A51B47"/>
    <w:rsid w:val="00A526CE"/>
    <w:rsid w:val="00A54DC0"/>
    <w:rsid w:val="00A550C9"/>
    <w:rsid w:val="00A55228"/>
    <w:rsid w:val="00A5589F"/>
    <w:rsid w:val="00A55D4E"/>
    <w:rsid w:val="00A564DE"/>
    <w:rsid w:val="00A57B66"/>
    <w:rsid w:val="00A61B91"/>
    <w:rsid w:val="00A63335"/>
    <w:rsid w:val="00A63685"/>
    <w:rsid w:val="00A63DDD"/>
    <w:rsid w:val="00A66473"/>
    <w:rsid w:val="00A66E28"/>
    <w:rsid w:val="00A70590"/>
    <w:rsid w:val="00A71542"/>
    <w:rsid w:val="00A71FA0"/>
    <w:rsid w:val="00A72C1A"/>
    <w:rsid w:val="00A74021"/>
    <w:rsid w:val="00A7463E"/>
    <w:rsid w:val="00A75153"/>
    <w:rsid w:val="00A75B1D"/>
    <w:rsid w:val="00A762DA"/>
    <w:rsid w:val="00A765B1"/>
    <w:rsid w:val="00A76B41"/>
    <w:rsid w:val="00A772F2"/>
    <w:rsid w:val="00A77828"/>
    <w:rsid w:val="00A77ECD"/>
    <w:rsid w:val="00A8073D"/>
    <w:rsid w:val="00A807A2"/>
    <w:rsid w:val="00A80D02"/>
    <w:rsid w:val="00A812A8"/>
    <w:rsid w:val="00A829B3"/>
    <w:rsid w:val="00A82D32"/>
    <w:rsid w:val="00A82EAE"/>
    <w:rsid w:val="00A830BE"/>
    <w:rsid w:val="00A8349D"/>
    <w:rsid w:val="00A84F27"/>
    <w:rsid w:val="00A8519C"/>
    <w:rsid w:val="00A8733A"/>
    <w:rsid w:val="00A90A83"/>
    <w:rsid w:val="00A90B66"/>
    <w:rsid w:val="00A91D4B"/>
    <w:rsid w:val="00A920B2"/>
    <w:rsid w:val="00A92A96"/>
    <w:rsid w:val="00A92AF0"/>
    <w:rsid w:val="00A930F2"/>
    <w:rsid w:val="00A937D5"/>
    <w:rsid w:val="00A93C70"/>
    <w:rsid w:val="00A94700"/>
    <w:rsid w:val="00A96126"/>
    <w:rsid w:val="00A970CE"/>
    <w:rsid w:val="00A974A9"/>
    <w:rsid w:val="00A974ED"/>
    <w:rsid w:val="00A97718"/>
    <w:rsid w:val="00A97DC5"/>
    <w:rsid w:val="00AA08F3"/>
    <w:rsid w:val="00AA0F23"/>
    <w:rsid w:val="00AA1DA8"/>
    <w:rsid w:val="00AA238E"/>
    <w:rsid w:val="00AA2EB9"/>
    <w:rsid w:val="00AA3243"/>
    <w:rsid w:val="00AA388F"/>
    <w:rsid w:val="00AA4F6D"/>
    <w:rsid w:val="00AA536B"/>
    <w:rsid w:val="00AA57D7"/>
    <w:rsid w:val="00AA5A6F"/>
    <w:rsid w:val="00AA5C40"/>
    <w:rsid w:val="00AA6154"/>
    <w:rsid w:val="00AA6BB8"/>
    <w:rsid w:val="00AA7519"/>
    <w:rsid w:val="00AB02EA"/>
    <w:rsid w:val="00AB22BF"/>
    <w:rsid w:val="00AB256E"/>
    <w:rsid w:val="00AB32AD"/>
    <w:rsid w:val="00AB3466"/>
    <w:rsid w:val="00AB3BBB"/>
    <w:rsid w:val="00AB408C"/>
    <w:rsid w:val="00AB5030"/>
    <w:rsid w:val="00AB759A"/>
    <w:rsid w:val="00AB7B06"/>
    <w:rsid w:val="00AB7EAA"/>
    <w:rsid w:val="00AC0432"/>
    <w:rsid w:val="00AC2E6E"/>
    <w:rsid w:val="00AC4094"/>
    <w:rsid w:val="00AC42B6"/>
    <w:rsid w:val="00AC4AB7"/>
    <w:rsid w:val="00AC52F8"/>
    <w:rsid w:val="00AC5DE9"/>
    <w:rsid w:val="00AC60EC"/>
    <w:rsid w:val="00AC6CD9"/>
    <w:rsid w:val="00AD0233"/>
    <w:rsid w:val="00AD06F8"/>
    <w:rsid w:val="00AD2679"/>
    <w:rsid w:val="00AD3F3C"/>
    <w:rsid w:val="00AD5F0A"/>
    <w:rsid w:val="00AD6741"/>
    <w:rsid w:val="00AD6B4F"/>
    <w:rsid w:val="00AD7CFA"/>
    <w:rsid w:val="00AE11C1"/>
    <w:rsid w:val="00AE163D"/>
    <w:rsid w:val="00AE1C5C"/>
    <w:rsid w:val="00AE25D1"/>
    <w:rsid w:val="00AE2918"/>
    <w:rsid w:val="00AE315E"/>
    <w:rsid w:val="00AE31D9"/>
    <w:rsid w:val="00AE3CF0"/>
    <w:rsid w:val="00AE4337"/>
    <w:rsid w:val="00AE71EE"/>
    <w:rsid w:val="00AF03CF"/>
    <w:rsid w:val="00AF06B6"/>
    <w:rsid w:val="00AF0A0A"/>
    <w:rsid w:val="00AF1ED2"/>
    <w:rsid w:val="00AF1F4E"/>
    <w:rsid w:val="00AF3557"/>
    <w:rsid w:val="00AF35F0"/>
    <w:rsid w:val="00AF4CEE"/>
    <w:rsid w:val="00AF5D84"/>
    <w:rsid w:val="00AF672C"/>
    <w:rsid w:val="00AF6D69"/>
    <w:rsid w:val="00AF6F5E"/>
    <w:rsid w:val="00B00378"/>
    <w:rsid w:val="00B00E41"/>
    <w:rsid w:val="00B018BD"/>
    <w:rsid w:val="00B04678"/>
    <w:rsid w:val="00B046EB"/>
    <w:rsid w:val="00B04A04"/>
    <w:rsid w:val="00B04F00"/>
    <w:rsid w:val="00B05A66"/>
    <w:rsid w:val="00B05EFD"/>
    <w:rsid w:val="00B066FE"/>
    <w:rsid w:val="00B06912"/>
    <w:rsid w:val="00B10B04"/>
    <w:rsid w:val="00B10CC6"/>
    <w:rsid w:val="00B11AE4"/>
    <w:rsid w:val="00B12082"/>
    <w:rsid w:val="00B13150"/>
    <w:rsid w:val="00B13389"/>
    <w:rsid w:val="00B1364C"/>
    <w:rsid w:val="00B141A5"/>
    <w:rsid w:val="00B15286"/>
    <w:rsid w:val="00B1550D"/>
    <w:rsid w:val="00B1631F"/>
    <w:rsid w:val="00B163E8"/>
    <w:rsid w:val="00B1767E"/>
    <w:rsid w:val="00B203B6"/>
    <w:rsid w:val="00B203CE"/>
    <w:rsid w:val="00B21676"/>
    <w:rsid w:val="00B241D5"/>
    <w:rsid w:val="00B26677"/>
    <w:rsid w:val="00B26C57"/>
    <w:rsid w:val="00B274E3"/>
    <w:rsid w:val="00B27B92"/>
    <w:rsid w:val="00B30563"/>
    <w:rsid w:val="00B30A76"/>
    <w:rsid w:val="00B3412E"/>
    <w:rsid w:val="00B346EA"/>
    <w:rsid w:val="00B356B8"/>
    <w:rsid w:val="00B35C9C"/>
    <w:rsid w:val="00B37B8E"/>
    <w:rsid w:val="00B40222"/>
    <w:rsid w:val="00B404C3"/>
    <w:rsid w:val="00B40BA6"/>
    <w:rsid w:val="00B4280F"/>
    <w:rsid w:val="00B43381"/>
    <w:rsid w:val="00B448BF"/>
    <w:rsid w:val="00B45F9F"/>
    <w:rsid w:val="00B4627C"/>
    <w:rsid w:val="00B46793"/>
    <w:rsid w:val="00B46953"/>
    <w:rsid w:val="00B46A7F"/>
    <w:rsid w:val="00B47A59"/>
    <w:rsid w:val="00B47ECA"/>
    <w:rsid w:val="00B51520"/>
    <w:rsid w:val="00B5169E"/>
    <w:rsid w:val="00B517C2"/>
    <w:rsid w:val="00B518CE"/>
    <w:rsid w:val="00B52234"/>
    <w:rsid w:val="00B53623"/>
    <w:rsid w:val="00B536F5"/>
    <w:rsid w:val="00B53E98"/>
    <w:rsid w:val="00B5634D"/>
    <w:rsid w:val="00B56ECA"/>
    <w:rsid w:val="00B57093"/>
    <w:rsid w:val="00B572BC"/>
    <w:rsid w:val="00B60613"/>
    <w:rsid w:val="00B60A3C"/>
    <w:rsid w:val="00B616E6"/>
    <w:rsid w:val="00B630F2"/>
    <w:rsid w:val="00B63E7A"/>
    <w:rsid w:val="00B65582"/>
    <w:rsid w:val="00B66054"/>
    <w:rsid w:val="00B672EA"/>
    <w:rsid w:val="00B6747B"/>
    <w:rsid w:val="00B70200"/>
    <w:rsid w:val="00B72CF0"/>
    <w:rsid w:val="00B740F6"/>
    <w:rsid w:val="00B74615"/>
    <w:rsid w:val="00B75035"/>
    <w:rsid w:val="00B755B6"/>
    <w:rsid w:val="00B76B55"/>
    <w:rsid w:val="00B804F8"/>
    <w:rsid w:val="00B815D3"/>
    <w:rsid w:val="00B83E76"/>
    <w:rsid w:val="00B8506D"/>
    <w:rsid w:val="00B86289"/>
    <w:rsid w:val="00B87F1C"/>
    <w:rsid w:val="00B91B61"/>
    <w:rsid w:val="00B93849"/>
    <w:rsid w:val="00B944E9"/>
    <w:rsid w:val="00B94896"/>
    <w:rsid w:val="00B949D8"/>
    <w:rsid w:val="00B94CDD"/>
    <w:rsid w:val="00B965F4"/>
    <w:rsid w:val="00B96F52"/>
    <w:rsid w:val="00B97C76"/>
    <w:rsid w:val="00BA07F3"/>
    <w:rsid w:val="00BA15DC"/>
    <w:rsid w:val="00BA1602"/>
    <w:rsid w:val="00BA2C82"/>
    <w:rsid w:val="00BA2E8A"/>
    <w:rsid w:val="00BA583B"/>
    <w:rsid w:val="00BA5EC7"/>
    <w:rsid w:val="00BA6319"/>
    <w:rsid w:val="00BA63CE"/>
    <w:rsid w:val="00BA6551"/>
    <w:rsid w:val="00BA6791"/>
    <w:rsid w:val="00BA6E3C"/>
    <w:rsid w:val="00BA7227"/>
    <w:rsid w:val="00BA7CD7"/>
    <w:rsid w:val="00BA7D1F"/>
    <w:rsid w:val="00BB2E4E"/>
    <w:rsid w:val="00BB2E62"/>
    <w:rsid w:val="00BB36C9"/>
    <w:rsid w:val="00BB5886"/>
    <w:rsid w:val="00BB684B"/>
    <w:rsid w:val="00BB7D2E"/>
    <w:rsid w:val="00BB7EC0"/>
    <w:rsid w:val="00BC0390"/>
    <w:rsid w:val="00BC0A5A"/>
    <w:rsid w:val="00BC0B2F"/>
    <w:rsid w:val="00BC0E64"/>
    <w:rsid w:val="00BC0F07"/>
    <w:rsid w:val="00BC25D1"/>
    <w:rsid w:val="00BC3BCB"/>
    <w:rsid w:val="00BC427C"/>
    <w:rsid w:val="00BC428A"/>
    <w:rsid w:val="00BC4491"/>
    <w:rsid w:val="00BC4C40"/>
    <w:rsid w:val="00BC5BAD"/>
    <w:rsid w:val="00BC76C5"/>
    <w:rsid w:val="00BD138A"/>
    <w:rsid w:val="00BD1547"/>
    <w:rsid w:val="00BD164A"/>
    <w:rsid w:val="00BD2B4D"/>
    <w:rsid w:val="00BD2DAE"/>
    <w:rsid w:val="00BD2FB9"/>
    <w:rsid w:val="00BD31C2"/>
    <w:rsid w:val="00BD3852"/>
    <w:rsid w:val="00BD450A"/>
    <w:rsid w:val="00BD4717"/>
    <w:rsid w:val="00BD48BC"/>
    <w:rsid w:val="00BD48EA"/>
    <w:rsid w:val="00BD4BA8"/>
    <w:rsid w:val="00BD6924"/>
    <w:rsid w:val="00BD6B0E"/>
    <w:rsid w:val="00BD7941"/>
    <w:rsid w:val="00BD7E5F"/>
    <w:rsid w:val="00BE0C55"/>
    <w:rsid w:val="00BE11A2"/>
    <w:rsid w:val="00BE246C"/>
    <w:rsid w:val="00BE2657"/>
    <w:rsid w:val="00BE37AE"/>
    <w:rsid w:val="00BE4353"/>
    <w:rsid w:val="00BE5250"/>
    <w:rsid w:val="00BE73C3"/>
    <w:rsid w:val="00BE7B29"/>
    <w:rsid w:val="00BF03C0"/>
    <w:rsid w:val="00BF21D4"/>
    <w:rsid w:val="00BF2E46"/>
    <w:rsid w:val="00BF4A15"/>
    <w:rsid w:val="00BF4AA1"/>
    <w:rsid w:val="00BF4E27"/>
    <w:rsid w:val="00BF6D77"/>
    <w:rsid w:val="00BF7E0A"/>
    <w:rsid w:val="00C01444"/>
    <w:rsid w:val="00C01EF2"/>
    <w:rsid w:val="00C0378E"/>
    <w:rsid w:val="00C04258"/>
    <w:rsid w:val="00C05AFD"/>
    <w:rsid w:val="00C0724C"/>
    <w:rsid w:val="00C07AEF"/>
    <w:rsid w:val="00C07C11"/>
    <w:rsid w:val="00C07CC1"/>
    <w:rsid w:val="00C10015"/>
    <w:rsid w:val="00C12ECB"/>
    <w:rsid w:val="00C14ABD"/>
    <w:rsid w:val="00C151E0"/>
    <w:rsid w:val="00C15D79"/>
    <w:rsid w:val="00C15F1E"/>
    <w:rsid w:val="00C1677E"/>
    <w:rsid w:val="00C20051"/>
    <w:rsid w:val="00C20B86"/>
    <w:rsid w:val="00C21145"/>
    <w:rsid w:val="00C239A8"/>
    <w:rsid w:val="00C24381"/>
    <w:rsid w:val="00C249D9"/>
    <w:rsid w:val="00C24C2E"/>
    <w:rsid w:val="00C24C7A"/>
    <w:rsid w:val="00C24FFB"/>
    <w:rsid w:val="00C25CFF"/>
    <w:rsid w:val="00C261C1"/>
    <w:rsid w:val="00C30B0B"/>
    <w:rsid w:val="00C31339"/>
    <w:rsid w:val="00C332D4"/>
    <w:rsid w:val="00C33E51"/>
    <w:rsid w:val="00C34848"/>
    <w:rsid w:val="00C349B4"/>
    <w:rsid w:val="00C34C47"/>
    <w:rsid w:val="00C35A80"/>
    <w:rsid w:val="00C368F9"/>
    <w:rsid w:val="00C405C8"/>
    <w:rsid w:val="00C409BC"/>
    <w:rsid w:val="00C41E09"/>
    <w:rsid w:val="00C42DBE"/>
    <w:rsid w:val="00C4360C"/>
    <w:rsid w:val="00C4414C"/>
    <w:rsid w:val="00C44F8B"/>
    <w:rsid w:val="00C452DC"/>
    <w:rsid w:val="00C46564"/>
    <w:rsid w:val="00C50A02"/>
    <w:rsid w:val="00C512D1"/>
    <w:rsid w:val="00C51856"/>
    <w:rsid w:val="00C51B5E"/>
    <w:rsid w:val="00C5518B"/>
    <w:rsid w:val="00C5531B"/>
    <w:rsid w:val="00C55375"/>
    <w:rsid w:val="00C57120"/>
    <w:rsid w:val="00C575D4"/>
    <w:rsid w:val="00C57873"/>
    <w:rsid w:val="00C61022"/>
    <w:rsid w:val="00C61246"/>
    <w:rsid w:val="00C62A79"/>
    <w:rsid w:val="00C634F9"/>
    <w:rsid w:val="00C64534"/>
    <w:rsid w:val="00C64767"/>
    <w:rsid w:val="00C65200"/>
    <w:rsid w:val="00C655E0"/>
    <w:rsid w:val="00C65649"/>
    <w:rsid w:val="00C665DE"/>
    <w:rsid w:val="00C667C3"/>
    <w:rsid w:val="00C6728B"/>
    <w:rsid w:val="00C701C3"/>
    <w:rsid w:val="00C71528"/>
    <w:rsid w:val="00C71F09"/>
    <w:rsid w:val="00C72588"/>
    <w:rsid w:val="00C727B9"/>
    <w:rsid w:val="00C73670"/>
    <w:rsid w:val="00C73DE0"/>
    <w:rsid w:val="00C74609"/>
    <w:rsid w:val="00C749AB"/>
    <w:rsid w:val="00C75A8F"/>
    <w:rsid w:val="00C76346"/>
    <w:rsid w:val="00C76439"/>
    <w:rsid w:val="00C7697A"/>
    <w:rsid w:val="00C80A7B"/>
    <w:rsid w:val="00C81716"/>
    <w:rsid w:val="00C82795"/>
    <w:rsid w:val="00C832CB"/>
    <w:rsid w:val="00C84085"/>
    <w:rsid w:val="00C8779E"/>
    <w:rsid w:val="00C87850"/>
    <w:rsid w:val="00C87BD0"/>
    <w:rsid w:val="00C90B95"/>
    <w:rsid w:val="00C90CA9"/>
    <w:rsid w:val="00C91BD1"/>
    <w:rsid w:val="00C9354F"/>
    <w:rsid w:val="00C93B40"/>
    <w:rsid w:val="00C93D48"/>
    <w:rsid w:val="00C93DB5"/>
    <w:rsid w:val="00C97DD7"/>
    <w:rsid w:val="00C97EF9"/>
    <w:rsid w:val="00CA0492"/>
    <w:rsid w:val="00CA0A04"/>
    <w:rsid w:val="00CA3CAB"/>
    <w:rsid w:val="00CA6A2E"/>
    <w:rsid w:val="00CB43D8"/>
    <w:rsid w:val="00CB52A4"/>
    <w:rsid w:val="00CB537C"/>
    <w:rsid w:val="00CB5778"/>
    <w:rsid w:val="00CB584C"/>
    <w:rsid w:val="00CB6675"/>
    <w:rsid w:val="00CC03A0"/>
    <w:rsid w:val="00CC0915"/>
    <w:rsid w:val="00CC11B8"/>
    <w:rsid w:val="00CC1AF5"/>
    <w:rsid w:val="00CC1B74"/>
    <w:rsid w:val="00CC2EB0"/>
    <w:rsid w:val="00CC2F38"/>
    <w:rsid w:val="00CC44F5"/>
    <w:rsid w:val="00CC5F95"/>
    <w:rsid w:val="00CD1255"/>
    <w:rsid w:val="00CD1484"/>
    <w:rsid w:val="00CD1892"/>
    <w:rsid w:val="00CD1D00"/>
    <w:rsid w:val="00CD26B8"/>
    <w:rsid w:val="00CD2A82"/>
    <w:rsid w:val="00CD32C2"/>
    <w:rsid w:val="00CD347C"/>
    <w:rsid w:val="00CD3CAB"/>
    <w:rsid w:val="00CD3FF0"/>
    <w:rsid w:val="00CD4E50"/>
    <w:rsid w:val="00CD6339"/>
    <w:rsid w:val="00CD64E1"/>
    <w:rsid w:val="00CD654E"/>
    <w:rsid w:val="00CD699D"/>
    <w:rsid w:val="00CD701B"/>
    <w:rsid w:val="00CD70DB"/>
    <w:rsid w:val="00CD7466"/>
    <w:rsid w:val="00CD7C49"/>
    <w:rsid w:val="00CE0B1A"/>
    <w:rsid w:val="00CE1624"/>
    <w:rsid w:val="00CE2E2E"/>
    <w:rsid w:val="00CE3A51"/>
    <w:rsid w:val="00CE59F6"/>
    <w:rsid w:val="00CE71C3"/>
    <w:rsid w:val="00CE7684"/>
    <w:rsid w:val="00CE7ECB"/>
    <w:rsid w:val="00CF0AF0"/>
    <w:rsid w:val="00CF1834"/>
    <w:rsid w:val="00CF28F8"/>
    <w:rsid w:val="00CF2ACF"/>
    <w:rsid w:val="00CF345B"/>
    <w:rsid w:val="00CF475F"/>
    <w:rsid w:val="00CF5069"/>
    <w:rsid w:val="00CF5230"/>
    <w:rsid w:val="00CF5FD5"/>
    <w:rsid w:val="00CF7082"/>
    <w:rsid w:val="00D01590"/>
    <w:rsid w:val="00D030C1"/>
    <w:rsid w:val="00D0336E"/>
    <w:rsid w:val="00D04F01"/>
    <w:rsid w:val="00D04F8B"/>
    <w:rsid w:val="00D054EF"/>
    <w:rsid w:val="00D05637"/>
    <w:rsid w:val="00D05BA9"/>
    <w:rsid w:val="00D06E71"/>
    <w:rsid w:val="00D0764E"/>
    <w:rsid w:val="00D07D82"/>
    <w:rsid w:val="00D10BE1"/>
    <w:rsid w:val="00D11FE3"/>
    <w:rsid w:val="00D132F1"/>
    <w:rsid w:val="00D13D50"/>
    <w:rsid w:val="00D14919"/>
    <w:rsid w:val="00D14E25"/>
    <w:rsid w:val="00D152D6"/>
    <w:rsid w:val="00D165D8"/>
    <w:rsid w:val="00D1724E"/>
    <w:rsid w:val="00D17A04"/>
    <w:rsid w:val="00D17C81"/>
    <w:rsid w:val="00D206F6"/>
    <w:rsid w:val="00D237E0"/>
    <w:rsid w:val="00D25676"/>
    <w:rsid w:val="00D25F78"/>
    <w:rsid w:val="00D27129"/>
    <w:rsid w:val="00D2738C"/>
    <w:rsid w:val="00D279E7"/>
    <w:rsid w:val="00D3046D"/>
    <w:rsid w:val="00D31280"/>
    <w:rsid w:val="00D31B07"/>
    <w:rsid w:val="00D32FA0"/>
    <w:rsid w:val="00D33112"/>
    <w:rsid w:val="00D331CB"/>
    <w:rsid w:val="00D3426E"/>
    <w:rsid w:val="00D3634E"/>
    <w:rsid w:val="00D3746F"/>
    <w:rsid w:val="00D40217"/>
    <w:rsid w:val="00D40385"/>
    <w:rsid w:val="00D404CE"/>
    <w:rsid w:val="00D41450"/>
    <w:rsid w:val="00D417C6"/>
    <w:rsid w:val="00D43FAE"/>
    <w:rsid w:val="00D44259"/>
    <w:rsid w:val="00D44895"/>
    <w:rsid w:val="00D454D2"/>
    <w:rsid w:val="00D46C91"/>
    <w:rsid w:val="00D5064C"/>
    <w:rsid w:val="00D5098E"/>
    <w:rsid w:val="00D51B02"/>
    <w:rsid w:val="00D539DA"/>
    <w:rsid w:val="00D55C81"/>
    <w:rsid w:val="00D56B56"/>
    <w:rsid w:val="00D56BF5"/>
    <w:rsid w:val="00D56F99"/>
    <w:rsid w:val="00D5743F"/>
    <w:rsid w:val="00D605C2"/>
    <w:rsid w:val="00D60733"/>
    <w:rsid w:val="00D618B2"/>
    <w:rsid w:val="00D61E1D"/>
    <w:rsid w:val="00D62BDF"/>
    <w:rsid w:val="00D64F1C"/>
    <w:rsid w:val="00D6570C"/>
    <w:rsid w:val="00D675B0"/>
    <w:rsid w:val="00D70552"/>
    <w:rsid w:val="00D70D42"/>
    <w:rsid w:val="00D71285"/>
    <w:rsid w:val="00D713C9"/>
    <w:rsid w:val="00D71ABC"/>
    <w:rsid w:val="00D72175"/>
    <w:rsid w:val="00D72454"/>
    <w:rsid w:val="00D72A5B"/>
    <w:rsid w:val="00D73F06"/>
    <w:rsid w:val="00D74160"/>
    <w:rsid w:val="00D74247"/>
    <w:rsid w:val="00D753A9"/>
    <w:rsid w:val="00D7682B"/>
    <w:rsid w:val="00D804C5"/>
    <w:rsid w:val="00D81146"/>
    <w:rsid w:val="00D81A28"/>
    <w:rsid w:val="00D82AB8"/>
    <w:rsid w:val="00D82B00"/>
    <w:rsid w:val="00D82BE4"/>
    <w:rsid w:val="00D82E05"/>
    <w:rsid w:val="00D82F67"/>
    <w:rsid w:val="00D83A05"/>
    <w:rsid w:val="00D83C0D"/>
    <w:rsid w:val="00D869C1"/>
    <w:rsid w:val="00D86EC6"/>
    <w:rsid w:val="00D872A5"/>
    <w:rsid w:val="00D87418"/>
    <w:rsid w:val="00D87FE6"/>
    <w:rsid w:val="00D90BC3"/>
    <w:rsid w:val="00D90DB9"/>
    <w:rsid w:val="00D91337"/>
    <w:rsid w:val="00D915C9"/>
    <w:rsid w:val="00D91842"/>
    <w:rsid w:val="00D9198F"/>
    <w:rsid w:val="00D92A87"/>
    <w:rsid w:val="00D9384E"/>
    <w:rsid w:val="00D94C8D"/>
    <w:rsid w:val="00D95AEB"/>
    <w:rsid w:val="00D96876"/>
    <w:rsid w:val="00D96B12"/>
    <w:rsid w:val="00D96F59"/>
    <w:rsid w:val="00DA061C"/>
    <w:rsid w:val="00DA099C"/>
    <w:rsid w:val="00DA2125"/>
    <w:rsid w:val="00DA24DE"/>
    <w:rsid w:val="00DA281F"/>
    <w:rsid w:val="00DA289D"/>
    <w:rsid w:val="00DA3E06"/>
    <w:rsid w:val="00DA6EE2"/>
    <w:rsid w:val="00DA78CF"/>
    <w:rsid w:val="00DA7A89"/>
    <w:rsid w:val="00DA7BF4"/>
    <w:rsid w:val="00DA7F8B"/>
    <w:rsid w:val="00DB03E8"/>
    <w:rsid w:val="00DB08F0"/>
    <w:rsid w:val="00DB0C0F"/>
    <w:rsid w:val="00DB102D"/>
    <w:rsid w:val="00DB12BA"/>
    <w:rsid w:val="00DB154B"/>
    <w:rsid w:val="00DB3490"/>
    <w:rsid w:val="00DB4F12"/>
    <w:rsid w:val="00DB5256"/>
    <w:rsid w:val="00DB53A2"/>
    <w:rsid w:val="00DB6E8E"/>
    <w:rsid w:val="00DB6EEA"/>
    <w:rsid w:val="00DB6F96"/>
    <w:rsid w:val="00DB71B9"/>
    <w:rsid w:val="00DB7AE7"/>
    <w:rsid w:val="00DC080D"/>
    <w:rsid w:val="00DC0B56"/>
    <w:rsid w:val="00DC1395"/>
    <w:rsid w:val="00DC1BCB"/>
    <w:rsid w:val="00DC32FC"/>
    <w:rsid w:val="00DC35C7"/>
    <w:rsid w:val="00DC43C4"/>
    <w:rsid w:val="00DC4F47"/>
    <w:rsid w:val="00DC6747"/>
    <w:rsid w:val="00DC6AF3"/>
    <w:rsid w:val="00DC6B91"/>
    <w:rsid w:val="00DC740D"/>
    <w:rsid w:val="00DC7608"/>
    <w:rsid w:val="00DC761E"/>
    <w:rsid w:val="00DC7CFC"/>
    <w:rsid w:val="00DD0090"/>
    <w:rsid w:val="00DD1FC0"/>
    <w:rsid w:val="00DD2C42"/>
    <w:rsid w:val="00DD2D14"/>
    <w:rsid w:val="00DD3A99"/>
    <w:rsid w:val="00DD4344"/>
    <w:rsid w:val="00DD5B8C"/>
    <w:rsid w:val="00DD5DFA"/>
    <w:rsid w:val="00DD66A2"/>
    <w:rsid w:val="00DD67EC"/>
    <w:rsid w:val="00DD6F7F"/>
    <w:rsid w:val="00DE1A9D"/>
    <w:rsid w:val="00DE1CB1"/>
    <w:rsid w:val="00DE2073"/>
    <w:rsid w:val="00DE30AC"/>
    <w:rsid w:val="00DE368A"/>
    <w:rsid w:val="00DE3CF3"/>
    <w:rsid w:val="00DE4106"/>
    <w:rsid w:val="00DE5563"/>
    <w:rsid w:val="00DE6E4D"/>
    <w:rsid w:val="00DF05A0"/>
    <w:rsid w:val="00DF1BA8"/>
    <w:rsid w:val="00DF1F63"/>
    <w:rsid w:val="00DF25FE"/>
    <w:rsid w:val="00DF28F2"/>
    <w:rsid w:val="00DF2BFF"/>
    <w:rsid w:val="00DF48D9"/>
    <w:rsid w:val="00DF4FF1"/>
    <w:rsid w:val="00DF6FD2"/>
    <w:rsid w:val="00DF7724"/>
    <w:rsid w:val="00DF7C43"/>
    <w:rsid w:val="00E000B2"/>
    <w:rsid w:val="00E00C1E"/>
    <w:rsid w:val="00E00F5F"/>
    <w:rsid w:val="00E014E7"/>
    <w:rsid w:val="00E026A9"/>
    <w:rsid w:val="00E02C24"/>
    <w:rsid w:val="00E0356F"/>
    <w:rsid w:val="00E039D0"/>
    <w:rsid w:val="00E03B42"/>
    <w:rsid w:val="00E041AA"/>
    <w:rsid w:val="00E0479F"/>
    <w:rsid w:val="00E04D6A"/>
    <w:rsid w:val="00E06100"/>
    <w:rsid w:val="00E06E97"/>
    <w:rsid w:val="00E07767"/>
    <w:rsid w:val="00E10DD1"/>
    <w:rsid w:val="00E1254C"/>
    <w:rsid w:val="00E12BDF"/>
    <w:rsid w:val="00E13326"/>
    <w:rsid w:val="00E14961"/>
    <w:rsid w:val="00E14D76"/>
    <w:rsid w:val="00E20CE7"/>
    <w:rsid w:val="00E217B1"/>
    <w:rsid w:val="00E222FA"/>
    <w:rsid w:val="00E23651"/>
    <w:rsid w:val="00E24A62"/>
    <w:rsid w:val="00E24F52"/>
    <w:rsid w:val="00E258CD"/>
    <w:rsid w:val="00E279B2"/>
    <w:rsid w:val="00E30BD5"/>
    <w:rsid w:val="00E31143"/>
    <w:rsid w:val="00E31812"/>
    <w:rsid w:val="00E31A65"/>
    <w:rsid w:val="00E33954"/>
    <w:rsid w:val="00E34B8C"/>
    <w:rsid w:val="00E3533E"/>
    <w:rsid w:val="00E35A45"/>
    <w:rsid w:val="00E37C85"/>
    <w:rsid w:val="00E43006"/>
    <w:rsid w:val="00E43551"/>
    <w:rsid w:val="00E50809"/>
    <w:rsid w:val="00E50F0A"/>
    <w:rsid w:val="00E510CF"/>
    <w:rsid w:val="00E51F42"/>
    <w:rsid w:val="00E52AAB"/>
    <w:rsid w:val="00E533B0"/>
    <w:rsid w:val="00E54216"/>
    <w:rsid w:val="00E5448E"/>
    <w:rsid w:val="00E54E0D"/>
    <w:rsid w:val="00E56795"/>
    <w:rsid w:val="00E57932"/>
    <w:rsid w:val="00E57DA3"/>
    <w:rsid w:val="00E60811"/>
    <w:rsid w:val="00E64050"/>
    <w:rsid w:val="00E64054"/>
    <w:rsid w:val="00E6514D"/>
    <w:rsid w:val="00E65161"/>
    <w:rsid w:val="00E652C9"/>
    <w:rsid w:val="00E65700"/>
    <w:rsid w:val="00E6593B"/>
    <w:rsid w:val="00E672C6"/>
    <w:rsid w:val="00E675EE"/>
    <w:rsid w:val="00E71809"/>
    <w:rsid w:val="00E71D1E"/>
    <w:rsid w:val="00E728E2"/>
    <w:rsid w:val="00E74976"/>
    <w:rsid w:val="00E74CD6"/>
    <w:rsid w:val="00E75667"/>
    <w:rsid w:val="00E756D3"/>
    <w:rsid w:val="00E769CC"/>
    <w:rsid w:val="00E80AF8"/>
    <w:rsid w:val="00E827BB"/>
    <w:rsid w:val="00E827C4"/>
    <w:rsid w:val="00E82D24"/>
    <w:rsid w:val="00E8308F"/>
    <w:rsid w:val="00E8317B"/>
    <w:rsid w:val="00E8357D"/>
    <w:rsid w:val="00E84C04"/>
    <w:rsid w:val="00E84E4F"/>
    <w:rsid w:val="00E851DD"/>
    <w:rsid w:val="00E856A2"/>
    <w:rsid w:val="00E85AD2"/>
    <w:rsid w:val="00E9036E"/>
    <w:rsid w:val="00E917B6"/>
    <w:rsid w:val="00E92292"/>
    <w:rsid w:val="00E92D0B"/>
    <w:rsid w:val="00E93195"/>
    <w:rsid w:val="00E93F21"/>
    <w:rsid w:val="00E9411C"/>
    <w:rsid w:val="00E9522C"/>
    <w:rsid w:val="00E95C2A"/>
    <w:rsid w:val="00E963BC"/>
    <w:rsid w:val="00E97F7A"/>
    <w:rsid w:val="00EA0143"/>
    <w:rsid w:val="00EA089B"/>
    <w:rsid w:val="00EA2638"/>
    <w:rsid w:val="00EA2E21"/>
    <w:rsid w:val="00EA380C"/>
    <w:rsid w:val="00EA47B5"/>
    <w:rsid w:val="00EA7308"/>
    <w:rsid w:val="00EB089C"/>
    <w:rsid w:val="00EB0BB0"/>
    <w:rsid w:val="00EB0C65"/>
    <w:rsid w:val="00EB169F"/>
    <w:rsid w:val="00EB2961"/>
    <w:rsid w:val="00EB2E1A"/>
    <w:rsid w:val="00EB3268"/>
    <w:rsid w:val="00EB3298"/>
    <w:rsid w:val="00EB3CE6"/>
    <w:rsid w:val="00EB3E92"/>
    <w:rsid w:val="00EB68E6"/>
    <w:rsid w:val="00EB69AB"/>
    <w:rsid w:val="00EB6D1C"/>
    <w:rsid w:val="00EB737C"/>
    <w:rsid w:val="00EB7B67"/>
    <w:rsid w:val="00EC328C"/>
    <w:rsid w:val="00EC339A"/>
    <w:rsid w:val="00EC3BEC"/>
    <w:rsid w:val="00EC5241"/>
    <w:rsid w:val="00EC594C"/>
    <w:rsid w:val="00EC5C7B"/>
    <w:rsid w:val="00EC66AA"/>
    <w:rsid w:val="00EC6B8F"/>
    <w:rsid w:val="00EC7B48"/>
    <w:rsid w:val="00ED0257"/>
    <w:rsid w:val="00ED1339"/>
    <w:rsid w:val="00ED3E65"/>
    <w:rsid w:val="00ED4448"/>
    <w:rsid w:val="00ED4EDF"/>
    <w:rsid w:val="00ED5981"/>
    <w:rsid w:val="00ED5A0D"/>
    <w:rsid w:val="00ED66B2"/>
    <w:rsid w:val="00ED71BA"/>
    <w:rsid w:val="00ED73A1"/>
    <w:rsid w:val="00ED7CA2"/>
    <w:rsid w:val="00EE0824"/>
    <w:rsid w:val="00EE13DA"/>
    <w:rsid w:val="00EE3060"/>
    <w:rsid w:val="00EE332A"/>
    <w:rsid w:val="00EE5324"/>
    <w:rsid w:val="00EE55FA"/>
    <w:rsid w:val="00EE56E2"/>
    <w:rsid w:val="00EE6D45"/>
    <w:rsid w:val="00EE6E89"/>
    <w:rsid w:val="00EF0FE6"/>
    <w:rsid w:val="00EF11AA"/>
    <w:rsid w:val="00EF1C44"/>
    <w:rsid w:val="00EF1F9B"/>
    <w:rsid w:val="00EF2B18"/>
    <w:rsid w:val="00EF3AC4"/>
    <w:rsid w:val="00EF3BB9"/>
    <w:rsid w:val="00EF4008"/>
    <w:rsid w:val="00EF547C"/>
    <w:rsid w:val="00EF55E9"/>
    <w:rsid w:val="00EF5B41"/>
    <w:rsid w:val="00EF611C"/>
    <w:rsid w:val="00EF7462"/>
    <w:rsid w:val="00EF768D"/>
    <w:rsid w:val="00F00630"/>
    <w:rsid w:val="00F00922"/>
    <w:rsid w:val="00F011FF"/>
    <w:rsid w:val="00F01BE6"/>
    <w:rsid w:val="00F0217A"/>
    <w:rsid w:val="00F0251B"/>
    <w:rsid w:val="00F03E4C"/>
    <w:rsid w:val="00F0665D"/>
    <w:rsid w:val="00F06D42"/>
    <w:rsid w:val="00F07134"/>
    <w:rsid w:val="00F07378"/>
    <w:rsid w:val="00F07D99"/>
    <w:rsid w:val="00F10B81"/>
    <w:rsid w:val="00F11353"/>
    <w:rsid w:val="00F129F4"/>
    <w:rsid w:val="00F14CD1"/>
    <w:rsid w:val="00F15115"/>
    <w:rsid w:val="00F15D8C"/>
    <w:rsid w:val="00F16E1A"/>
    <w:rsid w:val="00F20197"/>
    <w:rsid w:val="00F20607"/>
    <w:rsid w:val="00F208BB"/>
    <w:rsid w:val="00F20D7A"/>
    <w:rsid w:val="00F210BE"/>
    <w:rsid w:val="00F21A5D"/>
    <w:rsid w:val="00F21C13"/>
    <w:rsid w:val="00F21DEA"/>
    <w:rsid w:val="00F22796"/>
    <w:rsid w:val="00F238F7"/>
    <w:rsid w:val="00F23BA0"/>
    <w:rsid w:val="00F25641"/>
    <w:rsid w:val="00F26065"/>
    <w:rsid w:val="00F30313"/>
    <w:rsid w:val="00F303BC"/>
    <w:rsid w:val="00F3059C"/>
    <w:rsid w:val="00F318A1"/>
    <w:rsid w:val="00F3265C"/>
    <w:rsid w:val="00F343EE"/>
    <w:rsid w:val="00F3547E"/>
    <w:rsid w:val="00F35494"/>
    <w:rsid w:val="00F35BF2"/>
    <w:rsid w:val="00F3619D"/>
    <w:rsid w:val="00F36858"/>
    <w:rsid w:val="00F3722A"/>
    <w:rsid w:val="00F37366"/>
    <w:rsid w:val="00F419B8"/>
    <w:rsid w:val="00F41C0F"/>
    <w:rsid w:val="00F42856"/>
    <w:rsid w:val="00F43390"/>
    <w:rsid w:val="00F43EF6"/>
    <w:rsid w:val="00F4482B"/>
    <w:rsid w:val="00F44B1C"/>
    <w:rsid w:val="00F44F02"/>
    <w:rsid w:val="00F4526B"/>
    <w:rsid w:val="00F462DF"/>
    <w:rsid w:val="00F4662D"/>
    <w:rsid w:val="00F468AC"/>
    <w:rsid w:val="00F471BE"/>
    <w:rsid w:val="00F47316"/>
    <w:rsid w:val="00F47507"/>
    <w:rsid w:val="00F5052D"/>
    <w:rsid w:val="00F50BF0"/>
    <w:rsid w:val="00F51A82"/>
    <w:rsid w:val="00F5254B"/>
    <w:rsid w:val="00F53A44"/>
    <w:rsid w:val="00F54431"/>
    <w:rsid w:val="00F54B29"/>
    <w:rsid w:val="00F551DB"/>
    <w:rsid w:val="00F559BE"/>
    <w:rsid w:val="00F56417"/>
    <w:rsid w:val="00F56EE7"/>
    <w:rsid w:val="00F56FEF"/>
    <w:rsid w:val="00F57521"/>
    <w:rsid w:val="00F57AC4"/>
    <w:rsid w:val="00F60938"/>
    <w:rsid w:val="00F61606"/>
    <w:rsid w:val="00F62BD1"/>
    <w:rsid w:val="00F62CA8"/>
    <w:rsid w:val="00F63BF4"/>
    <w:rsid w:val="00F63C60"/>
    <w:rsid w:val="00F64991"/>
    <w:rsid w:val="00F65BA9"/>
    <w:rsid w:val="00F6630F"/>
    <w:rsid w:val="00F67E81"/>
    <w:rsid w:val="00F719B2"/>
    <w:rsid w:val="00F71C68"/>
    <w:rsid w:val="00F724E2"/>
    <w:rsid w:val="00F72A89"/>
    <w:rsid w:val="00F73E5D"/>
    <w:rsid w:val="00F74103"/>
    <w:rsid w:val="00F7425F"/>
    <w:rsid w:val="00F75BB5"/>
    <w:rsid w:val="00F7604C"/>
    <w:rsid w:val="00F81623"/>
    <w:rsid w:val="00F81D25"/>
    <w:rsid w:val="00F83045"/>
    <w:rsid w:val="00F83615"/>
    <w:rsid w:val="00F85329"/>
    <w:rsid w:val="00F878CD"/>
    <w:rsid w:val="00F8794A"/>
    <w:rsid w:val="00F90C1F"/>
    <w:rsid w:val="00F91CEC"/>
    <w:rsid w:val="00F92585"/>
    <w:rsid w:val="00F92E17"/>
    <w:rsid w:val="00F93231"/>
    <w:rsid w:val="00F950B5"/>
    <w:rsid w:val="00F953D5"/>
    <w:rsid w:val="00F97A34"/>
    <w:rsid w:val="00F97EA1"/>
    <w:rsid w:val="00FA05C8"/>
    <w:rsid w:val="00FA0678"/>
    <w:rsid w:val="00FA107F"/>
    <w:rsid w:val="00FA23F7"/>
    <w:rsid w:val="00FA27EB"/>
    <w:rsid w:val="00FA4117"/>
    <w:rsid w:val="00FA6597"/>
    <w:rsid w:val="00FA672F"/>
    <w:rsid w:val="00FA7792"/>
    <w:rsid w:val="00FB0473"/>
    <w:rsid w:val="00FB11FA"/>
    <w:rsid w:val="00FB1495"/>
    <w:rsid w:val="00FB18F8"/>
    <w:rsid w:val="00FB2F8E"/>
    <w:rsid w:val="00FB39B0"/>
    <w:rsid w:val="00FB5183"/>
    <w:rsid w:val="00FB54FC"/>
    <w:rsid w:val="00FB5A71"/>
    <w:rsid w:val="00FB6DF2"/>
    <w:rsid w:val="00FB7823"/>
    <w:rsid w:val="00FC08B3"/>
    <w:rsid w:val="00FC09D7"/>
    <w:rsid w:val="00FC1998"/>
    <w:rsid w:val="00FC391E"/>
    <w:rsid w:val="00FC3AB7"/>
    <w:rsid w:val="00FC448A"/>
    <w:rsid w:val="00FC453D"/>
    <w:rsid w:val="00FC4A89"/>
    <w:rsid w:val="00FC665F"/>
    <w:rsid w:val="00FC6D59"/>
    <w:rsid w:val="00FC78F5"/>
    <w:rsid w:val="00FD10B3"/>
    <w:rsid w:val="00FD11C3"/>
    <w:rsid w:val="00FD154E"/>
    <w:rsid w:val="00FD3742"/>
    <w:rsid w:val="00FD3A41"/>
    <w:rsid w:val="00FD3AE2"/>
    <w:rsid w:val="00FD5975"/>
    <w:rsid w:val="00FD5AE4"/>
    <w:rsid w:val="00FD5F25"/>
    <w:rsid w:val="00FD60BE"/>
    <w:rsid w:val="00FD6894"/>
    <w:rsid w:val="00FD6980"/>
    <w:rsid w:val="00FD6AF0"/>
    <w:rsid w:val="00FD79B8"/>
    <w:rsid w:val="00FE0AD1"/>
    <w:rsid w:val="00FE0BBF"/>
    <w:rsid w:val="00FE0C6C"/>
    <w:rsid w:val="00FE33DB"/>
    <w:rsid w:val="00FE37DD"/>
    <w:rsid w:val="00FE3C31"/>
    <w:rsid w:val="00FE4015"/>
    <w:rsid w:val="00FE44F5"/>
    <w:rsid w:val="00FE480D"/>
    <w:rsid w:val="00FE493F"/>
    <w:rsid w:val="00FE6227"/>
    <w:rsid w:val="00FE6A50"/>
    <w:rsid w:val="00FE705C"/>
    <w:rsid w:val="00FF0B4F"/>
    <w:rsid w:val="00FF1AD3"/>
    <w:rsid w:val="00FF49F4"/>
    <w:rsid w:val="00FF651D"/>
    <w:rsid w:val="00FF68CA"/>
    <w:rsid w:val="010651D9"/>
    <w:rsid w:val="01C45B8B"/>
    <w:rsid w:val="02DA0C0E"/>
    <w:rsid w:val="03315CCB"/>
    <w:rsid w:val="039F5D5C"/>
    <w:rsid w:val="03DD35E4"/>
    <w:rsid w:val="03E5160F"/>
    <w:rsid w:val="04207E21"/>
    <w:rsid w:val="04452310"/>
    <w:rsid w:val="050B6D23"/>
    <w:rsid w:val="05880374"/>
    <w:rsid w:val="065A6178"/>
    <w:rsid w:val="065C6F27"/>
    <w:rsid w:val="0711386E"/>
    <w:rsid w:val="07337610"/>
    <w:rsid w:val="075562B7"/>
    <w:rsid w:val="07B63510"/>
    <w:rsid w:val="07F6164B"/>
    <w:rsid w:val="087A1B7A"/>
    <w:rsid w:val="09396AE2"/>
    <w:rsid w:val="096B2097"/>
    <w:rsid w:val="0A3544BF"/>
    <w:rsid w:val="0A5B7E63"/>
    <w:rsid w:val="0A945D6F"/>
    <w:rsid w:val="0BA332B2"/>
    <w:rsid w:val="0BB023D2"/>
    <w:rsid w:val="0BC1638D"/>
    <w:rsid w:val="0BC33EB3"/>
    <w:rsid w:val="0C0E2FD9"/>
    <w:rsid w:val="0C87121B"/>
    <w:rsid w:val="0D6405D4"/>
    <w:rsid w:val="0DF702FE"/>
    <w:rsid w:val="0E090A60"/>
    <w:rsid w:val="0E3F698B"/>
    <w:rsid w:val="0E511C4A"/>
    <w:rsid w:val="0EC71759"/>
    <w:rsid w:val="0F0C62E5"/>
    <w:rsid w:val="0F21508F"/>
    <w:rsid w:val="0F711E78"/>
    <w:rsid w:val="0F816ACD"/>
    <w:rsid w:val="0FB94501"/>
    <w:rsid w:val="0FE13153"/>
    <w:rsid w:val="10675755"/>
    <w:rsid w:val="10B047CF"/>
    <w:rsid w:val="10CF6E57"/>
    <w:rsid w:val="10FC16EA"/>
    <w:rsid w:val="11494E5B"/>
    <w:rsid w:val="118963A1"/>
    <w:rsid w:val="11B2211E"/>
    <w:rsid w:val="11C4179E"/>
    <w:rsid w:val="127723A9"/>
    <w:rsid w:val="13072A44"/>
    <w:rsid w:val="130F3E82"/>
    <w:rsid w:val="14105EEE"/>
    <w:rsid w:val="14362FF1"/>
    <w:rsid w:val="145044FA"/>
    <w:rsid w:val="1742023F"/>
    <w:rsid w:val="17C865A3"/>
    <w:rsid w:val="18461624"/>
    <w:rsid w:val="186742B0"/>
    <w:rsid w:val="18E13BCB"/>
    <w:rsid w:val="195245AB"/>
    <w:rsid w:val="19C177A8"/>
    <w:rsid w:val="1B2A271F"/>
    <w:rsid w:val="1B2B37F3"/>
    <w:rsid w:val="1B545980"/>
    <w:rsid w:val="1B890139"/>
    <w:rsid w:val="1C2B6D42"/>
    <w:rsid w:val="1CBE3E61"/>
    <w:rsid w:val="1CD16C47"/>
    <w:rsid w:val="1D266CE1"/>
    <w:rsid w:val="1D3963AF"/>
    <w:rsid w:val="1DA12CEA"/>
    <w:rsid w:val="1E2E469B"/>
    <w:rsid w:val="1E6908EA"/>
    <w:rsid w:val="1E714A66"/>
    <w:rsid w:val="1F444EB4"/>
    <w:rsid w:val="1F9626AB"/>
    <w:rsid w:val="1FE868A9"/>
    <w:rsid w:val="20937EA1"/>
    <w:rsid w:val="211E26D6"/>
    <w:rsid w:val="21283D08"/>
    <w:rsid w:val="21A4660B"/>
    <w:rsid w:val="21AA6172"/>
    <w:rsid w:val="22C30ADD"/>
    <w:rsid w:val="22C456A9"/>
    <w:rsid w:val="22FA7381"/>
    <w:rsid w:val="23173583"/>
    <w:rsid w:val="235C0A1E"/>
    <w:rsid w:val="24060C64"/>
    <w:rsid w:val="240F4253"/>
    <w:rsid w:val="243279D1"/>
    <w:rsid w:val="24B81507"/>
    <w:rsid w:val="25847A9B"/>
    <w:rsid w:val="25B440B3"/>
    <w:rsid w:val="261A4BC0"/>
    <w:rsid w:val="262B0B7B"/>
    <w:rsid w:val="26A12BEB"/>
    <w:rsid w:val="26AA5F44"/>
    <w:rsid w:val="272917D9"/>
    <w:rsid w:val="27646D45"/>
    <w:rsid w:val="278A3680"/>
    <w:rsid w:val="27CB6172"/>
    <w:rsid w:val="285A6198"/>
    <w:rsid w:val="28C72DDD"/>
    <w:rsid w:val="29AE73CC"/>
    <w:rsid w:val="2A063491"/>
    <w:rsid w:val="2A20167B"/>
    <w:rsid w:val="2AA1365A"/>
    <w:rsid w:val="2B665DE1"/>
    <w:rsid w:val="2C7936C6"/>
    <w:rsid w:val="2DD15014"/>
    <w:rsid w:val="2DF857E7"/>
    <w:rsid w:val="2EC92CDF"/>
    <w:rsid w:val="2FD25781"/>
    <w:rsid w:val="300C7F94"/>
    <w:rsid w:val="30274161"/>
    <w:rsid w:val="305867E0"/>
    <w:rsid w:val="305F2622"/>
    <w:rsid w:val="30F84731"/>
    <w:rsid w:val="312307EC"/>
    <w:rsid w:val="312468F3"/>
    <w:rsid w:val="313A5EF4"/>
    <w:rsid w:val="316A5A3B"/>
    <w:rsid w:val="31952424"/>
    <w:rsid w:val="319C6071"/>
    <w:rsid w:val="32005658"/>
    <w:rsid w:val="32681C29"/>
    <w:rsid w:val="3270525D"/>
    <w:rsid w:val="32AB107A"/>
    <w:rsid w:val="32DB72BE"/>
    <w:rsid w:val="3367539F"/>
    <w:rsid w:val="337155D7"/>
    <w:rsid w:val="33A02328"/>
    <w:rsid w:val="342E63AB"/>
    <w:rsid w:val="345D260B"/>
    <w:rsid w:val="34961A70"/>
    <w:rsid w:val="34C82096"/>
    <w:rsid w:val="35F40F8A"/>
    <w:rsid w:val="36136406"/>
    <w:rsid w:val="363946D8"/>
    <w:rsid w:val="365302AE"/>
    <w:rsid w:val="370D28C1"/>
    <w:rsid w:val="375009D7"/>
    <w:rsid w:val="37F142D2"/>
    <w:rsid w:val="39241FCC"/>
    <w:rsid w:val="39A13F14"/>
    <w:rsid w:val="39A704E3"/>
    <w:rsid w:val="3AEC1764"/>
    <w:rsid w:val="3B514310"/>
    <w:rsid w:val="3C443E4F"/>
    <w:rsid w:val="3C5938F5"/>
    <w:rsid w:val="3C5F759A"/>
    <w:rsid w:val="3D2959BD"/>
    <w:rsid w:val="3D5C78D4"/>
    <w:rsid w:val="3D9E0827"/>
    <w:rsid w:val="3DF03D49"/>
    <w:rsid w:val="3E255E57"/>
    <w:rsid w:val="3EB219E2"/>
    <w:rsid w:val="3ED61F7B"/>
    <w:rsid w:val="3F1757A8"/>
    <w:rsid w:val="3F357636"/>
    <w:rsid w:val="3F450160"/>
    <w:rsid w:val="3F6B72D6"/>
    <w:rsid w:val="3F7B287D"/>
    <w:rsid w:val="3FFF72A6"/>
    <w:rsid w:val="4038198F"/>
    <w:rsid w:val="416E62DC"/>
    <w:rsid w:val="420E1545"/>
    <w:rsid w:val="42CF228D"/>
    <w:rsid w:val="42E1381E"/>
    <w:rsid w:val="43B753A5"/>
    <w:rsid w:val="43FB717C"/>
    <w:rsid w:val="451E447A"/>
    <w:rsid w:val="45345B76"/>
    <w:rsid w:val="45F71264"/>
    <w:rsid w:val="463E1738"/>
    <w:rsid w:val="46A9614D"/>
    <w:rsid w:val="470740ED"/>
    <w:rsid w:val="471373E8"/>
    <w:rsid w:val="47307808"/>
    <w:rsid w:val="47544185"/>
    <w:rsid w:val="47CF1BEB"/>
    <w:rsid w:val="486F747C"/>
    <w:rsid w:val="491D6A75"/>
    <w:rsid w:val="49DD673C"/>
    <w:rsid w:val="4A244932"/>
    <w:rsid w:val="4A761DD1"/>
    <w:rsid w:val="4AC9433B"/>
    <w:rsid w:val="4C1B7C71"/>
    <w:rsid w:val="4D861CF6"/>
    <w:rsid w:val="4DCE41ED"/>
    <w:rsid w:val="4F036B23"/>
    <w:rsid w:val="4F103A13"/>
    <w:rsid w:val="4F292918"/>
    <w:rsid w:val="505D4E55"/>
    <w:rsid w:val="51A0432A"/>
    <w:rsid w:val="527140E5"/>
    <w:rsid w:val="5292508F"/>
    <w:rsid w:val="529C2335"/>
    <w:rsid w:val="52A96B6F"/>
    <w:rsid w:val="532822B7"/>
    <w:rsid w:val="53DA65A3"/>
    <w:rsid w:val="54041F40"/>
    <w:rsid w:val="541D3690"/>
    <w:rsid w:val="550764A4"/>
    <w:rsid w:val="551926E0"/>
    <w:rsid w:val="561279B9"/>
    <w:rsid w:val="56363B92"/>
    <w:rsid w:val="56515F3B"/>
    <w:rsid w:val="5706784C"/>
    <w:rsid w:val="572B71CA"/>
    <w:rsid w:val="5741191B"/>
    <w:rsid w:val="57627542"/>
    <w:rsid w:val="57E958DA"/>
    <w:rsid w:val="587D7756"/>
    <w:rsid w:val="58810003"/>
    <w:rsid w:val="58AE4F0C"/>
    <w:rsid w:val="58B22DEB"/>
    <w:rsid w:val="594D25DB"/>
    <w:rsid w:val="59816B33"/>
    <w:rsid w:val="598D4D94"/>
    <w:rsid w:val="5A0504B5"/>
    <w:rsid w:val="5A117165"/>
    <w:rsid w:val="5A2A7C7B"/>
    <w:rsid w:val="5A522C07"/>
    <w:rsid w:val="5AB23368"/>
    <w:rsid w:val="5C077120"/>
    <w:rsid w:val="5C55713F"/>
    <w:rsid w:val="5C80234E"/>
    <w:rsid w:val="5C8210D4"/>
    <w:rsid w:val="5C8618C3"/>
    <w:rsid w:val="5CE64FEF"/>
    <w:rsid w:val="5D131446"/>
    <w:rsid w:val="5D6977D7"/>
    <w:rsid w:val="5DBF62A8"/>
    <w:rsid w:val="5E261785"/>
    <w:rsid w:val="5E4B7FE7"/>
    <w:rsid w:val="5F80016B"/>
    <w:rsid w:val="5F885C6C"/>
    <w:rsid w:val="5FCC5339"/>
    <w:rsid w:val="5FCF0764"/>
    <w:rsid w:val="5FE70807"/>
    <w:rsid w:val="60483AFC"/>
    <w:rsid w:val="6093384F"/>
    <w:rsid w:val="60E53485"/>
    <w:rsid w:val="61054A27"/>
    <w:rsid w:val="611D004F"/>
    <w:rsid w:val="611D2366"/>
    <w:rsid w:val="625613A5"/>
    <w:rsid w:val="62885958"/>
    <w:rsid w:val="62A56FE4"/>
    <w:rsid w:val="63144820"/>
    <w:rsid w:val="6453752A"/>
    <w:rsid w:val="648A46E4"/>
    <w:rsid w:val="64CE2EAA"/>
    <w:rsid w:val="64E930D8"/>
    <w:rsid w:val="662E75B1"/>
    <w:rsid w:val="66342C2E"/>
    <w:rsid w:val="663E784C"/>
    <w:rsid w:val="66DF1EB0"/>
    <w:rsid w:val="6772391B"/>
    <w:rsid w:val="67AA7DA2"/>
    <w:rsid w:val="68064B3E"/>
    <w:rsid w:val="685867EC"/>
    <w:rsid w:val="68A35D74"/>
    <w:rsid w:val="69102733"/>
    <w:rsid w:val="69943834"/>
    <w:rsid w:val="69A27DD9"/>
    <w:rsid w:val="69EA7CF6"/>
    <w:rsid w:val="6AAD27D4"/>
    <w:rsid w:val="6AF85FCE"/>
    <w:rsid w:val="6B9145AA"/>
    <w:rsid w:val="6BA43AA1"/>
    <w:rsid w:val="6BD03993"/>
    <w:rsid w:val="6BDF70C3"/>
    <w:rsid w:val="6C04327E"/>
    <w:rsid w:val="6C077E73"/>
    <w:rsid w:val="6CB5278A"/>
    <w:rsid w:val="6CB96113"/>
    <w:rsid w:val="6CCA7D73"/>
    <w:rsid w:val="6D0F0AFD"/>
    <w:rsid w:val="6D4E0208"/>
    <w:rsid w:val="6D581C9A"/>
    <w:rsid w:val="6E4753F3"/>
    <w:rsid w:val="6E8E12EF"/>
    <w:rsid w:val="6F58599B"/>
    <w:rsid w:val="6FF13959"/>
    <w:rsid w:val="702E2F9A"/>
    <w:rsid w:val="703A503B"/>
    <w:rsid w:val="706202C3"/>
    <w:rsid w:val="70745789"/>
    <w:rsid w:val="70E850E0"/>
    <w:rsid w:val="71130510"/>
    <w:rsid w:val="71557E27"/>
    <w:rsid w:val="71D43752"/>
    <w:rsid w:val="733D0DD5"/>
    <w:rsid w:val="739A7D73"/>
    <w:rsid w:val="73DD6243"/>
    <w:rsid w:val="743B50B2"/>
    <w:rsid w:val="746C2532"/>
    <w:rsid w:val="747405C4"/>
    <w:rsid w:val="749C4185"/>
    <w:rsid w:val="74EC6B9B"/>
    <w:rsid w:val="75DA2C18"/>
    <w:rsid w:val="76FF2D0F"/>
    <w:rsid w:val="774322F8"/>
    <w:rsid w:val="775319EF"/>
    <w:rsid w:val="77BE04D4"/>
    <w:rsid w:val="78D81199"/>
    <w:rsid w:val="790F1C77"/>
    <w:rsid w:val="79180FAF"/>
    <w:rsid w:val="7A67303B"/>
    <w:rsid w:val="7A684727"/>
    <w:rsid w:val="7A8552D9"/>
    <w:rsid w:val="7AAB1D04"/>
    <w:rsid w:val="7ABA4368"/>
    <w:rsid w:val="7B23367A"/>
    <w:rsid w:val="7B257FFD"/>
    <w:rsid w:val="7C2B1DA5"/>
    <w:rsid w:val="7DF4317E"/>
    <w:rsid w:val="7E64308B"/>
    <w:rsid w:val="7E784333"/>
    <w:rsid w:val="7F6A0F42"/>
    <w:rsid w:val="FFFBE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iPriority="99"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49"/>
    <w:qFormat/>
    <w:uiPriority w:val="0"/>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5">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6">
    <w:name w:val="heading 4"/>
    <w:basedOn w:val="1"/>
    <w:next w:val="1"/>
    <w:link w:val="599"/>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7">
    <w:name w:val="heading 5"/>
    <w:basedOn w:val="1"/>
    <w:next w:val="1"/>
    <w:link w:val="573"/>
    <w:qFormat/>
    <w:uiPriority w:val="0"/>
    <w:pPr>
      <w:keepNext/>
      <w:keepLines/>
      <w:numPr>
        <w:ilvl w:val="4"/>
        <w:numId w:val="1"/>
      </w:numPr>
      <w:spacing w:before="280" w:after="290" w:line="376" w:lineRule="auto"/>
      <w:outlineLvl w:val="4"/>
    </w:pPr>
    <w:rPr>
      <w:b/>
      <w:bCs/>
      <w:sz w:val="28"/>
      <w:szCs w:val="28"/>
    </w:rPr>
  </w:style>
  <w:style w:type="paragraph" w:styleId="8">
    <w:name w:val="heading 6"/>
    <w:basedOn w:val="1"/>
    <w:next w:val="1"/>
    <w:link w:val="612"/>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9">
    <w:name w:val="heading 7"/>
    <w:basedOn w:val="1"/>
    <w:next w:val="1"/>
    <w:link w:val="481"/>
    <w:qFormat/>
    <w:uiPriority w:val="0"/>
    <w:pPr>
      <w:keepNext/>
      <w:keepLines/>
      <w:numPr>
        <w:ilvl w:val="6"/>
        <w:numId w:val="1"/>
      </w:numPr>
      <w:spacing w:before="240" w:after="64" w:line="320" w:lineRule="auto"/>
      <w:outlineLvl w:val="6"/>
    </w:pPr>
    <w:rPr>
      <w:b/>
      <w:bCs/>
      <w:sz w:val="24"/>
    </w:rPr>
  </w:style>
  <w:style w:type="paragraph" w:styleId="10">
    <w:name w:val="heading 8"/>
    <w:basedOn w:val="1"/>
    <w:next w:val="1"/>
    <w:link w:val="471"/>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1"/>
    <w:link w:val="519"/>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12"/>
    <w:qFormat/>
    <w:uiPriority w:val="0"/>
    <w:pPr>
      <w:autoSpaceDE w:val="0"/>
      <w:autoSpaceDN w:val="0"/>
      <w:spacing w:line="360" w:lineRule="auto"/>
    </w:pPr>
    <w:rPr>
      <w:rFonts w:ascii="宋体"/>
      <w:sz w:val="24"/>
      <w:szCs w:val="21"/>
      <w:lang w:val="zh-CN"/>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index 8"/>
    <w:basedOn w:val="1"/>
    <w:next w:val="1"/>
    <w:semiHidden/>
    <w:unhideWhenUsed/>
    <w:qFormat/>
    <w:uiPriority w:val="99"/>
    <w:pPr>
      <w:ind w:left="1400" w:leftChars="1400"/>
    </w:pPr>
  </w:style>
  <w:style w:type="paragraph" w:styleId="16">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7">
    <w:name w:val="Normal Indent"/>
    <w:basedOn w:val="1"/>
    <w:next w:val="1"/>
    <w:link w:val="613"/>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qFormat/>
    <w:uiPriority w:val="0"/>
    <w:rPr>
      <w:b/>
      <w:sz w:val="28"/>
      <w:szCs w:val="20"/>
    </w:rPr>
  </w:style>
  <w:style w:type="paragraph" w:styleId="19">
    <w:name w:val="index 5"/>
    <w:basedOn w:val="1"/>
    <w:next w:val="1"/>
    <w:qFormat/>
    <w:uiPriority w:val="0"/>
    <w:pPr>
      <w:adjustRightInd/>
      <w:ind w:left="800" w:leftChars="800" w:firstLine="200" w:firstLineChars="200"/>
    </w:pPr>
  </w:style>
  <w:style w:type="paragraph" w:styleId="20">
    <w:name w:val="Document Map"/>
    <w:basedOn w:val="1"/>
    <w:semiHidden/>
    <w:qFormat/>
    <w:uiPriority w:val="0"/>
    <w:pPr>
      <w:shd w:val="clear" w:color="auto" w:fill="000080"/>
    </w:pPr>
  </w:style>
  <w:style w:type="paragraph" w:styleId="21">
    <w:name w:val="annotation text"/>
    <w:basedOn w:val="1"/>
    <w:link w:val="614"/>
    <w:qFormat/>
    <w:uiPriority w:val="99"/>
    <w:pPr>
      <w:jc w:val="left"/>
    </w:pPr>
  </w:style>
  <w:style w:type="paragraph" w:styleId="22">
    <w:name w:val="Salutation"/>
    <w:basedOn w:val="1"/>
    <w:next w:val="1"/>
    <w:link w:val="482"/>
    <w:qFormat/>
    <w:uiPriority w:val="0"/>
    <w:rPr>
      <w:rFonts w:ascii="仿宋_GB2312" w:eastAsia="仿宋_GB2312"/>
      <w:sz w:val="28"/>
      <w:szCs w:val="20"/>
    </w:rPr>
  </w:style>
  <w:style w:type="paragraph" w:styleId="23">
    <w:name w:val="Body Text 3"/>
    <w:basedOn w:val="1"/>
    <w:link w:val="581"/>
    <w:qFormat/>
    <w:uiPriority w:val="0"/>
    <w:pPr>
      <w:jc w:val="center"/>
    </w:pPr>
    <w:rPr>
      <w:szCs w:val="20"/>
    </w:rPr>
  </w:style>
  <w:style w:type="paragraph" w:styleId="24">
    <w:name w:val="Body Text Indent"/>
    <w:basedOn w:val="1"/>
    <w:link w:val="475"/>
    <w:qFormat/>
    <w:uiPriority w:val="0"/>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571"/>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489"/>
    <w:qFormat/>
    <w:uiPriority w:val="0"/>
    <w:rPr>
      <w:rFonts w:ascii="宋体" w:hAnsi="Courier New"/>
      <w:szCs w:val="20"/>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598"/>
    <w:qFormat/>
    <w:uiPriority w:val="0"/>
    <w:pPr>
      <w:ind w:left="100" w:leftChars="2500"/>
    </w:pPr>
    <w:rPr>
      <w:rFonts w:ascii="宋体"/>
      <w:sz w:val="24"/>
      <w:szCs w:val="21"/>
      <w:lang w:val="zh-CN"/>
    </w:rPr>
  </w:style>
  <w:style w:type="paragraph" w:styleId="36">
    <w:name w:val="Body Text Indent 2"/>
    <w:basedOn w:val="1"/>
    <w:link w:val="503"/>
    <w:qFormat/>
    <w:uiPriority w:val="0"/>
    <w:pPr>
      <w:spacing w:line="360" w:lineRule="auto"/>
      <w:ind w:firstLine="601"/>
      <w:textAlignment w:val="baseline"/>
    </w:pPr>
    <w:rPr>
      <w:rFonts w:ascii="宋体"/>
      <w:kern w:val="0"/>
      <w:sz w:val="28"/>
      <w:szCs w:val="20"/>
    </w:rPr>
  </w:style>
  <w:style w:type="paragraph" w:styleId="37">
    <w:name w:val="Balloon Text"/>
    <w:basedOn w:val="1"/>
    <w:link w:val="615"/>
    <w:semiHidden/>
    <w:qFormat/>
    <w:uiPriority w:val="0"/>
    <w:rPr>
      <w:sz w:val="18"/>
      <w:szCs w:val="18"/>
    </w:rPr>
  </w:style>
  <w:style w:type="paragraph" w:styleId="38">
    <w:name w:val="footer"/>
    <w:basedOn w:val="1"/>
    <w:qFormat/>
    <w:uiPriority w:val="0"/>
    <w:pPr>
      <w:tabs>
        <w:tab w:val="center" w:pos="4153"/>
        <w:tab w:val="right" w:pos="8306"/>
      </w:tabs>
      <w:snapToGrid w:val="0"/>
      <w:jc w:val="left"/>
    </w:pPr>
    <w:rPr>
      <w:sz w:val="18"/>
      <w:szCs w:val="18"/>
    </w:rPr>
  </w:style>
  <w:style w:type="paragraph" w:styleId="3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435"/>
    <w:qFormat/>
    <w:uiPriority w:val="0"/>
    <w:pPr>
      <w:spacing w:after="600" w:line="312" w:lineRule="atLeast"/>
      <w:jc w:val="center"/>
      <w:textAlignment w:val="baseline"/>
    </w:pPr>
    <w:rPr>
      <w:rFonts w:eastAsia="仿宋_GB2312"/>
      <w:kern w:val="0"/>
      <w:sz w:val="24"/>
      <w:szCs w:val="20"/>
    </w:rPr>
  </w:style>
  <w:style w:type="paragraph" w:styleId="41">
    <w:name w:val="toc 1"/>
    <w:basedOn w:val="1"/>
    <w:next w:val="1"/>
    <w:qFormat/>
    <w:uiPriority w:val="39"/>
  </w:style>
  <w:style w:type="paragraph" w:styleId="42">
    <w:name w:val="toc 4"/>
    <w:basedOn w:val="1"/>
    <w:next w:val="1"/>
    <w:qFormat/>
    <w:uiPriority w:val="0"/>
    <w:pPr>
      <w:ind w:left="1260" w:leftChars="600"/>
    </w:pPr>
  </w:style>
  <w:style w:type="paragraph" w:styleId="43">
    <w:name w:val="index heading"/>
    <w:basedOn w:val="1"/>
    <w:next w:val="44"/>
    <w:qFormat/>
    <w:uiPriority w:val="0"/>
    <w:pPr>
      <w:adjustRightInd/>
      <w:ind w:firstLine="200" w:firstLineChars="200"/>
    </w:pPr>
  </w:style>
  <w:style w:type="paragraph" w:styleId="44">
    <w:name w:val="index 1"/>
    <w:basedOn w:val="1"/>
    <w:next w:val="1"/>
    <w:qFormat/>
    <w:uiPriority w:val="0"/>
    <w:pPr>
      <w:adjustRightInd/>
      <w:spacing w:line="360" w:lineRule="auto"/>
      <w:ind w:firstLine="200" w:firstLineChars="200"/>
      <w:jc w:val="center"/>
    </w:pPr>
    <w:rPr>
      <w:sz w:val="24"/>
      <w:szCs w:val="20"/>
    </w:rPr>
  </w:style>
  <w:style w:type="paragraph" w:styleId="45">
    <w:name w:val="Subtitle"/>
    <w:basedOn w:val="1"/>
    <w:next w:val="1"/>
    <w:link w:val="488"/>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6">
    <w:name w:val="List Number 5"/>
    <w:basedOn w:val="1"/>
    <w:qFormat/>
    <w:uiPriority w:val="0"/>
    <w:pPr>
      <w:tabs>
        <w:tab w:val="left" w:pos="902"/>
      </w:tabs>
      <w:adjustRightInd/>
      <w:spacing w:line="400" w:lineRule="exact"/>
      <w:ind w:left="902" w:hanging="420"/>
    </w:pPr>
    <w:rPr>
      <w:sz w:val="24"/>
      <w:szCs w:val="20"/>
    </w:rPr>
  </w:style>
  <w:style w:type="paragraph" w:styleId="47">
    <w:name w:val="List"/>
    <w:basedOn w:val="1"/>
    <w:qFormat/>
    <w:uiPriority w:val="0"/>
    <w:pPr>
      <w:ind w:left="200" w:hanging="200" w:hangingChars="200"/>
    </w:pPr>
  </w:style>
  <w:style w:type="paragraph" w:styleId="48">
    <w:name w:val="footnote text"/>
    <w:basedOn w:val="17"/>
    <w:link w:val="473"/>
    <w:qFormat/>
    <w:uiPriority w:val="0"/>
    <w:pPr>
      <w:adjustRightInd/>
      <w:snapToGrid/>
      <w:spacing w:before="60" w:after="60" w:line="300" w:lineRule="exact"/>
      <w:ind w:firstLine="0"/>
    </w:pPr>
    <w:rPr>
      <w:rFonts w:ascii="Times New Roman"/>
      <w:snapToGrid/>
      <w:color w:val="0000FF"/>
      <w:kern w:val="0"/>
      <w:sz w:val="21"/>
    </w:rPr>
  </w:style>
  <w:style w:type="paragraph" w:styleId="49">
    <w:name w:val="toc 6"/>
    <w:basedOn w:val="1"/>
    <w:next w:val="1"/>
    <w:qFormat/>
    <w:uiPriority w:val="0"/>
    <w:pPr>
      <w:ind w:left="2100" w:leftChars="1000"/>
    </w:pPr>
  </w:style>
  <w:style w:type="paragraph" w:styleId="50">
    <w:name w:val="List 5"/>
    <w:basedOn w:val="1"/>
    <w:qFormat/>
    <w:uiPriority w:val="0"/>
    <w:pPr>
      <w:adjustRightInd/>
      <w:ind w:left="100" w:leftChars="800" w:hanging="200" w:hangingChars="200"/>
    </w:pPr>
  </w:style>
  <w:style w:type="paragraph" w:styleId="51">
    <w:name w:val="Body Text Indent 3"/>
    <w:basedOn w:val="1"/>
    <w:link w:val="588"/>
    <w:qFormat/>
    <w:uiPriority w:val="0"/>
    <w:pPr>
      <w:spacing w:line="360" w:lineRule="auto"/>
      <w:ind w:firstLine="420"/>
    </w:pPr>
    <w:rPr>
      <w:sz w:val="24"/>
      <w:szCs w:val="20"/>
    </w:rPr>
  </w:style>
  <w:style w:type="paragraph" w:styleId="52">
    <w:name w:val="toc 2"/>
    <w:basedOn w:val="1"/>
    <w:next w:val="1"/>
    <w:qFormat/>
    <w:uiPriority w:val="0"/>
    <w:pPr>
      <w:ind w:left="420" w:leftChars="200"/>
    </w:pPr>
  </w:style>
  <w:style w:type="paragraph" w:styleId="53">
    <w:name w:val="toc 9"/>
    <w:basedOn w:val="1"/>
    <w:next w:val="1"/>
    <w:qFormat/>
    <w:uiPriority w:val="0"/>
    <w:pPr>
      <w:ind w:left="3360" w:leftChars="1600"/>
    </w:pPr>
  </w:style>
  <w:style w:type="paragraph" w:styleId="54">
    <w:name w:val="Body Text 2"/>
    <w:basedOn w:val="1"/>
    <w:qFormat/>
    <w:uiPriority w:val="0"/>
    <w:pPr>
      <w:spacing w:after="120" w:line="480" w:lineRule="auto"/>
    </w:pPr>
  </w:style>
  <w:style w:type="paragraph" w:styleId="55">
    <w:name w:val="HTML Preformatted"/>
    <w:basedOn w:val="1"/>
    <w:link w:val="5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6">
    <w:name w:val="Normal (Web)"/>
    <w:basedOn w:val="1"/>
    <w:qFormat/>
    <w:uiPriority w:val="99"/>
    <w:pPr>
      <w:widowControl/>
      <w:spacing w:before="100" w:beforeAutospacing="1" w:after="100" w:afterAutospacing="1"/>
      <w:jc w:val="left"/>
    </w:pPr>
    <w:rPr>
      <w:rFonts w:ascii="宋体" w:hAnsi="宋体"/>
      <w:kern w:val="0"/>
      <w:sz w:val="24"/>
    </w:rPr>
  </w:style>
  <w:style w:type="paragraph" w:styleId="57">
    <w:name w:val="Title"/>
    <w:basedOn w:val="1"/>
    <w:qFormat/>
    <w:uiPriority w:val="0"/>
    <w:pPr>
      <w:widowControl/>
      <w:overflowPunct w:val="0"/>
      <w:autoSpaceDE w:val="0"/>
      <w:autoSpaceDN w:val="0"/>
      <w:jc w:val="center"/>
      <w:textAlignment w:val="baseline"/>
    </w:pPr>
    <w:rPr>
      <w:b/>
      <w:kern w:val="0"/>
      <w:sz w:val="24"/>
      <w:szCs w:val="20"/>
      <w:lang w:val="en-GB"/>
    </w:rPr>
  </w:style>
  <w:style w:type="paragraph" w:styleId="58">
    <w:name w:val="annotation subject"/>
    <w:basedOn w:val="21"/>
    <w:next w:val="21"/>
    <w:semiHidden/>
    <w:qFormat/>
    <w:uiPriority w:val="0"/>
    <w:rPr>
      <w:b/>
      <w:bCs/>
    </w:rPr>
  </w:style>
  <w:style w:type="paragraph" w:styleId="59">
    <w:name w:val="Body Text First Indent"/>
    <w:basedOn w:val="2"/>
    <w:link w:val="545"/>
    <w:qFormat/>
    <w:uiPriority w:val="0"/>
    <w:pPr>
      <w:ind w:firstLine="420"/>
    </w:pPr>
    <w:rPr>
      <w:szCs w:val="20"/>
    </w:rPr>
  </w:style>
  <w:style w:type="paragraph" w:styleId="60">
    <w:name w:val="Body Text First Indent 2"/>
    <w:basedOn w:val="24"/>
    <w:link w:val="502"/>
    <w:qFormat/>
    <w:uiPriority w:val="0"/>
    <w:pPr>
      <w:adjustRightInd/>
      <w:spacing w:after="120"/>
      <w:ind w:left="420" w:leftChars="200" w:firstLine="210"/>
    </w:pPr>
  </w:style>
  <w:style w:type="table" w:styleId="62">
    <w:name w:val="Table Grid"/>
    <w:basedOn w:val="61"/>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22"/>
    <w:rPr>
      <w:b/>
      <w:bCs/>
    </w:rPr>
  </w:style>
  <w:style w:type="character" w:styleId="65">
    <w:name w:val="page number"/>
    <w:basedOn w:val="63"/>
    <w:qFormat/>
    <w:uiPriority w:val="0"/>
  </w:style>
  <w:style w:type="character" w:styleId="66">
    <w:name w:val="FollowedHyperlink"/>
    <w:qFormat/>
    <w:uiPriority w:val="0"/>
    <w:rPr>
      <w:rFonts w:ascii="Arial" w:hAnsi="Arial" w:eastAsia="黑体" w:cs="Arial"/>
      <w:snapToGrid w:val="0"/>
      <w:color w:val="000000"/>
      <w:kern w:val="0"/>
      <w:sz w:val="18"/>
      <w:szCs w:val="18"/>
      <w:u w:val="none"/>
    </w:rPr>
  </w:style>
  <w:style w:type="character" w:styleId="67">
    <w:name w:val="Emphasis"/>
    <w:qFormat/>
    <w:uiPriority w:val="0"/>
    <w:rPr>
      <w:color w:val="CC0033"/>
    </w:rPr>
  </w:style>
  <w:style w:type="character" w:styleId="68">
    <w:name w:val="line number"/>
    <w:basedOn w:val="63"/>
    <w:qFormat/>
    <w:uiPriority w:val="0"/>
  </w:style>
  <w:style w:type="character" w:styleId="69">
    <w:name w:val="Hyperlink"/>
    <w:qFormat/>
    <w:uiPriority w:val="99"/>
    <w:rPr>
      <w:rFonts w:ascii="Arial" w:hAnsi="Arial" w:eastAsia="黑体" w:cs="Arial"/>
      <w:snapToGrid w:val="0"/>
      <w:color w:val="000000"/>
      <w:kern w:val="0"/>
      <w:sz w:val="18"/>
      <w:szCs w:val="18"/>
      <w:u w:val="none"/>
    </w:rPr>
  </w:style>
  <w:style w:type="character" w:styleId="70">
    <w:name w:val="HTML Code"/>
    <w:qFormat/>
    <w:uiPriority w:val="0"/>
    <w:rPr>
      <w:rFonts w:ascii="黑体" w:hAnsi="Courier New" w:eastAsia="黑体" w:cs="楷体_GB2312"/>
      <w:sz w:val="20"/>
      <w:szCs w:val="20"/>
    </w:rPr>
  </w:style>
  <w:style w:type="character" w:styleId="71">
    <w:name w:val="annotation reference"/>
    <w:qFormat/>
    <w:uiPriority w:val="99"/>
    <w:rPr>
      <w:sz w:val="21"/>
      <w:szCs w:val="21"/>
    </w:rPr>
  </w:style>
  <w:style w:type="paragraph" w:customStyle="1" w:styleId="72">
    <w:name w:val="Default"/>
    <w:next w:val="1"/>
    <w:link w:val="62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73">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4">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75">
    <w:name w:val="冯"/>
    <w:basedOn w:val="1"/>
    <w:link w:val="516"/>
    <w:qFormat/>
    <w:uiPriority w:val="0"/>
    <w:pPr>
      <w:widowControl/>
      <w:adjustRightInd/>
      <w:spacing w:line="360" w:lineRule="auto"/>
      <w:ind w:firstLine="480" w:firstLineChars="200"/>
    </w:pPr>
    <w:rPr>
      <w:rFonts w:ascii="宋体" w:hAnsi="宋体"/>
      <w:color w:val="000000"/>
      <w:kern w:val="0"/>
      <w:sz w:val="24"/>
    </w:rPr>
  </w:style>
  <w:style w:type="paragraph" w:customStyle="1" w:styleId="76">
    <w:name w:val="样式3"/>
    <w:basedOn w:val="77"/>
    <w:qFormat/>
    <w:uiPriority w:val="0"/>
    <w:pPr>
      <w:tabs>
        <w:tab w:val="left" w:pos="2790"/>
        <w:tab w:val="left" w:pos="4230"/>
      </w:tabs>
      <w:spacing w:before="312" w:beforeLines="100"/>
      <w:jc w:val="left"/>
    </w:pPr>
  </w:style>
  <w:style w:type="paragraph" w:customStyle="1" w:styleId="77">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78">
    <w:name w:val="P1"/>
    <w:basedOn w:val="1"/>
    <w:qFormat/>
    <w:uiPriority w:val="0"/>
    <w:pPr>
      <w:adjustRightInd/>
      <w:spacing w:line="288" w:lineRule="auto"/>
      <w:ind w:firstLine="425" w:firstLineChars="200"/>
    </w:pPr>
  </w:style>
  <w:style w:type="paragraph" w:customStyle="1" w:styleId="79">
    <w:name w:val="Char1 Char Char Char"/>
    <w:basedOn w:val="1"/>
    <w:qFormat/>
    <w:uiPriority w:val="0"/>
    <w:rPr>
      <w:rFonts w:ascii="Tahoma" w:hAnsi="Tahoma"/>
      <w:sz w:val="24"/>
      <w:szCs w:val="20"/>
    </w:rPr>
  </w:style>
  <w:style w:type="paragraph" w:customStyle="1" w:styleId="8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81">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82">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83">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4">
    <w:name w:val="样式7"/>
    <w:basedOn w:val="85"/>
    <w:next w:val="1"/>
    <w:qFormat/>
    <w:uiPriority w:val="0"/>
    <w:pPr>
      <w:spacing w:after="156" w:afterLines="50"/>
      <w:jc w:val="left"/>
      <w:outlineLvl w:val="3"/>
    </w:pPr>
    <w:rPr>
      <w:sz w:val="24"/>
      <w:szCs w:val="24"/>
    </w:rPr>
  </w:style>
  <w:style w:type="paragraph" w:customStyle="1" w:styleId="85">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86">
    <w:name w:val="Bulleted List"/>
    <w:basedOn w:val="1"/>
    <w:qFormat/>
    <w:uiPriority w:val="0"/>
    <w:pPr>
      <w:numPr>
        <w:ilvl w:val="1"/>
        <w:numId w:val="4"/>
      </w:numPr>
      <w:adjustRightInd/>
    </w:pPr>
  </w:style>
  <w:style w:type="paragraph" w:customStyle="1" w:styleId="87">
    <w:name w:val="Char3"/>
    <w:basedOn w:val="1"/>
    <w:qFormat/>
    <w:uiPriority w:val="0"/>
    <w:pPr>
      <w:adjustRightInd/>
    </w:pPr>
    <w:rPr>
      <w:rFonts w:ascii="仿宋_GB2312" w:eastAsia="仿宋_GB2312"/>
      <w:b/>
      <w:sz w:val="32"/>
      <w:szCs w:val="32"/>
    </w:rPr>
  </w:style>
  <w:style w:type="paragraph" w:customStyle="1" w:styleId="88">
    <w:name w:val="Char Char1 Char Char Char Char Char Char"/>
    <w:basedOn w:val="1"/>
    <w:qFormat/>
    <w:uiPriority w:val="0"/>
    <w:rPr>
      <w:rFonts w:ascii="仿宋_GB2312" w:eastAsia="仿宋_GB2312"/>
      <w:b/>
      <w:sz w:val="32"/>
      <w:szCs w:val="20"/>
    </w:rPr>
  </w:style>
  <w:style w:type="paragraph" w:customStyle="1" w:styleId="89">
    <w:name w:val="文本正文 Char"/>
    <w:basedOn w:val="1"/>
    <w:qFormat/>
    <w:uiPriority w:val="0"/>
    <w:pPr>
      <w:spacing w:line="360" w:lineRule="auto"/>
      <w:ind w:firstLine="200" w:firstLineChars="200"/>
    </w:pPr>
    <w:rPr>
      <w:kern w:val="0"/>
      <w:sz w:val="24"/>
      <w:szCs w:val="20"/>
    </w:rPr>
  </w:style>
  <w:style w:type="paragraph" w:customStyle="1" w:styleId="90">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91">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9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93">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9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95">
    <w:name w:val="样式 标题 22h2L1 Heading 2H2sect 1.2H21sect 1.21H22sect 1.2..."/>
    <w:basedOn w:val="4"/>
    <w:next w:val="1"/>
    <w:qFormat/>
    <w:uiPriority w:val="0"/>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96">
    <w:name w:val="正文首行缩进1"/>
    <w:basedOn w:val="2"/>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97">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9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99">
    <w:name w:val="Char1"/>
    <w:basedOn w:val="1"/>
    <w:qFormat/>
    <w:uiPriority w:val="0"/>
    <w:rPr>
      <w:rFonts w:ascii="仿宋_GB2312" w:eastAsia="仿宋_GB2312"/>
      <w:b/>
      <w:sz w:val="32"/>
      <w:szCs w:val="32"/>
    </w:rPr>
  </w:style>
  <w:style w:type="paragraph" w:customStyle="1" w:styleId="100">
    <w:name w:val="CM14"/>
    <w:basedOn w:val="72"/>
    <w:next w:val="72"/>
    <w:qFormat/>
    <w:uiPriority w:val="0"/>
    <w:pPr>
      <w:spacing w:after="68"/>
    </w:pPr>
    <w:rPr>
      <w:rFonts w:ascii="FHLHE E+ Futura Bk" w:eastAsia="FHLHE E+ Futura Bk" w:cs="Times New Roman"/>
      <w:color w:val="auto"/>
    </w:rPr>
  </w:style>
  <w:style w:type="paragraph" w:customStyle="1" w:styleId="101">
    <w:name w:val="正文文字缩进2字"/>
    <w:basedOn w:val="2"/>
    <w:qFormat/>
    <w:uiPriority w:val="0"/>
    <w:pPr>
      <w:autoSpaceDE/>
      <w:autoSpaceDN/>
      <w:adjustRightInd/>
      <w:spacing w:before="60" w:after="60"/>
      <w:ind w:firstLine="200" w:firstLineChars="200"/>
    </w:pPr>
    <w:rPr>
      <w:rFonts w:ascii="Times New Roman"/>
      <w:szCs w:val="20"/>
      <w:lang w:val="en-US"/>
    </w:rPr>
  </w:style>
  <w:style w:type="paragraph" w:customStyle="1" w:styleId="102">
    <w:name w:val="正文 编号"/>
    <w:basedOn w:val="1"/>
    <w:qFormat/>
    <w:uiPriority w:val="0"/>
    <w:pPr>
      <w:widowControl/>
      <w:numPr>
        <w:ilvl w:val="0"/>
        <w:numId w:val="4"/>
      </w:numPr>
      <w:spacing w:after="120" w:line="440" w:lineRule="exact"/>
      <w:jc w:val="left"/>
    </w:pPr>
    <w:rPr>
      <w:rFonts w:ascii="仿宋_GB2312" w:hAnsi="仿宋_GB2312" w:eastAsia="仿宋_GB2312"/>
      <w:sz w:val="24"/>
      <w:szCs w:val="20"/>
    </w:rPr>
  </w:style>
  <w:style w:type="paragraph" w:customStyle="1" w:styleId="10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10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105">
    <w:name w:val="标书标题4"/>
    <w:basedOn w:val="6"/>
    <w:qFormat/>
    <w:uiPriority w:val="0"/>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styleId="106">
    <w:name w:val="List Paragraph"/>
    <w:basedOn w:val="1"/>
    <w:qFormat/>
    <w:uiPriority w:val="0"/>
    <w:pPr>
      <w:spacing w:line="360" w:lineRule="auto"/>
      <w:ind w:firstLine="200" w:firstLineChars="200"/>
    </w:pPr>
    <w:rPr>
      <w:rFonts w:eastAsia="楷体_GB2312" w:cs="Lucida Sans"/>
      <w:sz w:val="24"/>
    </w:rPr>
  </w:style>
  <w:style w:type="paragraph" w:customStyle="1" w:styleId="107">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108">
    <w:name w:val="Char2 Char Char Char"/>
    <w:basedOn w:val="1"/>
    <w:qFormat/>
    <w:uiPriority w:val="0"/>
    <w:rPr>
      <w:rFonts w:ascii="仿宋_GB2312" w:eastAsia="仿宋_GB2312"/>
      <w:b/>
      <w:sz w:val="32"/>
      <w:szCs w:val="32"/>
    </w:rPr>
  </w:style>
  <w:style w:type="paragraph" w:customStyle="1" w:styleId="109">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10">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111">
    <w:name w:val="Char Char Char"/>
    <w:basedOn w:val="1"/>
    <w:qFormat/>
    <w:uiPriority w:val="0"/>
    <w:rPr>
      <w:rFonts w:ascii="Tahoma" w:hAnsi="Tahoma"/>
      <w:sz w:val="24"/>
      <w:szCs w:val="20"/>
    </w:rPr>
  </w:style>
  <w:style w:type="paragraph" w:customStyle="1" w:styleId="112">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11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14">
    <w:name w:val="样式 正文缩进 + 首行缩进:  2 字符"/>
    <w:basedOn w:val="17"/>
    <w:qFormat/>
    <w:uiPriority w:val="0"/>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115">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116">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17">
    <w:name w:val="浅色底纹 - 强调文字颜色 51"/>
    <w:semiHidden/>
    <w:qFormat/>
    <w:uiPriority w:val="0"/>
    <w:rPr>
      <w:rFonts w:ascii="Times New Roman" w:hAnsi="Times New Roman" w:eastAsia="宋体" w:cs="Times New Roman"/>
      <w:kern w:val="2"/>
      <w:sz w:val="21"/>
      <w:szCs w:val="24"/>
      <w:lang w:val="en-US" w:eastAsia="zh-CN" w:bidi="ar-SA"/>
    </w:rPr>
  </w:style>
  <w:style w:type="paragraph" w:customStyle="1" w:styleId="11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11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120">
    <w:name w:val="FA正文"/>
    <w:basedOn w:val="1"/>
    <w:qFormat/>
    <w:uiPriority w:val="0"/>
    <w:pPr>
      <w:spacing w:line="360" w:lineRule="auto"/>
      <w:ind w:firstLine="480" w:firstLineChars="200"/>
    </w:pPr>
    <w:rPr>
      <w:rFonts w:hAnsi="宋体"/>
      <w:sz w:val="24"/>
      <w:szCs w:val="20"/>
    </w:rPr>
  </w:style>
  <w:style w:type="paragraph" w:customStyle="1" w:styleId="121">
    <w:name w:val="MM Topic 4"/>
    <w:basedOn w:val="6"/>
    <w:qFormat/>
    <w:uiPriority w:val="0"/>
    <w:pPr>
      <w:numPr>
        <w:ilvl w:val="0"/>
        <w:numId w:val="0"/>
      </w:numPr>
      <w:tabs>
        <w:tab w:val="left" w:pos="2100"/>
        <w:tab w:val="clear" w:pos="864"/>
      </w:tabs>
      <w:adjustRightInd/>
      <w:ind w:left="2100" w:hanging="420"/>
    </w:pPr>
    <w:rPr>
      <w:lang w:val="en-US"/>
    </w:rPr>
  </w:style>
  <w:style w:type="paragraph" w:customStyle="1" w:styleId="122">
    <w:name w:val="Char Char1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123">
    <w:name w:val="有符号正文"/>
    <w:basedOn w:val="1"/>
    <w:qFormat/>
    <w:uiPriority w:val="0"/>
    <w:pPr>
      <w:adjustRightInd/>
      <w:spacing w:line="400" w:lineRule="exact"/>
      <w:ind w:firstLine="200" w:firstLineChars="200"/>
    </w:pPr>
    <w:rPr>
      <w:rFonts w:ascii="Arial" w:hAnsi="Arial"/>
    </w:rPr>
  </w:style>
  <w:style w:type="paragraph" w:customStyle="1" w:styleId="124">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125">
    <w:name w:val="默认段落字体 Para Char"/>
    <w:basedOn w:val="1"/>
    <w:qFormat/>
    <w:uiPriority w:val="0"/>
    <w:rPr>
      <w:rFonts w:ascii="Tahoma" w:hAnsi="Tahoma"/>
      <w:sz w:val="24"/>
      <w:szCs w:val="20"/>
    </w:rPr>
  </w:style>
  <w:style w:type="paragraph" w:customStyle="1" w:styleId="126">
    <w:name w:val="Char1 Char Char Char2"/>
    <w:basedOn w:val="1"/>
    <w:qFormat/>
    <w:uiPriority w:val="0"/>
    <w:pPr>
      <w:adjustRightInd/>
      <w:ind w:firstLine="200" w:firstLineChars="200"/>
    </w:pPr>
    <w:rPr>
      <w:rFonts w:ascii="Tahoma" w:hAnsi="Tahoma"/>
      <w:sz w:val="24"/>
      <w:szCs w:val="20"/>
    </w:rPr>
  </w:style>
  <w:style w:type="paragraph" w:customStyle="1" w:styleId="127">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28">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129">
    <w:name w:val="注释"/>
    <w:basedOn w:val="1"/>
    <w:qFormat/>
    <w:uiPriority w:val="0"/>
    <w:pPr>
      <w:adjustRightInd/>
      <w:spacing w:line="360" w:lineRule="auto"/>
      <w:ind w:firstLine="480"/>
    </w:pPr>
    <w:rPr>
      <w:sz w:val="24"/>
    </w:rPr>
  </w:style>
  <w:style w:type="paragraph" w:customStyle="1" w:styleId="1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131">
    <w:name w:val="Char1 Char Char Char Char Char Char Char Char Char"/>
    <w:basedOn w:val="1"/>
    <w:semiHidden/>
    <w:qFormat/>
    <w:uiPriority w:val="0"/>
    <w:pPr>
      <w:adjustRightInd/>
      <w:spacing w:before="240" w:after="120" w:line="288" w:lineRule="auto"/>
      <w:ind w:firstLine="200" w:firstLineChars="200"/>
      <w:jc w:val="left"/>
    </w:pPr>
    <w:rPr>
      <w:rFonts w:ascii="Tahoma" w:hAnsi="Tahoma"/>
      <w:sz w:val="24"/>
    </w:rPr>
  </w:style>
  <w:style w:type="paragraph" w:customStyle="1" w:styleId="132">
    <w:name w:val="trademark"/>
    <w:qFormat/>
    <w:uiPriority w:val="0"/>
    <w:pPr>
      <w:spacing w:after="60"/>
    </w:pPr>
    <w:rPr>
      <w:rFonts w:ascii="Futura Bk" w:hAnsi="Futura Bk" w:eastAsia="宋体" w:cs="Times New Roman"/>
      <w:sz w:val="15"/>
      <w:lang w:val="en-US" w:eastAsia="en-US" w:bidi="ar-SA"/>
    </w:rPr>
  </w:style>
  <w:style w:type="paragraph" w:customStyle="1" w:styleId="133">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134">
    <w:name w:val="EB_表格"/>
    <w:basedOn w:val="1"/>
    <w:qFormat/>
    <w:uiPriority w:val="0"/>
    <w:pPr>
      <w:adjustRightInd/>
      <w:spacing w:line="300" w:lineRule="auto"/>
      <w:jc w:val="center"/>
    </w:pPr>
  </w:style>
  <w:style w:type="paragraph" w:customStyle="1" w:styleId="135">
    <w:name w:val="Char Char Char1 Char"/>
    <w:basedOn w:val="1"/>
    <w:qFormat/>
    <w:uiPriority w:val="0"/>
    <w:rPr>
      <w:szCs w:val="20"/>
    </w:rPr>
  </w:style>
  <w:style w:type="paragraph" w:customStyle="1" w:styleId="136">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3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138">
    <w:name w:val="章标题"/>
    <w:next w:val="73"/>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39">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140">
    <w:name w:val="标准有序列表（L1）"/>
    <w:basedOn w:val="17"/>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142">
    <w:name w:val="表文字"/>
    <w:qFormat/>
    <w:uiPriority w:val="0"/>
    <w:rPr>
      <w:rFonts w:ascii="宋体" w:hAnsi="Times New Roman" w:eastAsia="宋体" w:cs="Times New Roman"/>
      <w:kern w:val="2"/>
      <w:lang w:val="en-US" w:eastAsia="zh-CN" w:bidi="ar-SA"/>
    </w:rPr>
  </w:style>
  <w:style w:type="paragraph" w:customStyle="1" w:styleId="143">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144">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45">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46">
    <w:name w:val="列表内容"/>
    <w:basedOn w:val="1"/>
    <w:next w:val="1"/>
    <w:qFormat/>
    <w:uiPriority w:val="0"/>
    <w:pPr>
      <w:widowControl/>
      <w:tabs>
        <w:tab w:val="left" w:pos="840"/>
      </w:tabs>
      <w:ind w:left="840" w:hanging="420"/>
      <w:jc w:val="left"/>
    </w:pPr>
    <w:rPr>
      <w:kern w:val="0"/>
      <w:sz w:val="18"/>
    </w:rPr>
  </w:style>
  <w:style w:type="paragraph" w:customStyle="1" w:styleId="147">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148">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49">
    <w:name w:val="body text bold"/>
    <w:basedOn w:val="2"/>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150">
    <w:name w:val="Char2 Char Char"/>
    <w:basedOn w:val="1"/>
    <w:qFormat/>
    <w:uiPriority w:val="0"/>
    <w:pPr>
      <w:adjustRightInd/>
    </w:pPr>
    <w:rPr>
      <w:rFonts w:ascii="Tahoma" w:hAnsi="Tahoma"/>
      <w:sz w:val="24"/>
      <w:szCs w:val="20"/>
    </w:rPr>
  </w:style>
  <w:style w:type="paragraph" w:customStyle="1" w:styleId="15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15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15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154">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155">
    <w:name w:val="Char Char1 Char Char Char"/>
    <w:basedOn w:val="1"/>
    <w:qFormat/>
    <w:uiPriority w:val="0"/>
    <w:rPr>
      <w:rFonts w:ascii="仿宋_GB2312" w:eastAsia="仿宋_GB2312"/>
      <w:b/>
      <w:sz w:val="32"/>
      <w:szCs w:val="20"/>
    </w:rPr>
  </w:style>
  <w:style w:type="paragraph" w:customStyle="1" w:styleId="156">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157">
    <w:name w:val="WW-正文文字缩进 2"/>
    <w:basedOn w:val="1"/>
    <w:qFormat/>
    <w:uiPriority w:val="0"/>
    <w:pPr>
      <w:suppressAutoHyphens/>
      <w:adjustRightInd/>
      <w:ind w:firstLine="420"/>
    </w:pPr>
    <w:rPr>
      <w:kern w:val="1"/>
      <w:szCs w:val="20"/>
    </w:rPr>
  </w:style>
  <w:style w:type="paragraph" w:customStyle="1" w:styleId="158">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59">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160">
    <w:name w:val="默认段落字体 Para Char Char Char Char"/>
    <w:basedOn w:val="1"/>
    <w:qFormat/>
    <w:uiPriority w:val="0"/>
    <w:pPr>
      <w:spacing w:line="360" w:lineRule="auto"/>
    </w:pPr>
    <w:rPr>
      <w:szCs w:val="20"/>
    </w:rPr>
  </w:style>
  <w:style w:type="paragraph" w:customStyle="1" w:styleId="161">
    <w:name w:val="Char Char11 Char Char Char"/>
    <w:basedOn w:val="1"/>
    <w:qFormat/>
    <w:uiPriority w:val="0"/>
    <w:pPr>
      <w:spacing w:line="360" w:lineRule="auto"/>
    </w:pPr>
    <w:rPr>
      <w:szCs w:val="20"/>
    </w:rPr>
  </w:style>
  <w:style w:type="paragraph" w:customStyle="1" w:styleId="162">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16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164">
    <w:name w:val="左对齐表格文字"/>
    <w:basedOn w:val="1"/>
    <w:qFormat/>
    <w:uiPriority w:val="0"/>
    <w:pPr>
      <w:adjustRightInd/>
      <w:ind w:firstLine="200" w:firstLineChars="200"/>
      <w:jc w:val="right"/>
    </w:pPr>
  </w:style>
  <w:style w:type="paragraph" w:customStyle="1" w:styleId="165">
    <w:name w:val="Picture"/>
    <w:basedOn w:val="1"/>
    <w:next w:val="18"/>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166">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167">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168">
    <w:name w:val="无间隔1"/>
    <w:link w:val="531"/>
    <w:qFormat/>
    <w:uiPriority w:val="1"/>
    <w:rPr>
      <w:rFonts w:ascii="Calibri" w:hAnsi="Calibri" w:eastAsia="宋体" w:cs="Times New Roman"/>
      <w:sz w:val="22"/>
      <w:szCs w:val="22"/>
      <w:lang w:val="en-US" w:eastAsia="zh-CN" w:bidi="ar-SA"/>
    </w:rPr>
  </w:style>
  <w:style w:type="paragraph" w:customStyle="1" w:styleId="169">
    <w:name w:val="样式 样式 标题 4h4H4Fab-4T5Ref Heading 1rh1Heading sqlsect 1.2.3.... +..."/>
    <w:basedOn w:val="170"/>
    <w:link w:val="609"/>
    <w:qFormat/>
    <w:uiPriority w:val="0"/>
    <w:pPr>
      <w:tabs>
        <w:tab w:val="left" w:pos="2356"/>
      </w:tabs>
    </w:pPr>
  </w:style>
  <w:style w:type="paragraph" w:customStyle="1" w:styleId="170">
    <w:name w:val="样式 标题 4h4H4Fab-4T5Ref Heading 1rh1Heading sqlsect 1.2.3...."/>
    <w:basedOn w:val="6"/>
    <w:link w:val="559"/>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171">
    <w:name w:val="四级条标题"/>
    <w:basedOn w:val="172"/>
    <w:next w:val="73"/>
    <w:qFormat/>
    <w:uiPriority w:val="0"/>
    <w:pPr>
      <w:numPr>
        <w:ilvl w:val="5"/>
        <w:numId w:val="4"/>
      </w:numPr>
      <w:tabs>
        <w:tab w:val="left" w:pos="1680"/>
        <w:tab w:val="left" w:pos="2100"/>
        <w:tab w:val="left" w:pos="2520"/>
      </w:tabs>
      <w:outlineLvl w:val="5"/>
    </w:pPr>
  </w:style>
  <w:style w:type="paragraph" w:customStyle="1" w:styleId="172">
    <w:name w:val="三级条标题"/>
    <w:basedOn w:val="173"/>
    <w:next w:val="73"/>
    <w:qFormat/>
    <w:uiPriority w:val="0"/>
    <w:pPr>
      <w:numPr>
        <w:ilvl w:val="0"/>
        <w:numId w:val="0"/>
      </w:numPr>
      <w:tabs>
        <w:tab w:val="left" w:pos="1680"/>
        <w:tab w:val="left" w:pos="2100"/>
        <w:tab w:val="left" w:pos="2520"/>
      </w:tabs>
      <w:ind w:left="2520" w:hanging="420"/>
      <w:outlineLvl w:val="4"/>
    </w:pPr>
  </w:style>
  <w:style w:type="paragraph" w:customStyle="1" w:styleId="173">
    <w:name w:val="二级条标题"/>
    <w:basedOn w:val="174"/>
    <w:next w:val="73"/>
    <w:qFormat/>
    <w:uiPriority w:val="0"/>
    <w:pPr>
      <w:numPr>
        <w:ilvl w:val="3"/>
        <w:numId w:val="4"/>
      </w:numPr>
      <w:tabs>
        <w:tab w:val="left" w:pos="1680"/>
      </w:tabs>
      <w:ind w:left="0"/>
      <w:outlineLvl w:val="3"/>
    </w:pPr>
  </w:style>
  <w:style w:type="paragraph" w:customStyle="1" w:styleId="174">
    <w:name w:val="一级条标题"/>
    <w:basedOn w:val="138"/>
    <w:next w:val="73"/>
    <w:qFormat/>
    <w:uiPriority w:val="0"/>
    <w:pPr>
      <w:tabs>
        <w:tab w:val="left" w:pos="1680"/>
        <w:tab w:val="clear" w:pos="1260"/>
      </w:tabs>
      <w:spacing w:before="0" w:beforeLines="0" w:after="0" w:afterLines="0"/>
      <w:ind w:left="1680"/>
      <w:outlineLvl w:val="2"/>
    </w:pPr>
  </w:style>
  <w:style w:type="paragraph" w:customStyle="1" w:styleId="175">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176">
    <w:name w:val="标准小四"/>
    <w:basedOn w:val="1"/>
    <w:qFormat/>
    <w:uiPriority w:val="0"/>
    <w:pPr>
      <w:spacing w:line="360" w:lineRule="auto"/>
      <w:ind w:firstLine="480" w:firstLineChars="200"/>
    </w:pPr>
    <w:rPr>
      <w:rFonts w:ascii="Arial" w:hAnsi="Arial"/>
      <w:sz w:val="24"/>
      <w:szCs w:val="21"/>
    </w:rPr>
  </w:style>
  <w:style w:type="paragraph" w:customStyle="1" w:styleId="177">
    <w:name w:val="表格"/>
    <w:basedOn w:val="1"/>
    <w:qFormat/>
    <w:uiPriority w:val="0"/>
    <w:pPr>
      <w:snapToGrid w:val="0"/>
      <w:ind w:firstLine="42" w:firstLineChars="21"/>
    </w:pPr>
    <w:rPr>
      <w:rFonts w:ascii="宋体" w:hAnsi="宋体"/>
      <w:kern w:val="0"/>
      <w:sz w:val="20"/>
      <w:szCs w:val="20"/>
    </w:rPr>
  </w:style>
  <w:style w:type="paragraph" w:customStyle="1" w:styleId="178">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79">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0">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81">
    <w:name w:val="封面公司名"/>
    <w:qFormat/>
    <w:uiPriority w:val="0"/>
    <w:pPr>
      <w:jc w:val="center"/>
    </w:pPr>
    <w:rPr>
      <w:rFonts w:ascii="Arial" w:hAnsi="Arial" w:eastAsia="楷体_GB2312" w:cs="宋体"/>
      <w:bCs/>
      <w:kern w:val="2"/>
      <w:sz w:val="28"/>
      <w:lang w:val="en-US" w:eastAsia="zh-CN" w:bidi="ar-SA"/>
    </w:rPr>
  </w:style>
  <w:style w:type="paragraph" w:customStyle="1" w:styleId="182">
    <w:name w:val="Char2 Char Char Char1"/>
    <w:basedOn w:val="1"/>
    <w:qFormat/>
    <w:uiPriority w:val="0"/>
    <w:rPr>
      <w:rFonts w:ascii="仿宋_GB2312" w:eastAsia="仿宋_GB2312"/>
      <w:b/>
      <w:sz w:val="32"/>
      <w:szCs w:val="32"/>
    </w:rPr>
  </w:style>
  <w:style w:type="paragraph" w:customStyle="1" w:styleId="1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8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8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186">
    <w:name w:val="Char2"/>
    <w:basedOn w:val="1"/>
    <w:qFormat/>
    <w:uiPriority w:val="0"/>
    <w:rPr>
      <w:rFonts w:ascii="仿宋_GB2312" w:eastAsia="仿宋_GB2312"/>
      <w:b/>
      <w:sz w:val="32"/>
      <w:szCs w:val="32"/>
    </w:rPr>
  </w:style>
  <w:style w:type="paragraph" w:customStyle="1" w:styleId="187">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188">
    <w:name w:val="小节"/>
    <w:basedOn w:val="5"/>
    <w:qFormat/>
    <w:uiPriority w:val="0"/>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18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90">
    <w:name w:val="Char Char Char Char Char Char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191">
    <w:name w:val="!大节"/>
    <w:basedOn w:val="4"/>
    <w:qFormat/>
    <w:uiPriority w:val="0"/>
    <w:pPr>
      <w:numPr>
        <w:numId w:val="0"/>
      </w:numPr>
      <w:spacing w:before="260" w:after="260" w:line="415" w:lineRule="auto"/>
      <w:ind w:left="420" w:hanging="420"/>
    </w:pPr>
    <w:rPr>
      <w:rFonts w:ascii="Arial" w:hAnsi="Arial" w:eastAsia="微软雅黑"/>
      <w:lang w:val="en-US"/>
    </w:rPr>
  </w:style>
  <w:style w:type="paragraph" w:customStyle="1" w:styleId="192">
    <w:name w:val="Char Char4 Char Char"/>
    <w:basedOn w:val="1"/>
    <w:qFormat/>
    <w:uiPriority w:val="0"/>
    <w:pPr>
      <w:widowControl/>
      <w:adjustRightInd/>
      <w:spacing w:after="160" w:line="240" w:lineRule="exact"/>
      <w:jc w:val="left"/>
    </w:pPr>
  </w:style>
  <w:style w:type="paragraph" w:customStyle="1" w:styleId="193">
    <w:name w:val="Char2 Char Char1"/>
    <w:basedOn w:val="1"/>
    <w:qFormat/>
    <w:uiPriority w:val="0"/>
    <w:pPr>
      <w:adjustRightInd/>
    </w:pPr>
    <w:rPr>
      <w:rFonts w:ascii="Tahoma" w:hAnsi="Tahoma"/>
      <w:sz w:val="24"/>
      <w:szCs w:val="20"/>
    </w:rPr>
  </w:style>
  <w:style w:type="paragraph" w:customStyle="1" w:styleId="194">
    <w:name w:val="默认段落字体 Para Char Char Char Char Char Char Char"/>
    <w:basedOn w:val="1"/>
    <w:qFormat/>
    <w:uiPriority w:val="0"/>
    <w:rPr>
      <w:rFonts w:eastAsia="仿宋_GB2312"/>
      <w:sz w:val="28"/>
      <w:szCs w:val="20"/>
    </w:rPr>
  </w:style>
  <w:style w:type="paragraph" w:customStyle="1" w:styleId="19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196">
    <w:name w:val="正文21"/>
    <w:basedOn w:val="1"/>
    <w:qFormat/>
    <w:uiPriority w:val="0"/>
    <w:pPr>
      <w:adjustRightInd/>
      <w:spacing w:before="156" w:line="360" w:lineRule="auto"/>
      <w:ind w:firstLine="510" w:firstLineChars="200"/>
    </w:pPr>
    <w:rPr>
      <w:sz w:val="24"/>
      <w:szCs w:val="20"/>
    </w:rPr>
  </w:style>
  <w:style w:type="paragraph" w:customStyle="1" w:styleId="197">
    <w:name w:val="标题4_自定义"/>
    <w:basedOn w:val="6"/>
    <w:qFormat/>
    <w:uiPriority w:val="0"/>
    <w:pPr>
      <w:numPr>
        <w:numId w:val="0"/>
      </w:numPr>
      <w:adjustRightInd/>
      <w:spacing w:before="0" w:after="0" w:line="360" w:lineRule="auto"/>
    </w:pPr>
    <w:rPr>
      <w:rFonts w:ascii="Verdana" w:eastAsia="Verdana"/>
      <w:sz w:val="21"/>
      <w:lang w:val="en-US"/>
    </w:rPr>
  </w:style>
  <w:style w:type="paragraph" w:customStyle="1" w:styleId="198">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199">
    <w:name w:val="标题五"/>
    <w:basedOn w:val="1"/>
    <w:qFormat/>
    <w:uiPriority w:val="0"/>
    <w:pPr>
      <w:adjustRightInd/>
      <w:spacing w:before="156" w:beforeLines="50" w:line="360" w:lineRule="auto"/>
    </w:pPr>
    <w:rPr>
      <w:b/>
      <w:sz w:val="24"/>
    </w:rPr>
  </w:style>
  <w:style w:type="paragraph" w:customStyle="1" w:styleId="200">
    <w:name w:val="样式 标题 3H3 + 两端对齐"/>
    <w:basedOn w:val="5"/>
    <w:qFormat/>
    <w:uiPriority w:val="0"/>
    <w:pPr>
      <w:keepLines w:val="0"/>
      <w:numPr>
        <w:numId w:val="0"/>
      </w:numPr>
      <w:spacing w:before="0" w:after="0" w:line="240" w:lineRule="auto"/>
      <w:jc w:val="left"/>
    </w:pPr>
    <w:rPr>
      <w:rFonts w:cs="宋体"/>
      <w:sz w:val="21"/>
      <w:szCs w:val="20"/>
    </w:rPr>
  </w:style>
  <w:style w:type="paragraph" w:customStyle="1" w:styleId="201">
    <w:name w:val="Char Char11"/>
    <w:basedOn w:val="1"/>
    <w:qFormat/>
    <w:uiPriority w:val="0"/>
    <w:pPr>
      <w:spacing w:line="360" w:lineRule="auto"/>
    </w:pPr>
    <w:rPr>
      <w:szCs w:val="20"/>
    </w:rPr>
  </w:style>
  <w:style w:type="paragraph" w:customStyle="1" w:styleId="202">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03">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204">
    <w:name w:val="样式 标题 1章节第一层h1H"/>
    <w:basedOn w:val="3"/>
    <w:qFormat/>
    <w:uiPriority w:val="0"/>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20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20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07">
    <w:name w:val="Char Char11 Char Char Char Char Char Char Char Char Char"/>
    <w:basedOn w:val="1"/>
    <w:qFormat/>
    <w:uiPriority w:val="0"/>
    <w:pPr>
      <w:spacing w:line="360" w:lineRule="auto"/>
    </w:pPr>
    <w:rPr>
      <w:szCs w:val="20"/>
    </w:rPr>
  </w:style>
  <w:style w:type="paragraph" w:customStyle="1" w:styleId="208">
    <w:name w:val="Char Char1 Char Char Char1"/>
    <w:basedOn w:val="1"/>
    <w:qFormat/>
    <w:uiPriority w:val="0"/>
    <w:rPr>
      <w:rFonts w:ascii="仿宋_GB2312" w:eastAsia="仿宋_GB2312"/>
      <w:b/>
      <w:sz w:val="32"/>
      <w:szCs w:val="32"/>
    </w:rPr>
  </w:style>
  <w:style w:type="paragraph" w:customStyle="1" w:styleId="209">
    <w:name w:val="样式 标题 4PIM 4H4h4bulletblbbH41H42H43H44H45H46H47H48...1"/>
    <w:basedOn w:val="6"/>
    <w:qFormat/>
    <w:uiPriority w:val="0"/>
    <w:pPr>
      <w:widowControl/>
      <w:jc w:val="left"/>
    </w:pPr>
    <w:rPr>
      <w:rFonts w:cs="宋体"/>
      <w:sz w:val="24"/>
      <w:szCs w:val="20"/>
    </w:rPr>
  </w:style>
  <w:style w:type="paragraph" w:customStyle="1" w:styleId="21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211">
    <w:name w:val="表格标题2"/>
    <w:basedOn w:val="212"/>
    <w:qFormat/>
    <w:uiPriority w:val="0"/>
    <w:rPr>
      <w:b/>
    </w:rPr>
  </w:style>
  <w:style w:type="paragraph" w:customStyle="1" w:styleId="212">
    <w:name w:val="表格内文"/>
    <w:basedOn w:val="1"/>
    <w:qFormat/>
    <w:uiPriority w:val="0"/>
    <w:pPr>
      <w:adjustRightInd/>
      <w:spacing w:line="360" w:lineRule="auto"/>
    </w:pPr>
    <w:rPr>
      <w:rFonts w:ascii="宋体" w:hAnsi="宋体" w:cs="宋体"/>
      <w:color w:val="000000"/>
      <w:szCs w:val="20"/>
    </w:rPr>
  </w:style>
  <w:style w:type="paragraph" w:customStyle="1" w:styleId="213">
    <w:name w:val="Char Char Char Char Char Char Char"/>
    <w:basedOn w:val="1"/>
    <w:qFormat/>
    <w:uiPriority w:val="0"/>
    <w:rPr>
      <w:rFonts w:ascii="仿宋_GB2312" w:eastAsia="仿宋_GB2312"/>
      <w:b/>
      <w:sz w:val="32"/>
      <w:szCs w:val="32"/>
    </w:rPr>
  </w:style>
  <w:style w:type="paragraph" w:customStyle="1" w:styleId="214">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215">
    <w:name w:val="数字标题6"/>
    <w:basedOn w:val="8"/>
    <w:next w:val="1"/>
    <w:qFormat/>
    <w:uiPriority w:val="0"/>
    <w:pPr>
      <w:numPr>
        <w:numId w:val="5"/>
      </w:numPr>
      <w:tabs>
        <w:tab w:val="left" w:pos="480"/>
        <w:tab w:val="left" w:pos="1080"/>
        <w:tab w:val="clear" w:pos="1152"/>
      </w:tabs>
    </w:pPr>
    <w:rPr>
      <w:rFonts w:ascii="Times New Roman" w:hAnsi="Times New Roman" w:eastAsia="宋体"/>
      <w:i/>
    </w:rPr>
  </w:style>
  <w:style w:type="paragraph" w:customStyle="1" w:styleId="216">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217">
    <w:name w:val="列出段落2"/>
    <w:basedOn w:val="1"/>
    <w:qFormat/>
    <w:uiPriority w:val="0"/>
    <w:pPr>
      <w:adjustRightInd/>
      <w:ind w:firstLine="420" w:firstLineChars="200"/>
    </w:pPr>
    <w:rPr>
      <w:rFonts w:ascii="宋体" w:hAnsi="宋体"/>
      <w:sz w:val="24"/>
    </w:rPr>
  </w:style>
  <w:style w:type="paragraph" w:customStyle="1" w:styleId="21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219">
    <w:name w:val="TOC 标题1"/>
    <w:basedOn w:val="3"/>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2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21">
    <w:name w:val="正文 首行缩进:  2 字符 Char"/>
    <w:basedOn w:val="1"/>
    <w:qFormat/>
    <w:uiPriority w:val="0"/>
    <w:pPr>
      <w:adjustRightInd/>
      <w:spacing w:line="360" w:lineRule="auto"/>
      <w:ind w:firstLine="480"/>
    </w:pPr>
    <w:rPr>
      <w:rFonts w:cs="宋体"/>
      <w:sz w:val="24"/>
      <w:szCs w:val="20"/>
    </w:rPr>
  </w:style>
  <w:style w:type="paragraph" w:customStyle="1" w:styleId="22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223">
    <w:name w:val="Table Text"/>
    <w:basedOn w:val="1"/>
    <w:qFormat/>
    <w:uiPriority w:val="0"/>
    <w:pPr>
      <w:widowControl/>
      <w:spacing w:before="60" w:after="60"/>
      <w:jc w:val="left"/>
    </w:pPr>
    <w:rPr>
      <w:kern w:val="0"/>
      <w:sz w:val="24"/>
    </w:rPr>
  </w:style>
  <w:style w:type="paragraph" w:customStyle="1" w:styleId="22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22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26">
    <w:name w:val="Char Char Char Char Char Char Char Char Char Char"/>
    <w:basedOn w:val="1"/>
    <w:qFormat/>
    <w:uiPriority w:val="0"/>
    <w:rPr>
      <w:rFonts w:ascii="仿宋_GB2312" w:eastAsia="仿宋_GB2312"/>
      <w:b/>
      <w:sz w:val="32"/>
      <w:szCs w:val="32"/>
    </w:rPr>
  </w:style>
  <w:style w:type="paragraph" w:customStyle="1" w:styleId="227">
    <w:name w:val="MM Title"/>
    <w:basedOn w:val="57"/>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228">
    <w:name w:val="正文文字表格居中"/>
    <w:basedOn w:val="1"/>
    <w:next w:val="54"/>
    <w:qFormat/>
    <w:uiPriority w:val="0"/>
    <w:pPr>
      <w:snapToGrid w:val="0"/>
      <w:spacing w:line="360" w:lineRule="auto"/>
    </w:pPr>
    <w:rPr>
      <w:rFonts w:ascii="宋体"/>
      <w:b/>
      <w:sz w:val="24"/>
      <w:szCs w:val="20"/>
    </w:rPr>
  </w:style>
  <w:style w:type="paragraph" w:customStyle="1" w:styleId="229">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230">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231">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232">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233">
    <w:name w:val="Char"/>
    <w:basedOn w:val="1"/>
    <w:qFormat/>
    <w:uiPriority w:val="0"/>
    <w:rPr>
      <w:rFonts w:ascii="仿宋_GB2312" w:eastAsia="仿宋_GB2312"/>
      <w:b/>
      <w:sz w:val="32"/>
      <w:szCs w:val="32"/>
    </w:rPr>
  </w:style>
  <w:style w:type="paragraph" w:customStyle="1" w:styleId="234">
    <w:name w:val="冯广丽"/>
    <w:basedOn w:val="1"/>
    <w:link w:val="472"/>
    <w:qFormat/>
    <w:uiPriority w:val="0"/>
    <w:pPr>
      <w:adjustRightInd/>
      <w:spacing w:line="360" w:lineRule="auto"/>
      <w:ind w:firstLine="480" w:firstLineChars="200"/>
    </w:pPr>
    <w:rPr>
      <w:rFonts w:ascii="宋体" w:hAnsi="宋体"/>
      <w:sz w:val="24"/>
      <w:szCs w:val="22"/>
    </w:rPr>
  </w:style>
  <w:style w:type="paragraph" w:customStyle="1" w:styleId="235">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236">
    <w:name w:val="Char31"/>
    <w:basedOn w:val="1"/>
    <w:qFormat/>
    <w:uiPriority w:val="0"/>
    <w:pPr>
      <w:adjustRightInd/>
      <w:ind w:firstLine="200" w:firstLineChars="200"/>
    </w:pPr>
    <w:rPr>
      <w:rFonts w:ascii="Tahoma" w:hAnsi="Tahoma"/>
      <w:sz w:val="24"/>
      <w:szCs w:val="20"/>
    </w:rPr>
  </w:style>
  <w:style w:type="paragraph" w:customStyle="1" w:styleId="237">
    <w:name w:val="Char Char11 Char Char Char1"/>
    <w:basedOn w:val="1"/>
    <w:qFormat/>
    <w:uiPriority w:val="0"/>
    <w:pPr>
      <w:spacing w:line="360" w:lineRule="auto"/>
    </w:pPr>
    <w:rPr>
      <w:szCs w:val="20"/>
    </w:rPr>
  </w:style>
  <w:style w:type="paragraph" w:customStyle="1" w:styleId="23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239">
    <w:name w:val="_Style 236"/>
    <w:qFormat/>
    <w:uiPriority w:val="0"/>
    <w:rPr>
      <w:rFonts w:ascii="Times New Roman" w:hAnsi="Times New Roman" w:eastAsia="宋体" w:cs="Times New Roman"/>
      <w:kern w:val="2"/>
      <w:sz w:val="21"/>
      <w:lang w:val="en-US" w:eastAsia="zh-CN" w:bidi="ar-SA"/>
    </w:rPr>
  </w:style>
  <w:style w:type="paragraph" w:customStyle="1" w:styleId="24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241">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242">
    <w:name w:val="正文文字缩进项目"/>
    <w:basedOn w:val="24"/>
    <w:qFormat/>
    <w:uiPriority w:val="0"/>
    <w:pPr>
      <w:tabs>
        <w:tab w:val="left" w:pos="840"/>
      </w:tabs>
      <w:adjustRightInd/>
      <w:spacing w:after="120" w:line="240" w:lineRule="auto"/>
      <w:ind w:firstLine="0" w:firstLineChars="0"/>
    </w:pPr>
    <w:rPr>
      <w:rFonts w:ascii="Tahoma" w:hAnsi="Tahoma"/>
      <w:sz w:val="22"/>
      <w:szCs w:val="20"/>
    </w:rPr>
  </w:style>
  <w:style w:type="paragraph" w:customStyle="1" w:styleId="24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244">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245">
    <w:name w:val="文章标题"/>
    <w:next w:val="181"/>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246">
    <w:name w:val="4"/>
    <w:basedOn w:val="1"/>
    <w:next w:val="36"/>
    <w:qFormat/>
    <w:uiPriority w:val="0"/>
    <w:pPr>
      <w:spacing w:after="120" w:line="480" w:lineRule="auto"/>
      <w:ind w:left="420" w:leftChars="200"/>
    </w:pPr>
    <w:rPr>
      <w:sz w:val="24"/>
      <w:szCs w:val="20"/>
    </w:rPr>
  </w:style>
  <w:style w:type="paragraph" w:customStyle="1" w:styleId="247">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248">
    <w:name w:val="Char Char Char Char Char Char Char Char Char Char Char1 Char"/>
    <w:basedOn w:val="1"/>
    <w:qFormat/>
    <w:uiPriority w:val="0"/>
    <w:pPr>
      <w:adjustRightInd/>
    </w:pPr>
    <w:rPr>
      <w:rFonts w:ascii="Tahoma" w:hAnsi="Tahoma"/>
      <w:sz w:val="24"/>
    </w:rPr>
  </w:style>
  <w:style w:type="paragraph" w:customStyle="1" w:styleId="249">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250">
    <w:name w:val="标书表格字体格式"/>
    <w:next w:val="154"/>
    <w:qFormat/>
    <w:uiPriority w:val="0"/>
    <w:rPr>
      <w:rFonts w:ascii="Times New Roman" w:hAnsi="Times New Roman" w:eastAsia="宋体" w:cs="Times New Roman"/>
      <w:kern w:val="2"/>
      <w:sz w:val="21"/>
      <w:szCs w:val="24"/>
      <w:lang w:val="en-US" w:eastAsia="zh-CN" w:bidi="ar-SA"/>
    </w:rPr>
  </w:style>
  <w:style w:type="paragraph" w:customStyle="1" w:styleId="251">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252">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253">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254">
    <w:name w:val="带编号样式"/>
    <w:basedOn w:val="89"/>
    <w:qFormat/>
    <w:uiPriority w:val="0"/>
    <w:pPr>
      <w:tabs>
        <w:tab w:val="left" w:pos="840"/>
      </w:tabs>
      <w:snapToGrid w:val="0"/>
      <w:ind w:left="840" w:firstLine="0" w:firstLineChars="0"/>
    </w:pPr>
    <w:rPr>
      <w:rFonts w:ascii="仿宋_GB2312" w:eastAsia="仿宋_GB2312"/>
      <w:color w:val="000000"/>
    </w:rPr>
  </w:style>
  <w:style w:type="paragraph" w:customStyle="1" w:styleId="255">
    <w:name w:val="正文文字 2"/>
    <w:basedOn w:val="72"/>
    <w:next w:val="72"/>
    <w:qFormat/>
    <w:uiPriority w:val="0"/>
    <w:rPr>
      <w:rFonts w:ascii="宋体" w:eastAsia="宋体" w:cs="Times New Roman"/>
      <w:color w:val="auto"/>
    </w:rPr>
  </w:style>
  <w:style w:type="paragraph" w:customStyle="1" w:styleId="256">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257">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258">
    <w:name w:val="Char5"/>
    <w:basedOn w:val="1"/>
    <w:qFormat/>
    <w:uiPriority w:val="0"/>
    <w:rPr>
      <w:rFonts w:ascii="仿宋_GB2312" w:eastAsia="仿宋_GB2312"/>
      <w:b/>
      <w:sz w:val="32"/>
      <w:szCs w:val="32"/>
    </w:rPr>
  </w:style>
  <w:style w:type="paragraph" w:customStyle="1" w:styleId="25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260">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61">
    <w:name w:val="Item List"/>
    <w:link w:val="477"/>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262">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263">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2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6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266">
    <w:name w:val="Char Char1 Char Char Char Char Char Char1"/>
    <w:basedOn w:val="1"/>
    <w:qFormat/>
    <w:uiPriority w:val="0"/>
    <w:rPr>
      <w:rFonts w:ascii="仿宋_GB2312" w:eastAsia="仿宋_GB2312"/>
      <w:b/>
      <w:sz w:val="32"/>
      <w:szCs w:val="20"/>
    </w:rPr>
  </w:style>
  <w:style w:type="paragraph" w:customStyle="1" w:styleId="267">
    <w:name w:val="Char Char Char Char Char Char Char Char Char Char Char Char1 Char"/>
    <w:basedOn w:val="1"/>
    <w:qFormat/>
    <w:uiPriority w:val="0"/>
    <w:rPr>
      <w:rFonts w:ascii="Tahoma" w:hAnsi="Tahoma" w:cs="仿宋_GB2312"/>
      <w:sz w:val="24"/>
      <w:szCs w:val="20"/>
    </w:rPr>
  </w:style>
  <w:style w:type="paragraph" w:customStyle="1" w:styleId="268">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270">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27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272">
    <w:name w:val="样式 正文文本缩进 + 段前: 2 字符"/>
    <w:basedOn w:val="1"/>
    <w:qFormat/>
    <w:uiPriority w:val="0"/>
    <w:pPr>
      <w:adjustRightInd/>
      <w:ind w:left="420" w:leftChars="200"/>
      <w:jc w:val="left"/>
    </w:pPr>
    <w:rPr>
      <w:sz w:val="28"/>
      <w:szCs w:val="20"/>
      <w:lang w:eastAsia="zh-TW"/>
    </w:rPr>
  </w:style>
  <w:style w:type="paragraph" w:customStyle="1" w:styleId="273">
    <w:name w:val="Char1 Char Char Char3"/>
    <w:basedOn w:val="1"/>
    <w:qFormat/>
    <w:uiPriority w:val="0"/>
    <w:pPr>
      <w:adjustRightInd/>
      <w:ind w:firstLine="200" w:firstLineChars="200"/>
    </w:pPr>
    <w:rPr>
      <w:rFonts w:ascii="Tahoma" w:hAnsi="Tahoma"/>
      <w:sz w:val="24"/>
      <w:szCs w:val="20"/>
    </w:rPr>
  </w:style>
  <w:style w:type="paragraph" w:customStyle="1" w:styleId="274">
    <w:name w:val="_Style 271"/>
    <w:basedOn w:val="3"/>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75">
    <w:name w:val="Char Char Char Char Char Char Char Char Char Char Char Char1 Char1"/>
    <w:basedOn w:val="1"/>
    <w:qFormat/>
    <w:uiPriority w:val="0"/>
    <w:rPr>
      <w:rFonts w:ascii="Tahoma" w:hAnsi="Tahoma" w:cs="仿宋_GB2312"/>
      <w:sz w:val="24"/>
      <w:szCs w:val="20"/>
    </w:rPr>
  </w:style>
  <w:style w:type="paragraph" w:customStyle="1" w:styleId="276">
    <w:name w:val="Char Char1 Char1"/>
    <w:basedOn w:val="1"/>
    <w:qFormat/>
    <w:uiPriority w:val="0"/>
    <w:rPr>
      <w:rFonts w:ascii="仿宋_GB2312" w:eastAsia="仿宋_GB2312"/>
      <w:b/>
      <w:sz w:val="32"/>
      <w:szCs w:val="32"/>
    </w:rPr>
  </w:style>
  <w:style w:type="paragraph" w:customStyle="1" w:styleId="277">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278">
    <w:name w:val="插图题注"/>
    <w:next w:val="1"/>
    <w:qFormat/>
    <w:uiPriority w:val="0"/>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79">
    <w:name w:val="Bulleting First Indent 1"/>
    <w:basedOn w:val="59"/>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280">
    <w:name w:val="Char Char1"/>
    <w:basedOn w:val="1"/>
    <w:qFormat/>
    <w:uiPriority w:val="0"/>
    <w:pPr>
      <w:widowControl/>
      <w:spacing w:after="160" w:line="240" w:lineRule="exact"/>
      <w:jc w:val="left"/>
    </w:pPr>
    <w:rPr>
      <w:rFonts w:eastAsia="仿宋_GB2312"/>
      <w:sz w:val="28"/>
    </w:rPr>
  </w:style>
  <w:style w:type="paragraph" w:customStyle="1" w:styleId="281">
    <w:name w:val="单元格居中"/>
    <w:basedOn w:val="1"/>
    <w:qFormat/>
    <w:uiPriority w:val="0"/>
    <w:pPr>
      <w:adjustRightInd/>
      <w:spacing w:line="360" w:lineRule="auto"/>
      <w:jc w:val="center"/>
    </w:pPr>
    <w:rPr>
      <w:sz w:val="24"/>
    </w:rPr>
  </w:style>
  <w:style w:type="paragraph" w:customStyle="1" w:styleId="282">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283">
    <w:name w:val="样式 标题 1Level 1 HeadPIM 1Section Headh1l11Heading 0Datash..."/>
    <w:basedOn w:val="3"/>
    <w:qFormat/>
    <w:uiPriority w:val="0"/>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28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285">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8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287">
    <w:name w:val="MM Empty"/>
    <w:basedOn w:val="1"/>
    <w:qFormat/>
    <w:uiPriority w:val="0"/>
    <w:pPr>
      <w:adjustRightInd/>
    </w:pPr>
  </w:style>
  <w:style w:type="paragraph" w:customStyle="1" w:styleId="288">
    <w:name w:val="文档正文"/>
    <w:basedOn w:val="1"/>
    <w:qFormat/>
    <w:uiPriority w:val="0"/>
    <w:pPr>
      <w:spacing w:line="480" w:lineRule="atLeast"/>
      <w:ind w:firstLine="567"/>
      <w:textAlignment w:val="baseline"/>
    </w:pPr>
    <w:rPr>
      <w:kern w:val="0"/>
      <w:sz w:val="24"/>
      <w:szCs w:val="20"/>
    </w:rPr>
  </w:style>
  <w:style w:type="paragraph" w:customStyle="1" w:styleId="289">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90">
    <w:name w:val="Char Char1 Char Char1 Char Char1"/>
    <w:basedOn w:val="1"/>
    <w:qFormat/>
    <w:uiPriority w:val="0"/>
    <w:pPr>
      <w:tabs>
        <w:tab w:val="left" w:pos="840"/>
      </w:tabs>
      <w:ind w:left="840" w:hanging="420"/>
    </w:pPr>
    <w:rPr>
      <w:rFonts w:ascii="Tahoma" w:hAnsi="Tahoma"/>
      <w:sz w:val="24"/>
    </w:rPr>
  </w:style>
  <w:style w:type="paragraph" w:customStyle="1" w:styleId="291">
    <w:name w:val="样式 标题 2H2h2Underrubrik1prop2l2Chapter Titlesect 1.2DO NO..."/>
    <w:basedOn w:val="4"/>
    <w:qFormat/>
    <w:uiPriority w:val="0"/>
    <w:pPr>
      <w:numPr>
        <w:numId w:val="0"/>
      </w:numPr>
      <w:spacing w:before="120" w:after="120"/>
      <w:ind w:left="425" w:hanging="425"/>
    </w:pPr>
    <w:rPr>
      <w:rFonts w:ascii="微软雅黑" w:hAnsi="微软雅黑" w:eastAsia="微软雅黑" w:cs="宋体"/>
      <w:szCs w:val="20"/>
      <w:lang w:val="en-US"/>
    </w:rPr>
  </w:style>
  <w:style w:type="paragraph" w:customStyle="1" w:styleId="292">
    <w:name w:val="Char Char Char Char Char Char Char Char Char Char1"/>
    <w:basedOn w:val="1"/>
    <w:qFormat/>
    <w:uiPriority w:val="0"/>
    <w:rPr>
      <w:rFonts w:ascii="仿宋_GB2312" w:eastAsia="仿宋_GB2312"/>
      <w:b/>
      <w:sz w:val="32"/>
      <w:szCs w:val="32"/>
    </w:rPr>
  </w:style>
  <w:style w:type="paragraph" w:customStyle="1" w:styleId="293">
    <w:name w:val="gf正文1"/>
    <w:basedOn w:val="1"/>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294">
    <w:name w:val="默认段落字体 Para Char Char Char1 Char"/>
    <w:basedOn w:val="1"/>
    <w:qFormat/>
    <w:uiPriority w:val="0"/>
    <w:pPr>
      <w:spacing w:line="240" w:lineRule="atLeast"/>
      <w:ind w:left="420" w:firstLine="420"/>
    </w:pPr>
    <w:rPr>
      <w:sz w:val="24"/>
    </w:rPr>
  </w:style>
  <w:style w:type="paragraph" w:styleId="29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6">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7">
    <w:name w:val="Char1 Char Char Char5"/>
    <w:basedOn w:val="1"/>
    <w:qFormat/>
    <w:uiPriority w:val="0"/>
    <w:pPr>
      <w:adjustRightInd/>
      <w:ind w:firstLine="200" w:firstLineChars="200"/>
    </w:pPr>
    <w:rPr>
      <w:rFonts w:ascii="Tahoma" w:hAnsi="Tahoma"/>
      <w:sz w:val="24"/>
      <w:szCs w:val="20"/>
    </w:rPr>
  </w:style>
  <w:style w:type="paragraph" w:customStyle="1" w:styleId="298">
    <w:name w:val="Char Char Char Char Char Char Char1"/>
    <w:basedOn w:val="1"/>
    <w:qFormat/>
    <w:uiPriority w:val="0"/>
    <w:rPr>
      <w:rFonts w:ascii="仿宋_GB2312" w:eastAsia="仿宋_GB2312"/>
      <w:b/>
      <w:sz w:val="32"/>
      <w:szCs w:val="32"/>
    </w:rPr>
  </w:style>
  <w:style w:type="paragraph" w:customStyle="1" w:styleId="299">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300">
    <w:name w:val="正文表标题"/>
    <w:next w:val="73"/>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301">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302">
    <w:name w:val="四号　首行缩进"/>
    <w:basedOn w:val="1"/>
    <w:qFormat/>
    <w:uiPriority w:val="0"/>
    <w:pPr>
      <w:adjustRightInd/>
      <w:spacing w:line="360" w:lineRule="auto"/>
    </w:pPr>
    <w:rPr>
      <w:rFonts w:ascii="宋体" w:hAnsi="宋体"/>
      <w:szCs w:val="20"/>
    </w:rPr>
  </w:style>
  <w:style w:type="paragraph" w:customStyle="1" w:styleId="30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304">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05">
    <w:name w:val="首行缩进"/>
    <w:basedOn w:val="1"/>
    <w:qFormat/>
    <w:uiPriority w:val="0"/>
    <w:pPr>
      <w:spacing w:line="360" w:lineRule="auto"/>
      <w:ind w:firstLine="480" w:firstLineChars="200"/>
    </w:pPr>
    <w:rPr>
      <w:rFonts w:ascii="宋体"/>
      <w:sz w:val="24"/>
      <w:szCs w:val="20"/>
    </w:rPr>
  </w:style>
  <w:style w:type="paragraph" w:customStyle="1" w:styleId="306">
    <w:name w:val="Char1 Char Char Char1"/>
    <w:basedOn w:val="1"/>
    <w:qFormat/>
    <w:uiPriority w:val="0"/>
    <w:pPr>
      <w:adjustRightInd/>
      <w:ind w:firstLine="200" w:firstLineChars="200"/>
    </w:pPr>
    <w:rPr>
      <w:rFonts w:ascii="Tahoma" w:hAnsi="Tahoma"/>
      <w:sz w:val="24"/>
      <w:szCs w:val="20"/>
    </w:rPr>
  </w:style>
  <w:style w:type="paragraph" w:customStyle="1" w:styleId="307">
    <w:name w:val="MM Topic 2"/>
    <w:basedOn w:val="4"/>
    <w:qFormat/>
    <w:uiPriority w:val="0"/>
    <w:pPr>
      <w:numPr>
        <w:numId w:val="0"/>
      </w:numPr>
      <w:tabs>
        <w:tab w:val="left" w:pos="860"/>
        <w:tab w:val="left" w:pos="1260"/>
        <w:tab w:val="clear" w:pos="432"/>
      </w:tabs>
      <w:ind w:left="1260" w:hanging="420"/>
    </w:pPr>
    <w:rPr>
      <w:rFonts w:ascii="Arial" w:hAnsi="Arial" w:eastAsia="黑体"/>
      <w:lang w:val="en-US"/>
    </w:rPr>
  </w:style>
  <w:style w:type="paragraph" w:customStyle="1" w:styleId="308">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09">
    <w:name w:val="样式 样式2 + 左侧:  1 字符 右侧:  1 字符"/>
    <w:basedOn w:val="77"/>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310">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3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312">
    <w:name w:val="哈哈正文"/>
    <w:basedOn w:val="1"/>
    <w:link w:val="497"/>
    <w:qFormat/>
    <w:uiPriority w:val="0"/>
    <w:pPr>
      <w:adjustRightInd/>
      <w:spacing w:line="360" w:lineRule="auto"/>
      <w:ind w:firstLine="200" w:firstLineChars="200"/>
    </w:pPr>
    <w:rPr>
      <w:rFonts w:ascii="宋体" w:hAnsi="宋体"/>
      <w:sz w:val="24"/>
      <w:szCs w:val="20"/>
    </w:rPr>
  </w:style>
  <w:style w:type="paragraph" w:customStyle="1" w:styleId="313">
    <w:name w:val="List Paragraph1"/>
    <w:basedOn w:val="1"/>
    <w:qFormat/>
    <w:uiPriority w:val="34"/>
    <w:pPr>
      <w:spacing w:line="360" w:lineRule="auto"/>
      <w:ind w:firstLine="200" w:firstLineChars="200"/>
    </w:pPr>
    <w:rPr>
      <w:rFonts w:eastAsia="楷体_GB2312" w:cs="Lucida Sans"/>
      <w:sz w:val="24"/>
    </w:rPr>
  </w:style>
  <w:style w:type="paragraph" w:customStyle="1" w:styleId="31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315">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316">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317">
    <w:name w:val="Char Char11 Char Char Char Char Char Char Char Char Char1"/>
    <w:basedOn w:val="1"/>
    <w:qFormat/>
    <w:uiPriority w:val="0"/>
    <w:pPr>
      <w:spacing w:line="360" w:lineRule="auto"/>
    </w:pPr>
    <w:rPr>
      <w:szCs w:val="20"/>
    </w:rPr>
  </w:style>
  <w:style w:type="paragraph" w:customStyle="1" w:styleId="318">
    <w:name w:val="Char Char11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19">
    <w:name w:val="正文 项目2"/>
    <w:basedOn w:val="320"/>
    <w:qFormat/>
    <w:uiPriority w:val="0"/>
    <w:pPr>
      <w:numPr>
        <w:ilvl w:val="0"/>
        <w:numId w:val="6"/>
      </w:numPr>
      <w:tabs>
        <w:tab w:val="left" w:pos="840"/>
      </w:tabs>
      <w:spacing w:after="0"/>
    </w:pPr>
  </w:style>
  <w:style w:type="paragraph" w:customStyle="1" w:styleId="320">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21">
    <w:name w:val="Char Char Char1 Char1"/>
    <w:basedOn w:val="1"/>
    <w:qFormat/>
    <w:uiPriority w:val="0"/>
    <w:rPr>
      <w:szCs w:val="20"/>
    </w:rPr>
  </w:style>
  <w:style w:type="paragraph" w:customStyle="1" w:styleId="322">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23">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324">
    <w:name w:val="封面"/>
    <w:basedOn w:val="1"/>
    <w:qFormat/>
    <w:uiPriority w:val="0"/>
    <w:pPr>
      <w:spacing w:line="360" w:lineRule="atLeast"/>
      <w:jc w:val="right"/>
      <w:textAlignment w:val="baseline"/>
    </w:pPr>
    <w:rPr>
      <w:rFonts w:ascii="Symbol" w:hAnsi="Symbol"/>
      <w:kern w:val="0"/>
      <w:szCs w:val="20"/>
    </w:rPr>
  </w:style>
  <w:style w:type="paragraph" w:customStyle="1" w:styleId="325">
    <w:name w:val="正文（缩进2汉字）"/>
    <w:basedOn w:val="1"/>
    <w:link w:val="586"/>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326">
    <w:name w:val="数字标题3"/>
    <w:basedOn w:val="5"/>
    <w:next w:val="1"/>
    <w:qFormat/>
    <w:uiPriority w:val="0"/>
    <w:pPr>
      <w:numPr>
        <w:numId w:val="0"/>
      </w:numPr>
      <w:spacing w:line="240" w:lineRule="auto"/>
    </w:pPr>
    <w:rPr>
      <w:sz w:val="28"/>
      <w:szCs w:val="28"/>
    </w:rPr>
  </w:style>
  <w:style w:type="paragraph" w:customStyle="1" w:styleId="327">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2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329">
    <w:name w:val="正文（首行缩进2字符）"/>
    <w:basedOn w:val="1"/>
    <w:qFormat/>
    <w:uiPriority w:val="0"/>
    <w:pPr>
      <w:adjustRightInd/>
      <w:spacing w:line="360" w:lineRule="auto"/>
      <w:ind w:firstLine="480" w:firstLineChars="200"/>
    </w:pPr>
    <w:rPr>
      <w:sz w:val="24"/>
      <w:szCs w:val="20"/>
    </w:rPr>
  </w:style>
  <w:style w:type="paragraph" w:customStyle="1" w:styleId="330">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331">
    <w:name w:val="正文段"/>
    <w:basedOn w:val="1"/>
    <w:qFormat/>
    <w:uiPriority w:val="0"/>
    <w:pPr>
      <w:widowControl/>
      <w:snapToGrid w:val="0"/>
      <w:spacing w:after="156" w:afterLines="50"/>
      <w:ind w:firstLine="200" w:firstLineChars="200"/>
    </w:pPr>
    <w:rPr>
      <w:kern w:val="0"/>
      <w:sz w:val="24"/>
      <w:szCs w:val="20"/>
    </w:rPr>
  </w:style>
  <w:style w:type="paragraph" w:customStyle="1" w:styleId="332">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333">
    <w:name w:val="数字标题2"/>
    <w:basedOn w:val="4"/>
    <w:next w:val="1"/>
    <w:qFormat/>
    <w:uiPriority w:val="0"/>
    <w:pPr>
      <w:numPr>
        <w:ilvl w:val="1"/>
        <w:numId w:val="5"/>
      </w:numPr>
      <w:tabs>
        <w:tab w:val="clear" w:pos="432"/>
      </w:tabs>
    </w:pPr>
    <w:rPr>
      <w:rFonts w:ascii="Times New Roman" w:eastAsia="宋体"/>
      <w:i/>
      <w:sz w:val="36"/>
      <w:szCs w:val="36"/>
      <w:lang w:val="en-US"/>
    </w:rPr>
  </w:style>
  <w:style w:type="paragraph" w:customStyle="1" w:styleId="334">
    <w:name w:val="彩色列表 - 强调文字颜色 11"/>
    <w:basedOn w:val="1"/>
    <w:qFormat/>
    <w:uiPriority w:val="0"/>
    <w:pPr>
      <w:adjustRightInd/>
      <w:ind w:firstLine="420" w:firstLineChars="200"/>
    </w:pPr>
    <w:rPr>
      <w:rFonts w:ascii="Calibri" w:hAnsi="Calibri"/>
      <w:szCs w:val="22"/>
    </w:rPr>
  </w:style>
  <w:style w:type="paragraph" w:customStyle="1" w:styleId="335">
    <w:name w:val="数字标题4"/>
    <w:basedOn w:val="6"/>
    <w:qFormat/>
    <w:uiPriority w:val="0"/>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33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337">
    <w:name w:val="样式1 + (中宋体"/>
    <w:basedOn w:val="159"/>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338">
    <w:name w:val="仿宋正文"/>
    <w:basedOn w:val="1"/>
    <w:link w:val="462"/>
    <w:qFormat/>
    <w:uiPriority w:val="0"/>
    <w:pPr>
      <w:adjustRightInd/>
      <w:spacing w:line="360" w:lineRule="auto"/>
      <w:ind w:firstLine="480" w:firstLineChars="200"/>
    </w:pPr>
    <w:rPr>
      <w:rFonts w:ascii="仿宋_GB2312" w:eastAsia="仿宋_GB2312"/>
      <w:sz w:val="24"/>
      <w:szCs w:val="20"/>
    </w:rPr>
  </w:style>
  <w:style w:type="paragraph" w:customStyle="1" w:styleId="339">
    <w:name w:val="正文（标题三）"/>
    <w:basedOn w:val="1"/>
    <w:qFormat/>
    <w:uiPriority w:val="0"/>
    <w:pPr>
      <w:spacing w:line="360" w:lineRule="auto"/>
      <w:ind w:firstLine="200" w:firstLineChars="200"/>
    </w:pPr>
    <w:rPr>
      <w:sz w:val="24"/>
    </w:rPr>
  </w:style>
  <w:style w:type="paragraph" w:customStyle="1" w:styleId="340">
    <w:name w:val="MM Topic 3"/>
    <w:basedOn w:val="5"/>
    <w:qFormat/>
    <w:uiPriority w:val="0"/>
    <w:pPr>
      <w:numPr>
        <w:numId w:val="4"/>
      </w:numPr>
      <w:tabs>
        <w:tab w:val="left" w:pos="840"/>
        <w:tab w:val="left" w:pos="1680"/>
        <w:tab w:val="clear" w:pos="900"/>
      </w:tabs>
      <w:adjustRightInd/>
    </w:pPr>
  </w:style>
  <w:style w:type="paragraph" w:customStyle="1" w:styleId="341">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342">
    <w:name w:val="图中文字"/>
    <w:basedOn w:val="1"/>
    <w:qFormat/>
    <w:uiPriority w:val="0"/>
    <w:pPr>
      <w:snapToGrid w:val="0"/>
      <w:spacing w:line="0" w:lineRule="atLeast"/>
      <w:ind w:firstLine="200" w:firstLineChars="200"/>
      <w:jc w:val="center"/>
    </w:pPr>
    <w:rPr>
      <w:sz w:val="24"/>
      <w:szCs w:val="20"/>
    </w:rPr>
  </w:style>
  <w:style w:type="paragraph" w:customStyle="1" w:styleId="343">
    <w:name w:val="正文－恩普"/>
    <w:basedOn w:val="17"/>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344">
    <w:name w:val="Char21"/>
    <w:basedOn w:val="1"/>
    <w:qFormat/>
    <w:uiPriority w:val="0"/>
    <w:pPr>
      <w:adjustRightInd/>
      <w:ind w:firstLine="200" w:firstLineChars="200"/>
    </w:pPr>
    <w:rPr>
      <w:rFonts w:ascii="仿宋_GB2312" w:eastAsia="仿宋_GB2312"/>
      <w:b/>
      <w:sz w:val="32"/>
      <w:szCs w:val="32"/>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46">
    <w:name w:val="标题4-dyf"/>
    <w:basedOn w:val="6"/>
    <w:link w:val="552"/>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347">
    <w:name w:val="Char1 Char Char Char4"/>
    <w:basedOn w:val="1"/>
    <w:qFormat/>
    <w:uiPriority w:val="0"/>
    <w:pPr>
      <w:adjustRightInd/>
      <w:ind w:firstLine="200" w:firstLineChars="200"/>
    </w:pPr>
    <w:rPr>
      <w:rFonts w:ascii="Tahoma" w:hAnsi="Tahoma"/>
      <w:sz w:val="24"/>
      <w:szCs w:val="20"/>
    </w:rPr>
  </w:style>
  <w:style w:type="paragraph" w:customStyle="1" w:styleId="348">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34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350">
    <w:name w:val="Char23"/>
    <w:basedOn w:val="1"/>
    <w:qFormat/>
    <w:uiPriority w:val="0"/>
    <w:rPr>
      <w:rFonts w:ascii="仿宋_GB2312" w:eastAsia="仿宋_GB2312"/>
      <w:b/>
      <w:sz w:val="32"/>
      <w:szCs w:val="32"/>
    </w:rPr>
  </w:style>
  <w:style w:type="paragraph" w:customStyle="1" w:styleId="351">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352">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353">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54">
    <w:name w:val="此正文"/>
    <w:basedOn w:val="1"/>
    <w:link w:val="440"/>
    <w:qFormat/>
    <w:uiPriority w:val="0"/>
    <w:pPr>
      <w:adjustRightInd/>
      <w:spacing w:line="360" w:lineRule="auto"/>
      <w:ind w:firstLine="200" w:firstLineChars="200"/>
    </w:pPr>
    <w:rPr>
      <w:sz w:val="24"/>
    </w:rPr>
  </w:style>
  <w:style w:type="paragraph" w:customStyle="1" w:styleId="3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56">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357">
    <w:name w:val="Char3 Char Char Char"/>
    <w:basedOn w:val="1"/>
    <w:qFormat/>
    <w:uiPriority w:val="0"/>
    <w:pPr>
      <w:widowControl/>
      <w:adjustRightInd/>
      <w:spacing w:after="160" w:line="240" w:lineRule="exact"/>
      <w:jc w:val="left"/>
    </w:pPr>
    <w:rPr>
      <w:szCs w:val="20"/>
    </w:rPr>
  </w:style>
  <w:style w:type="paragraph" w:customStyle="1" w:styleId="358">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359">
    <w:name w:val="Normal0"/>
    <w:qFormat/>
    <w:uiPriority w:val="0"/>
    <w:rPr>
      <w:rFonts w:ascii="Times New Roman" w:hAnsi="Times New Roman" w:eastAsia="宋体" w:cs="Times New Roman"/>
      <w:lang w:val="en-US" w:eastAsia="en-US" w:bidi="ar-SA"/>
    </w:rPr>
  </w:style>
  <w:style w:type="paragraph" w:customStyle="1" w:styleId="360">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61">
    <w:name w:val="a1"/>
    <w:basedOn w:val="1"/>
    <w:qFormat/>
    <w:uiPriority w:val="0"/>
    <w:pPr>
      <w:widowControl/>
      <w:spacing w:line="300" w:lineRule="atLeast"/>
      <w:jc w:val="left"/>
    </w:pPr>
    <w:rPr>
      <w:rFonts w:ascii="宋体" w:hAnsi="宋体"/>
      <w:kern w:val="0"/>
      <w:sz w:val="18"/>
      <w:szCs w:val="20"/>
    </w:rPr>
  </w:style>
  <w:style w:type="paragraph" w:customStyle="1" w:styleId="362">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363">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364">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365">
    <w:name w:val="Thf"/>
    <w:basedOn w:val="92"/>
    <w:qFormat/>
    <w:uiPriority w:val="0"/>
    <w:pPr>
      <w:ind w:left="0"/>
    </w:pPr>
  </w:style>
  <w:style w:type="paragraph" w:customStyle="1" w:styleId="366">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6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368">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36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70">
    <w:name w:val="_Style 12"/>
    <w:basedOn w:val="20"/>
    <w:qFormat/>
    <w:uiPriority w:val="0"/>
    <w:pPr>
      <w:snapToGrid w:val="0"/>
      <w:spacing w:line="360" w:lineRule="auto"/>
    </w:pPr>
  </w:style>
  <w:style w:type="paragraph" w:customStyle="1" w:styleId="371">
    <w:name w:val="表格题注"/>
    <w:next w:val="1"/>
    <w:qFormat/>
    <w:uiPriority w:val="0"/>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372">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373">
    <w:name w:val="标书标题2"/>
    <w:basedOn w:val="4"/>
    <w:qFormat/>
    <w:uiPriority w:val="0"/>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74">
    <w:name w:val="Char Char"/>
    <w:basedOn w:val="1"/>
    <w:qFormat/>
    <w:uiPriority w:val="0"/>
    <w:pPr>
      <w:spacing w:line="360" w:lineRule="auto"/>
    </w:pPr>
    <w:rPr>
      <w:rFonts w:ascii="Tahoma" w:hAnsi="Tahoma"/>
      <w:sz w:val="24"/>
      <w:szCs w:val="20"/>
    </w:rPr>
  </w:style>
  <w:style w:type="paragraph" w:customStyle="1" w:styleId="375">
    <w:name w:val="列出段落1"/>
    <w:basedOn w:val="1"/>
    <w:qFormat/>
    <w:uiPriority w:val="34"/>
    <w:pPr>
      <w:adjustRightInd/>
      <w:spacing w:line="360" w:lineRule="auto"/>
      <w:ind w:firstLine="420" w:firstLineChars="200"/>
    </w:pPr>
    <w:rPr>
      <w:rFonts w:ascii="Calibri" w:hAnsi="Calibri"/>
      <w:sz w:val="24"/>
      <w:szCs w:val="22"/>
    </w:rPr>
  </w:style>
  <w:style w:type="paragraph" w:customStyle="1" w:styleId="376">
    <w:name w:val="样式 标题 1 + 黑色 段前: 0.5 行 段后: 0.5 行1"/>
    <w:basedOn w:val="3"/>
    <w:qFormat/>
    <w:uiPriority w:val="0"/>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377">
    <w:name w:val="彩色列表 - 强调文字颜色 12"/>
    <w:basedOn w:val="1"/>
    <w:qFormat/>
    <w:uiPriority w:val="0"/>
    <w:pPr>
      <w:adjustRightInd/>
      <w:ind w:firstLine="420" w:firstLineChars="200"/>
    </w:pPr>
    <w:rPr>
      <w:rFonts w:ascii="Calibri" w:hAnsi="Calibri"/>
      <w:szCs w:val="22"/>
    </w:rPr>
  </w:style>
  <w:style w:type="paragraph" w:customStyle="1" w:styleId="378">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379">
    <w:name w:val="Char19"/>
    <w:basedOn w:val="1"/>
    <w:qFormat/>
    <w:uiPriority w:val="0"/>
    <w:pPr>
      <w:adjustRightInd/>
    </w:pPr>
    <w:rPr>
      <w:szCs w:val="20"/>
    </w:rPr>
  </w:style>
  <w:style w:type="paragraph" w:customStyle="1" w:styleId="380">
    <w:name w:val="CSS1级正文 Char"/>
    <w:basedOn w:val="2"/>
    <w:qFormat/>
    <w:uiPriority w:val="0"/>
    <w:pPr>
      <w:autoSpaceDE/>
      <w:autoSpaceDN/>
      <w:snapToGrid w:val="0"/>
      <w:ind w:firstLine="480" w:firstLineChars="200"/>
    </w:pPr>
    <w:rPr>
      <w:rFonts w:ascii="Times New Roman"/>
      <w:szCs w:val="24"/>
      <w:lang w:val="en-US"/>
    </w:rPr>
  </w:style>
  <w:style w:type="paragraph" w:customStyle="1" w:styleId="381">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8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383">
    <w:name w:val="表格（小）"/>
    <w:basedOn w:val="1"/>
    <w:qFormat/>
    <w:uiPriority w:val="0"/>
    <w:pPr>
      <w:adjustRightInd/>
      <w:snapToGrid w:val="0"/>
      <w:spacing w:line="300" w:lineRule="auto"/>
    </w:pPr>
    <w:rPr>
      <w:rFonts w:eastAsia="仿宋"/>
      <w:szCs w:val="21"/>
    </w:rPr>
  </w:style>
  <w:style w:type="paragraph" w:customStyle="1" w:styleId="384">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5">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8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387">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8">
    <w:name w:val="Char Char Char Char2"/>
    <w:basedOn w:val="1"/>
    <w:qFormat/>
    <w:uiPriority w:val="0"/>
    <w:rPr>
      <w:rFonts w:ascii="Tahoma" w:hAnsi="Tahoma"/>
      <w:sz w:val="24"/>
      <w:szCs w:val="20"/>
    </w:rPr>
  </w:style>
  <w:style w:type="paragraph" w:customStyle="1" w:styleId="389">
    <w:name w:val="p0"/>
    <w:basedOn w:val="1"/>
    <w:qFormat/>
    <w:uiPriority w:val="0"/>
    <w:pPr>
      <w:widowControl/>
      <w:adjustRightInd/>
    </w:pPr>
    <w:rPr>
      <w:kern w:val="0"/>
      <w:szCs w:val="21"/>
    </w:rPr>
  </w:style>
  <w:style w:type="paragraph" w:customStyle="1" w:styleId="390">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391">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392">
    <w:name w:val="默认段落样式"/>
    <w:basedOn w:val="393"/>
    <w:qFormat/>
    <w:uiPriority w:val="0"/>
    <w:pPr>
      <w:spacing w:before="0"/>
      <w:ind w:firstLine="480"/>
      <w:outlineLvl w:val="2"/>
    </w:pPr>
    <w:rPr>
      <w:rFonts w:ascii="仿宋_GB2312" w:hAnsi="宋体" w:eastAsia="仿宋_GB2312"/>
      <w:color w:val="000000"/>
      <w:szCs w:val="24"/>
    </w:rPr>
  </w:style>
  <w:style w:type="paragraph" w:customStyle="1" w:styleId="393">
    <w:name w:val="正文2"/>
    <w:basedOn w:val="1"/>
    <w:link w:val="447"/>
    <w:qFormat/>
    <w:uiPriority w:val="0"/>
    <w:pPr>
      <w:spacing w:before="156" w:line="360" w:lineRule="auto"/>
      <w:ind w:firstLine="510" w:firstLineChars="200"/>
    </w:pPr>
    <w:rPr>
      <w:sz w:val="24"/>
      <w:szCs w:val="20"/>
    </w:rPr>
  </w:style>
  <w:style w:type="paragraph" w:customStyle="1" w:styleId="394">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95">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39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397">
    <w:name w:val="bullet"/>
    <w:basedOn w:val="1"/>
    <w:qFormat/>
    <w:uiPriority w:val="0"/>
    <w:pPr>
      <w:tabs>
        <w:tab w:val="left" w:pos="840"/>
      </w:tabs>
      <w:adjustRightInd/>
      <w:ind w:left="840" w:hanging="420"/>
    </w:pPr>
  </w:style>
  <w:style w:type="paragraph" w:customStyle="1" w:styleId="398">
    <w:name w:val="五级条标题"/>
    <w:basedOn w:val="171"/>
    <w:next w:val="73"/>
    <w:qFormat/>
    <w:uiPriority w:val="0"/>
    <w:pPr>
      <w:numPr>
        <w:ilvl w:val="6"/>
      </w:numPr>
      <w:tabs>
        <w:tab w:val="clear" w:pos="2940"/>
      </w:tabs>
      <w:outlineLvl w:val="6"/>
    </w:pPr>
  </w:style>
  <w:style w:type="paragraph" w:customStyle="1" w:styleId="399">
    <w:name w:val="Char Char Char Char Char Char Char Char"/>
    <w:basedOn w:val="1"/>
    <w:qFormat/>
    <w:uiPriority w:val="0"/>
    <w:pPr>
      <w:tabs>
        <w:tab w:val="left" w:pos="360"/>
      </w:tabs>
    </w:pPr>
    <w:rPr>
      <w:sz w:val="24"/>
      <w:szCs w:val="20"/>
    </w:rPr>
  </w:style>
  <w:style w:type="paragraph" w:customStyle="1" w:styleId="400">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1">
    <w:name w:val="数字标题5"/>
    <w:basedOn w:val="7"/>
    <w:next w:val="1"/>
    <w:qFormat/>
    <w:uiPriority w:val="0"/>
    <w:pPr>
      <w:numPr>
        <w:numId w:val="5"/>
      </w:numPr>
      <w:tabs>
        <w:tab w:val="left" w:pos="480"/>
        <w:tab w:val="left" w:pos="1080"/>
        <w:tab w:val="clear" w:pos="1008"/>
      </w:tabs>
    </w:pPr>
  </w:style>
  <w:style w:type="paragraph" w:customStyle="1" w:styleId="402">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403">
    <w:name w:val="公文正文"/>
    <w:basedOn w:val="1"/>
    <w:qFormat/>
    <w:uiPriority w:val="0"/>
    <w:pPr>
      <w:adjustRightInd/>
      <w:spacing w:before="156" w:line="360" w:lineRule="auto"/>
      <w:ind w:firstLine="360" w:firstLineChars="200"/>
    </w:pPr>
    <w:rPr>
      <w:rFonts w:ascii="仿宋_GB2312" w:eastAsia="仿宋_GB2312"/>
      <w:sz w:val="24"/>
    </w:rPr>
  </w:style>
  <w:style w:type="paragraph" w:customStyle="1" w:styleId="404">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405">
    <w:name w:val="表格文字"/>
    <w:basedOn w:val="406"/>
    <w:qFormat/>
    <w:uiPriority w:val="99"/>
    <w:pPr>
      <w:adjustRightInd/>
      <w:ind w:firstLine="200" w:firstLineChars="200"/>
    </w:pPr>
    <w:rPr>
      <w:rFonts w:ascii="Arial" w:hAnsi="Arial"/>
      <w:spacing w:val="-5"/>
      <w:kern w:val="0"/>
      <w:sz w:val="24"/>
      <w:szCs w:val="20"/>
    </w:rPr>
  </w:style>
  <w:style w:type="paragraph" w:customStyle="1" w:styleId="406">
    <w:name w:val="清单正文"/>
    <w:basedOn w:val="45"/>
    <w:qFormat/>
    <w:uiPriority w:val="0"/>
    <w:pPr>
      <w:spacing w:before="0" w:beforeLines="50" w:after="0" w:line="360" w:lineRule="auto"/>
      <w:ind w:firstLine="150" w:firstLineChars="150"/>
      <w:jc w:val="both"/>
      <w:outlineLvl w:val="9"/>
    </w:pPr>
    <w:rPr>
      <w:rFonts w:ascii="Times New Roman" w:hAnsi="Times New Roman" w:cs="黑体"/>
      <w:sz w:val="24"/>
    </w:rPr>
  </w:style>
  <w:style w:type="paragraph" w:customStyle="1" w:styleId="407">
    <w:name w:val="0"/>
    <w:basedOn w:val="1"/>
    <w:qFormat/>
    <w:uiPriority w:val="0"/>
    <w:pPr>
      <w:widowControl/>
    </w:pPr>
    <w:rPr>
      <w:kern w:val="0"/>
      <w:sz w:val="24"/>
      <w:szCs w:val="20"/>
    </w:rPr>
  </w:style>
  <w:style w:type="paragraph" w:customStyle="1" w:styleId="408">
    <w:name w:val="Char1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9">
    <w:name w:val="b11_01b"/>
    <w:basedOn w:val="1"/>
    <w:next w:val="1"/>
    <w:link w:val="55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410">
    <w:name w:val="MM Topic 5"/>
    <w:basedOn w:val="7"/>
    <w:qFormat/>
    <w:uiPriority w:val="0"/>
    <w:pPr>
      <w:numPr>
        <w:numId w:val="4"/>
      </w:numPr>
      <w:tabs>
        <w:tab w:val="left" w:pos="840"/>
        <w:tab w:val="left" w:pos="2520"/>
        <w:tab w:val="clear" w:pos="1008"/>
      </w:tabs>
      <w:adjustRightInd/>
    </w:pPr>
  </w:style>
  <w:style w:type="paragraph" w:customStyle="1" w:styleId="411">
    <w:name w:val="样式 标题 3标题 3 Char第二层条h33Bold Headbh章标题1小标题level_3PIM 3..."/>
    <w:basedOn w:val="5"/>
    <w:qFormat/>
    <w:uiPriority w:val="0"/>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412">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413">
    <w:name w:val="数字标题1"/>
    <w:basedOn w:val="3"/>
    <w:next w:val="1"/>
    <w:qFormat/>
    <w:uiPriority w:val="0"/>
    <w:pPr>
      <w:numPr>
        <w:numId w:val="5"/>
      </w:numPr>
      <w:tabs>
        <w:tab w:val="left" w:pos="480"/>
        <w:tab w:val="clear" w:pos="432"/>
      </w:tabs>
    </w:pPr>
  </w:style>
  <w:style w:type="paragraph" w:customStyle="1" w:styleId="414">
    <w:name w:val="Char1 Char Char Char6"/>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415">
    <w:name w:val="标书标题3"/>
    <w:basedOn w:val="5"/>
    <w:qFormat/>
    <w:uiPriority w:val="0"/>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41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1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41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1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42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421">
    <w:name w:val="MM Topic 1"/>
    <w:basedOn w:val="3"/>
    <w:qFormat/>
    <w:uiPriority w:val="0"/>
    <w:pPr>
      <w:numPr>
        <w:numId w:val="0"/>
      </w:numPr>
      <w:tabs>
        <w:tab w:val="left" w:pos="840"/>
        <w:tab w:val="clear" w:pos="432"/>
      </w:tabs>
      <w:adjustRightInd/>
      <w:ind w:left="840" w:hanging="420"/>
    </w:pPr>
  </w:style>
  <w:style w:type="paragraph" w:customStyle="1" w:styleId="422">
    <w:name w:val="Char Char Char Char Char Char Char Char1"/>
    <w:basedOn w:val="1"/>
    <w:qFormat/>
    <w:uiPriority w:val="0"/>
    <w:pPr>
      <w:tabs>
        <w:tab w:val="left" w:pos="360"/>
      </w:tabs>
    </w:pPr>
    <w:rPr>
      <w:sz w:val="24"/>
      <w:szCs w:val="20"/>
    </w:rPr>
  </w:style>
  <w:style w:type="paragraph" w:customStyle="1" w:styleId="423">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24">
    <w:name w:val="Char3 Char Char Char1"/>
    <w:basedOn w:val="1"/>
    <w:qFormat/>
    <w:uiPriority w:val="0"/>
    <w:pPr>
      <w:widowControl/>
      <w:adjustRightInd/>
      <w:spacing w:after="160" w:line="240" w:lineRule="exact"/>
      <w:jc w:val="left"/>
    </w:pPr>
    <w:rPr>
      <w:szCs w:val="20"/>
    </w:rPr>
  </w:style>
  <w:style w:type="paragraph" w:customStyle="1" w:styleId="425">
    <w:name w:val="Char Char12"/>
    <w:basedOn w:val="1"/>
    <w:qFormat/>
    <w:uiPriority w:val="0"/>
    <w:pPr>
      <w:widowControl/>
      <w:spacing w:after="160" w:line="240" w:lineRule="exact"/>
      <w:jc w:val="left"/>
    </w:pPr>
    <w:rPr>
      <w:rFonts w:eastAsia="仿宋_GB2312"/>
      <w:sz w:val="28"/>
    </w:rPr>
  </w:style>
  <w:style w:type="paragraph" w:customStyle="1" w:styleId="426">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427">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428">
    <w:name w:val="正文文本 21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29">
    <w:name w:val="单元格左对齐"/>
    <w:basedOn w:val="1"/>
    <w:qFormat/>
    <w:uiPriority w:val="0"/>
    <w:pPr>
      <w:adjustRightInd/>
      <w:spacing w:line="360" w:lineRule="auto"/>
    </w:pPr>
    <w:rPr>
      <w:sz w:val="24"/>
    </w:rPr>
  </w:style>
  <w:style w:type="paragraph" w:customStyle="1" w:styleId="430">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431">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character" w:customStyle="1" w:styleId="432">
    <w:name w:val="正文文本 Char"/>
    <w:qFormat/>
    <w:uiPriority w:val="0"/>
    <w:rPr>
      <w:rFonts w:eastAsia="宋体"/>
      <w:kern w:val="2"/>
      <w:sz w:val="24"/>
      <w:szCs w:val="24"/>
      <w:lang w:val="en-US" w:eastAsia="zh-CN" w:bidi="ar-SA"/>
    </w:rPr>
  </w:style>
  <w:style w:type="character" w:customStyle="1" w:styleId="433">
    <w:name w:val="myp1111"/>
    <w:qFormat/>
    <w:uiPriority w:val="0"/>
    <w:rPr>
      <w:rFonts w:hint="default" w:ascii="ˎ̥" w:hAnsi="ˎ̥"/>
      <w:color w:val="000000"/>
      <w:sz w:val="20"/>
      <w:szCs w:val="20"/>
      <w:u w:val="none"/>
    </w:rPr>
  </w:style>
  <w:style w:type="character" w:customStyle="1" w:styleId="434">
    <w:name w:val="mdeck"/>
    <w:qFormat/>
    <w:uiPriority w:val="0"/>
    <w:rPr>
      <w:rFonts w:ascii="仿宋_GB2312" w:eastAsia="微软雅黑"/>
      <w:b/>
      <w:kern w:val="2"/>
      <w:sz w:val="32"/>
      <w:szCs w:val="32"/>
      <w:lang w:val="en-US" w:eastAsia="zh-CN" w:bidi="ar-SA"/>
    </w:rPr>
  </w:style>
  <w:style w:type="character" w:customStyle="1" w:styleId="435">
    <w:name w:val="签名 字符"/>
    <w:link w:val="40"/>
    <w:qFormat/>
    <w:uiPriority w:val="0"/>
    <w:rPr>
      <w:rFonts w:eastAsia="仿宋_GB2312"/>
      <w:sz w:val="24"/>
    </w:rPr>
  </w:style>
  <w:style w:type="character" w:customStyle="1" w:styleId="436">
    <w:name w:val="tw4winMark"/>
    <w:qFormat/>
    <w:uiPriority w:val="0"/>
    <w:rPr>
      <w:rFonts w:ascii="Courier New" w:hAnsi="Courier New" w:cs="Courier New"/>
      <w:vanish/>
      <w:color w:val="800080"/>
      <w:sz w:val="24"/>
      <w:szCs w:val="24"/>
      <w:vertAlign w:val="subscript"/>
    </w:rPr>
  </w:style>
  <w:style w:type="character" w:customStyle="1" w:styleId="437">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438">
    <w:name w:val="Balloon Text Char"/>
    <w:semiHidden/>
    <w:qFormat/>
    <w:locked/>
    <w:uiPriority w:val="0"/>
    <w:rPr>
      <w:rFonts w:eastAsia="宋体"/>
      <w:kern w:val="2"/>
      <w:sz w:val="18"/>
      <w:szCs w:val="18"/>
      <w:lang w:val="en-US" w:eastAsia="zh-CN" w:bidi="ar-SA"/>
    </w:rPr>
  </w:style>
  <w:style w:type="character" w:customStyle="1" w:styleId="439">
    <w:name w:val="正文非缩进 Char"/>
    <w:qFormat/>
    <w:uiPriority w:val="0"/>
    <w:rPr>
      <w:rFonts w:ascii="宋体" w:eastAsia="宋体"/>
      <w:snapToGrid w:val="0"/>
      <w:color w:val="000000"/>
      <w:kern w:val="28"/>
      <w:sz w:val="28"/>
      <w:lang w:val="en-US" w:eastAsia="zh-CN" w:bidi="ar-SA"/>
    </w:rPr>
  </w:style>
  <w:style w:type="character" w:customStyle="1" w:styleId="440">
    <w:name w:val="此正文 Char"/>
    <w:link w:val="354"/>
    <w:qFormat/>
    <w:uiPriority w:val="0"/>
    <w:rPr>
      <w:kern w:val="2"/>
      <w:sz w:val="24"/>
      <w:szCs w:val="24"/>
    </w:rPr>
  </w:style>
  <w:style w:type="character" w:customStyle="1" w:styleId="441">
    <w:name w:val="Ò³Ã¼ Char Char"/>
    <w:qFormat/>
    <w:uiPriority w:val="0"/>
    <w:rPr>
      <w:rFonts w:eastAsia="宋体"/>
      <w:kern w:val="2"/>
      <w:sz w:val="18"/>
      <w:lang w:val="en-US" w:eastAsia="zh-CN" w:bidi="ar-SA"/>
    </w:rPr>
  </w:style>
  <w:style w:type="character" w:customStyle="1" w:styleId="442">
    <w:name w:val="style91"/>
    <w:qFormat/>
    <w:uiPriority w:val="0"/>
    <w:rPr>
      <w:color w:val="333333"/>
    </w:rPr>
  </w:style>
  <w:style w:type="character" w:customStyle="1" w:styleId="443">
    <w:name w:val="标书1 Char"/>
    <w:qFormat/>
    <w:uiPriority w:val="0"/>
    <w:rPr>
      <w:rFonts w:eastAsia="宋体"/>
      <w:b/>
      <w:bCs/>
      <w:kern w:val="44"/>
      <w:sz w:val="44"/>
      <w:szCs w:val="44"/>
      <w:lang w:val="en-US" w:eastAsia="zh-CN" w:bidi="ar-SA"/>
    </w:rPr>
  </w:style>
  <w:style w:type="character" w:customStyle="1" w:styleId="444">
    <w:name w:val="ca-131"/>
    <w:qFormat/>
    <w:uiPriority w:val="0"/>
    <w:rPr>
      <w:rFonts w:hint="eastAsia" w:ascii="仿宋_GB2312" w:eastAsia="仿宋_GB2312"/>
      <w:b/>
      <w:bCs/>
      <w:color w:val="000000"/>
      <w:spacing w:val="-20"/>
      <w:sz w:val="24"/>
      <w:szCs w:val="24"/>
    </w:rPr>
  </w:style>
  <w:style w:type="character" w:customStyle="1" w:styleId="445">
    <w:name w:val="标书正文格式 Char"/>
    <w:qFormat/>
    <w:uiPriority w:val="0"/>
    <w:rPr>
      <w:rFonts w:eastAsia="楷体_GB2312"/>
      <w:kern w:val="2"/>
      <w:sz w:val="24"/>
      <w:szCs w:val="24"/>
      <w:lang w:bidi="ar-SA"/>
    </w:rPr>
  </w:style>
  <w:style w:type="character" w:customStyle="1" w:styleId="446">
    <w:name w:val="Char Char6"/>
    <w:qFormat/>
    <w:uiPriority w:val="0"/>
    <w:rPr>
      <w:rFonts w:eastAsia="宋体"/>
      <w:kern w:val="2"/>
      <w:sz w:val="21"/>
      <w:szCs w:val="24"/>
      <w:lang w:val="en-US" w:eastAsia="zh-CN" w:bidi="ar-SA"/>
    </w:rPr>
  </w:style>
  <w:style w:type="character" w:customStyle="1" w:styleId="447">
    <w:name w:val="正文2 Char Char"/>
    <w:link w:val="393"/>
    <w:qFormat/>
    <w:uiPriority w:val="0"/>
    <w:rPr>
      <w:rFonts w:eastAsia="宋体"/>
      <w:kern w:val="2"/>
      <w:sz w:val="24"/>
      <w:lang w:val="en-US" w:eastAsia="zh-CN" w:bidi="ar-SA"/>
    </w:rPr>
  </w:style>
  <w:style w:type="character" w:customStyle="1" w:styleId="448">
    <w:name w:val="content"/>
    <w:qFormat/>
    <w:uiPriority w:val="0"/>
  </w:style>
  <w:style w:type="character" w:customStyle="1" w:styleId="449">
    <w:name w:val="正文文本 2 Char"/>
    <w:qFormat/>
    <w:uiPriority w:val="0"/>
    <w:rPr>
      <w:rFonts w:eastAsia="宋体"/>
      <w:kern w:val="2"/>
      <w:sz w:val="21"/>
      <w:szCs w:val="24"/>
      <w:lang w:val="en-US" w:eastAsia="zh-CN" w:bidi="ar-SA"/>
    </w:rPr>
  </w:style>
  <w:style w:type="character" w:customStyle="1" w:styleId="450">
    <w:name w:val="Heading 2 Hidden Char"/>
    <w:qFormat/>
    <w:uiPriority w:val="0"/>
    <w:rPr>
      <w:rFonts w:ascii="仿宋_GB2312" w:eastAsia="仿宋_GB2312"/>
      <w:b/>
      <w:bCs/>
      <w:kern w:val="2"/>
      <w:sz w:val="24"/>
      <w:szCs w:val="24"/>
      <w:lang w:val="zh-CN" w:eastAsia="zh-CN" w:bidi="ar-SA"/>
    </w:rPr>
  </w:style>
  <w:style w:type="character" w:customStyle="1" w:styleId="451">
    <w:name w:val="首行缩进 Char"/>
    <w:qFormat/>
    <w:uiPriority w:val="0"/>
    <w:rPr>
      <w:rFonts w:ascii="宋体" w:eastAsia="宋体"/>
      <w:kern w:val="2"/>
      <w:sz w:val="24"/>
      <w:lang w:val="en-US" w:eastAsia="zh-CN" w:bidi="ar-SA"/>
    </w:rPr>
  </w:style>
  <w:style w:type="character" w:customStyle="1" w:styleId="452">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453">
    <w:name w:val="普通文字 Char Char1"/>
    <w:qFormat/>
    <w:uiPriority w:val="0"/>
    <w:rPr>
      <w:rFonts w:ascii="宋体" w:hAnsi="Courier New"/>
      <w:kern w:val="2"/>
      <w:sz w:val="21"/>
    </w:rPr>
  </w:style>
  <w:style w:type="character" w:customStyle="1" w:styleId="454">
    <w:name w:val="Footer-Even Char"/>
    <w:qFormat/>
    <w:uiPriority w:val="0"/>
    <w:rPr>
      <w:rFonts w:eastAsia="宋体"/>
      <w:kern w:val="2"/>
      <w:sz w:val="18"/>
      <w:lang w:val="en-US" w:eastAsia="zh-CN" w:bidi="ar-SA"/>
    </w:rPr>
  </w:style>
  <w:style w:type="character" w:customStyle="1" w:styleId="455">
    <w:name w:val="dandyren_title1"/>
    <w:qFormat/>
    <w:uiPriority w:val="0"/>
    <w:rPr>
      <w:b/>
      <w:bCs/>
      <w:color w:val="FF6633"/>
      <w:sz w:val="18"/>
      <w:szCs w:val="18"/>
    </w:rPr>
  </w:style>
  <w:style w:type="character" w:customStyle="1" w:styleId="456">
    <w:name w:val="标题 3 Char2"/>
    <w:qFormat/>
    <w:uiPriority w:val="0"/>
    <w:rPr>
      <w:rFonts w:eastAsia="宋体"/>
      <w:b/>
      <w:bCs/>
      <w:kern w:val="2"/>
      <w:sz w:val="32"/>
      <w:szCs w:val="32"/>
      <w:lang w:val="en-US" w:eastAsia="zh-CN" w:bidi="ar-SA"/>
    </w:rPr>
  </w:style>
  <w:style w:type="character" w:customStyle="1" w:styleId="457">
    <w:name w:val="gray6"/>
    <w:basedOn w:val="63"/>
    <w:qFormat/>
    <w:uiPriority w:val="0"/>
  </w:style>
  <w:style w:type="character" w:customStyle="1" w:styleId="458">
    <w:name w:val="标准正文格式 Char"/>
    <w:qFormat/>
    <w:uiPriority w:val="0"/>
    <w:rPr>
      <w:rFonts w:ascii="宋体" w:eastAsia="仿宋_GB2312" w:cs="宋体"/>
      <w:color w:val="000000"/>
      <w:sz w:val="24"/>
      <w:lang w:val="en-US" w:eastAsia="zh-CN" w:bidi="ar-SA"/>
    </w:rPr>
  </w:style>
  <w:style w:type="character" w:customStyle="1" w:styleId="459">
    <w:name w:val="Char Char3"/>
    <w:qFormat/>
    <w:uiPriority w:val="0"/>
    <w:rPr>
      <w:rFonts w:eastAsia="宋体"/>
      <w:kern w:val="2"/>
      <w:sz w:val="21"/>
      <w:szCs w:val="24"/>
      <w:lang w:val="en-US" w:eastAsia="zh-CN" w:bidi="ar-SA"/>
    </w:rPr>
  </w:style>
  <w:style w:type="character" w:customStyle="1" w:styleId="460">
    <w:name w:val="px14"/>
    <w:qFormat/>
    <w:uiPriority w:val="0"/>
    <w:rPr>
      <w:rFonts w:ascii="仿宋_GB2312" w:eastAsia="微软雅黑" w:cs="Times New Roman"/>
      <w:b/>
      <w:kern w:val="2"/>
      <w:sz w:val="32"/>
      <w:szCs w:val="32"/>
      <w:lang w:val="en-US" w:eastAsia="zh-CN" w:bidi="ar-SA"/>
    </w:rPr>
  </w:style>
  <w:style w:type="character" w:customStyle="1" w:styleId="461">
    <w:name w:val="txt"/>
    <w:qFormat/>
    <w:uiPriority w:val="0"/>
    <w:rPr>
      <w:rFonts w:ascii="仿宋_GB2312" w:eastAsia="微软雅黑"/>
      <w:b/>
      <w:kern w:val="2"/>
      <w:sz w:val="32"/>
      <w:szCs w:val="32"/>
      <w:lang w:val="en-US" w:eastAsia="zh-CN" w:bidi="ar-SA"/>
    </w:rPr>
  </w:style>
  <w:style w:type="character" w:customStyle="1" w:styleId="462">
    <w:name w:val="仿宋正文 Char"/>
    <w:link w:val="338"/>
    <w:qFormat/>
    <w:uiPriority w:val="0"/>
    <w:rPr>
      <w:rFonts w:ascii="仿宋_GB2312" w:eastAsia="仿宋_GB2312"/>
      <w:kern w:val="2"/>
      <w:sz w:val="24"/>
      <w:lang w:val="en-US" w:eastAsia="zh-CN" w:bidi="ar-SA"/>
    </w:rPr>
  </w:style>
  <w:style w:type="character" w:customStyle="1" w:styleId="463">
    <w:name w:val="Comment Text Char"/>
    <w:semiHidden/>
    <w:qFormat/>
    <w:locked/>
    <w:uiPriority w:val="0"/>
    <w:rPr>
      <w:rFonts w:ascii="宋体" w:hAnsi="宋体" w:eastAsia="宋体"/>
      <w:kern w:val="2"/>
      <w:sz w:val="24"/>
      <w:lang w:val="en-US" w:eastAsia="zh-CN" w:bidi="ar-SA"/>
    </w:rPr>
  </w:style>
  <w:style w:type="character" w:customStyle="1" w:styleId="464">
    <w:name w:val="tw4winExternal"/>
    <w:qFormat/>
    <w:uiPriority w:val="0"/>
    <w:rPr>
      <w:rFonts w:ascii="Courier New" w:hAnsi="Courier New" w:cs="Courier New"/>
      <w:color w:val="808080"/>
    </w:rPr>
  </w:style>
  <w:style w:type="character" w:customStyle="1" w:styleId="465">
    <w:name w:val="Char Char10"/>
    <w:semiHidden/>
    <w:qFormat/>
    <w:uiPriority w:val="0"/>
    <w:rPr>
      <w:rFonts w:ascii="宋体" w:hAnsi="宋体"/>
      <w:kern w:val="2"/>
      <w:sz w:val="21"/>
      <w:szCs w:val="24"/>
    </w:rPr>
  </w:style>
  <w:style w:type="character" w:customStyle="1" w:styleId="466">
    <w:name w:val="Bold"/>
    <w:qFormat/>
    <w:uiPriority w:val="0"/>
    <w:rPr>
      <w:rFonts w:ascii="Arial" w:hAnsi="Arial" w:eastAsia="黑体" w:cs="Times New Roman"/>
      <w:b/>
      <w:kern w:val="2"/>
      <w:sz w:val="32"/>
      <w:szCs w:val="32"/>
      <w:lang w:val="en-US" w:eastAsia="zh-CN" w:bidi="ar-SA"/>
    </w:rPr>
  </w:style>
  <w:style w:type="character" w:customStyle="1" w:styleId="467">
    <w:name w:val="Font Style82"/>
    <w:qFormat/>
    <w:uiPriority w:val="99"/>
    <w:rPr>
      <w:rFonts w:ascii="宋体" w:eastAsia="宋体" w:cs="宋体"/>
      <w:color w:val="000000"/>
      <w:sz w:val="14"/>
      <w:szCs w:val="14"/>
    </w:rPr>
  </w:style>
  <w:style w:type="character" w:customStyle="1" w:styleId="468">
    <w:name w:val="标题 2 Char"/>
    <w:qFormat/>
    <w:uiPriority w:val="0"/>
    <w:rPr>
      <w:rFonts w:ascii="Arial" w:hAnsi="Arial" w:eastAsia="黑体"/>
      <w:b/>
      <w:kern w:val="2"/>
      <w:sz w:val="32"/>
      <w:lang w:val="en-US" w:eastAsia="zh-CN"/>
    </w:rPr>
  </w:style>
  <w:style w:type="character" w:customStyle="1" w:styleId="469">
    <w:name w:val="h3 Char"/>
    <w:qFormat/>
    <w:uiPriority w:val="0"/>
    <w:rPr>
      <w:rFonts w:eastAsia="宋体"/>
      <w:b/>
      <w:kern w:val="2"/>
      <w:sz w:val="32"/>
      <w:lang w:val="en-US" w:eastAsia="zh-CN" w:bidi="ar-SA"/>
    </w:rPr>
  </w:style>
  <w:style w:type="character" w:customStyle="1" w:styleId="470">
    <w:name w:val="页眉 Char1"/>
    <w:qFormat/>
    <w:uiPriority w:val="0"/>
    <w:rPr>
      <w:rFonts w:eastAsia="宋体"/>
      <w:kern w:val="2"/>
      <w:sz w:val="18"/>
      <w:szCs w:val="18"/>
      <w:lang w:val="en-US" w:eastAsia="zh-CN" w:bidi="ar-SA"/>
    </w:rPr>
  </w:style>
  <w:style w:type="character" w:customStyle="1" w:styleId="471">
    <w:name w:val="标题 8 字符"/>
    <w:link w:val="10"/>
    <w:qFormat/>
    <w:uiPriority w:val="0"/>
    <w:rPr>
      <w:rFonts w:ascii="Arial" w:hAnsi="Arial" w:eastAsia="黑体"/>
      <w:kern w:val="2"/>
      <w:sz w:val="24"/>
      <w:szCs w:val="24"/>
    </w:rPr>
  </w:style>
  <w:style w:type="character" w:customStyle="1" w:styleId="472">
    <w:name w:val="冯广丽 Char"/>
    <w:link w:val="234"/>
    <w:qFormat/>
    <w:uiPriority w:val="0"/>
    <w:rPr>
      <w:rFonts w:ascii="宋体" w:hAnsi="宋体"/>
      <w:kern w:val="2"/>
      <w:sz w:val="24"/>
      <w:szCs w:val="22"/>
    </w:rPr>
  </w:style>
  <w:style w:type="character" w:customStyle="1" w:styleId="473">
    <w:name w:val="脚注文本 字符"/>
    <w:link w:val="48"/>
    <w:qFormat/>
    <w:uiPriority w:val="0"/>
    <w:rPr>
      <w:color w:val="0000FF"/>
      <w:sz w:val="21"/>
    </w:rPr>
  </w:style>
  <w:style w:type="character" w:customStyle="1" w:styleId="474">
    <w:name w:val="font12gray1"/>
    <w:qFormat/>
    <w:uiPriority w:val="0"/>
    <w:rPr>
      <w:rFonts w:ascii="仿宋_GB2312" w:eastAsia="微软雅黑"/>
      <w:b/>
      <w:spacing w:val="300"/>
      <w:kern w:val="2"/>
      <w:sz w:val="18"/>
      <w:szCs w:val="18"/>
      <w:lang w:val="en-US" w:eastAsia="zh-CN" w:bidi="ar-SA"/>
    </w:rPr>
  </w:style>
  <w:style w:type="character" w:customStyle="1" w:styleId="475">
    <w:name w:val="正文文本缩进 字符"/>
    <w:link w:val="24"/>
    <w:qFormat/>
    <w:uiPriority w:val="0"/>
    <w:rPr>
      <w:rFonts w:ascii="宋体" w:hAnsi="宋体"/>
      <w:kern w:val="2"/>
      <w:sz w:val="24"/>
      <w:szCs w:val="24"/>
    </w:rPr>
  </w:style>
  <w:style w:type="character" w:customStyle="1" w:styleId="476">
    <w:name w:val="方案正文 Char"/>
    <w:qFormat/>
    <w:uiPriority w:val="0"/>
    <w:rPr>
      <w:rFonts w:ascii="仿宋_GB2312" w:eastAsia="仿宋_GB2312"/>
      <w:b/>
      <w:color w:val="000000"/>
      <w:kern w:val="2"/>
      <w:sz w:val="24"/>
      <w:lang w:val="en-US" w:eastAsia="zh-CN" w:bidi="ar-SA"/>
    </w:rPr>
  </w:style>
  <w:style w:type="character" w:customStyle="1" w:styleId="477">
    <w:name w:val="Item List Char"/>
    <w:link w:val="261"/>
    <w:qFormat/>
    <w:uiPriority w:val="0"/>
    <w:rPr>
      <w:rFonts w:ascii="Arial"/>
      <w:bCs/>
      <w:sz w:val="21"/>
      <w:szCs w:val="21"/>
      <w:lang w:val="en-US" w:eastAsia="zh-CN" w:bidi="ar-SA"/>
    </w:rPr>
  </w:style>
  <w:style w:type="character" w:customStyle="1" w:styleId="478">
    <w:name w:val="Normal Indent Char Char"/>
    <w:qFormat/>
    <w:uiPriority w:val="0"/>
    <w:rPr>
      <w:rFonts w:eastAsia="宋体"/>
      <w:kern w:val="2"/>
      <w:sz w:val="21"/>
      <w:lang w:val="en-US" w:eastAsia="zh-CN" w:bidi="ar-SA"/>
    </w:rPr>
  </w:style>
  <w:style w:type="character" w:customStyle="1" w:styleId="479">
    <w:name w:val="t21"/>
    <w:qFormat/>
    <w:uiPriority w:val="0"/>
    <w:rPr>
      <w:rFonts w:ascii="仿宋_GB2312" w:eastAsia="微软雅黑"/>
      <w:b/>
      <w:kern w:val="2"/>
      <w:sz w:val="23"/>
      <w:szCs w:val="23"/>
      <w:lang w:val="en-US" w:eastAsia="zh-CN" w:bidi="ar-SA"/>
    </w:rPr>
  </w:style>
  <w:style w:type="character" w:customStyle="1" w:styleId="480">
    <w:name w:val="Char Char121"/>
    <w:qFormat/>
    <w:uiPriority w:val="0"/>
    <w:rPr>
      <w:rFonts w:ascii="仿宋_GB2312" w:eastAsia="仿宋_GB2312"/>
      <w:b/>
      <w:bCs/>
      <w:kern w:val="2"/>
      <w:sz w:val="24"/>
      <w:szCs w:val="24"/>
      <w:lang w:val="zh-CN" w:eastAsia="zh-CN" w:bidi="ar-SA"/>
    </w:rPr>
  </w:style>
  <w:style w:type="character" w:customStyle="1" w:styleId="481">
    <w:name w:val="标题 7 字符"/>
    <w:link w:val="9"/>
    <w:qFormat/>
    <w:uiPriority w:val="0"/>
    <w:rPr>
      <w:b/>
      <w:bCs/>
      <w:kern w:val="2"/>
      <w:sz w:val="24"/>
      <w:szCs w:val="24"/>
    </w:rPr>
  </w:style>
  <w:style w:type="character" w:customStyle="1" w:styleId="482">
    <w:name w:val="称呼 字符"/>
    <w:link w:val="22"/>
    <w:qFormat/>
    <w:uiPriority w:val="0"/>
    <w:rPr>
      <w:rFonts w:ascii="仿宋_GB2312" w:eastAsia="仿宋_GB2312"/>
      <w:kern w:val="2"/>
      <w:sz w:val="28"/>
    </w:rPr>
  </w:style>
  <w:style w:type="character" w:customStyle="1" w:styleId="483">
    <w:name w:val="正文 项目 Char"/>
    <w:qFormat/>
    <w:uiPriority w:val="0"/>
    <w:rPr>
      <w:rFonts w:ascii="仿宋_GB2312" w:hAnsi="仿宋_GB2312" w:eastAsia="仿宋_GB2312"/>
      <w:kern w:val="2"/>
      <w:sz w:val="24"/>
      <w:lang w:bidi="ar-SA"/>
    </w:rPr>
  </w:style>
  <w:style w:type="character" w:customStyle="1" w:styleId="484">
    <w:name w:val="普通文字 Char1"/>
    <w:qFormat/>
    <w:uiPriority w:val="0"/>
    <w:rPr>
      <w:rFonts w:ascii="宋体" w:hAnsi="Courier New" w:eastAsia="宋体"/>
      <w:kern w:val="2"/>
      <w:sz w:val="21"/>
      <w:lang w:val="en-US" w:eastAsia="zh-CN"/>
    </w:rPr>
  </w:style>
  <w:style w:type="character" w:customStyle="1" w:styleId="485">
    <w:name w:val="正文1 Char1"/>
    <w:qFormat/>
    <w:uiPriority w:val="0"/>
    <w:rPr>
      <w:rFonts w:ascii="仿宋_GB2312" w:hAnsi="Courier New" w:eastAsia="仿宋_GB2312"/>
      <w:kern w:val="28"/>
      <w:sz w:val="24"/>
      <w:szCs w:val="24"/>
    </w:rPr>
  </w:style>
  <w:style w:type="character" w:customStyle="1" w:styleId="486">
    <w:name w:val="hei16b1"/>
    <w:qFormat/>
    <w:uiPriority w:val="0"/>
    <w:rPr>
      <w:rFonts w:hint="default" w:ascii="Arial" w:hAnsi="Arial" w:cs="Arial"/>
      <w:b/>
      <w:bCs/>
      <w:color w:val="000000"/>
      <w:sz w:val="24"/>
      <w:szCs w:val="24"/>
    </w:rPr>
  </w:style>
  <w:style w:type="character" w:customStyle="1" w:styleId="487">
    <w:name w:val="c7 style3"/>
    <w:qFormat/>
    <w:uiPriority w:val="0"/>
  </w:style>
  <w:style w:type="character" w:customStyle="1" w:styleId="488">
    <w:name w:val="副标题 字符"/>
    <w:link w:val="45"/>
    <w:qFormat/>
    <w:uiPriority w:val="0"/>
    <w:rPr>
      <w:rFonts w:ascii="Arial" w:hAnsi="Arial" w:eastAsia="隶书"/>
      <w:b/>
      <w:bCs/>
      <w:kern w:val="28"/>
      <w:sz w:val="44"/>
      <w:szCs w:val="32"/>
      <w:lang w:val="en-US" w:eastAsia="zh-CN" w:bidi="ar-SA"/>
    </w:rPr>
  </w:style>
  <w:style w:type="character" w:customStyle="1" w:styleId="489">
    <w:name w:val="纯文本 字符"/>
    <w:link w:val="32"/>
    <w:qFormat/>
    <w:uiPriority w:val="0"/>
    <w:rPr>
      <w:rFonts w:ascii="宋体" w:hAnsi="Courier New" w:eastAsia="宋体" w:cs="Arial"/>
      <w:snapToGrid w:val="0"/>
      <w:kern w:val="2"/>
      <w:sz w:val="21"/>
      <w:szCs w:val="21"/>
      <w:lang w:val="en-US" w:eastAsia="zh-CN" w:bidi="ar-SA"/>
    </w:rPr>
  </w:style>
  <w:style w:type="character" w:customStyle="1" w:styleId="490">
    <w:name w:val="表正文 Char1"/>
    <w:qFormat/>
    <w:uiPriority w:val="0"/>
    <w:rPr>
      <w:rFonts w:ascii="宋体" w:eastAsia="宋体"/>
      <w:snapToGrid w:val="0"/>
      <w:color w:val="000000"/>
      <w:kern w:val="28"/>
      <w:sz w:val="28"/>
    </w:rPr>
  </w:style>
  <w:style w:type="character" w:customStyle="1" w:styleId="491">
    <w:name w:val="Char Char5"/>
    <w:qFormat/>
    <w:uiPriority w:val="0"/>
    <w:rPr>
      <w:rFonts w:ascii="宋体" w:hAnsi="Courier New" w:eastAsia="宋体"/>
      <w:kern w:val="2"/>
      <w:sz w:val="21"/>
      <w:lang w:val="en-US" w:eastAsia="zh-CN"/>
    </w:rPr>
  </w:style>
  <w:style w:type="character" w:customStyle="1" w:styleId="492">
    <w:name w:val="标题 1 Char Char"/>
    <w:qFormat/>
    <w:uiPriority w:val="0"/>
    <w:rPr>
      <w:rFonts w:hint="eastAsia" w:ascii="宋体" w:hAnsi="宋体" w:eastAsia="宋体"/>
      <w:b/>
      <w:spacing w:val="-2"/>
      <w:sz w:val="24"/>
      <w:lang w:val="en-US" w:eastAsia="zh-CN" w:bidi="ar-SA"/>
    </w:rPr>
  </w:style>
  <w:style w:type="character" w:customStyle="1" w:styleId="493">
    <w:name w:val="Char Char4"/>
    <w:qFormat/>
    <w:uiPriority w:val="0"/>
    <w:rPr>
      <w:rFonts w:eastAsia="宋体"/>
      <w:b/>
      <w:sz w:val="24"/>
      <w:lang w:val="en-GB" w:eastAsia="zh-CN" w:bidi="ar-SA"/>
    </w:rPr>
  </w:style>
  <w:style w:type="character" w:customStyle="1" w:styleId="494">
    <w:name w:val="zbggmain style9"/>
    <w:qFormat/>
    <w:uiPriority w:val="0"/>
  </w:style>
  <w:style w:type="character" w:customStyle="1" w:styleId="495">
    <w:name w:val="Header Char"/>
    <w:semiHidden/>
    <w:qFormat/>
    <w:locked/>
    <w:uiPriority w:val="0"/>
    <w:rPr>
      <w:rFonts w:eastAsia="宋体"/>
      <w:kern w:val="2"/>
      <w:sz w:val="18"/>
      <w:szCs w:val="18"/>
      <w:lang w:val="en-US" w:eastAsia="zh-CN" w:bidi="ar-SA"/>
    </w:rPr>
  </w:style>
  <w:style w:type="character" w:customStyle="1" w:styleId="496">
    <w:name w:val="样式 宋体"/>
    <w:qFormat/>
    <w:uiPriority w:val="0"/>
    <w:rPr>
      <w:rFonts w:ascii="宋体" w:hAnsi="宋体"/>
      <w:sz w:val="24"/>
    </w:rPr>
  </w:style>
  <w:style w:type="character" w:customStyle="1" w:styleId="497">
    <w:name w:val="哈哈正文 Char"/>
    <w:link w:val="312"/>
    <w:qFormat/>
    <w:uiPriority w:val="0"/>
    <w:rPr>
      <w:rFonts w:ascii="宋体" w:hAnsi="宋体" w:eastAsia="宋体"/>
      <w:kern w:val="2"/>
      <w:sz w:val="24"/>
      <w:lang w:bidi="ar-SA"/>
    </w:rPr>
  </w:style>
  <w:style w:type="character" w:customStyle="1" w:styleId="498">
    <w:name w:val="标题 Char"/>
    <w:qFormat/>
    <w:uiPriority w:val="0"/>
    <w:rPr>
      <w:rFonts w:eastAsia="宋体"/>
      <w:b/>
      <w:sz w:val="24"/>
      <w:lang w:val="en-GB" w:eastAsia="zh-CN" w:bidi="ar-SA"/>
    </w:rPr>
  </w:style>
  <w:style w:type="character" w:customStyle="1" w:styleId="499">
    <w:name w:val="纯文本 Char Char Char"/>
    <w:qFormat/>
    <w:uiPriority w:val="0"/>
    <w:rPr>
      <w:rFonts w:ascii="宋体" w:hAnsi="Courier New" w:eastAsia="宋体"/>
      <w:kern w:val="2"/>
      <w:sz w:val="21"/>
      <w:lang w:val="en-US" w:eastAsia="zh-CN" w:bidi="ar-SA"/>
    </w:rPr>
  </w:style>
  <w:style w:type="character" w:customStyle="1" w:styleId="500">
    <w:name w:val="正文 编号 Char"/>
    <w:qFormat/>
    <w:uiPriority w:val="0"/>
    <w:rPr>
      <w:rFonts w:ascii="仿宋_GB2312" w:hAnsi="仿宋_GB2312" w:eastAsia="仿宋_GB2312"/>
      <w:kern w:val="2"/>
      <w:sz w:val="24"/>
      <w:lang w:bidi="ar-SA"/>
    </w:rPr>
  </w:style>
  <w:style w:type="character" w:customStyle="1" w:styleId="501">
    <w:name w:val="插图说明 Char"/>
    <w:qFormat/>
    <w:uiPriority w:val="0"/>
    <w:rPr>
      <w:rFonts w:eastAsia="黑体"/>
      <w:sz w:val="24"/>
      <w:lang w:val="en-US" w:eastAsia="zh-CN"/>
    </w:rPr>
  </w:style>
  <w:style w:type="character" w:customStyle="1" w:styleId="502">
    <w:name w:val="正文文本首行缩进 2 字符"/>
    <w:link w:val="60"/>
    <w:qFormat/>
    <w:uiPriority w:val="0"/>
    <w:rPr>
      <w:rFonts w:ascii="宋体" w:hAnsi="宋体"/>
      <w:kern w:val="2"/>
      <w:sz w:val="21"/>
      <w:szCs w:val="24"/>
    </w:rPr>
  </w:style>
  <w:style w:type="character" w:customStyle="1" w:styleId="503">
    <w:name w:val="正文文本缩进 2 字符"/>
    <w:link w:val="36"/>
    <w:qFormat/>
    <w:uiPriority w:val="0"/>
    <w:rPr>
      <w:rFonts w:ascii="宋体"/>
      <w:sz w:val="28"/>
    </w:rPr>
  </w:style>
  <w:style w:type="character" w:customStyle="1" w:styleId="504">
    <w:name w:val="公文正文 Char"/>
    <w:qFormat/>
    <w:uiPriority w:val="0"/>
    <w:rPr>
      <w:rFonts w:ascii="仿宋_GB2312" w:eastAsia="仿宋_GB2312"/>
      <w:kern w:val="2"/>
      <w:sz w:val="24"/>
      <w:szCs w:val="24"/>
      <w:lang w:val="en-US" w:eastAsia="zh-CN" w:bidi="ar-SA"/>
    </w:rPr>
  </w:style>
  <w:style w:type="character" w:customStyle="1" w:styleId="505">
    <w:name w:val="Char Char41"/>
    <w:qFormat/>
    <w:uiPriority w:val="0"/>
    <w:rPr>
      <w:rFonts w:eastAsia="宋体"/>
      <w:b/>
      <w:sz w:val="24"/>
      <w:lang w:val="en-GB" w:eastAsia="zh-CN" w:bidi="ar-SA"/>
    </w:rPr>
  </w:style>
  <w:style w:type="character" w:customStyle="1" w:styleId="506">
    <w:name w:val="unnamed31"/>
    <w:qFormat/>
    <w:uiPriority w:val="0"/>
    <w:rPr>
      <w:rFonts w:ascii="Tahoma" w:hAnsi="Tahoma" w:eastAsia="宋体"/>
      <w:b/>
      <w:kern w:val="2"/>
      <w:sz w:val="24"/>
      <w:szCs w:val="32"/>
      <w:u w:val="none"/>
      <w:lang w:val="en-US" w:eastAsia="zh-CN" w:bidi="ar-SA"/>
    </w:rPr>
  </w:style>
  <w:style w:type="character" w:customStyle="1" w:styleId="507">
    <w:name w:val="Char Char91"/>
    <w:qFormat/>
    <w:uiPriority w:val="0"/>
    <w:rPr>
      <w:rFonts w:eastAsia="宋体"/>
      <w:kern w:val="2"/>
      <w:sz w:val="18"/>
      <w:szCs w:val="18"/>
      <w:lang w:val="en-US" w:eastAsia="zh-CN" w:bidi="ar-SA"/>
    </w:rPr>
  </w:style>
  <w:style w:type="character" w:customStyle="1" w:styleId="508">
    <w:name w:val="Footer-Even Char1"/>
    <w:qFormat/>
    <w:uiPriority w:val="0"/>
    <w:rPr>
      <w:rFonts w:eastAsia="宋体"/>
      <w:kern w:val="2"/>
      <w:sz w:val="18"/>
      <w:szCs w:val="18"/>
      <w:lang w:val="en-US" w:eastAsia="zh-CN" w:bidi="ar-SA"/>
    </w:rPr>
  </w:style>
  <w:style w:type="character" w:customStyle="1" w:styleId="509">
    <w:name w:val="gf正文1 Char"/>
    <w:qFormat/>
    <w:uiPriority w:val="0"/>
    <w:rPr>
      <w:rFonts w:ascii="宋体" w:hAnsi="宋体" w:eastAsia="宋体" w:cs="宋体"/>
      <w:kern w:val="2"/>
      <w:sz w:val="24"/>
      <w:szCs w:val="24"/>
      <w:lang w:val="en-US" w:eastAsia="zh-CN" w:bidi="ar-SA"/>
    </w:rPr>
  </w:style>
  <w:style w:type="character" w:customStyle="1" w:styleId="510">
    <w:name w:val="javascript"/>
    <w:qFormat/>
    <w:uiPriority w:val="0"/>
  </w:style>
  <w:style w:type="character" w:customStyle="1" w:styleId="511">
    <w:name w:val="列出段落 Char"/>
    <w:qFormat/>
    <w:uiPriority w:val="34"/>
    <w:rPr>
      <w:rFonts w:eastAsia="楷体_GB2312" w:cs="Lucida Sans"/>
      <w:kern w:val="2"/>
      <w:sz w:val="24"/>
      <w:szCs w:val="24"/>
      <w:lang w:val="en-US" w:eastAsia="zh-CN" w:bidi="ar-SA"/>
    </w:rPr>
  </w:style>
  <w:style w:type="character" w:customStyle="1" w:styleId="512">
    <w:name w:val="正文文本 字符"/>
    <w:link w:val="2"/>
    <w:qFormat/>
    <w:uiPriority w:val="0"/>
    <w:rPr>
      <w:rFonts w:ascii="宋体" w:hAnsi="Arial" w:eastAsia="宋体" w:cs="Arial"/>
      <w:snapToGrid w:val="0"/>
      <w:kern w:val="2"/>
      <w:sz w:val="24"/>
      <w:szCs w:val="21"/>
      <w:lang w:val="zh-CN" w:eastAsia="zh-CN" w:bidi="ar-SA"/>
    </w:rPr>
  </w:style>
  <w:style w:type="character" w:customStyle="1" w:styleId="513">
    <w:name w:val="标书表格字体格式 Char"/>
    <w:qFormat/>
    <w:uiPriority w:val="0"/>
    <w:rPr>
      <w:kern w:val="2"/>
      <w:sz w:val="21"/>
      <w:szCs w:val="24"/>
      <w:lang w:bidi="ar-SA"/>
    </w:rPr>
  </w:style>
  <w:style w:type="character" w:customStyle="1" w:styleId="514">
    <w:name w:val="普通文字 Char3"/>
    <w:qFormat/>
    <w:uiPriority w:val="0"/>
    <w:rPr>
      <w:rFonts w:ascii="宋体" w:hAnsi="Courier New" w:eastAsia="宋体"/>
      <w:kern w:val="2"/>
      <w:sz w:val="21"/>
      <w:lang w:val="en-US" w:eastAsia="zh-CN" w:bidi="ar-SA"/>
    </w:rPr>
  </w:style>
  <w:style w:type="character" w:customStyle="1" w:styleId="515">
    <w:name w:val="h Char Char1"/>
    <w:qFormat/>
    <w:uiPriority w:val="0"/>
    <w:rPr>
      <w:rFonts w:eastAsia="宋体"/>
      <w:kern w:val="2"/>
      <w:sz w:val="18"/>
      <w:szCs w:val="18"/>
      <w:lang w:val="en-US" w:eastAsia="zh-CN" w:bidi="ar-SA"/>
    </w:rPr>
  </w:style>
  <w:style w:type="character" w:customStyle="1" w:styleId="516">
    <w:name w:val="冯 Char"/>
    <w:link w:val="75"/>
    <w:qFormat/>
    <w:uiPriority w:val="0"/>
    <w:rPr>
      <w:rFonts w:ascii="宋体" w:hAnsi="宋体"/>
      <w:color w:val="000000"/>
      <w:sz w:val="24"/>
      <w:szCs w:val="24"/>
    </w:rPr>
  </w:style>
  <w:style w:type="character" w:customStyle="1" w:styleId="517">
    <w:name w:val="highlight1"/>
    <w:qFormat/>
    <w:uiPriority w:val="0"/>
    <w:rPr>
      <w:rFonts w:ascii="仿宋_GB2312" w:eastAsia="微软雅黑"/>
      <w:b/>
      <w:kern w:val="2"/>
      <w:sz w:val="23"/>
      <w:szCs w:val="23"/>
      <w:lang w:val="en-US" w:eastAsia="zh-CN" w:bidi="ar-SA"/>
    </w:rPr>
  </w:style>
  <w:style w:type="character" w:customStyle="1" w:styleId="518">
    <w:name w:val="样式6 Char"/>
    <w:qFormat/>
    <w:uiPriority w:val="0"/>
    <w:rPr>
      <w:rFonts w:ascii="仿宋_GB2312" w:hAnsi="宋体" w:eastAsia="仿宋_GB2312"/>
      <w:b/>
      <w:bCs/>
      <w:kern w:val="2"/>
      <w:sz w:val="24"/>
      <w:szCs w:val="24"/>
      <w:lang w:val="en-US" w:eastAsia="zh-CN" w:bidi="ar-SA"/>
    </w:rPr>
  </w:style>
  <w:style w:type="character" w:customStyle="1" w:styleId="519">
    <w:name w:val="标题 9 字符"/>
    <w:link w:val="11"/>
    <w:qFormat/>
    <w:uiPriority w:val="0"/>
    <w:rPr>
      <w:rFonts w:ascii="Arial" w:hAnsi="Arial" w:eastAsia="黑体"/>
      <w:kern w:val="2"/>
      <w:sz w:val="21"/>
      <w:szCs w:val="21"/>
    </w:rPr>
  </w:style>
  <w:style w:type="character" w:customStyle="1" w:styleId="520">
    <w:name w:val="md"/>
    <w:basedOn w:val="63"/>
    <w:qFormat/>
    <w:uiPriority w:val="0"/>
  </w:style>
  <w:style w:type="character" w:customStyle="1" w:styleId="521">
    <w:name w:val="myp11"/>
    <w:qFormat/>
    <w:uiPriority w:val="0"/>
    <w:rPr>
      <w:rFonts w:ascii="仿宋_GB2312" w:eastAsia="微软雅黑"/>
      <w:b/>
      <w:kern w:val="2"/>
      <w:sz w:val="32"/>
      <w:szCs w:val="32"/>
      <w:lang w:val="en-US" w:eastAsia="zh-CN" w:bidi="ar-SA"/>
    </w:rPr>
  </w:style>
  <w:style w:type="character" w:customStyle="1" w:styleId="522">
    <w:name w:val="Ò³Ã¼ Char Char1"/>
    <w:qFormat/>
    <w:uiPriority w:val="0"/>
    <w:rPr>
      <w:rFonts w:eastAsia="宋体"/>
      <w:kern w:val="2"/>
      <w:sz w:val="18"/>
      <w:szCs w:val="18"/>
      <w:lang w:val="en-US" w:eastAsia="zh-CN" w:bidi="ar-SA"/>
    </w:rPr>
  </w:style>
  <w:style w:type="character" w:customStyle="1" w:styleId="523">
    <w:name w:val="tw4winTerm"/>
    <w:qFormat/>
    <w:uiPriority w:val="0"/>
    <w:rPr>
      <w:color w:val="0000FF"/>
    </w:rPr>
  </w:style>
  <w:style w:type="character" w:customStyle="1" w:styleId="524">
    <w:name w:val="表格 Char Char"/>
    <w:qFormat/>
    <w:uiPriority w:val="0"/>
    <w:rPr>
      <w:rFonts w:ascii="宋体" w:hAnsi="宋体" w:eastAsia="宋体"/>
      <w:lang w:bidi="ar-SA"/>
    </w:rPr>
  </w:style>
  <w:style w:type="character" w:customStyle="1" w:styleId="525">
    <w:name w:val="样式8 Char"/>
    <w:qFormat/>
    <w:uiPriority w:val="0"/>
    <w:rPr>
      <w:rFonts w:ascii="仿宋_GB2312" w:hAnsi="宋体" w:eastAsia="仿宋_GB2312"/>
      <w:b/>
      <w:bCs/>
      <w:kern w:val="2"/>
      <w:sz w:val="24"/>
      <w:szCs w:val="24"/>
    </w:rPr>
  </w:style>
  <w:style w:type="character" w:customStyle="1" w:styleId="526">
    <w:name w:val="样式5 Char"/>
    <w:qFormat/>
    <w:uiPriority w:val="0"/>
    <w:rPr>
      <w:rFonts w:ascii="仿宋_GB2312" w:hAnsi="仿宋" w:eastAsia="仿宋_GB2312"/>
      <w:kern w:val="2"/>
      <w:sz w:val="24"/>
      <w:szCs w:val="24"/>
    </w:rPr>
  </w:style>
  <w:style w:type="character" w:customStyle="1" w:styleId="527">
    <w:name w:val="页脚 Char1"/>
    <w:qFormat/>
    <w:uiPriority w:val="0"/>
    <w:rPr>
      <w:rFonts w:eastAsia="宋体"/>
      <w:kern w:val="2"/>
      <w:sz w:val="18"/>
      <w:szCs w:val="18"/>
      <w:lang w:val="en-US" w:eastAsia="zh-CN" w:bidi="ar-SA"/>
    </w:rPr>
  </w:style>
  <w:style w:type="character" w:customStyle="1" w:styleId="528">
    <w:name w:val="tw4winJump"/>
    <w:qFormat/>
    <w:uiPriority w:val="0"/>
    <w:rPr>
      <w:rFonts w:ascii="Courier New" w:hAnsi="Courier New" w:cs="Courier New"/>
      <w:color w:val="008080"/>
    </w:rPr>
  </w:style>
  <w:style w:type="character" w:customStyle="1" w:styleId="529">
    <w:name w:val="批注文字 Char"/>
    <w:qFormat/>
    <w:uiPriority w:val="99"/>
    <w:rPr>
      <w:kern w:val="2"/>
      <w:sz w:val="21"/>
      <w:szCs w:val="24"/>
    </w:rPr>
  </w:style>
  <w:style w:type="character" w:customStyle="1" w:styleId="530">
    <w:name w:val="Char Char122"/>
    <w:qFormat/>
    <w:uiPriority w:val="0"/>
    <w:rPr>
      <w:rFonts w:ascii="仿宋_GB2312" w:eastAsia="仿宋_GB2312"/>
      <w:b/>
      <w:bCs/>
      <w:kern w:val="2"/>
      <w:sz w:val="24"/>
      <w:szCs w:val="24"/>
      <w:lang w:val="zh-CN" w:eastAsia="zh-CN" w:bidi="ar-SA"/>
    </w:rPr>
  </w:style>
  <w:style w:type="character" w:customStyle="1" w:styleId="531">
    <w:name w:val="No Spacing Char"/>
    <w:link w:val="168"/>
    <w:qFormat/>
    <w:uiPriority w:val="1"/>
    <w:rPr>
      <w:rFonts w:ascii="Calibri" w:hAnsi="Calibri"/>
      <w:sz w:val="22"/>
      <w:szCs w:val="22"/>
      <w:lang w:val="en-US" w:eastAsia="zh-CN" w:bidi="ar-SA"/>
    </w:rPr>
  </w:style>
  <w:style w:type="character" w:customStyle="1" w:styleId="532">
    <w:name w:val="Char Char21"/>
    <w:qFormat/>
    <w:uiPriority w:val="0"/>
    <w:rPr>
      <w:rFonts w:ascii="宋体" w:hAnsi="Courier New" w:eastAsia="宋体"/>
      <w:kern w:val="2"/>
      <w:sz w:val="21"/>
      <w:lang w:val="en-US" w:eastAsia="zh-CN" w:bidi="ar-SA"/>
    </w:rPr>
  </w:style>
  <w:style w:type="character" w:customStyle="1" w:styleId="533">
    <w:name w:val="Char Char8"/>
    <w:qFormat/>
    <w:uiPriority w:val="0"/>
    <w:rPr>
      <w:rFonts w:eastAsia="宋体"/>
      <w:b/>
      <w:sz w:val="24"/>
      <w:lang w:val="en-GB" w:eastAsia="zh-CN"/>
    </w:rPr>
  </w:style>
  <w:style w:type="character" w:customStyle="1" w:styleId="534">
    <w:name w:val="font21"/>
    <w:qFormat/>
    <w:uiPriority w:val="0"/>
    <w:rPr>
      <w:rFonts w:hint="eastAsia" w:ascii="宋体" w:hAnsi="宋体" w:eastAsia="宋体"/>
      <w:kern w:val="2"/>
      <w:sz w:val="28"/>
      <w:szCs w:val="28"/>
      <w:lang w:val="en-US" w:eastAsia="zh-CN" w:bidi="ar-SA"/>
    </w:rPr>
  </w:style>
  <w:style w:type="character" w:customStyle="1" w:styleId="535">
    <w:name w:val="正文2 Char"/>
    <w:qFormat/>
    <w:uiPriority w:val="0"/>
    <w:rPr>
      <w:rFonts w:eastAsia="宋体"/>
      <w:kern w:val="2"/>
      <w:sz w:val="24"/>
      <w:lang w:val="en-US" w:eastAsia="zh-CN" w:bidi="ar-SA"/>
    </w:rPr>
  </w:style>
  <w:style w:type="character" w:customStyle="1" w:styleId="536">
    <w:name w:val="big1"/>
    <w:qFormat/>
    <w:uiPriority w:val="0"/>
    <w:rPr>
      <w:rFonts w:hint="eastAsia" w:ascii="宋体" w:hAnsi="宋体" w:eastAsia="宋体"/>
      <w:color w:val="333333"/>
      <w:sz w:val="22"/>
      <w:szCs w:val="22"/>
    </w:rPr>
  </w:style>
  <w:style w:type="character" w:customStyle="1" w:styleId="537">
    <w:name w:val="Body Text(ch) Char Char"/>
    <w:qFormat/>
    <w:uiPriority w:val="0"/>
    <w:rPr>
      <w:rFonts w:ascii="宋体"/>
      <w:kern w:val="2"/>
      <w:sz w:val="24"/>
      <w:szCs w:val="21"/>
      <w:lang w:val="zh-CN"/>
    </w:rPr>
  </w:style>
  <w:style w:type="character" w:customStyle="1" w:styleId="538">
    <w:name w:val="blue1"/>
    <w:basedOn w:val="63"/>
    <w:qFormat/>
    <w:uiPriority w:val="0"/>
  </w:style>
  <w:style w:type="character" w:customStyle="1" w:styleId="539">
    <w:name w:val="正文 项目2 Char"/>
    <w:basedOn w:val="483"/>
    <w:qFormat/>
    <w:uiPriority w:val="0"/>
    <w:rPr>
      <w:rFonts w:ascii="仿宋_GB2312" w:hAnsi="仿宋_GB2312" w:eastAsia="仿宋_GB2312"/>
      <w:kern w:val="2"/>
      <w:sz w:val="24"/>
      <w:lang w:bidi="ar-SA"/>
    </w:rPr>
  </w:style>
  <w:style w:type="character" w:customStyle="1" w:styleId="540">
    <w:name w:val="solutionfonts"/>
    <w:qFormat/>
    <w:uiPriority w:val="0"/>
  </w:style>
  <w:style w:type="character" w:customStyle="1" w:styleId="541">
    <w:name w:val="Char Char81"/>
    <w:qFormat/>
    <w:uiPriority w:val="0"/>
    <w:rPr>
      <w:rFonts w:eastAsia="宋体"/>
      <w:b/>
      <w:sz w:val="24"/>
      <w:lang w:val="en-GB" w:eastAsia="zh-CN"/>
    </w:rPr>
  </w:style>
  <w:style w:type="character" w:customStyle="1" w:styleId="542">
    <w:name w:val="Char Char2"/>
    <w:qFormat/>
    <w:uiPriority w:val="0"/>
    <w:rPr>
      <w:rFonts w:eastAsia="宋体"/>
      <w:b/>
      <w:bCs/>
      <w:kern w:val="2"/>
      <w:sz w:val="21"/>
      <w:szCs w:val="24"/>
      <w:lang w:val="en-US" w:eastAsia="zh-CN" w:bidi="ar-SA"/>
    </w:rPr>
  </w:style>
  <w:style w:type="character" w:customStyle="1" w:styleId="543">
    <w:name w:val="HTML 预设格式 字符"/>
    <w:link w:val="55"/>
    <w:qFormat/>
    <w:uiPriority w:val="0"/>
    <w:rPr>
      <w:rFonts w:ascii="黑体" w:hAnsi="Courier New" w:eastAsia="黑体"/>
    </w:rPr>
  </w:style>
  <w:style w:type="character" w:customStyle="1" w:styleId="544">
    <w:name w:val="Heading 7 Char"/>
    <w:qFormat/>
    <w:locked/>
    <w:uiPriority w:val="0"/>
    <w:rPr>
      <w:rFonts w:ascii="宋体" w:hAnsi="宋体" w:eastAsia="宋体"/>
      <w:b/>
      <w:bCs/>
      <w:kern w:val="2"/>
      <w:sz w:val="24"/>
      <w:szCs w:val="24"/>
      <w:lang w:val="en-US" w:eastAsia="zh-CN" w:bidi="ar-SA"/>
    </w:rPr>
  </w:style>
  <w:style w:type="character" w:customStyle="1" w:styleId="545">
    <w:name w:val="正文文本首行缩进 字符"/>
    <w:link w:val="59"/>
    <w:qFormat/>
    <w:uiPriority w:val="0"/>
    <w:rPr>
      <w:rFonts w:ascii="宋体"/>
      <w:kern w:val="2"/>
      <w:sz w:val="24"/>
      <w:lang w:val="zh-CN"/>
    </w:rPr>
  </w:style>
  <w:style w:type="character" w:customStyle="1" w:styleId="546">
    <w:name w:val="标题 2 Char Char"/>
    <w:qFormat/>
    <w:uiPriority w:val="0"/>
    <w:rPr>
      <w:rFonts w:ascii="楷体_GB2312" w:hAnsi="Arial" w:eastAsia="楷体_GB2312"/>
      <w:b/>
      <w:bCs/>
      <w:kern w:val="2"/>
      <w:sz w:val="24"/>
      <w:szCs w:val="32"/>
      <w:lang w:val="en-US" w:eastAsia="zh-CN" w:bidi="ar-SA"/>
    </w:rPr>
  </w:style>
  <w:style w:type="character" w:customStyle="1" w:styleId="547">
    <w:name w:val="pt141"/>
    <w:qFormat/>
    <w:uiPriority w:val="0"/>
    <w:rPr>
      <w:color w:val="330066"/>
      <w:sz w:val="22"/>
      <w:szCs w:val="22"/>
    </w:rPr>
  </w:style>
  <w:style w:type="character" w:customStyle="1" w:styleId="548">
    <w:name w:val="h Char Char"/>
    <w:qFormat/>
    <w:uiPriority w:val="0"/>
    <w:rPr>
      <w:rFonts w:eastAsia="宋体"/>
      <w:kern w:val="2"/>
      <w:sz w:val="18"/>
      <w:lang w:val="en-US" w:eastAsia="zh-CN" w:bidi="ar-SA"/>
    </w:rPr>
  </w:style>
  <w:style w:type="character" w:customStyle="1" w:styleId="549">
    <w:name w:val="标题 1 字符"/>
    <w:link w:val="3"/>
    <w:qFormat/>
    <w:uiPriority w:val="0"/>
    <w:rPr>
      <w:b/>
      <w:bCs/>
      <w:kern w:val="44"/>
      <w:sz w:val="44"/>
      <w:szCs w:val="44"/>
    </w:rPr>
  </w:style>
  <w:style w:type="character" w:customStyle="1" w:styleId="550">
    <w:name w:val="页眉 Char"/>
    <w:qFormat/>
    <w:uiPriority w:val="0"/>
    <w:rPr>
      <w:rFonts w:eastAsia="仿宋_GB2312"/>
      <w:kern w:val="2"/>
      <w:sz w:val="18"/>
      <w:lang w:val="en-US" w:eastAsia="zh-CN"/>
    </w:rPr>
  </w:style>
  <w:style w:type="character" w:customStyle="1" w:styleId="551">
    <w:name w:val="b11_01b Char"/>
    <w:link w:val="409"/>
    <w:qFormat/>
    <w:uiPriority w:val="0"/>
    <w:rPr>
      <w:rFonts w:ascii="Verdana" w:hAnsi="Verdana"/>
      <w:b/>
      <w:bCs/>
      <w:color w:val="4A82CA"/>
      <w:sz w:val="17"/>
      <w:szCs w:val="17"/>
    </w:rPr>
  </w:style>
  <w:style w:type="character" w:customStyle="1" w:styleId="552">
    <w:name w:val="标题4-dyf Char"/>
    <w:link w:val="346"/>
    <w:qFormat/>
    <w:uiPriority w:val="0"/>
    <w:rPr>
      <w:rFonts w:ascii="Cambria" w:hAnsi="Cambria"/>
      <w:b/>
      <w:bCs/>
      <w:color w:val="000000"/>
      <w:kern w:val="2"/>
      <w:sz w:val="21"/>
      <w:szCs w:val="21"/>
    </w:rPr>
  </w:style>
  <w:style w:type="character" w:customStyle="1" w:styleId="553">
    <w:name w:val="批注主题 Char"/>
    <w:qFormat/>
    <w:uiPriority w:val="0"/>
    <w:rPr>
      <w:rFonts w:eastAsia="宋体"/>
      <w:b/>
      <w:bCs/>
      <w:kern w:val="2"/>
      <w:sz w:val="21"/>
      <w:szCs w:val="24"/>
      <w:lang w:val="en-US" w:eastAsia="zh-CN" w:bidi="ar-SA"/>
    </w:rPr>
  </w:style>
  <w:style w:type="character" w:customStyle="1" w:styleId="55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555">
    <w:name w:val="正文首行缩进两字 Char"/>
    <w:qFormat/>
    <w:uiPriority w:val="0"/>
    <w:rPr>
      <w:sz w:val="24"/>
      <w:szCs w:val="24"/>
      <w:lang w:val="en-US" w:eastAsia="zh-CN" w:bidi="ar-SA"/>
    </w:rPr>
  </w:style>
  <w:style w:type="character" w:customStyle="1" w:styleId="556">
    <w:name w:val="Char Char51"/>
    <w:qFormat/>
    <w:uiPriority w:val="0"/>
    <w:rPr>
      <w:rFonts w:ascii="宋体" w:hAnsi="Courier New" w:eastAsia="宋体"/>
      <w:kern w:val="2"/>
      <w:sz w:val="21"/>
      <w:lang w:val="en-US" w:eastAsia="zh-CN"/>
    </w:rPr>
  </w:style>
  <w:style w:type="character" w:customStyle="1" w:styleId="557">
    <w:name w:val="带编号样式 Char"/>
    <w:qFormat/>
    <w:uiPriority w:val="0"/>
    <w:rPr>
      <w:rFonts w:ascii="仿宋_GB2312" w:eastAsia="仿宋_GB2312"/>
      <w:color w:val="000000"/>
      <w:sz w:val="24"/>
      <w:lang w:bidi="ar-SA"/>
    </w:rPr>
  </w:style>
  <w:style w:type="character" w:customStyle="1" w:styleId="558">
    <w:name w:val="样式4 Char"/>
    <w:qFormat/>
    <w:uiPriority w:val="0"/>
    <w:rPr>
      <w:rFonts w:ascii="仿宋_GB2312" w:hAnsi="仿宋" w:eastAsia="仿宋_GB2312"/>
      <w:b/>
      <w:kern w:val="2"/>
      <w:sz w:val="32"/>
      <w:szCs w:val="32"/>
      <w:lang w:bidi="ar-SA"/>
    </w:rPr>
  </w:style>
  <w:style w:type="character" w:customStyle="1" w:styleId="559">
    <w:name w:val="样式 标题 4h4H4Fab-4T5Ref Heading 1rh1Heading sqlsect 1.2.3.... Char"/>
    <w:link w:val="170"/>
    <w:qFormat/>
    <w:uiPriority w:val="0"/>
    <w:rPr>
      <w:rFonts w:ascii="微软雅黑" w:hAnsi="微软雅黑" w:eastAsia="微软雅黑"/>
      <w:b/>
      <w:bCs/>
      <w:kern w:val="2"/>
      <w:sz w:val="24"/>
      <w:szCs w:val="28"/>
    </w:rPr>
  </w:style>
  <w:style w:type="character" w:customStyle="1" w:styleId="560">
    <w:name w:val="PI Char"/>
    <w:qFormat/>
    <w:uiPriority w:val="0"/>
    <w:rPr>
      <w:rFonts w:ascii="宋体" w:hAnsi="宋体" w:eastAsia="宋体"/>
      <w:kern w:val="2"/>
      <w:sz w:val="24"/>
      <w:szCs w:val="24"/>
      <w:lang w:val="en-US" w:eastAsia="zh-CN" w:bidi="ar-SA"/>
    </w:rPr>
  </w:style>
  <w:style w:type="character" w:customStyle="1" w:styleId="561">
    <w:name w:val="Char Char111"/>
    <w:qFormat/>
    <w:locked/>
    <w:uiPriority w:val="0"/>
    <w:rPr>
      <w:rFonts w:ascii="宋体" w:hAnsi="宋体" w:eastAsia="宋体"/>
      <w:b/>
      <w:kern w:val="2"/>
      <w:sz w:val="24"/>
      <w:szCs w:val="24"/>
      <w:lang w:val="en-US" w:eastAsia="zh-CN" w:bidi="ar-SA"/>
    </w:rPr>
  </w:style>
  <w:style w:type="character" w:customStyle="1" w:styleId="562">
    <w:name w:val="Document Map Char"/>
    <w:semiHidden/>
    <w:qFormat/>
    <w:locked/>
    <w:uiPriority w:val="0"/>
    <w:rPr>
      <w:rFonts w:eastAsia="宋体"/>
      <w:kern w:val="2"/>
      <w:sz w:val="21"/>
      <w:szCs w:val="24"/>
      <w:lang w:val="en-US" w:eastAsia="zh-CN" w:bidi="ar-SA"/>
    </w:rPr>
  </w:style>
  <w:style w:type="character" w:customStyle="1" w:styleId="563">
    <w:name w:val="正文文本缩进 Char"/>
    <w:qFormat/>
    <w:uiPriority w:val="0"/>
    <w:rPr>
      <w:rFonts w:ascii="宋体" w:hAnsi="宋体"/>
      <w:kern w:val="2"/>
      <w:sz w:val="24"/>
      <w:szCs w:val="24"/>
    </w:rPr>
  </w:style>
  <w:style w:type="character" w:customStyle="1" w:styleId="564">
    <w:name w:val="文本正文 Char Char"/>
    <w:qFormat/>
    <w:locked/>
    <w:uiPriority w:val="0"/>
    <w:rPr>
      <w:sz w:val="24"/>
      <w:lang w:bidi="ar-SA"/>
    </w:rPr>
  </w:style>
  <w:style w:type="character" w:customStyle="1" w:styleId="565">
    <w:name w:val="样式7 Char"/>
    <w:qFormat/>
    <w:uiPriority w:val="0"/>
    <w:rPr>
      <w:rFonts w:ascii="仿宋_GB2312" w:hAnsi="仿宋" w:eastAsia="仿宋_GB2312"/>
      <w:b/>
      <w:kern w:val="2"/>
      <w:sz w:val="24"/>
      <w:szCs w:val="24"/>
    </w:rPr>
  </w:style>
  <w:style w:type="character" w:customStyle="1" w:styleId="566">
    <w:name w:val="样式3 Char"/>
    <w:basedOn w:val="567"/>
    <w:qFormat/>
    <w:uiPriority w:val="0"/>
    <w:rPr>
      <w:rFonts w:ascii="仿宋_GB2312" w:hAnsi="仿宋" w:eastAsia="仿宋_GB2312" w:cs="仿宋_GB2312"/>
      <w:sz w:val="32"/>
      <w:szCs w:val="30"/>
      <w:lang w:val="zh-CN"/>
    </w:rPr>
  </w:style>
  <w:style w:type="character" w:customStyle="1" w:styleId="567">
    <w:name w:val="样式2 Char"/>
    <w:qFormat/>
    <w:uiPriority w:val="0"/>
    <w:rPr>
      <w:rFonts w:ascii="仿宋_GB2312" w:hAnsi="仿宋" w:eastAsia="仿宋_GB2312" w:cs="仿宋_GB2312"/>
      <w:b/>
      <w:bCs/>
      <w:sz w:val="32"/>
      <w:szCs w:val="30"/>
      <w:lang w:val="zh-CN"/>
    </w:rPr>
  </w:style>
  <w:style w:type="character" w:customStyle="1" w:styleId="568">
    <w:name w:val="二级标题 Char Char"/>
    <w:qFormat/>
    <w:uiPriority w:val="0"/>
    <w:rPr>
      <w:rFonts w:ascii="宋体" w:hAnsi="宋体" w:eastAsia="宋体"/>
      <w:b/>
      <w:snapToGrid w:val="0"/>
      <w:kern w:val="2"/>
      <w:sz w:val="24"/>
      <w:szCs w:val="24"/>
      <w:lang w:val="en-US" w:eastAsia="zh-CN" w:bidi="ar-SA"/>
    </w:rPr>
  </w:style>
  <w:style w:type="character" w:customStyle="1" w:styleId="569">
    <w:name w:val="Table Text Char1"/>
    <w:qFormat/>
    <w:uiPriority w:val="0"/>
    <w:rPr>
      <w:rFonts w:eastAsia="宋体"/>
      <w:sz w:val="24"/>
      <w:szCs w:val="24"/>
      <w:lang w:val="en-US" w:eastAsia="zh-CN" w:bidi="ar-SA"/>
    </w:rPr>
  </w:style>
  <w:style w:type="character" w:customStyle="1" w:styleId="570">
    <w:name w:val="shadow11"/>
    <w:qFormat/>
    <w:uiPriority w:val="0"/>
    <w:rPr>
      <w:color w:val="000000"/>
      <w:sz w:val="21"/>
    </w:rPr>
  </w:style>
  <w:style w:type="character" w:customStyle="1" w:styleId="571">
    <w:name w:val="HTML 地址 字符"/>
    <w:link w:val="29"/>
    <w:qFormat/>
    <w:uiPriority w:val="0"/>
    <w:rPr>
      <w:rFonts w:ascii="宋体" w:hAnsi="宋体"/>
      <w:i/>
      <w:iCs/>
      <w:sz w:val="24"/>
      <w:szCs w:val="24"/>
    </w:rPr>
  </w:style>
  <w:style w:type="character" w:customStyle="1" w:styleId="572">
    <w:name w:val="Char Char22"/>
    <w:qFormat/>
    <w:uiPriority w:val="0"/>
    <w:rPr>
      <w:rFonts w:eastAsia="宋体"/>
      <w:b/>
      <w:bCs/>
      <w:kern w:val="2"/>
      <w:sz w:val="21"/>
      <w:szCs w:val="24"/>
      <w:lang w:val="en-US" w:eastAsia="zh-CN" w:bidi="ar-SA"/>
    </w:rPr>
  </w:style>
  <w:style w:type="character" w:customStyle="1" w:styleId="573">
    <w:name w:val="标题 5 字符"/>
    <w:link w:val="7"/>
    <w:qFormat/>
    <w:uiPriority w:val="0"/>
    <w:rPr>
      <w:b/>
      <w:bCs/>
      <w:kern w:val="2"/>
      <w:sz w:val="28"/>
      <w:szCs w:val="28"/>
    </w:rPr>
  </w:style>
  <w:style w:type="character" w:customStyle="1" w:styleId="574">
    <w:name w:val="h3 Char1"/>
    <w:qFormat/>
    <w:uiPriority w:val="0"/>
    <w:rPr>
      <w:rFonts w:eastAsia="宋体"/>
      <w:b/>
      <w:bCs/>
      <w:kern w:val="2"/>
      <w:sz w:val="32"/>
      <w:szCs w:val="32"/>
      <w:lang w:bidi="ar-SA"/>
    </w:rPr>
  </w:style>
  <w:style w:type="character" w:customStyle="1" w:styleId="575">
    <w:name w:val="FA正文 Char Char"/>
    <w:qFormat/>
    <w:uiPriority w:val="0"/>
    <w:rPr>
      <w:rFonts w:hAnsi="宋体"/>
      <w:kern w:val="2"/>
      <w:sz w:val="24"/>
      <w:lang w:bidi="ar-SA"/>
    </w:rPr>
  </w:style>
  <w:style w:type="character" w:customStyle="1" w:styleId="576">
    <w:name w:val="Char Char7"/>
    <w:semiHidden/>
    <w:qFormat/>
    <w:uiPriority w:val="0"/>
    <w:rPr>
      <w:rFonts w:eastAsia="宋体"/>
      <w:kern w:val="2"/>
      <w:sz w:val="21"/>
      <w:szCs w:val="24"/>
      <w:lang w:val="en-US" w:eastAsia="zh-CN" w:bidi="ar-SA"/>
    </w:rPr>
  </w:style>
  <w:style w:type="character" w:customStyle="1" w:styleId="577">
    <w:name w:val="hui"/>
    <w:basedOn w:val="63"/>
    <w:qFormat/>
    <w:uiPriority w:val="0"/>
  </w:style>
  <w:style w:type="character" w:customStyle="1" w:styleId="578">
    <w:name w:val="正文缩进 Char"/>
    <w:qFormat/>
    <w:uiPriority w:val="0"/>
    <w:rPr>
      <w:rFonts w:eastAsia="宋体"/>
      <w:kern w:val="2"/>
      <w:sz w:val="21"/>
      <w:lang w:val="en-US" w:eastAsia="zh-CN"/>
    </w:rPr>
  </w:style>
  <w:style w:type="character" w:customStyle="1" w:styleId="579">
    <w:name w:val="正文1 Char"/>
    <w:qFormat/>
    <w:uiPriority w:val="0"/>
    <w:rPr>
      <w:rFonts w:ascii="宋体" w:eastAsia="宋体"/>
      <w:snapToGrid w:val="0"/>
      <w:color w:val="000000"/>
      <w:kern w:val="28"/>
      <w:sz w:val="28"/>
      <w:lang w:val="en-US" w:eastAsia="zh-CN" w:bidi="ar-SA"/>
    </w:rPr>
  </w:style>
  <w:style w:type="character" w:customStyle="1" w:styleId="580">
    <w:name w:val="Char Char61"/>
    <w:qFormat/>
    <w:uiPriority w:val="0"/>
    <w:rPr>
      <w:rFonts w:eastAsia="宋体"/>
      <w:kern w:val="2"/>
      <w:sz w:val="21"/>
      <w:szCs w:val="24"/>
      <w:lang w:val="en-US" w:eastAsia="zh-CN" w:bidi="ar-SA"/>
    </w:rPr>
  </w:style>
  <w:style w:type="character" w:customStyle="1" w:styleId="581">
    <w:name w:val="正文文本 3 字符"/>
    <w:link w:val="23"/>
    <w:qFormat/>
    <w:uiPriority w:val="0"/>
    <w:rPr>
      <w:kern w:val="2"/>
      <w:sz w:val="21"/>
    </w:rPr>
  </w:style>
  <w:style w:type="character" w:customStyle="1" w:styleId="582">
    <w:name w:val="message1"/>
    <w:qFormat/>
    <w:uiPriority w:val="0"/>
    <w:rPr>
      <w:rFonts w:hint="default" w:ascii="Tahoma" w:hAnsi="Tahoma" w:cs="Tahoma"/>
      <w:sz w:val="18"/>
      <w:szCs w:val="18"/>
    </w:rPr>
  </w:style>
  <w:style w:type="character" w:customStyle="1" w:styleId="583">
    <w:name w:val="DO_NOT_TRANSLATE"/>
    <w:qFormat/>
    <w:uiPriority w:val="0"/>
    <w:rPr>
      <w:rFonts w:ascii="Courier New" w:hAnsi="Courier New" w:cs="Courier New"/>
      <w:color w:val="800000"/>
    </w:rPr>
  </w:style>
  <w:style w:type="character" w:customStyle="1" w:styleId="584">
    <w:name w:val="unnamed11"/>
    <w:qFormat/>
    <w:uiPriority w:val="0"/>
    <w:rPr>
      <w:sz w:val="20"/>
      <w:szCs w:val="20"/>
    </w:rPr>
  </w:style>
  <w:style w:type="character" w:customStyle="1" w:styleId="585">
    <w:name w:val="tw4winInternal"/>
    <w:qFormat/>
    <w:uiPriority w:val="0"/>
    <w:rPr>
      <w:rFonts w:ascii="Courier New" w:hAnsi="Courier New" w:cs="Courier New"/>
      <w:color w:val="FF0000"/>
    </w:rPr>
  </w:style>
  <w:style w:type="character" w:customStyle="1" w:styleId="586">
    <w:name w:val="正文（缩进2汉字） Char"/>
    <w:link w:val="325"/>
    <w:qFormat/>
    <w:uiPriority w:val="0"/>
    <w:rPr>
      <w:rFonts w:ascii="宋体"/>
    </w:rPr>
  </w:style>
  <w:style w:type="character" w:customStyle="1" w:styleId="587">
    <w:name w:val="页脚 Char"/>
    <w:qFormat/>
    <w:uiPriority w:val="0"/>
    <w:rPr>
      <w:rFonts w:eastAsia="仿宋_GB2312"/>
      <w:kern w:val="2"/>
      <w:sz w:val="18"/>
      <w:lang w:val="en-US" w:eastAsia="zh-CN"/>
    </w:rPr>
  </w:style>
  <w:style w:type="character" w:customStyle="1" w:styleId="588">
    <w:name w:val="正文文本缩进 3 字符"/>
    <w:link w:val="51"/>
    <w:qFormat/>
    <w:uiPriority w:val="0"/>
    <w:rPr>
      <w:kern w:val="2"/>
      <w:sz w:val="24"/>
    </w:rPr>
  </w:style>
  <w:style w:type="character" w:customStyle="1" w:styleId="589">
    <w:name w:val="正文缩进 Char1"/>
    <w:qFormat/>
    <w:uiPriority w:val="0"/>
    <w:rPr>
      <w:rFonts w:ascii="宋体" w:eastAsia="宋体"/>
      <w:snapToGrid w:val="0"/>
      <w:color w:val="000000"/>
      <w:kern w:val="28"/>
      <w:sz w:val="28"/>
      <w:lang w:val="en-US" w:eastAsia="zh-CN" w:bidi="ar-SA"/>
    </w:rPr>
  </w:style>
  <w:style w:type="character" w:customStyle="1" w:styleId="590">
    <w:name w:val="style36"/>
    <w:basedOn w:val="63"/>
    <w:qFormat/>
    <w:uiPriority w:val="0"/>
  </w:style>
  <w:style w:type="character" w:customStyle="1" w:styleId="591">
    <w:name w:val="hui3"/>
    <w:qFormat/>
    <w:uiPriority w:val="0"/>
    <w:rPr>
      <w:color w:val="333333"/>
    </w:rPr>
  </w:style>
  <w:style w:type="character" w:customStyle="1" w:styleId="592">
    <w:name w:val="apple-converted-space"/>
    <w:qFormat/>
    <w:uiPriority w:val="0"/>
  </w:style>
  <w:style w:type="character" w:customStyle="1" w:styleId="593">
    <w:name w:val="文档结构图 Char"/>
    <w:qFormat/>
    <w:uiPriority w:val="0"/>
    <w:rPr>
      <w:rFonts w:eastAsia="宋体"/>
      <w:kern w:val="2"/>
      <w:sz w:val="21"/>
      <w:szCs w:val="24"/>
      <w:lang w:val="en-US" w:eastAsia="zh-CN" w:bidi="ar-SA"/>
    </w:rPr>
  </w:style>
  <w:style w:type="character" w:customStyle="1" w:styleId="594">
    <w:name w:val="正文非缩进 Char3"/>
    <w:qFormat/>
    <w:uiPriority w:val="0"/>
    <w:rPr>
      <w:rFonts w:ascii="宋体" w:eastAsia="宋体"/>
      <w:snapToGrid w:val="0"/>
      <w:color w:val="000000"/>
      <w:kern w:val="28"/>
      <w:sz w:val="28"/>
      <w:lang w:val="en-US" w:eastAsia="zh-CN" w:bidi="ar-SA"/>
    </w:rPr>
  </w:style>
  <w:style w:type="character" w:customStyle="1" w:styleId="595">
    <w:name w:val="dectext1"/>
    <w:qFormat/>
    <w:uiPriority w:val="0"/>
    <w:rPr>
      <w:rFonts w:ascii="宋体" w:hAnsi="宋体" w:eastAsia="宋体"/>
      <w:color w:val="333333"/>
      <w:sz w:val="21"/>
      <w:szCs w:val="21"/>
      <w:u w:val="none"/>
    </w:rPr>
  </w:style>
  <w:style w:type="character" w:customStyle="1" w:styleId="596">
    <w:name w:val="副标题 Char1"/>
    <w:qFormat/>
    <w:uiPriority w:val="0"/>
    <w:rPr>
      <w:rFonts w:ascii="Cambria" w:hAnsi="Cambria" w:eastAsia="宋体" w:cs="Times New Roman"/>
      <w:b/>
      <w:bCs/>
      <w:snapToGrid w:val="0"/>
      <w:kern w:val="28"/>
      <w:sz w:val="32"/>
      <w:szCs w:val="32"/>
    </w:rPr>
  </w:style>
  <w:style w:type="character" w:customStyle="1" w:styleId="597">
    <w:name w:val="f141"/>
    <w:qFormat/>
    <w:uiPriority w:val="0"/>
    <w:rPr>
      <w:rFonts w:ascii="Tahoma" w:hAnsi="Tahoma" w:eastAsia="宋体"/>
      <w:b/>
      <w:kern w:val="2"/>
      <w:sz w:val="21"/>
      <w:szCs w:val="21"/>
      <w:lang w:val="en-US" w:eastAsia="zh-CN" w:bidi="ar-SA"/>
    </w:rPr>
  </w:style>
  <w:style w:type="character" w:customStyle="1" w:styleId="598">
    <w:name w:val="日期 字符"/>
    <w:link w:val="35"/>
    <w:qFormat/>
    <w:uiPriority w:val="0"/>
    <w:rPr>
      <w:rFonts w:ascii="宋体"/>
      <w:kern w:val="2"/>
      <w:sz w:val="24"/>
      <w:szCs w:val="21"/>
      <w:lang w:val="zh-CN"/>
    </w:rPr>
  </w:style>
  <w:style w:type="character" w:customStyle="1" w:styleId="599">
    <w:name w:val="标题 4 字符"/>
    <w:link w:val="6"/>
    <w:qFormat/>
    <w:uiPriority w:val="0"/>
    <w:rPr>
      <w:rFonts w:ascii="Arial" w:hAnsi="Arial" w:eastAsia="黑体"/>
      <w:b/>
      <w:bCs/>
      <w:kern w:val="2"/>
      <w:sz w:val="28"/>
      <w:szCs w:val="28"/>
      <w:lang w:val="zh-CN"/>
    </w:rPr>
  </w:style>
  <w:style w:type="character" w:customStyle="1" w:styleId="600">
    <w:name w:val="链接"/>
    <w:qFormat/>
    <w:uiPriority w:val="0"/>
    <w:rPr>
      <w:color w:val="0000FF"/>
      <w:sz w:val="21"/>
      <w:szCs w:val="21"/>
      <w:u w:val="single"/>
    </w:rPr>
  </w:style>
  <w:style w:type="character" w:customStyle="1" w:styleId="601">
    <w:name w:val="正文首行缩进 Char Char Char Char Char Char"/>
    <w:qFormat/>
    <w:uiPriority w:val="0"/>
    <w:rPr>
      <w:rFonts w:ascii="宋体" w:eastAsia="宋体"/>
      <w:kern w:val="2"/>
      <w:sz w:val="24"/>
      <w:lang w:val="zh-CN" w:bidi="ar-SA"/>
    </w:rPr>
  </w:style>
  <w:style w:type="character" w:customStyle="1" w:styleId="602">
    <w:name w:val="tw4winError"/>
    <w:qFormat/>
    <w:uiPriority w:val="0"/>
    <w:rPr>
      <w:rFonts w:ascii="Courier New" w:hAnsi="Courier New" w:cs="Courier New"/>
      <w:color w:val="00FF00"/>
      <w:sz w:val="40"/>
      <w:szCs w:val="40"/>
    </w:rPr>
  </w:style>
  <w:style w:type="character" w:customStyle="1" w:styleId="603">
    <w:name w:val="Used by Word for text of Help footnotes Char Char"/>
    <w:semiHidden/>
    <w:qFormat/>
    <w:uiPriority w:val="0"/>
    <w:rPr>
      <w:rFonts w:ascii="Times New Roman" w:hAnsi="Times New Roman" w:eastAsia="宋体" w:cs="Times New Roman"/>
      <w:sz w:val="20"/>
      <w:szCs w:val="20"/>
    </w:rPr>
  </w:style>
  <w:style w:type="character" w:customStyle="1" w:styleId="604">
    <w:name w:val="Char Char31"/>
    <w:semiHidden/>
    <w:qFormat/>
    <w:uiPriority w:val="0"/>
    <w:rPr>
      <w:rFonts w:ascii="Times New Roman" w:hAnsi="Times New Roman" w:eastAsia="宋体" w:cs="Times New Roman"/>
      <w:b/>
      <w:kern w:val="2"/>
      <w:sz w:val="32"/>
      <w:szCs w:val="24"/>
      <w:lang w:val="en-US" w:eastAsia="zh-CN" w:bidi="ar-SA"/>
    </w:rPr>
  </w:style>
  <w:style w:type="character" w:customStyle="1" w:styleId="605">
    <w:name w:val="表正文 Char"/>
    <w:qFormat/>
    <w:uiPriority w:val="0"/>
    <w:rPr>
      <w:rFonts w:ascii="宋体" w:eastAsia="宋体"/>
      <w:snapToGrid w:val="0"/>
      <w:color w:val="000000"/>
      <w:kern w:val="28"/>
      <w:sz w:val="28"/>
      <w:lang w:val="en-US" w:eastAsia="zh-CN" w:bidi="ar-SA"/>
    </w:rPr>
  </w:style>
  <w:style w:type="character" w:customStyle="1" w:styleId="606">
    <w:name w:val="普通文字 Char1 Char"/>
    <w:qFormat/>
    <w:uiPriority w:val="0"/>
    <w:rPr>
      <w:rFonts w:ascii="宋体" w:hAnsi="Courier New" w:eastAsia="宋体"/>
      <w:kern w:val="2"/>
      <w:sz w:val="21"/>
      <w:szCs w:val="24"/>
      <w:lang w:val="en-US" w:eastAsia="zh-CN" w:bidi="ar-SA"/>
    </w:rPr>
  </w:style>
  <w:style w:type="character" w:customStyle="1" w:styleId="607">
    <w:name w:val="pt9"/>
    <w:qFormat/>
    <w:uiPriority w:val="0"/>
    <w:rPr>
      <w:rFonts w:ascii="仿宋_GB2312" w:eastAsia="微软雅黑"/>
      <w:b/>
      <w:kern w:val="2"/>
      <w:sz w:val="32"/>
      <w:szCs w:val="32"/>
      <w:lang w:val="en-US" w:eastAsia="zh-CN" w:bidi="ar-SA"/>
    </w:rPr>
  </w:style>
  <w:style w:type="character" w:customStyle="1" w:styleId="608">
    <w:name w:val="large1"/>
    <w:qFormat/>
    <w:uiPriority w:val="0"/>
    <w:rPr>
      <w:rFonts w:hint="eastAsia" w:ascii="宋体" w:hAnsi="宋体" w:eastAsia="宋体"/>
      <w:sz w:val="21"/>
      <w:szCs w:val="21"/>
    </w:rPr>
  </w:style>
  <w:style w:type="character" w:customStyle="1" w:styleId="609">
    <w:name w:val="样式 样式 标题 4h4H4Fab-4T5Ref Heading 1rh1Heading sqlsect 1.2.3.... +... Char"/>
    <w:link w:val="169"/>
    <w:qFormat/>
    <w:uiPriority w:val="0"/>
    <w:rPr>
      <w:rFonts w:ascii="微软雅黑" w:hAnsi="微软雅黑" w:eastAsia="微软雅黑"/>
      <w:b/>
      <w:bCs/>
      <w:kern w:val="2"/>
      <w:sz w:val="24"/>
      <w:szCs w:val="28"/>
    </w:rPr>
  </w:style>
  <w:style w:type="character" w:customStyle="1" w:styleId="610">
    <w:name w:val="标题 4 Char1"/>
    <w:semiHidden/>
    <w:qFormat/>
    <w:uiPriority w:val="9"/>
    <w:rPr>
      <w:rFonts w:ascii="Cambria" w:hAnsi="Cambria" w:eastAsia="宋体" w:cs="Times New Roman"/>
      <w:b/>
      <w:bCs/>
      <w:kern w:val="2"/>
      <w:sz w:val="28"/>
      <w:szCs w:val="28"/>
    </w:rPr>
  </w:style>
  <w:style w:type="character" w:customStyle="1" w:styleId="611">
    <w:name w:val="tw4winPopup"/>
    <w:qFormat/>
    <w:uiPriority w:val="0"/>
    <w:rPr>
      <w:rFonts w:ascii="Courier New" w:hAnsi="Courier New" w:cs="Courier New"/>
      <w:color w:val="008000"/>
    </w:rPr>
  </w:style>
  <w:style w:type="character" w:customStyle="1" w:styleId="612">
    <w:name w:val="标题 6 字符"/>
    <w:link w:val="8"/>
    <w:qFormat/>
    <w:uiPriority w:val="0"/>
    <w:rPr>
      <w:rFonts w:ascii="Arial" w:hAnsi="Arial" w:eastAsia="黑体"/>
      <w:b/>
      <w:bCs/>
      <w:kern w:val="2"/>
      <w:sz w:val="24"/>
      <w:szCs w:val="24"/>
    </w:rPr>
  </w:style>
  <w:style w:type="character" w:customStyle="1" w:styleId="613">
    <w:name w:val="正文缩进 字符"/>
    <w:link w:val="17"/>
    <w:qFormat/>
    <w:uiPriority w:val="0"/>
    <w:rPr>
      <w:rFonts w:ascii="宋体" w:eastAsia="宋体"/>
      <w:snapToGrid w:val="0"/>
      <w:color w:val="000000"/>
      <w:kern w:val="28"/>
      <w:sz w:val="28"/>
      <w:lang w:val="en-US" w:eastAsia="zh-CN" w:bidi="ar-SA"/>
    </w:rPr>
  </w:style>
  <w:style w:type="character" w:customStyle="1" w:styleId="614">
    <w:name w:val="批注文字 字符"/>
    <w:link w:val="21"/>
    <w:qFormat/>
    <w:uiPriority w:val="99"/>
    <w:rPr>
      <w:kern w:val="2"/>
      <w:sz w:val="21"/>
      <w:szCs w:val="24"/>
    </w:rPr>
  </w:style>
  <w:style w:type="character" w:customStyle="1" w:styleId="615">
    <w:name w:val="批注框文本 字符"/>
    <w:link w:val="37"/>
    <w:semiHidden/>
    <w:qFormat/>
    <w:uiPriority w:val="0"/>
    <w:rPr>
      <w:kern w:val="2"/>
      <w:sz w:val="18"/>
      <w:szCs w:val="18"/>
    </w:rPr>
  </w:style>
  <w:style w:type="character" w:customStyle="1" w:styleId="616">
    <w:name w:val="Footer Char"/>
    <w:qFormat/>
    <w:locked/>
    <w:uiPriority w:val="0"/>
    <w:rPr>
      <w:rFonts w:eastAsia="宋体"/>
      <w:kern w:val="2"/>
      <w:sz w:val="18"/>
      <w:lang w:val="en-US" w:eastAsia="zh-CN" w:bidi="ar-SA"/>
    </w:rPr>
  </w:style>
  <w:style w:type="paragraph" w:customStyle="1" w:styleId="61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18">
    <w:name w:val="索引 11"/>
    <w:basedOn w:val="1"/>
    <w:next w:val="1"/>
    <w:qFormat/>
    <w:uiPriority w:val="0"/>
    <w:pPr>
      <w:adjustRightInd/>
      <w:spacing w:line="360" w:lineRule="auto"/>
    </w:pPr>
    <w:rPr>
      <w:rFonts w:ascii="仿宋_GB2312" w:eastAsia="仿宋_GB2312"/>
      <w:sz w:val="24"/>
      <w:szCs w:val="20"/>
    </w:rPr>
  </w:style>
  <w:style w:type="paragraph" w:customStyle="1" w:styleId="619">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620">
    <w:name w:val="纯文本_0_0"/>
    <w:basedOn w:val="1"/>
    <w:link w:val="621"/>
    <w:qFormat/>
    <w:uiPriority w:val="0"/>
    <w:pPr>
      <w:adjustRightInd/>
    </w:pPr>
    <w:rPr>
      <w:rFonts w:ascii="宋体" w:hAnsi="Courier New"/>
      <w:szCs w:val="21"/>
    </w:rPr>
  </w:style>
  <w:style w:type="character" w:customStyle="1" w:styleId="621">
    <w:name w:val="纯文本 Char_0"/>
    <w:link w:val="620"/>
    <w:qFormat/>
    <w:uiPriority w:val="0"/>
    <w:rPr>
      <w:rFonts w:ascii="宋体" w:hAnsi="Courier New"/>
      <w:kern w:val="2"/>
      <w:sz w:val="21"/>
      <w:szCs w:val="21"/>
      <w:lang w:val="en-US" w:eastAsia="zh-CN"/>
    </w:rPr>
  </w:style>
  <w:style w:type="character" w:customStyle="1" w:styleId="622">
    <w:name w:val="纯文本 Char1"/>
    <w:link w:val="623"/>
    <w:qFormat/>
    <w:uiPriority w:val="0"/>
    <w:rPr>
      <w:rFonts w:ascii="宋体" w:hAnsi="Courier New"/>
    </w:rPr>
  </w:style>
  <w:style w:type="paragraph" w:customStyle="1" w:styleId="623">
    <w:name w:val="纯文本1"/>
    <w:basedOn w:val="1"/>
    <w:link w:val="622"/>
    <w:qFormat/>
    <w:uiPriority w:val="0"/>
    <w:pPr>
      <w:adjustRightInd/>
    </w:pPr>
    <w:rPr>
      <w:rFonts w:ascii="宋体" w:hAnsi="Courier New"/>
      <w:kern w:val="0"/>
      <w:sz w:val="20"/>
      <w:szCs w:val="20"/>
    </w:rPr>
  </w:style>
  <w:style w:type="paragraph" w:customStyle="1" w:styleId="624">
    <w:name w:val="Char Char Char Char Char Char Char2"/>
    <w:basedOn w:val="1"/>
    <w:qFormat/>
    <w:uiPriority w:val="0"/>
    <w:rPr>
      <w:rFonts w:ascii="仿宋_GB2312" w:eastAsia="仿宋_GB2312"/>
      <w:b/>
      <w:sz w:val="32"/>
      <w:szCs w:val="32"/>
    </w:rPr>
  </w:style>
  <w:style w:type="paragraph" w:customStyle="1" w:styleId="625">
    <w:name w:val="Char Char1 Char Char Char Char Char Char2"/>
    <w:basedOn w:val="1"/>
    <w:qFormat/>
    <w:uiPriority w:val="0"/>
    <w:rPr>
      <w:rFonts w:ascii="仿宋_GB2312" w:eastAsia="仿宋_GB2312"/>
      <w:b/>
      <w:sz w:val="32"/>
      <w:szCs w:val="20"/>
    </w:rPr>
  </w:style>
  <w:style w:type="paragraph" w:customStyle="1" w:styleId="626">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627">
    <w:name w:val="Default Char"/>
    <w:link w:val="72"/>
    <w:qFormat/>
    <w:uiPriority w:val="0"/>
    <w:rPr>
      <w:rFonts w:ascii="仿宋_GB2312" w:eastAsia="仿宋_GB2312" w:cs="仿宋_GB2312"/>
      <w:color w:val="000000"/>
      <w:sz w:val="24"/>
      <w:szCs w:val="24"/>
    </w:rPr>
  </w:style>
  <w:style w:type="paragraph" w:customStyle="1" w:styleId="62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629">
    <w:name w:val="font61"/>
    <w:basedOn w:val="63"/>
    <w:qFormat/>
    <w:uiPriority w:val="0"/>
    <w:rPr>
      <w:rFonts w:hint="eastAsia" w:ascii="仿宋" w:hAnsi="仿宋" w:eastAsia="仿宋" w:cs="仿宋"/>
      <w:snapToGrid w:val="0"/>
      <w:color w:val="000000"/>
      <w:kern w:val="0"/>
      <w:sz w:val="20"/>
      <w:szCs w:val="20"/>
      <w:u w:val="none"/>
    </w:rPr>
  </w:style>
  <w:style w:type="character" w:customStyle="1" w:styleId="630">
    <w:name w:val="font11"/>
    <w:basedOn w:val="63"/>
    <w:qFormat/>
    <w:uiPriority w:val="0"/>
    <w:rPr>
      <w:rFonts w:hint="default" w:ascii="Times New Roman" w:hAnsi="Times New Roman" w:eastAsia="黑体" w:cs="Times New Roman"/>
      <w:snapToGrid w:val="0"/>
      <w:color w:val="000000"/>
      <w:kern w:val="0"/>
      <w:sz w:val="22"/>
      <w:szCs w:val="22"/>
      <w:u w:val="none"/>
    </w:rPr>
  </w:style>
  <w:style w:type="paragraph" w:customStyle="1" w:styleId="631">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632">
    <w:name w:val="*正文 Char"/>
    <w:link w:val="633"/>
    <w:qFormat/>
    <w:locked/>
    <w:uiPriority w:val="0"/>
    <w:rPr>
      <w:rFonts w:ascii="宋体" w:hAnsi="宋体"/>
      <w:sz w:val="24"/>
    </w:rPr>
  </w:style>
  <w:style w:type="paragraph" w:customStyle="1" w:styleId="633">
    <w:name w:val="*正文"/>
    <w:basedOn w:val="1"/>
    <w:link w:val="632"/>
    <w:qFormat/>
    <w:uiPriority w:val="0"/>
    <w:pPr>
      <w:snapToGrid w:val="0"/>
      <w:spacing w:line="360" w:lineRule="auto"/>
      <w:ind w:firstLine="482"/>
      <w:jc w:val="left"/>
    </w:pPr>
    <w:rPr>
      <w:rFonts w:ascii="宋体" w:hAnsi="宋体"/>
      <w:kern w:val="0"/>
      <w:sz w:val="24"/>
      <w:szCs w:val="20"/>
    </w:rPr>
  </w:style>
  <w:style w:type="character" w:customStyle="1" w:styleId="634">
    <w:name w:val="正文文本缩进 Char3"/>
    <w:qFormat/>
    <w:uiPriority w:val="0"/>
    <w:rPr>
      <w:rFonts w:ascii="宋体" w:hAnsi="宋体"/>
      <w:kern w:val="2"/>
      <w:sz w:val="24"/>
      <w:szCs w:val="24"/>
    </w:rPr>
  </w:style>
  <w:style w:type="table" w:customStyle="1" w:styleId="635">
    <w:name w:val="网格型1"/>
    <w:basedOn w:val="6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6">
    <w:name w:val="网格型2"/>
    <w:basedOn w:val="6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37">
    <w:name w:val="_Style 6"/>
    <w:basedOn w:val="1"/>
    <w:qFormat/>
    <w:uiPriority w:val="34"/>
    <w:pPr>
      <w:adjustRightInd/>
      <w:ind w:firstLine="420" w:firstLineChars="200"/>
    </w:pPr>
    <w:rPr>
      <w:rFonts w:eastAsia="仿宋_GB2312"/>
      <w:sz w:val="28"/>
    </w:rPr>
  </w:style>
  <w:style w:type="character" w:customStyle="1" w:styleId="638">
    <w:name w:val="font01"/>
    <w:basedOn w:val="63"/>
    <w:qFormat/>
    <w:uiPriority w:val="0"/>
    <w:rPr>
      <w:rFonts w:hint="eastAsia" w:ascii="宋体" w:hAnsi="宋体" w:eastAsia="宋体" w:cs="宋体"/>
      <w:color w:val="000000"/>
      <w:sz w:val="22"/>
      <w:szCs w:val="22"/>
      <w:u w:val="none"/>
    </w:rPr>
  </w:style>
  <w:style w:type="table" w:customStyle="1" w:styleId="639">
    <w:name w:val="Table Normal"/>
    <w:semiHidden/>
    <w:unhideWhenUsed/>
    <w:qFormat/>
    <w:uiPriority w:val="0"/>
    <w:tblPr>
      <w:tblCellMar>
        <w:top w:w="0" w:type="dxa"/>
        <w:left w:w="0" w:type="dxa"/>
        <w:bottom w:w="0" w:type="dxa"/>
        <w:right w:w="0" w:type="dxa"/>
      </w:tblCellMar>
    </w:tblPr>
  </w:style>
  <w:style w:type="paragraph" w:customStyle="1" w:styleId="640">
    <w:name w:val="11111"/>
    <w:basedOn w:val="1"/>
    <w:qFormat/>
    <w:uiPriority w:val="99"/>
    <w:pPr>
      <w:spacing w:line="360" w:lineRule="auto"/>
      <w:ind w:firstLine="200" w:firstLineChars="200"/>
    </w:pPr>
    <w:rPr>
      <w:rFonts w:ascii="仿宋_GB2312" w:hAnsi="宋体" w:eastAsia="仿宋_GB2312"/>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92</Pages>
  <Words>2992</Words>
  <Characters>3352</Characters>
  <Lines>364</Lines>
  <Paragraphs>102</Paragraphs>
  <TotalTime>29</TotalTime>
  <ScaleCrop>false</ScaleCrop>
  <LinksUpToDate>false</LinksUpToDate>
  <CharactersWithSpaces>3395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2025-02-20T10:26:00Z</dcterms:created>
  <dc:creator>北海市政府采购中心</dc:creator>
  <cp:lastModifiedBy>韦丽丹</cp:lastModifiedBy>
  <cp:lastPrinted>2026-09-17T10:24:00Z</cp:lastPrinted>
  <dcterms:modified xsi:type="dcterms:W3CDTF">2026-09-18T11:19:45Z</dcterms:modified>
  <dc:title>北海市政府采购中心</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BF13D5D62AE64358933604DA153CDF0D_13</vt:lpwstr>
  </property>
  <property fmtid="{D5CDD505-2E9C-101B-9397-08002B2CF9AE}" pid="4" name="KSOTemplateDocerSaveRecord">
    <vt:lpwstr>eyJoZGlkIjoiZGMwNmNjYmEwMzExMjc5NTlhZTNkZjJhNDBmMzM2MWMiLCJ1c2VySWQiOiI0OTg2OTAyMTMifQ==</vt:lpwstr>
  </property>
</Properties>
</file>