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3939A">
      <w:pPr>
        <w:shd w:val="clear"/>
        <w:spacing w:line="360" w:lineRule="auto"/>
        <w:jc w:val="center"/>
        <w:rPr>
          <w:rFonts w:hint="eastAsia" w:ascii="宋体" w:hAnsi="宋体" w:cs="仿宋_GB2312"/>
          <w:b/>
          <w:color w:val="auto"/>
          <w:sz w:val="44"/>
          <w:szCs w:val="44"/>
          <w:highlight w:val="none"/>
        </w:rPr>
      </w:pPr>
      <w:bookmarkStart w:id="0" w:name="OLE_LINK1"/>
    </w:p>
    <w:p w14:paraId="13D195C0">
      <w:pPr>
        <w:shd w:val="clear"/>
        <w:spacing w:line="360" w:lineRule="auto"/>
        <w:jc w:val="center"/>
        <w:rPr>
          <w:rFonts w:hint="eastAsia" w:ascii="宋体" w:hAnsi="宋体" w:cs="仿宋_GB2312"/>
          <w:b/>
          <w:color w:val="auto"/>
          <w:sz w:val="44"/>
          <w:szCs w:val="44"/>
          <w:highlight w:val="none"/>
        </w:rPr>
      </w:pPr>
    </w:p>
    <w:p w14:paraId="47890F84">
      <w:pPr>
        <w:shd w:val="clear"/>
        <w:spacing w:line="360" w:lineRule="auto"/>
        <w:jc w:val="center"/>
        <w:rPr>
          <w:rFonts w:hint="eastAsia" w:ascii="宋体" w:hAnsi="宋体" w:cs="仿宋_GB2312"/>
          <w:b/>
          <w:bCs/>
          <w:color w:val="auto"/>
          <w:w w:val="95"/>
          <w:sz w:val="48"/>
          <w:szCs w:val="48"/>
          <w:highlight w:val="none"/>
          <w:lang w:val="zh-CN"/>
        </w:rPr>
      </w:pPr>
      <w:r>
        <w:rPr>
          <w:rFonts w:hint="eastAsia" w:ascii="宋体" w:hAnsi="宋体" w:cs="仿宋_GB2312"/>
          <w:b/>
          <w:bCs/>
          <w:color w:val="auto"/>
          <w:w w:val="95"/>
          <w:sz w:val="48"/>
          <w:szCs w:val="48"/>
          <w:highlight w:val="none"/>
          <w:lang w:val="zh-CN"/>
        </w:rPr>
        <w:fldChar w:fldCharType="begin"/>
      </w:r>
      <w:r>
        <w:rPr>
          <w:rFonts w:hint="eastAsia" w:ascii="宋体" w:hAnsi="宋体" w:cs="仿宋_GB2312"/>
          <w:b/>
          <w:bCs/>
          <w:color w:val="auto"/>
          <w:w w:val="95"/>
          <w:sz w:val="48"/>
          <w:szCs w:val="48"/>
          <w:highlight w:val="none"/>
          <w:lang w:val="zh-CN"/>
        </w:rPr>
        <w:instrText xml:space="preserve"> HYPERLINK "https://middle.gcy.zfcg.gxzf.gov.cn/budget-quota-index/" \l "/purchase/plan/details/22709513" \t "https://middle.gcy.zfcg.gxzf.gov.cn/purchaseplan_front/" \l "/plan/list/_blank" </w:instrText>
      </w:r>
      <w:r>
        <w:rPr>
          <w:rFonts w:hint="eastAsia" w:ascii="宋体" w:hAnsi="宋体" w:cs="仿宋_GB2312"/>
          <w:b/>
          <w:bCs/>
          <w:color w:val="auto"/>
          <w:w w:val="95"/>
          <w:sz w:val="48"/>
          <w:szCs w:val="48"/>
          <w:highlight w:val="none"/>
          <w:lang w:val="zh-CN"/>
        </w:rPr>
        <w:fldChar w:fldCharType="separate"/>
      </w:r>
      <w:r>
        <w:rPr>
          <w:rFonts w:hint="eastAsia" w:ascii="宋体" w:hAnsi="宋体" w:cs="仿宋_GB2312"/>
          <w:b/>
          <w:bCs/>
          <w:color w:val="auto"/>
          <w:w w:val="95"/>
          <w:sz w:val="48"/>
          <w:szCs w:val="48"/>
          <w:highlight w:val="none"/>
          <w:lang w:val="zh-CN"/>
        </w:rPr>
        <w:t>广西壮族自治区第十六届运动会竞技体育项目（武术散打）竞赛服务采购</w:t>
      </w:r>
      <w:r>
        <w:rPr>
          <w:rFonts w:hint="eastAsia" w:ascii="宋体" w:hAnsi="宋体" w:cs="仿宋_GB2312"/>
          <w:b/>
          <w:bCs/>
          <w:color w:val="auto"/>
          <w:w w:val="95"/>
          <w:sz w:val="48"/>
          <w:szCs w:val="48"/>
          <w:highlight w:val="none"/>
          <w:lang w:val="zh-CN"/>
        </w:rPr>
        <w:fldChar w:fldCharType="end"/>
      </w:r>
    </w:p>
    <w:p w14:paraId="6DE5A3D3">
      <w:pPr>
        <w:shd w:val="clear"/>
        <w:spacing w:line="360" w:lineRule="auto"/>
        <w:jc w:val="center"/>
        <w:rPr>
          <w:rFonts w:hint="eastAsia" w:ascii="宋体" w:hAnsi="宋体" w:cs="仿宋_GB2312"/>
          <w:b/>
          <w:bCs/>
          <w:color w:val="auto"/>
          <w:w w:val="95"/>
          <w:sz w:val="72"/>
          <w:szCs w:val="72"/>
          <w:highlight w:val="none"/>
          <w:lang w:val="zh-CN"/>
        </w:rPr>
      </w:pPr>
    </w:p>
    <w:p w14:paraId="7B0637D1">
      <w:pPr>
        <w:shd w:val="clea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竞争性磋商</w:t>
      </w:r>
      <w:r>
        <w:rPr>
          <w:rFonts w:hint="eastAsia" w:ascii="宋体" w:hAnsi="宋体" w:cs="仿宋_GB2312"/>
          <w:b/>
          <w:color w:val="auto"/>
          <w:sz w:val="72"/>
          <w:szCs w:val="72"/>
          <w:highlight w:val="none"/>
        </w:rPr>
        <w:t>文件</w:t>
      </w:r>
    </w:p>
    <w:p w14:paraId="58528168">
      <w:pPr>
        <w:shd w:val="clea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28B5953A">
      <w:pPr>
        <w:shd w:val="clear"/>
        <w:adjustRightInd w:val="0"/>
        <w:snapToGrid w:val="0"/>
        <w:spacing w:line="360" w:lineRule="auto"/>
        <w:jc w:val="center"/>
        <w:rPr>
          <w:rFonts w:ascii="宋体" w:hAnsi="宋体" w:cs="仿宋_GB2312"/>
          <w:color w:val="auto"/>
          <w:sz w:val="30"/>
          <w:szCs w:val="30"/>
          <w:highlight w:val="none"/>
        </w:rPr>
      </w:pPr>
    </w:p>
    <w:p w14:paraId="78DB3DEC">
      <w:pPr>
        <w:shd w:val="clear"/>
        <w:adjustRightInd w:val="0"/>
        <w:snapToGrid w:val="0"/>
        <w:spacing w:line="360" w:lineRule="auto"/>
        <w:jc w:val="center"/>
        <w:rPr>
          <w:rFonts w:hint="eastAsia" w:ascii="宋体" w:hAnsi="宋体" w:eastAsia="宋体" w:cs="仿宋_GB2312"/>
          <w:color w:val="auto"/>
          <w:sz w:val="28"/>
          <w:szCs w:val="20"/>
          <w:highlight w:val="none"/>
          <w:lang w:eastAsia="zh-CN"/>
        </w:rPr>
      </w:pPr>
      <w:r>
        <w:rPr>
          <w:rFonts w:hint="eastAsia" w:ascii="宋体" w:hAnsi="宋体" w:cs="仿宋_GB2312"/>
          <w:color w:val="auto"/>
          <w:sz w:val="30"/>
          <w:szCs w:val="30"/>
          <w:highlight w:val="none"/>
        </w:rPr>
        <w:t>项目编号:</w:t>
      </w:r>
      <w:r>
        <w:rPr>
          <w:rFonts w:hint="eastAsia" w:ascii="宋体" w:hAnsi="宋体" w:cs="仿宋_GB2312"/>
          <w:color w:val="auto"/>
          <w:sz w:val="30"/>
          <w:szCs w:val="30"/>
          <w:highlight w:val="none"/>
          <w:lang w:eastAsia="zh-CN"/>
        </w:rPr>
        <w:t>BHZC2026-C3-990284-BBWH</w:t>
      </w:r>
    </w:p>
    <w:p w14:paraId="6970EE5C">
      <w:pPr>
        <w:shd w:val="clear"/>
        <w:adjustRightInd w:val="0"/>
        <w:spacing w:line="360" w:lineRule="auto"/>
        <w:jc w:val="center"/>
        <w:rPr>
          <w:rFonts w:ascii="宋体" w:hAnsi="宋体" w:cs="仿宋_GB2312"/>
          <w:color w:val="auto"/>
          <w:sz w:val="24"/>
          <w:highlight w:val="none"/>
        </w:rPr>
      </w:pPr>
      <w:r>
        <w:rPr>
          <w:rFonts w:hint="eastAsia" w:ascii="宋体" w:hAnsi="宋体" w:eastAsia="宋体" w:cs="宋体"/>
          <w:color w:val="auto"/>
          <w:sz w:val="28"/>
          <w:highlight w:val="none"/>
        </w:rPr>
        <w:drawing>
          <wp:inline distT="0" distB="0" distL="114300" distR="114300">
            <wp:extent cx="2514600" cy="2271395"/>
            <wp:effectExtent l="0" t="0" r="0" b="14605"/>
            <wp:docPr id="20" name="图片 20"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宏亚logo"/>
                    <pic:cNvPicPr>
                      <a:picLocks noChangeAspect="1"/>
                    </pic:cNvPicPr>
                  </pic:nvPicPr>
                  <pic:blipFill>
                    <a:blip r:embed="rId20"/>
                    <a:stretch>
                      <a:fillRect/>
                    </a:stretch>
                  </pic:blipFill>
                  <pic:spPr>
                    <a:xfrm>
                      <a:off x="0" y="0"/>
                      <a:ext cx="2514600" cy="2271395"/>
                    </a:xfrm>
                    <a:prstGeom prst="rect">
                      <a:avLst/>
                    </a:prstGeom>
                    <a:noFill/>
                    <a:ln>
                      <a:noFill/>
                    </a:ln>
                  </pic:spPr>
                </pic:pic>
              </a:graphicData>
            </a:graphic>
          </wp:inline>
        </w:drawing>
      </w:r>
    </w:p>
    <w:p w14:paraId="1DFC36F7">
      <w:pPr>
        <w:shd w:val="clear"/>
        <w:adjustRightInd w:val="0"/>
        <w:spacing w:line="360" w:lineRule="auto"/>
        <w:rPr>
          <w:rFonts w:hint="eastAsia" w:ascii="宋体" w:hAnsi="宋体" w:cs="仿宋_GB2312"/>
          <w:color w:val="auto"/>
          <w:sz w:val="24"/>
          <w:highlight w:val="none"/>
        </w:rPr>
      </w:pPr>
    </w:p>
    <w:p w14:paraId="6BE4D9CD">
      <w:pPr>
        <w:shd w:val="clear"/>
        <w:adjustRightInd w:val="0"/>
        <w:spacing w:line="360" w:lineRule="auto"/>
        <w:rPr>
          <w:rFonts w:hint="eastAsia" w:ascii="宋体" w:hAnsi="宋体" w:cs="仿宋_GB2312"/>
          <w:color w:val="auto"/>
          <w:sz w:val="24"/>
          <w:highlight w:val="none"/>
        </w:rPr>
      </w:pPr>
    </w:p>
    <w:p w14:paraId="47676F22">
      <w:pPr>
        <w:shd w:val="clear"/>
        <w:adjustRightInd w:val="0"/>
        <w:spacing w:line="360" w:lineRule="auto"/>
        <w:ind w:firstLine="1980" w:firstLineChars="900"/>
        <w:rPr>
          <w:rFonts w:hint="default" w:ascii="宋体" w:hAnsi="宋体" w:eastAsia="宋体" w:cs="仿宋_GB2312"/>
          <w:b w:val="0"/>
          <w:bCs/>
          <w:color w:val="auto"/>
          <w:sz w:val="32"/>
          <w:szCs w:val="32"/>
          <w:highlight w:val="none"/>
          <w:lang w:val="en-US"/>
        </w:rPr>
      </w:pPr>
      <w:r>
        <w:rPr>
          <w:rFonts w:hint="eastAsia" w:ascii="宋体" w:hAnsi="宋体" w:cs="仿宋_GB2312"/>
          <w:color w:val="auto"/>
          <w:sz w:val="22"/>
          <w:szCs w:val="22"/>
          <w:highlight w:val="none"/>
        </w:rPr>
        <w:t xml:space="preserve"> </w:t>
      </w:r>
      <w:r>
        <w:rPr>
          <w:rFonts w:hint="eastAsia" w:ascii="宋体" w:hAnsi="宋体" w:eastAsia="宋体" w:cs="仿宋_GB2312"/>
          <w:b w:val="0"/>
          <w:bCs/>
          <w:color w:val="auto"/>
          <w:sz w:val="32"/>
          <w:szCs w:val="32"/>
          <w:highlight w:val="none"/>
          <w:lang w:val="en-US" w:eastAsia="zh-CN"/>
        </w:rPr>
        <w:t>采购人：</w:t>
      </w:r>
      <w:r>
        <w:rPr>
          <w:rFonts w:hint="eastAsia" w:ascii="宋体" w:hAnsi="宋体" w:cs="仿宋_GB2312"/>
          <w:b w:val="0"/>
          <w:bCs/>
          <w:color w:val="auto"/>
          <w:sz w:val="32"/>
          <w:szCs w:val="32"/>
          <w:highlight w:val="none"/>
          <w:lang w:val="en-US" w:eastAsia="zh-CN"/>
        </w:rPr>
        <w:t>北海市旅游文体局</w:t>
      </w:r>
    </w:p>
    <w:p w14:paraId="795CF810">
      <w:pPr>
        <w:shd w:val="clear"/>
        <w:adjustRightInd w:val="0"/>
        <w:spacing w:line="360" w:lineRule="auto"/>
        <w:jc w:val="center"/>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采购代理机构：</w:t>
      </w:r>
      <w:r>
        <w:rPr>
          <w:rFonts w:hint="eastAsia" w:ascii="宋体" w:hAnsi="宋体" w:eastAsia="宋体" w:cs="仿宋_GB2312"/>
          <w:b w:val="0"/>
          <w:bCs/>
          <w:color w:val="auto"/>
          <w:sz w:val="32"/>
          <w:szCs w:val="32"/>
          <w:highlight w:val="none"/>
        </w:rPr>
        <w:t>广西北部湾宏亚建设管理有限公司</w:t>
      </w:r>
    </w:p>
    <w:p w14:paraId="3FBD4194">
      <w:pPr>
        <w:shd w:val="clear"/>
        <w:adjustRightInd w:val="0"/>
        <w:snapToGrid w:val="0"/>
        <w:spacing w:line="360" w:lineRule="auto"/>
        <w:jc w:val="center"/>
        <w:rPr>
          <w:rFonts w:hint="eastAsia" w:ascii="宋体" w:hAnsi="宋体" w:cs="仿宋_GB2312"/>
          <w:bCs/>
          <w:color w:val="auto"/>
          <w:sz w:val="32"/>
          <w:szCs w:val="32"/>
          <w:highlight w:val="none"/>
        </w:rPr>
      </w:pPr>
    </w:p>
    <w:p w14:paraId="210703BE">
      <w:pPr>
        <w:shd w:val="clea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九月</w:t>
      </w:r>
      <w:bookmarkEnd w:id="0"/>
    </w:p>
    <w:p w14:paraId="6A0374CB">
      <w:pPr>
        <w:pStyle w:val="32"/>
        <w:shd w:val="clear"/>
        <w:adjustRightInd w:val="0"/>
        <w:snapToGrid w:val="0"/>
        <w:spacing w:line="360" w:lineRule="auto"/>
        <w:ind w:firstLine="15"/>
        <w:jc w:val="center"/>
        <w:rPr>
          <w:color w:val="auto"/>
          <w:sz w:val="32"/>
          <w:szCs w:val="32"/>
          <w:highlight w:val="none"/>
        </w:rPr>
        <w:sectPr>
          <w:headerReference r:id="rId4" w:type="first"/>
          <w:headerReference r:id="rId3"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720" w:num="1"/>
          <w:rtlGutter w:val="0"/>
          <w:docGrid w:type="lines" w:linePitch="312" w:charSpace="0"/>
        </w:sectPr>
      </w:pPr>
    </w:p>
    <w:p w14:paraId="0285AD99">
      <w:pPr>
        <w:shd w:val="clear"/>
        <w:spacing w:line="360" w:lineRule="auto"/>
        <w:jc w:val="center"/>
        <w:rPr>
          <w:rFonts w:hint="eastAsia" w:cs="仿宋_GB2312" w:asciiTheme="minorEastAsia" w:hAnsiTheme="minorEastAsia" w:eastAsiaTheme="minorEastAsia"/>
          <w:b/>
          <w:color w:val="auto"/>
          <w:sz w:val="48"/>
          <w:szCs w:val="48"/>
          <w:highlight w:val="none"/>
        </w:rPr>
      </w:pPr>
      <w:bookmarkStart w:id="1" w:name="_Hlt67893495"/>
      <w:bookmarkEnd w:id="1"/>
      <w:r>
        <w:rPr>
          <w:rFonts w:hint="eastAsia" w:cs="仿宋_GB2312" w:asciiTheme="minorEastAsia" w:hAnsiTheme="minorEastAsia" w:eastAsiaTheme="minorEastAsia"/>
          <w:b/>
          <w:color w:val="auto"/>
          <w:sz w:val="48"/>
          <w:szCs w:val="48"/>
          <w:highlight w:val="none"/>
        </w:rPr>
        <w:t>目  录</w:t>
      </w:r>
    </w:p>
    <w:p w14:paraId="32A8DF4C">
      <w:pPr>
        <w:shd w:val="clear"/>
        <w:spacing w:line="360" w:lineRule="auto"/>
        <w:rPr>
          <w:rFonts w:hint="eastAsia" w:cs="仿宋_GB2312" w:asciiTheme="minorEastAsia" w:hAnsiTheme="minorEastAsia" w:eastAsiaTheme="minorEastAsia"/>
          <w:color w:val="auto"/>
          <w:sz w:val="32"/>
          <w:szCs w:val="32"/>
          <w:highlight w:val="none"/>
        </w:rPr>
      </w:pPr>
    </w:p>
    <w:p w14:paraId="7D5121C6">
      <w:pPr>
        <w:pStyle w:val="41"/>
        <w:shd w:val="clear"/>
        <w:tabs>
          <w:tab w:val="right" w:leader="dot" w:pos="9446"/>
        </w:tabs>
        <w:spacing w:line="360" w:lineRule="auto"/>
        <w:rPr>
          <w:color w:val="auto"/>
          <w:sz w:val="24"/>
          <w:szCs w:val="24"/>
          <w:highlight w:val="none"/>
        </w:rPr>
      </w:pPr>
      <w:bookmarkStart w:id="2" w:name="_Hlt91233176"/>
      <w:bookmarkEnd w:id="2"/>
      <w:bookmarkStart w:id="3" w:name="_Toc91899869"/>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w:instrText>
      </w:r>
      <w:r>
        <w:rPr>
          <w:rFonts w:hint="eastAsia" w:cs="仿宋_GB2312" w:asciiTheme="minorEastAsia" w:hAnsiTheme="minorEastAsia" w:eastAsiaTheme="minorEastAsia"/>
          <w:color w:val="auto"/>
          <w:sz w:val="24"/>
          <w:szCs w:val="24"/>
          <w:highlight w:val="none"/>
        </w:rPr>
        <w:instrText xml:space="preserve">TOC \o "1-1" \h \z \u</w:instrText>
      </w:r>
      <w:r>
        <w:rPr>
          <w:rFonts w:cs="仿宋_GB2312" w:asciiTheme="minorEastAsia" w:hAnsiTheme="minorEastAsia" w:eastAsiaTheme="minorEastAsia"/>
          <w:color w:val="auto"/>
          <w:sz w:val="24"/>
          <w:szCs w:val="24"/>
          <w:highlight w:val="none"/>
        </w:rPr>
        <w:instrText xml:space="preserve"> </w:instrText>
      </w:r>
      <w:r>
        <w:rPr>
          <w:rFonts w:cs="仿宋_GB2312" w:asciiTheme="minorEastAsia" w:hAnsiTheme="minorEastAsia" w:eastAsiaTheme="minorEastAsia"/>
          <w:color w:val="auto"/>
          <w:sz w:val="24"/>
          <w:szCs w:val="24"/>
          <w:highlight w:val="none"/>
        </w:rPr>
        <w:fldChar w:fldCharType="separate"/>
      </w: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_Toc14733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lang w:val="en-US" w:eastAsia="zh-CN"/>
        </w:rPr>
        <w:t>第一部分  邀请供应商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_Toc14733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644207C">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第二部分  竞争性磋商流程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_Toc8027 \h </w:instrText>
      </w:r>
      <w:r>
        <w:rPr>
          <w:color w:val="auto"/>
          <w:sz w:val="24"/>
          <w:szCs w:val="24"/>
          <w:highlight w:val="none"/>
        </w:rPr>
        <w:fldChar w:fldCharType="separate"/>
      </w:r>
      <w:r>
        <w:rPr>
          <w:color w:val="auto"/>
          <w:sz w:val="24"/>
          <w:szCs w:val="24"/>
          <w:highlight w:val="none"/>
        </w:rPr>
        <w:t>5</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1980508">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_Toc25086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第三部分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_Toc25086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22D65F18">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_Toc21470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第四部分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_Toc21470 \h </w:instrText>
      </w:r>
      <w:r>
        <w:rPr>
          <w:color w:val="auto"/>
          <w:sz w:val="24"/>
          <w:szCs w:val="24"/>
          <w:highlight w:val="none"/>
        </w:rPr>
        <w:fldChar w:fldCharType="separate"/>
      </w:r>
      <w:r>
        <w:rPr>
          <w:color w:val="auto"/>
          <w:sz w:val="24"/>
          <w:szCs w:val="24"/>
          <w:highlight w:val="none"/>
        </w:rPr>
        <w:t>31</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21F5C41">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_Toc20242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第五部分  评审方法及评审标准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_Toc20242 \h </w:instrText>
      </w:r>
      <w:r>
        <w:rPr>
          <w:color w:val="auto"/>
          <w:sz w:val="24"/>
          <w:szCs w:val="24"/>
          <w:highlight w:val="none"/>
        </w:rPr>
        <w:fldChar w:fldCharType="separate"/>
      </w:r>
      <w:r>
        <w:rPr>
          <w:color w:val="auto"/>
          <w:sz w:val="24"/>
          <w:szCs w:val="24"/>
          <w:highlight w:val="none"/>
        </w:rPr>
        <w:t>31</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E17D713">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_Toc12398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第六部分  拟签订的合同文本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_Toc12398 \h </w:instrText>
      </w:r>
      <w:r>
        <w:rPr>
          <w:color w:val="auto"/>
          <w:sz w:val="24"/>
          <w:szCs w:val="24"/>
          <w:highlight w:val="none"/>
        </w:rPr>
        <w:fldChar w:fldCharType="separate"/>
      </w:r>
      <w:r>
        <w:rPr>
          <w:color w:val="auto"/>
          <w:sz w:val="24"/>
          <w:szCs w:val="24"/>
          <w:highlight w:val="none"/>
        </w:rPr>
        <w:t>56</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305E1CC">
      <w:pPr>
        <w:pStyle w:val="42"/>
        <w:bidi w:val="0"/>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第七部分  应提交的有关格式范例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6FA6E317">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_Toc6047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 xml:space="preserve">第八部分  </w:t>
      </w:r>
      <w:r>
        <w:rPr>
          <w:rFonts w:hint="eastAsia" w:cs="仿宋_GB2312" w:asciiTheme="minorEastAsia" w:hAnsiTheme="minorEastAsia" w:eastAsiaTheme="minorEastAsia"/>
          <w:color w:val="auto"/>
          <w:sz w:val="24"/>
          <w:szCs w:val="24"/>
          <w:highlight w:val="none"/>
          <w:lang w:val="en-US" w:eastAsia="zh-CN"/>
        </w:rPr>
        <w:t>最后</w:t>
      </w:r>
      <w:r>
        <w:rPr>
          <w:rFonts w:hint="eastAsia" w:cs="仿宋_GB2312" w:asciiTheme="minorEastAsia" w:hAnsiTheme="minorEastAsia" w:eastAsiaTheme="minorEastAsia"/>
          <w:color w:val="auto"/>
          <w:sz w:val="24"/>
          <w:szCs w:val="24"/>
          <w:highlight w:val="none"/>
        </w:rPr>
        <w:t>报价格式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_Toc6047 \h </w:instrText>
      </w:r>
      <w:r>
        <w:rPr>
          <w:color w:val="auto"/>
          <w:sz w:val="24"/>
          <w:szCs w:val="24"/>
          <w:highlight w:val="none"/>
        </w:rPr>
        <w:fldChar w:fldCharType="separate"/>
      </w:r>
      <w:r>
        <w:rPr>
          <w:color w:val="auto"/>
          <w:sz w:val="24"/>
          <w:szCs w:val="24"/>
          <w:highlight w:val="none"/>
        </w:rPr>
        <w:t>87</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41706432">
      <w:pPr>
        <w:shd w:val="clear"/>
        <w:spacing w:line="360" w:lineRule="auto"/>
        <w:ind w:firstLine="549" w:firstLineChars="229"/>
        <w:rPr>
          <w:rFonts w:hint="eastAsia"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szCs w:val="24"/>
          <w:highlight w:val="none"/>
        </w:rPr>
        <w:fldChar w:fldCharType="end"/>
      </w:r>
    </w:p>
    <w:p w14:paraId="511651CF">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240BA93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354CA18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AC8F025">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1283F461">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4EC21F4B">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21654EAB">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78A3A29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3C19DA0E">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870C796">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1A174039">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05629AD">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74AB41C5">
      <w:pPr>
        <w:shd w:val="clear"/>
        <w:spacing w:line="360" w:lineRule="auto"/>
        <w:rPr>
          <w:rFonts w:hint="eastAsia" w:cs="仿宋_GB2312" w:asciiTheme="minorEastAsia" w:hAnsiTheme="minorEastAsia" w:eastAsiaTheme="minorEastAsia"/>
          <w:color w:val="auto"/>
          <w:sz w:val="24"/>
          <w:highlight w:val="none"/>
        </w:rPr>
      </w:pPr>
    </w:p>
    <w:bookmarkEnd w:id="3"/>
    <w:p w14:paraId="2C23F47B">
      <w:pPr>
        <w:shd w:val="clear"/>
        <w:adjustRightInd/>
        <w:jc w:val="center"/>
        <w:outlineLvl w:val="0"/>
        <w:rPr>
          <w:rFonts w:hint="eastAsia" w:cs="仿宋_GB2312" w:asciiTheme="minorEastAsia" w:hAnsiTheme="minorEastAsia" w:eastAsiaTheme="minorEastAsia"/>
          <w:b/>
          <w:color w:val="auto"/>
          <w:sz w:val="36"/>
          <w:szCs w:val="20"/>
          <w:highlight w:val="none"/>
          <w:lang w:eastAsia="zh-CN"/>
        </w:rPr>
        <w:sectPr>
          <w:footerReference r:id="rId5" w:type="default"/>
          <w:pgSz w:w="11907" w:h="16839"/>
          <w:pgMar w:top="1417" w:right="1417" w:bottom="1417" w:left="1417" w:header="850" w:footer="850" w:gutter="0"/>
          <w:pgBorders>
            <w:top w:val="none" w:sz="0" w:space="0"/>
            <w:left w:val="none" w:sz="0" w:space="0"/>
            <w:bottom w:val="none" w:sz="0" w:space="0"/>
            <w:right w:val="none" w:sz="0" w:space="0"/>
          </w:pgBorders>
          <w:pgNumType w:fmt="decimal" w:start="1"/>
          <w:cols w:space="720" w:num="1"/>
          <w:rtlGutter w:val="0"/>
        </w:sectPr>
      </w:pPr>
      <w:bookmarkStart w:id="4" w:name="_Hlt74649545"/>
      <w:bookmarkEnd w:id="4"/>
      <w:bookmarkStart w:id="5" w:name="_Hlt74729822"/>
      <w:bookmarkEnd w:id="5"/>
      <w:bookmarkStart w:id="6" w:name="_Hlt74728647"/>
      <w:bookmarkEnd w:id="6"/>
      <w:bookmarkStart w:id="7" w:name="_Hlt74707423"/>
      <w:bookmarkEnd w:id="7"/>
      <w:bookmarkStart w:id="8" w:name="第二部分"/>
      <w:bookmarkStart w:id="9" w:name="_Toc91899870"/>
      <w:bookmarkStart w:id="10" w:name="_Toc91899871"/>
    </w:p>
    <w:p w14:paraId="5F8BDF46">
      <w:pPr>
        <w:shd w:val="clear"/>
        <w:adjustRightInd/>
        <w:jc w:val="center"/>
        <w:outlineLvl w:val="0"/>
        <w:rPr>
          <w:rFonts w:hint="eastAsia" w:cs="仿宋_GB2312" w:asciiTheme="minorEastAsia" w:hAnsiTheme="minorEastAsia" w:eastAsiaTheme="minorEastAsia"/>
          <w:b/>
          <w:color w:val="auto"/>
          <w:sz w:val="36"/>
          <w:szCs w:val="20"/>
          <w:highlight w:val="none"/>
          <w:lang w:val="en-US" w:eastAsia="zh-CN"/>
        </w:rPr>
      </w:pPr>
      <w:bookmarkStart w:id="11" w:name="_Toc14733"/>
      <w:r>
        <w:rPr>
          <w:rFonts w:hint="eastAsia" w:cs="仿宋_GB2312" w:asciiTheme="minorEastAsia" w:hAnsiTheme="minorEastAsia" w:eastAsiaTheme="minorEastAsia"/>
          <w:b/>
          <w:color w:val="auto"/>
          <w:sz w:val="36"/>
          <w:szCs w:val="20"/>
          <w:highlight w:val="none"/>
          <w:lang w:val="en-US" w:eastAsia="zh-CN"/>
        </w:rPr>
        <w:t>第一部分 邀请供应商</w:t>
      </w:r>
      <w:bookmarkEnd w:id="11"/>
    </w:p>
    <w:p w14:paraId="07B56228">
      <w:pPr>
        <w:shd w:val="clear"/>
        <w:adjustRightInd/>
        <w:jc w:val="center"/>
        <w:outlineLvl w:val="9"/>
        <w:rPr>
          <w:rFonts w:hint="eastAsia" w:cs="仿宋_GB2312" w:asciiTheme="minorEastAsia" w:hAnsiTheme="minorEastAsia" w:eastAsiaTheme="minorEastAsia"/>
          <w:b/>
          <w:color w:val="auto"/>
          <w:sz w:val="32"/>
          <w:szCs w:val="32"/>
          <w:highlight w:val="none"/>
          <w:lang w:eastAsia="zh-CN"/>
        </w:rPr>
      </w:pPr>
    </w:p>
    <w:p w14:paraId="4223066F">
      <w:pPr>
        <w:shd w:val="clear"/>
        <w:adjustRightInd/>
        <w:jc w:val="center"/>
        <w:outlineLvl w:val="9"/>
        <w:rPr>
          <w:rFonts w:hint="eastAsia" w:cs="仿宋_GB2312" w:asciiTheme="minorEastAsia" w:hAnsiTheme="minorEastAsia" w:eastAsiaTheme="minorEastAsia"/>
          <w:b/>
          <w:color w:val="auto"/>
          <w:sz w:val="32"/>
          <w:szCs w:val="32"/>
          <w:highlight w:val="none"/>
          <w:lang w:eastAsia="zh-CN"/>
        </w:rPr>
      </w:pPr>
      <w:r>
        <w:rPr>
          <w:rFonts w:hint="eastAsia" w:cs="仿宋_GB2312" w:asciiTheme="minorEastAsia" w:hAnsiTheme="minorEastAsia" w:eastAsiaTheme="minorEastAsia"/>
          <w:b/>
          <w:color w:val="auto"/>
          <w:sz w:val="32"/>
          <w:szCs w:val="32"/>
          <w:highlight w:val="none"/>
          <w:lang w:eastAsia="zh-CN"/>
        </w:rPr>
        <w:t>广西北部湾宏亚建设管理有限公司</w:t>
      </w:r>
      <w:r>
        <w:rPr>
          <w:rFonts w:hint="eastAsia" w:cs="仿宋_GB2312" w:asciiTheme="minorEastAsia" w:hAnsiTheme="minorEastAsia" w:eastAsiaTheme="minorEastAsia"/>
          <w:b/>
          <w:color w:val="auto"/>
          <w:sz w:val="32"/>
          <w:szCs w:val="32"/>
          <w:highlight w:val="none"/>
        </w:rPr>
        <w:t>关于</w:t>
      </w:r>
      <w:r>
        <w:rPr>
          <w:rFonts w:hint="eastAsia" w:cs="仿宋_GB2312" w:asciiTheme="minorEastAsia" w:hAnsiTheme="minorEastAsia" w:eastAsiaTheme="minorEastAsia"/>
          <w:b/>
          <w:color w:val="auto"/>
          <w:sz w:val="32"/>
          <w:szCs w:val="32"/>
          <w:highlight w:val="none"/>
          <w:lang w:eastAsia="zh-CN"/>
        </w:rPr>
        <w:t>广西壮族自治区第十六届运动会竞技体育项目（武术散打）竞赛服务采购</w:t>
      </w:r>
      <w:r>
        <w:rPr>
          <w:rFonts w:hint="eastAsia" w:cs="仿宋_GB2312" w:asciiTheme="minorEastAsia" w:hAnsiTheme="minorEastAsia" w:eastAsiaTheme="minorEastAsia"/>
          <w:b/>
          <w:color w:val="auto"/>
          <w:sz w:val="32"/>
          <w:szCs w:val="32"/>
          <w:highlight w:val="none"/>
          <w:lang w:val="en-US" w:eastAsia="zh-CN"/>
        </w:rPr>
        <w:t>的</w:t>
      </w:r>
      <w:r>
        <w:rPr>
          <w:rFonts w:hint="eastAsia" w:cs="仿宋_GB2312" w:asciiTheme="minorEastAsia" w:hAnsiTheme="minorEastAsia" w:eastAsiaTheme="minorEastAsia"/>
          <w:b/>
          <w:color w:val="auto"/>
          <w:sz w:val="32"/>
          <w:szCs w:val="32"/>
          <w:highlight w:val="none"/>
        </w:rPr>
        <w:t>竞争性磋商公告</w:t>
      </w:r>
    </w:p>
    <w:p w14:paraId="786566C1">
      <w:pPr>
        <w:shd w:val="clear"/>
        <w:spacing w:line="360" w:lineRule="auto"/>
        <w:rPr>
          <w:rFonts w:hint="eastAsia" w:asciiTheme="minorEastAsia" w:hAnsiTheme="minorEastAsia" w:eastAsiaTheme="minorEastAsia"/>
          <w:color w:val="auto"/>
          <w:sz w:val="24"/>
          <w:szCs w:val="24"/>
          <w:highlight w:val="none"/>
        </w:rPr>
      </w:pPr>
    </w:p>
    <w:tbl>
      <w:tblPr>
        <w:tblStyle w:val="61"/>
        <w:tblpPr w:leftFromText="180" w:rightFromText="180" w:vertAnchor="text" w:horzAnchor="page" w:tblpX="1151" w:tblpY="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14:paraId="5906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noWrap w:val="0"/>
            <w:vAlign w:val="top"/>
          </w:tcPr>
          <w:p w14:paraId="6F3C7787">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项目概况 </w:t>
            </w:r>
          </w:p>
          <w:p w14:paraId="01B33BB7">
            <w:pPr>
              <w:keepNext w:val="0"/>
              <w:keepLines w:val="0"/>
              <w:suppressLineNumbers w:val="0"/>
              <w:shd w:val="clear"/>
              <w:spacing w:before="0" w:beforeAutospacing="0" w:after="0" w:afterAutospacing="0" w:line="360" w:lineRule="auto"/>
              <w:ind w:left="0" w:right="0" w:firstLine="480" w:firstLineChars="200"/>
              <w:rPr>
                <w:rFonts w:hint="eastAsia" w:ascii="宋体" w:hAnsi="宋体" w:cs="宋体"/>
                <w:color w:val="auto"/>
                <w:sz w:val="24"/>
                <w:szCs w:val="24"/>
                <w:highlight w:val="none"/>
              </w:rPr>
            </w:pPr>
            <w:r>
              <w:rPr>
                <w:rFonts w:hint="eastAsia" w:ascii="宋体" w:hAnsi="宋体" w:cs="宋体"/>
                <w:b w:val="0"/>
                <w:color w:val="auto"/>
                <w:kern w:val="0"/>
                <w:sz w:val="24"/>
                <w:szCs w:val="24"/>
                <w:highlight w:val="none"/>
                <w:u w:val="none"/>
                <w:lang w:eastAsia="zh-CN"/>
              </w:rPr>
              <w:t>广西壮族自治区第十六届运动会竞技体育项目（武术散打）竞赛服务采购</w:t>
            </w:r>
            <w:r>
              <w:rPr>
                <w:rFonts w:hint="eastAsia" w:ascii="宋体" w:hAnsi="宋体" w:cs="宋体"/>
                <w:color w:val="auto"/>
                <w:sz w:val="24"/>
                <w:szCs w:val="24"/>
                <w:highlight w:val="none"/>
              </w:rPr>
              <w:t>的潜在供应商应在</w:t>
            </w:r>
            <w:r>
              <w:rPr>
                <w:rFonts w:hint="eastAsia" w:hAnsi="宋体"/>
                <w:color w:val="auto"/>
                <w:sz w:val="24"/>
                <w:szCs w:val="24"/>
                <w:highlight w:val="none"/>
              </w:rPr>
              <w:t>广西政府采购云平台</w:t>
            </w:r>
            <w:r>
              <w:rPr>
                <w:rFonts w:hint="eastAsia" w:asciiTheme="minorEastAsia" w:hAnsiTheme="minorEastAsia" w:eastAsiaTheme="minorEastAsia" w:cstheme="minorEastAsia"/>
                <w:color w:val="auto"/>
                <w:sz w:val="24"/>
                <w:szCs w:val="24"/>
                <w:highlight w:val="none"/>
              </w:rPr>
              <w:t>（https://www.gcy.zfcg.gxzf.gov.cn/）</w:t>
            </w:r>
            <w:r>
              <w:rPr>
                <w:rFonts w:hint="eastAsia" w:ascii="宋体" w:hAnsi="宋体" w:cs="宋体"/>
                <w:color w:val="auto"/>
                <w:sz w:val="24"/>
                <w:szCs w:val="24"/>
                <w:highlight w:val="none"/>
              </w:rPr>
              <w:t>获取采购文件，并于</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宋体" w:hAnsi="宋体" w:cs="宋体"/>
                <w:color w:val="auto"/>
                <w:sz w:val="24"/>
                <w:szCs w:val="24"/>
                <w:highlight w:val="none"/>
              </w:rPr>
              <w:t xml:space="preserve">（北京时间）前提交响应文件。 </w:t>
            </w:r>
          </w:p>
        </w:tc>
      </w:tr>
    </w:tbl>
    <w:p w14:paraId="2ED77200">
      <w:pPr>
        <w:shd w:val="clear"/>
        <w:spacing w:line="360" w:lineRule="auto"/>
        <w:rPr>
          <w:rFonts w:hint="eastAsia" w:ascii="宋体" w:hAnsi="宋体" w:cs="宋体"/>
          <w:b/>
          <w:bCs/>
          <w:color w:val="auto"/>
          <w:sz w:val="24"/>
          <w:szCs w:val="24"/>
          <w:highlight w:val="none"/>
        </w:rPr>
      </w:pPr>
    </w:p>
    <w:p w14:paraId="397A1780">
      <w:pPr>
        <w:shd w:val="clea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一、项目基本情况</w:t>
      </w:r>
    </w:p>
    <w:p w14:paraId="6E88C4C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BHZC2026-C3-990284-BBWH</w:t>
      </w:r>
    </w:p>
    <w:p w14:paraId="551BA2A8">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b w:val="0"/>
          <w:color w:val="auto"/>
          <w:kern w:val="0"/>
          <w:sz w:val="24"/>
          <w:szCs w:val="24"/>
          <w:highlight w:val="none"/>
          <w:u w:val="none"/>
          <w:lang w:eastAsia="zh-CN"/>
        </w:rPr>
        <w:t>广西壮族自治区第十六届运动会竞技体育项目（武术散打）竞赛服务采购</w:t>
      </w:r>
    </w:p>
    <w:p w14:paraId="225B4500">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采购方式：竞争性磋商</w:t>
      </w:r>
    </w:p>
    <w:p w14:paraId="2B03CE6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预算</w:t>
      </w:r>
      <w:r>
        <w:rPr>
          <w:rFonts w:hint="eastAsia" w:ascii="宋体" w:hAnsi="宋体" w:cs="宋体"/>
          <w:color w:val="auto"/>
          <w:sz w:val="24"/>
          <w:szCs w:val="24"/>
          <w:highlight w:val="none"/>
          <w:lang w:eastAsia="zh-CN"/>
        </w:rPr>
        <w:t>总</w:t>
      </w:r>
      <w:r>
        <w:rPr>
          <w:rFonts w:hint="eastAsia" w:ascii="宋体" w:hAnsi="宋体" w:cs="宋体"/>
          <w:color w:val="auto"/>
          <w:sz w:val="24"/>
          <w:szCs w:val="24"/>
          <w:highlight w:val="none"/>
        </w:rPr>
        <w:t>金额（元）：</w:t>
      </w:r>
      <w:r>
        <w:rPr>
          <w:rFonts w:hint="eastAsia" w:ascii="宋体" w:hAnsi="宋体" w:cs="宋体"/>
          <w:color w:val="auto"/>
          <w:sz w:val="24"/>
          <w:szCs w:val="24"/>
          <w:highlight w:val="none"/>
          <w:lang w:eastAsia="zh-CN"/>
        </w:rPr>
        <w:t>818730.00</w:t>
      </w:r>
    </w:p>
    <w:p w14:paraId="2EDAB2CC">
      <w:pPr>
        <w:shd w:val="clear"/>
        <w:adjustRightInd w:val="0"/>
        <w:spacing w:line="360" w:lineRule="auto"/>
        <w:ind w:firstLine="480" w:firstLineChars="200"/>
        <w:rPr>
          <w:rFonts w:hint="eastAsia" w:eastAsia="宋体"/>
          <w:color w:val="auto"/>
          <w:highlight w:val="none"/>
          <w:lang w:val="en-US" w:eastAsia="zh-CN"/>
        </w:rPr>
      </w:pPr>
      <w:r>
        <w:rPr>
          <w:rFonts w:hint="eastAsia" w:ascii="宋体" w:hAnsi="宋体"/>
          <w:color w:val="auto"/>
          <w:sz w:val="24"/>
          <w:highlight w:val="none"/>
        </w:rPr>
        <w:t>最高限价（元）：</w:t>
      </w:r>
      <w:r>
        <w:rPr>
          <w:rFonts w:hint="eastAsia" w:ascii="宋体" w:hAnsi="宋体" w:cs="宋体"/>
          <w:color w:val="auto"/>
          <w:sz w:val="24"/>
          <w:szCs w:val="24"/>
          <w:highlight w:val="none"/>
          <w:lang w:eastAsia="zh-CN"/>
        </w:rPr>
        <w:t>818730.00</w:t>
      </w:r>
    </w:p>
    <w:p w14:paraId="4BB3C55B">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p w14:paraId="158F9560">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b w:val="0"/>
          <w:color w:val="auto"/>
          <w:kern w:val="0"/>
          <w:sz w:val="24"/>
          <w:szCs w:val="24"/>
          <w:highlight w:val="none"/>
          <w:u w:val="none"/>
          <w:lang w:val="en-US" w:eastAsia="zh-CN"/>
        </w:rPr>
      </w:pPr>
      <w:r>
        <w:rPr>
          <w:rFonts w:hint="eastAsia" w:ascii="宋体" w:hAnsi="宋体" w:cs="宋体"/>
          <w:color w:val="auto"/>
          <w:sz w:val="24"/>
          <w:szCs w:val="24"/>
          <w:highlight w:val="none"/>
        </w:rPr>
        <w:t>标项名称：</w:t>
      </w:r>
      <w:r>
        <w:rPr>
          <w:rFonts w:hint="eastAsia" w:ascii="宋体" w:hAnsi="宋体" w:cs="宋体"/>
          <w:b w:val="0"/>
          <w:color w:val="auto"/>
          <w:kern w:val="0"/>
          <w:sz w:val="24"/>
          <w:szCs w:val="24"/>
          <w:highlight w:val="none"/>
          <w:u w:val="none"/>
          <w:lang w:eastAsia="zh-CN"/>
        </w:rPr>
        <w:t>广西壮族自治区第十六届运动会竞技体育项目（武术散打）竞赛服务采购</w:t>
      </w:r>
    </w:p>
    <w:p w14:paraId="6C02014B">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数量：1项</w:t>
      </w:r>
    </w:p>
    <w:p w14:paraId="3EEDE515">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预算金额（元）：</w:t>
      </w:r>
      <w:r>
        <w:rPr>
          <w:rFonts w:hint="eastAsia" w:ascii="宋体" w:hAnsi="宋体" w:cs="宋体"/>
          <w:color w:val="auto"/>
          <w:sz w:val="24"/>
          <w:szCs w:val="24"/>
          <w:highlight w:val="none"/>
          <w:lang w:eastAsia="zh-CN"/>
        </w:rPr>
        <w:t>818730.00</w:t>
      </w:r>
    </w:p>
    <w:p w14:paraId="0A4283A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ascii="仿宋" w:hAnsi="仿宋"/>
          <w:color w:val="auto"/>
          <w:sz w:val="24"/>
          <w:szCs w:val="24"/>
          <w:highlight w:val="none"/>
        </w:rPr>
        <w:t>简要规格描述或项目基本概况介绍、用途：</w:t>
      </w:r>
      <w:r>
        <w:rPr>
          <w:rFonts w:hint="eastAsia" w:ascii="宋体" w:hAnsi="宋体" w:cs="宋体"/>
          <w:b w:val="0"/>
          <w:color w:val="auto"/>
          <w:kern w:val="0"/>
          <w:sz w:val="24"/>
          <w:szCs w:val="24"/>
          <w:highlight w:val="none"/>
          <w:u w:val="none"/>
          <w:lang w:val="en-US" w:eastAsia="zh-CN"/>
        </w:rPr>
        <w:t>广西壮族自治区第十六届运动会竞技体育项目（武术散打）竞赛服务采购</w:t>
      </w:r>
      <w:r>
        <w:rPr>
          <w:rFonts w:hint="eastAsia" w:ascii="仿宋" w:hAnsi="仿宋"/>
          <w:color w:val="auto"/>
          <w:sz w:val="24"/>
          <w:szCs w:val="24"/>
          <w:highlight w:val="none"/>
        </w:rPr>
        <w:t>，</w:t>
      </w:r>
      <w:r>
        <w:rPr>
          <w:rFonts w:hint="eastAsia" w:ascii="仿宋" w:hAnsi="仿宋"/>
          <w:color w:val="auto"/>
          <w:sz w:val="24"/>
          <w:szCs w:val="24"/>
          <w:highlight w:val="none"/>
          <w:lang w:val="en-US" w:eastAsia="zh-CN"/>
        </w:rPr>
        <w:t>具体内容</w:t>
      </w:r>
      <w:r>
        <w:rPr>
          <w:rFonts w:hint="eastAsia" w:ascii="仿宋" w:hAnsi="仿宋"/>
          <w:color w:val="auto"/>
          <w:sz w:val="24"/>
          <w:szCs w:val="24"/>
          <w:highlight w:val="none"/>
        </w:rPr>
        <w:t>详见</w:t>
      </w:r>
      <w:r>
        <w:rPr>
          <w:rFonts w:hint="eastAsia" w:ascii="仿宋" w:hAnsi="仿宋"/>
          <w:color w:val="auto"/>
          <w:sz w:val="24"/>
          <w:szCs w:val="24"/>
          <w:highlight w:val="none"/>
          <w:lang w:val="en-US" w:eastAsia="zh-CN"/>
        </w:rPr>
        <w:t>竞争性</w:t>
      </w:r>
      <w:r>
        <w:rPr>
          <w:rFonts w:hint="eastAsia" w:ascii="仿宋" w:hAnsi="仿宋"/>
          <w:color w:val="auto"/>
          <w:sz w:val="24"/>
          <w:szCs w:val="24"/>
          <w:highlight w:val="none"/>
        </w:rPr>
        <w:t>磋商文件</w:t>
      </w:r>
      <w:r>
        <w:rPr>
          <w:rFonts w:hint="eastAsia"/>
          <w:color w:val="auto"/>
          <w:sz w:val="24"/>
          <w:szCs w:val="24"/>
          <w:highlight w:val="none"/>
        </w:rPr>
        <w:t>。</w:t>
      </w:r>
    </w:p>
    <w:p w14:paraId="3D660B0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ascii="宋体" w:hAnsi="宋体" w:cs="宋体"/>
          <w:color w:val="auto"/>
          <w:sz w:val="24"/>
          <w:szCs w:val="24"/>
          <w:highlight w:val="none"/>
        </w:rPr>
        <w:t>最高限价（如有）：</w:t>
      </w:r>
      <w:r>
        <w:rPr>
          <w:rFonts w:hint="eastAsia" w:ascii="宋体" w:hAnsi="宋体" w:cs="宋体"/>
          <w:color w:val="auto"/>
          <w:sz w:val="24"/>
          <w:szCs w:val="24"/>
          <w:highlight w:val="none"/>
          <w:lang w:eastAsia="zh-CN"/>
        </w:rPr>
        <w:t>818730.00</w:t>
      </w:r>
    </w:p>
    <w:p w14:paraId="042BCF7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宋体"/>
          <w:color w:val="auto"/>
          <w:sz w:val="24"/>
          <w:szCs w:val="24"/>
          <w:highlight w:val="none"/>
          <w:lang w:val="en-US" w:eastAsia="zh-CN"/>
        </w:rPr>
      </w:pPr>
      <w:r>
        <w:rPr>
          <w:rFonts w:hint="eastAsia" w:ascii="仿宋" w:hAnsi="仿宋"/>
          <w:color w:val="auto"/>
          <w:sz w:val="24"/>
          <w:szCs w:val="24"/>
          <w:highlight w:val="none"/>
        </w:rPr>
        <w:t>合同履约期限：</w:t>
      </w:r>
      <w:r>
        <w:rPr>
          <w:rFonts w:hint="eastAsia" w:ascii="仿宋" w:hAnsi="仿宋"/>
          <w:color w:val="auto"/>
          <w:sz w:val="24"/>
          <w:szCs w:val="24"/>
          <w:highlight w:val="none"/>
          <w:lang w:val="en-US" w:eastAsia="zh-CN"/>
        </w:rPr>
        <w:t>详见采购文件第四部分《采购需求》</w:t>
      </w:r>
      <w:r>
        <w:rPr>
          <w:rFonts w:hint="eastAsia" w:ascii="仿宋" w:hAnsi="仿宋"/>
          <w:color w:val="auto"/>
          <w:sz w:val="24"/>
          <w:szCs w:val="24"/>
          <w:highlight w:val="none"/>
          <w:lang w:eastAsia="zh-CN"/>
        </w:rPr>
        <w:t>。</w:t>
      </w:r>
    </w:p>
    <w:p w14:paraId="5BFF6F0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仿宋" w:hAnsi="仿宋" w:eastAsia="宋体" w:cs="Times New Roman"/>
          <w:color w:val="auto"/>
          <w:sz w:val="24"/>
          <w:szCs w:val="24"/>
          <w:highlight w:val="none"/>
        </w:rPr>
      </w:pPr>
      <w:r>
        <w:rPr>
          <w:rFonts w:ascii="仿宋" w:hAnsi="仿宋" w:eastAsia="宋体" w:cs="Times New Roman"/>
          <w:color w:val="auto"/>
          <w:sz w:val="24"/>
          <w:szCs w:val="24"/>
          <w:highlight w:val="none"/>
        </w:rPr>
        <w:t>本标项</w:t>
      </w:r>
      <w:r>
        <w:rPr>
          <w:rFonts w:hint="default" w:ascii="仿宋" w:hAnsi="仿宋" w:eastAsia="宋体" w:cs="Times New Roman"/>
          <w:color w:val="auto"/>
          <w:sz w:val="24"/>
          <w:szCs w:val="24"/>
          <w:highlight w:val="none"/>
          <w:lang w:eastAsia="zh-CN"/>
        </w:rPr>
        <w:t>（</w:t>
      </w:r>
      <w:r>
        <w:rPr>
          <w:rFonts w:hint="eastAsia" w:ascii="仿宋" w:hAnsi="仿宋" w:cs="Times New Roman"/>
          <w:color w:val="auto"/>
          <w:sz w:val="24"/>
          <w:szCs w:val="24"/>
          <w:highlight w:val="none"/>
          <w:lang w:val="en-US" w:eastAsia="zh-CN"/>
        </w:rPr>
        <w:t>否</w:t>
      </w:r>
      <w:r>
        <w:rPr>
          <w:rFonts w:hint="default" w:ascii="仿宋" w:hAnsi="仿宋" w:eastAsia="宋体" w:cs="Times New Roman"/>
          <w:color w:val="auto"/>
          <w:sz w:val="24"/>
          <w:szCs w:val="24"/>
          <w:highlight w:val="none"/>
          <w:lang w:eastAsia="zh-CN"/>
        </w:rPr>
        <w:t>）接受</w:t>
      </w:r>
      <w:r>
        <w:rPr>
          <w:rFonts w:ascii="仿宋" w:hAnsi="仿宋" w:eastAsia="宋体" w:cs="Times New Roman"/>
          <w:color w:val="auto"/>
          <w:sz w:val="24"/>
          <w:szCs w:val="24"/>
          <w:highlight w:val="none"/>
        </w:rPr>
        <w:t>联合体</w:t>
      </w:r>
      <w:r>
        <w:rPr>
          <w:rFonts w:hint="default" w:ascii="仿宋" w:hAnsi="仿宋" w:eastAsia="宋体" w:cs="Times New Roman"/>
          <w:color w:val="auto"/>
          <w:sz w:val="24"/>
          <w:szCs w:val="24"/>
          <w:highlight w:val="none"/>
          <w:lang w:eastAsia="zh-CN"/>
        </w:rPr>
        <w:t>投标</w:t>
      </w:r>
      <w:r>
        <w:rPr>
          <w:rFonts w:hint="default" w:ascii="仿宋" w:hAnsi="仿宋" w:eastAsia="宋体" w:cs="Times New Roman"/>
          <w:color w:val="auto"/>
          <w:sz w:val="24"/>
          <w:szCs w:val="24"/>
          <w:highlight w:val="none"/>
        </w:rPr>
        <w:t>。</w:t>
      </w:r>
    </w:p>
    <w:p w14:paraId="58630FB9">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仿宋" w:hAnsi="仿宋" w:eastAsia="宋体" w:cs="Times New Roman"/>
          <w:color w:val="auto"/>
          <w:kern w:val="0"/>
          <w:sz w:val="24"/>
          <w:szCs w:val="24"/>
          <w:highlight w:val="none"/>
        </w:rPr>
      </w:pPr>
      <w:r>
        <w:rPr>
          <w:rFonts w:ascii="仿宋" w:hAnsi="仿宋" w:eastAsia="宋体" w:cs="Times New Roman"/>
          <w:i w:val="0"/>
          <w:iCs w:val="0"/>
          <w:caps w:val="0"/>
          <w:color w:val="auto"/>
          <w:spacing w:val="0"/>
          <w:kern w:val="0"/>
          <w:sz w:val="24"/>
          <w:szCs w:val="24"/>
          <w:highlight w:val="none"/>
          <w:shd w:val="clear" w:color="auto" w:fill="auto"/>
        </w:rPr>
        <w:t>备注：</w:t>
      </w:r>
      <w:r>
        <w:rPr>
          <w:rFonts w:hint="default" w:ascii="仿宋" w:hAnsi="仿宋" w:eastAsia="宋体" w:cs="Times New Roman"/>
          <w:i w:val="0"/>
          <w:iCs w:val="0"/>
          <w:caps w:val="0"/>
          <w:color w:val="auto"/>
          <w:spacing w:val="0"/>
          <w:kern w:val="0"/>
          <w:sz w:val="24"/>
          <w:szCs w:val="24"/>
          <w:highlight w:val="none"/>
          <w:shd w:val="clear" w:color="auto" w:fill="auto"/>
        </w:rPr>
        <w:t>/</w:t>
      </w:r>
    </w:p>
    <w:p w14:paraId="1F19C16A">
      <w:pPr>
        <w:shd w:val="clea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二、申请人的资格要求：</w:t>
      </w:r>
    </w:p>
    <w:p w14:paraId="77574899">
      <w:pPr>
        <w:shd w:val="clea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1.满足《中华人民共和国政府采购法》第二十二条规定；</w:t>
      </w:r>
    </w:p>
    <w:p w14:paraId="3EB6F166">
      <w:pPr>
        <w:shd w:val="clear"/>
        <w:spacing w:line="360" w:lineRule="auto"/>
        <w:ind w:firstLine="420"/>
        <w:rPr>
          <w:rFonts w:hint="eastAsia" w:ascii="宋体" w:hAnsi="宋体" w:cs="宋体"/>
          <w:color w:val="auto"/>
          <w:kern w:val="1"/>
          <w:sz w:val="24"/>
          <w:szCs w:val="24"/>
          <w:highlight w:val="none"/>
          <w:lang w:val="en-US" w:eastAsia="zh-CN"/>
        </w:rPr>
      </w:pPr>
      <w:r>
        <w:rPr>
          <w:rFonts w:hint="eastAsia" w:ascii="宋体" w:hAnsi="宋体" w:cs="宋体"/>
          <w:color w:val="auto"/>
          <w:kern w:val="1"/>
          <w:sz w:val="24"/>
          <w:szCs w:val="24"/>
          <w:highlight w:val="none"/>
        </w:rPr>
        <w:t>2.落实政府采购政策需满足的资格要求：</w:t>
      </w:r>
      <w:r>
        <w:rPr>
          <w:rFonts w:hint="eastAsia" w:ascii="宋体" w:hAnsi="宋体" w:cs="宋体"/>
          <w:color w:val="auto"/>
          <w:kern w:val="1"/>
          <w:sz w:val="24"/>
          <w:szCs w:val="24"/>
          <w:highlight w:val="none"/>
          <w:lang w:val="en-US" w:eastAsia="zh-CN"/>
        </w:rPr>
        <w:t>服务</w:t>
      </w:r>
      <w:r>
        <w:rPr>
          <w:rFonts w:hint="eastAsia" w:ascii="宋体" w:hAnsi="宋体" w:cs="宋体"/>
          <w:color w:val="auto"/>
          <w:kern w:val="1"/>
          <w:sz w:val="24"/>
          <w:szCs w:val="24"/>
          <w:highlight w:val="none"/>
        </w:rPr>
        <w:t>的</w:t>
      </w:r>
      <w:r>
        <w:rPr>
          <w:rFonts w:hint="eastAsia" w:ascii="宋体" w:hAnsi="宋体" w:cs="宋体"/>
          <w:color w:val="auto"/>
          <w:kern w:val="1"/>
          <w:sz w:val="24"/>
          <w:szCs w:val="24"/>
          <w:highlight w:val="none"/>
          <w:lang w:val="en-US" w:eastAsia="zh-CN"/>
        </w:rPr>
        <w:t>承接</w:t>
      </w:r>
      <w:r>
        <w:rPr>
          <w:rFonts w:hint="eastAsia" w:ascii="宋体" w:hAnsi="宋体" w:cs="宋体"/>
          <w:color w:val="auto"/>
          <w:kern w:val="1"/>
          <w:sz w:val="24"/>
          <w:szCs w:val="24"/>
          <w:highlight w:val="none"/>
        </w:rPr>
        <w:t>单位</w:t>
      </w:r>
      <w:r>
        <w:rPr>
          <w:rFonts w:hint="eastAsia" w:ascii="宋体" w:hAnsi="宋体" w:cs="宋体"/>
          <w:color w:val="auto"/>
          <w:kern w:val="1"/>
          <w:sz w:val="24"/>
          <w:szCs w:val="24"/>
          <w:highlight w:val="none"/>
          <w:lang w:val="en-US" w:eastAsia="zh-CN"/>
        </w:rPr>
        <w:t>应</w:t>
      </w:r>
      <w:r>
        <w:rPr>
          <w:rFonts w:hint="eastAsia" w:ascii="宋体" w:hAnsi="宋体" w:cs="宋体"/>
          <w:color w:val="auto"/>
          <w:kern w:val="1"/>
          <w:sz w:val="24"/>
          <w:szCs w:val="24"/>
          <w:highlight w:val="none"/>
        </w:rPr>
        <w:t>为符合政策要求的</w:t>
      </w:r>
      <w:r>
        <w:rPr>
          <w:rFonts w:hint="eastAsia" w:ascii="宋体" w:hAnsi="宋体" w:cs="宋体"/>
          <w:color w:val="auto"/>
          <w:kern w:val="1"/>
          <w:sz w:val="24"/>
          <w:szCs w:val="24"/>
          <w:highlight w:val="none"/>
          <w:lang w:val="en-US" w:eastAsia="zh-CN"/>
        </w:rPr>
        <w:t>中小</w:t>
      </w:r>
      <w:r>
        <w:rPr>
          <w:rFonts w:hint="eastAsia" w:ascii="宋体" w:hAnsi="宋体" w:cs="宋体"/>
          <w:color w:val="auto"/>
          <w:kern w:val="1"/>
          <w:sz w:val="24"/>
          <w:szCs w:val="24"/>
          <w:highlight w:val="none"/>
        </w:rPr>
        <w:t>企业</w:t>
      </w:r>
      <w:r>
        <w:rPr>
          <w:rFonts w:hint="eastAsia" w:ascii="宋体" w:hAnsi="宋体" w:cs="宋体"/>
          <w:color w:val="auto"/>
          <w:kern w:val="1"/>
          <w:sz w:val="24"/>
          <w:szCs w:val="24"/>
          <w:highlight w:val="none"/>
          <w:lang w:eastAsia="zh-CN"/>
        </w:rPr>
        <w:t>（供应商应为</w:t>
      </w:r>
      <w:r>
        <w:rPr>
          <w:rFonts w:hint="eastAsia" w:ascii="宋体" w:hAnsi="宋体" w:cs="宋体"/>
          <w:color w:val="auto"/>
          <w:kern w:val="1"/>
          <w:sz w:val="24"/>
          <w:szCs w:val="24"/>
          <w:highlight w:val="none"/>
          <w:lang w:val="en-US" w:eastAsia="zh-CN"/>
        </w:rPr>
        <w:t>中小微</w:t>
      </w:r>
      <w:r>
        <w:rPr>
          <w:rFonts w:hint="eastAsia" w:ascii="宋体" w:hAnsi="宋体" w:cs="宋体"/>
          <w:color w:val="auto"/>
          <w:kern w:val="1"/>
          <w:sz w:val="24"/>
          <w:szCs w:val="24"/>
          <w:highlight w:val="none"/>
          <w:lang w:eastAsia="zh-CN"/>
        </w:rPr>
        <w:t>企业</w:t>
      </w:r>
      <w:r>
        <w:rPr>
          <w:rFonts w:hint="eastAsia" w:ascii="宋体" w:hAnsi="宋体" w:cs="宋体"/>
          <w:color w:val="auto"/>
          <w:kern w:val="1"/>
          <w:sz w:val="24"/>
          <w:szCs w:val="24"/>
          <w:highlight w:val="none"/>
          <w:lang w:val="en-US" w:eastAsia="zh-CN"/>
        </w:rPr>
        <w:t>/</w:t>
      </w:r>
      <w:r>
        <w:rPr>
          <w:rFonts w:hint="eastAsia" w:ascii="宋体" w:hAnsi="宋体" w:cs="宋体"/>
          <w:color w:val="auto"/>
          <w:kern w:val="1"/>
          <w:sz w:val="24"/>
          <w:szCs w:val="24"/>
          <w:highlight w:val="none"/>
          <w:lang w:eastAsia="zh-CN"/>
        </w:rPr>
        <w:t>监狱企业</w:t>
      </w:r>
      <w:r>
        <w:rPr>
          <w:rFonts w:hint="eastAsia" w:ascii="宋体" w:hAnsi="宋体" w:cs="宋体"/>
          <w:color w:val="auto"/>
          <w:kern w:val="1"/>
          <w:sz w:val="24"/>
          <w:szCs w:val="24"/>
          <w:highlight w:val="none"/>
          <w:lang w:val="en-US" w:eastAsia="zh-CN"/>
        </w:rPr>
        <w:t>/</w:t>
      </w:r>
      <w:r>
        <w:rPr>
          <w:rFonts w:hint="eastAsia" w:ascii="宋体" w:hAnsi="宋体" w:cs="宋体"/>
          <w:color w:val="auto"/>
          <w:kern w:val="1"/>
          <w:sz w:val="24"/>
          <w:szCs w:val="24"/>
          <w:highlight w:val="none"/>
          <w:lang w:eastAsia="zh-CN"/>
        </w:rPr>
        <w:t>残疾人福利性单位)</w:t>
      </w:r>
      <w:r>
        <w:rPr>
          <w:rFonts w:hint="eastAsia" w:ascii="宋体" w:hAnsi="宋体" w:cs="宋体"/>
          <w:color w:val="auto"/>
          <w:kern w:val="1"/>
          <w:sz w:val="24"/>
          <w:szCs w:val="24"/>
          <w:highlight w:val="none"/>
          <w:lang w:val="en-US" w:eastAsia="zh-CN"/>
        </w:rPr>
        <w:t>。</w:t>
      </w:r>
    </w:p>
    <w:p w14:paraId="75878338">
      <w:pPr>
        <w:shd w:val="clear"/>
        <w:spacing w:line="360" w:lineRule="auto"/>
        <w:ind w:firstLine="420"/>
        <w:rPr>
          <w:rFonts w:hint="eastAsia" w:ascii="宋体" w:hAnsi="宋体" w:eastAsia="宋体" w:cs="宋体"/>
          <w:b w:val="0"/>
          <w:bCs w:val="0"/>
          <w:color w:val="auto"/>
          <w:kern w:val="1"/>
          <w:sz w:val="24"/>
          <w:szCs w:val="24"/>
          <w:highlight w:val="none"/>
          <w:lang w:val="en-US" w:eastAsia="zh-CN"/>
        </w:rPr>
      </w:pPr>
      <w:r>
        <w:rPr>
          <w:rFonts w:hint="eastAsia" w:cs="宋体"/>
          <w:color w:val="auto"/>
          <w:kern w:val="1"/>
          <w:sz w:val="24"/>
          <w:szCs w:val="24"/>
          <w:highlight w:val="none"/>
        </w:rPr>
        <w:t>3.本项目的特定资格要求：</w:t>
      </w:r>
      <w:r>
        <w:rPr>
          <w:rFonts w:hint="eastAsia" w:ascii="宋体" w:hAnsi="宋体" w:cs="宋体"/>
          <w:b w:val="0"/>
          <w:bCs w:val="0"/>
          <w:color w:val="auto"/>
          <w:sz w:val="24"/>
          <w:szCs w:val="24"/>
          <w:highlight w:val="none"/>
          <w:lang w:val="en-US" w:eastAsia="zh-CN"/>
        </w:rPr>
        <w:t>无</w:t>
      </w:r>
      <w:r>
        <w:rPr>
          <w:rFonts w:hint="eastAsia" w:ascii="宋体" w:hAnsi="宋体" w:cs="宋体"/>
          <w:b w:val="0"/>
          <w:bCs w:val="0"/>
          <w:color w:val="auto"/>
          <w:kern w:val="1"/>
          <w:sz w:val="24"/>
          <w:szCs w:val="24"/>
          <w:highlight w:val="none"/>
          <w:lang w:val="en-US" w:eastAsia="zh-CN"/>
        </w:rPr>
        <w:t>。</w:t>
      </w:r>
    </w:p>
    <w:p w14:paraId="69F82F01">
      <w:pPr>
        <w:pStyle w:val="633"/>
        <w:shd w:val="clear"/>
        <w:ind w:firstLine="0"/>
        <w:rPr>
          <w:b/>
          <w:color w:val="auto"/>
          <w:highlight w:val="none"/>
        </w:rPr>
      </w:pPr>
      <w:r>
        <w:rPr>
          <w:rFonts w:hint="eastAsia"/>
          <w:b/>
          <w:color w:val="auto"/>
          <w:highlight w:val="none"/>
        </w:rPr>
        <w:t>三、获取（下载）采购文件</w:t>
      </w:r>
    </w:p>
    <w:p w14:paraId="419B3DF2">
      <w:pPr>
        <w:shd w:val="clear"/>
        <w:spacing w:line="360" w:lineRule="auto"/>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时间：202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9</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日至202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9</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10</w:t>
      </w:r>
      <w:r>
        <w:rPr>
          <w:rFonts w:hint="eastAsia" w:cs="宋体" w:asciiTheme="minorEastAsia" w:hAnsiTheme="minorEastAsia" w:eastAsiaTheme="minorEastAsia"/>
          <w:color w:val="auto"/>
          <w:sz w:val="24"/>
          <w:highlight w:val="none"/>
        </w:rPr>
        <w:t>日，每天上午</w:t>
      </w:r>
      <w:r>
        <w:rPr>
          <w:rFonts w:hint="eastAsia" w:asciiTheme="minorEastAsia" w:hAnsiTheme="minorEastAsia" w:eastAsiaTheme="minorEastAsia"/>
          <w:color w:val="auto"/>
          <w:sz w:val="24"/>
          <w:highlight w:val="none"/>
        </w:rPr>
        <w:t>00:00至12:00 ，下午12:00至23:59</w:t>
      </w:r>
      <w:r>
        <w:rPr>
          <w:rFonts w:hint="eastAsia" w:cs="宋体" w:asciiTheme="minorEastAsia" w:hAnsiTheme="minorEastAsia" w:eastAsiaTheme="minorEastAsia"/>
          <w:color w:val="auto"/>
          <w:sz w:val="24"/>
          <w:highlight w:val="none"/>
        </w:rPr>
        <w:t>（北京时间，法定节假日除外）；</w:t>
      </w:r>
    </w:p>
    <w:p w14:paraId="1D3D7AD9">
      <w:pPr>
        <w:shd w:val="clear"/>
        <w:spacing w:line="360" w:lineRule="auto"/>
        <w:ind w:firstLine="540"/>
        <w:rPr>
          <w:rFonts w:cs="宋体" w:asciiTheme="minorEastAsia" w:hAnsiTheme="minorEastAsia" w:eastAsiaTheme="minorEastAsia"/>
          <w:color w:val="auto"/>
          <w:sz w:val="28"/>
          <w:szCs w:val="28"/>
          <w:highlight w:val="none"/>
          <w:u w:val="single"/>
        </w:rPr>
      </w:pPr>
      <w:r>
        <w:rPr>
          <w:rFonts w:hint="eastAsia" w:cs="宋体" w:asciiTheme="minorEastAsia" w:hAnsiTheme="minorEastAsia" w:eastAsiaTheme="minorEastAsia"/>
          <w:color w:val="auto"/>
          <w:sz w:val="24"/>
          <w:highlight w:val="none"/>
        </w:rPr>
        <w:t>地点（网址）：</w:t>
      </w:r>
      <w:r>
        <w:rPr>
          <w:rFonts w:hint="eastAsia" w:ascii="宋体" w:hAnsi="宋体" w:cs="宋体"/>
          <w:color w:val="auto"/>
          <w:sz w:val="24"/>
          <w:highlight w:val="none"/>
        </w:rPr>
        <w:t>广西政府采购云平台（https://www.gcy.zfcg.gxzf.gov.cn/）</w:t>
      </w:r>
    </w:p>
    <w:p w14:paraId="07E9AAF7">
      <w:pPr>
        <w:shd w:val="clear"/>
        <w:spacing w:line="360" w:lineRule="auto"/>
        <w:ind w:firstLine="540"/>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方式：供应商登录</w:t>
      </w:r>
      <w:r>
        <w:rPr>
          <w:rFonts w:hint="eastAsia" w:ascii="宋体" w:hAnsi="宋体" w:cs="宋体"/>
          <w:color w:val="auto"/>
          <w:sz w:val="24"/>
          <w:highlight w:val="none"/>
        </w:rPr>
        <w:t>广西政府采购云平台（https://www.gcy.zfcg.gxzf.gov.cn/）</w:t>
      </w:r>
      <w:r>
        <w:rPr>
          <w:rFonts w:hint="eastAsia" w:cs="宋体" w:asciiTheme="minorEastAsia" w:hAnsiTheme="minorEastAsia" w:eastAsiaTheme="minorEastAsia"/>
          <w:color w:val="auto"/>
          <w:sz w:val="24"/>
          <w:highlight w:val="none"/>
        </w:rPr>
        <w:t>在线申请获取采购文件（进入“项目采购”应用，在获取采购文件菜单中选择项目，申请获取采购文件）。</w:t>
      </w:r>
    </w:p>
    <w:p w14:paraId="0614FF58">
      <w:pPr>
        <w:shd w:val="clear"/>
        <w:spacing w:line="360" w:lineRule="auto"/>
        <w:ind w:firstLine="540"/>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b/>
          <w:color w:val="auto"/>
          <w:sz w:val="24"/>
          <w:highlight w:val="none"/>
        </w:rPr>
        <w:t>售价：</w:t>
      </w:r>
      <w:r>
        <w:rPr>
          <w:rFonts w:hint="eastAsia" w:cs="仿宋_GB2312" w:asciiTheme="minorEastAsia" w:hAnsiTheme="minorEastAsia" w:eastAsiaTheme="minorEastAsia"/>
          <w:color w:val="auto"/>
          <w:sz w:val="24"/>
          <w:highlight w:val="none"/>
        </w:rPr>
        <w:t>0。</w:t>
      </w:r>
    </w:p>
    <w:p w14:paraId="160F9828">
      <w:pPr>
        <w:pStyle w:val="633"/>
        <w:shd w:val="clear"/>
        <w:ind w:firstLine="0"/>
        <w:rPr>
          <w:b/>
          <w:color w:val="auto"/>
          <w:highlight w:val="none"/>
        </w:rPr>
      </w:pPr>
      <w:bookmarkStart w:id="12" w:name="_Toc28359092"/>
      <w:bookmarkStart w:id="13" w:name="_Toc35393801"/>
      <w:bookmarkStart w:id="14" w:name="_Toc28359015"/>
      <w:bookmarkStart w:id="15" w:name="_Toc35393632"/>
      <w:r>
        <w:rPr>
          <w:rFonts w:hint="eastAsia"/>
          <w:b/>
          <w:color w:val="auto"/>
          <w:highlight w:val="none"/>
        </w:rPr>
        <w:t>四、响应文件提交</w:t>
      </w:r>
      <w:bookmarkEnd w:id="12"/>
      <w:bookmarkEnd w:id="13"/>
      <w:bookmarkEnd w:id="14"/>
      <w:bookmarkEnd w:id="15"/>
    </w:p>
    <w:p w14:paraId="24D77ECD">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截止时间：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Theme="minorEastAsia" w:hAnsiTheme="minorEastAsia" w:eastAsiaTheme="minorEastAsia"/>
          <w:bCs/>
          <w:color w:val="auto"/>
          <w:sz w:val="24"/>
          <w:highlight w:val="none"/>
          <w:u w:val="none"/>
        </w:rPr>
        <w:t>（北京时间）</w:t>
      </w:r>
    </w:p>
    <w:p w14:paraId="5A80255F">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广西政府采购云平台（https://www.gcy.zfcg.gxzf.gov.cn/）</w:t>
      </w:r>
      <w:r>
        <w:rPr>
          <w:rFonts w:hint="eastAsia" w:cs="仿宋_GB2312" w:asciiTheme="minorEastAsia" w:hAnsiTheme="minorEastAsia" w:eastAsiaTheme="minorEastAsia"/>
          <w:b/>
          <w:color w:val="auto"/>
          <w:sz w:val="24"/>
          <w:highlight w:val="none"/>
          <w:u w:val="none"/>
        </w:rPr>
        <w:t>。</w:t>
      </w:r>
    </w:p>
    <w:p w14:paraId="5143CA8F">
      <w:pPr>
        <w:pStyle w:val="633"/>
        <w:shd w:val="clear"/>
        <w:ind w:firstLine="0"/>
        <w:rPr>
          <w:b/>
          <w:color w:val="auto"/>
          <w:highlight w:val="none"/>
          <w:u w:val="none"/>
        </w:rPr>
      </w:pPr>
      <w:bookmarkStart w:id="16" w:name="_Toc28359093"/>
      <w:bookmarkStart w:id="17" w:name="_Toc35393802"/>
      <w:bookmarkStart w:id="18" w:name="_Toc28359016"/>
      <w:bookmarkStart w:id="19" w:name="_Toc35393633"/>
      <w:r>
        <w:rPr>
          <w:rFonts w:hint="eastAsia"/>
          <w:b/>
          <w:color w:val="auto"/>
          <w:highlight w:val="none"/>
          <w:u w:val="none"/>
        </w:rPr>
        <w:t>五、响应文件开启</w:t>
      </w:r>
      <w:bookmarkEnd w:id="16"/>
      <w:bookmarkEnd w:id="17"/>
      <w:bookmarkEnd w:id="18"/>
      <w:bookmarkEnd w:id="19"/>
    </w:p>
    <w:p w14:paraId="33F598E6">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Theme="minorEastAsia" w:hAnsiTheme="minorEastAsia" w:eastAsiaTheme="minorEastAsia"/>
          <w:bCs/>
          <w:color w:val="auto"/>
          <w:sz w:val="24"/>
          <w:highlight w:val="none"/>
          <w:u w:val="none"/>
        </w:rPr>
        <w:t>（北京时间）</w:t>
      </w:r>
    </w:p>
    <w:p w14:paraId="67059C4A">
      <w:pPr>
        <w:shd w:val="clea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w:t>
      </w:r>
      <w:r>
        <w:rPr>
          <w:rFonts w:hint="eastAsia" w:ascii="宋体" w:hAnsi="宋体" w:cs="宋体"/>
          <w:color w:val="auto"/>
          <w:sz w:val="24"/>
          <w:highlight w:val="none"/>
        </w:rPr>
        <w:t>tps://www.gcy.zfcg.gxzf.gov.cn/）</w:t>
      </w:r>
      <w:r>
        <w:rPr>
          <w:rFonts w:hint="eastAsia" w:cs="宋体" w:asciiTheme="minorEastAsia" w:hAnsiTheme="minorEastAsia" w:eastAsiaTheme="minorEastAsia"/>
          <w:color w:val="auto"/>
          <w:sz w:val="24"/>
          <w:highlight w:val="none"/>
        </w:rPr>
        <w:t>。</w:t>
      </w:r>
    </w:p>
    <w:p w14:paraId="7B2770E5">
      <w:pPr>
        <w:pStyle w:val="633"/>
        <w:shd w:val="clear"/>
        <w:ind w:firstLine="0"/>
        <w:rPr>
          <w:b/>
          <w:color w:val="auto"/>
          <w:highlight w:val="none"/>
        </w:rPr>
      </w:pPr>
      <w:bookmarkStart w:id="20" w:name="_Toc28359094"/>
      <w:bookmarkStart w:id="21" w:name="_Toc35393634"/>
      <w:bookmarkStart w:id="22" w:name="_Toc28359017"/>
      <w:bookmarkStart w:id="23" w:name="_Toc35393803"/>
      <w:r>
        <w:rPr>
          <w:rFonts w:hint="eastAsia"/>
          <w:b/>
          <w:color w:val="auto"/>
          <w:highlight w:val="none"/>
        </w:rPr>
        <w:t>六、公告期限</w:t>
      </w:r>
      <w:bookmarkEnd w:id="20"/>
      <w:bookmarkEnd w:id="21"/>
      <w:bookmarkEnd w:id="22"/>
      <w:bookmarkEnd w:id="23"/>
    </w:p>
    <w:p w14:paraId="253CA29C">
      <w:pPr>
        <w:shd w:val="clear"/>
        <w:spacing w:line="360" w:lineRule="auto"/>
        <w:ind w:firstLine="480" w:firstLineChars="200"/>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自本公告发布之日起3个工作日。</w:t>
      </w:r>
    </w:p>
    <w:p w14:paraId="2819DEFD">
      <w:pPr>
        <w:pStyle w:val="633"/>
        <w:shd w:val="clear"/>
        <w:ind w:firstLine="0"/>
        <w:rPr>
          <w:b/>
          <w:color w:val="auto"/>
          <w:highlight w:val="none"/>
        </w:rPr>
      </w:pPr>
      <w:bookmarkStart w:id="24" w:name="_Toc35393804"/>
      <w:bookmarkStart w:id="25" w:name="_Toc35393635"/>
      <w:r>
        <w:rPr>
          <w:rFonts w:hint="eastAsia"/>
          <w:b/>
          <w:color w:val="auto"/>
          <w:highlight w:val="none"/>
        </w:rPr>
        <w:t>七、其他补充事宜</w:t>
      </w:r>
      <w:bookmarkEnd w:id="24"/>
      <w:bookmarkEnd w:id="25"/>
    </w:p>
    <w:p w14:paraId="028A274B">
      <w:pPr>
        <w:shd w:val="clea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本项目不要求提交磋商保证金。</w:t>
      </w:r>
    </w:p>
    <w:p w14:paraId="4799B580">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本项目需要落实的政府采购政策：（</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）支持绿色发展：落实强制采购节能产品、鼓励节能政策；鼓励环保政策；推广使用绿色包装；采购绿色建材等。（</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20%的扣除，用扣除后的价格参与评审。（</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）支持监狱企业、残疾人福利性单位发展：监狱企业、残疾人福利性单位视同小型和微型企业。（</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）支持创新发展：优先采购被认定为首台</w:t>
      </w:r>
      <w:r>
        <w:rPr>
          <w:rFonts w:hint="eastAsia" w:ascii="宋体" w:hAnsi="宋体" w:cs="宋体"/>
          <w:color w:val="auto"/>
          <w:sz w:val="24"/>
          <w:highlight w:val="none"/>
          <w:lang w:val="en-US" w:eastAsia="zh-CN"/>
        </w:rPr>
        <w:t>/首</w:t>
      </w:r>
      <w:r>
        <w:rPr>
          <w:rFonts w:hint="eastAsia" w:ascii="宋体" w:hAnsi="宋体" w:cs="宋体"/>
          <w:color w:val="auto"/>
          <w:sz w:val="24"/>
          <w:highlight w:val="none"/>
        </w:rPr>
        <w:t>套产品和“制造精品”的自主创新产品。（</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）平等对待内外资企业和符合条件的破产重整企业。</w:t>
      </w:r>
    </w:p>
    <w:p w14:paraId="4F41F06A">
      <w:pPr>
        <w:shd w:val="clear"/>
        <w:spacing w:line="360" w:lineRule="auto"/>
        <w:ind w:firstLine="480" w:firstLineChars="200"/>
        <w:rPr>
          <w:color w:val="auto"/>
          <w:highlight w:val="none"/>
        </w:rPr>
      </w:pPr>
      <w:r>
        <w:rPr>
          <w:rFonts w:hint="eastAsia" w:ascii="宋体" w:hAnsi="宋体" w:cs="宋体"/>
          <w:snapToGrid w:val="0"/>
          <w:color w:val="auto"/>
          <w:kern w:val="28"/>
          <w:sz w:val="24"/>
          <w:highlight w:val="none"/>
          <w:lang w:val="en-US" w:eastAsia="zh-CN"/>
        </w:rPr>
        <w:t>3</w:t>
      </w: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26845DE">
      <w:pPr>
        <w:shd w:val="clea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.网上公告媒体查询：中国政府采购网</w:t>
      </w:r>
      <w:r>
        <w:rPr>
          <w:rFonts w:hint="eastAsia" w:ascii="宋体" w:hAnsi="宋体" w:cs="宋体"/>
          <w:color w:val="auto"/>
          <w:sz w:val="24"/>
          <w:highlight w:val="none"/>
          <w:lang w:eastAsia="zh-CN"/>
        </w:rPr>
        <w:t>（http://www.ccgp.gov.cn/）</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广西政府采购网（http://www.ccgp-guangxi.gov.cn/）。</w:t>
      </w:r>
    </w:p>
    <w:p w14:paraId="36D6E1A8">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75C3A25">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15B41517">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.本项目采用远程异地评标。</w:t>
      </w:r>
    </w:p>
    <w:p w14:paraId="0DB952B3">
      <w:pPr>
        <w:shd w:val="clea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八、凡对本次招标提出询问，请按以下方式联系</w:t>
      </w:r>
    </w:p>
    <w:p w14:paraId="3FD8D150">
      <w:pPr>
        <w:shd w:val="clea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1.采购人信息</w:t>
      </w:r>
    </w:p>
    <w:p w14:paraId="09633458">
      <w:pPr>
        <w:shd w:val="clear"/>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名 称：</w:t>
      </w:r>
      <w:r>
        <w:rPr>
          <w:rFonts w:hint="eastAsia" w:ascii="宋体" w:hAnsi="宋体"/>
          <w:color w:val="auto"/>
          <w:sz w:val="24"/>
          <w:szCs w:val="24"/>
          <w:highlight w:val="none"/>
          <w:lang w:eastAsia="zh-CN"/>
        </w:rPr>
        <w:t>北海市旅游文体局</w:t>
      </w:r>
    </w:p>
    <w:p w14:paraId="4C32411B">
      <w:pPr>
        <w:shd w:val="clear"/>
        <w:spacing w:line="360" w:lineRule="auto"/>
        <w:ind w:firstLine="480" w:firstLineChars="200"/>
        <w:jc w:val="left"/>
        <w:rPr>
          <w:rFonts w:hint="eastAsia" w:ascii="宋体" w:hAnsi="宋体" w:eastAsia="宋体" w:cs="Times New Roman"/>
          <w:color w:val="auto"/>
          <w:sz w:val="24"/>
          <w:szCs w:val="24"/>
          <w:highlight w:val="none"/>
          <w:shd w:val="clear" w:color="auto" w:fill="auto"/>
        </w:rPr>
      </w:pPr>
      <w:r>
        <w:rPr>
          <w:rFonts w:hint="eastAsia" w:ascii="宋体" w:hAnsi="宋体"/>
          <w:color w:val="auto"/>
          <w:sz w:val="24"/>
          <w:szCs w:val="24"/>
          <w:highlight w:val="none"/>
        </w:rPr>
        <w:t>地址：</w:t>
      </w:r>
      <w:bookmarkStart w:id="26" w:name="_Toc28359009"/>
      <w:bookmarkStart w:id="27" w:name="_Toc28359086"/>
      <w:r>
        <w:rPr>
          <w:rFonts w:hint="eastAsia" w:ascii="宋体" w:hAnsi="宋体" w:cs="Times New Roman"/>
          <w:color w:val="auto"/>
          <w:kern w:val="0"/>
          <w:sz w:val="24"/>
          <w:szCs w:val="24"/>
          <w:highlight w:val="none"/>
          <w:shd w:val="clear" w:color="auto" w:fill="auto"/>
          <w:lang w:eastAsia="zh-CN"/>
        </w:rPr>
        <w:t>北海市海城区贵州路35号</w:t>
      </w:r>
    </w:p>
    <w:bookmarkEnd w:id="26"/>
    <w:bookmarkEnd w:id="27"/>
    <w:p w14:paraId="677761B4">
      <w:pPr>
        <w:shd w:val="clear"/>
        <w:spacing w:line="360" w:lineRule="auto"/>
        <w:ind w:firstLine="480" w:firstLineChars="200"/>
        <w:jc w:val="left"/>
        <w:rPr>
          <w:rFonts w:hint="eastAsia" w:ascii="宋体" w:hAnsi="宋体" w:eastAsia="宋体" w:cs="Times New Roman"/>
          <w:color w:val="auto"/>
          <w:sz w:val="24"/>
          <w:szCs w:val="24"/>
          <w:highlight w:val="none"/>
          <w:shd w:val="clear" w:color="auto" w:fill="auto"/>
          <w:lang w:val="en-US" w:eastAsia="zh-CN"/>
        </w:rPr>
      </w:pPr>
      <w:r>
        <w:rPr>
          <w:rFonts w:hint="eastAsia" w:ascii="宋体" w:hAnsi="宋体" w:eastAsia="宋体" w:cs="Times New Roman"/>
          <w:color w:val="auto"/>
          <w:sz w:val="24"/>
          <w:szCs w:val="24"/>
          <w:highlight w:val="none"/>
          <w:shd w:val="clear" w:color="auto" w:fill="auto"/>
        </w:rPr>
        <w:t>项目联系人：</w:t>
      </w:r>
      <w:r>
        <w:rPr>
          <w:rFonts w:hint="eastAsia" w:ascii="宋体" w:hAnsi="宋体" w:cs="Times New Roman"/>
          <w:color w:val="auto"/>
          <w:sz w:val="24"/>
          <w:szCs w:val="24"/>
          <w:highlight w:val="none"/>
          <w:shd w:val="clear" w:color="auto" w:fill="auto"/>
          <w:lang w:val="en-US" w:eastAsia="zh-CN"/>
        </w:rPr>
        <w:t>刘鹏</w:t>
      </w:r>
    </w:p>
    <w:p w14:paraId="6AF9328A">
      <w:pPr>
        <w:shd w:val="clear"/>
        <w:spacing w:line="360" w:lineRule="auto"/>
        <w:ind w:firstLine="480" w:firstLineChars="200"/>
        <w:jc w:val="left"/>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项目联系方式：</w:t>
      </w:r>
      <w:r>
        <w:rPr>
          <w:rFonts w:hint="eastAsia" w:ascii="宋体" w:hAnsi="宋体"/>
          <w:color w:val="auto"/>
          <w:sz w:val="24"/>
          <w:szCs w:val="24"/>
          <w:highlight w:val="none"/>
          <w:lang w:val="en-US" w:eastAsia="zh-CN"/>
        </w:rPr>
        <w:t>0779-2029045</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p>
    <w:p w14:paraId="0AE51094">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14:paraId="58B01B21">
      <w:pPr>
        <w:pStyle w:val="633"/>
        <w:shd w:val="clear"/>
        <w:rPr>
          <w:rFonts w:hint="eastAsia"/>
          <w:color w:val="auto"/>
          <w:highlight w:val="none"/>
        </w:rPr>
      </w:pPr>
      <w:r>
        <w:rPr>
          <w:rFonts w:hint="eastAsia"/>
          <w:color w:val="auto"/>
          <w:highlight w:val="none"/>
        </w:rPr>
        <w:t>名    称：</w:t>
      </w:r>
      <w:r>
        <w:rPr>
          <w:rFonts w:hint="eastAsia"/>
          <w:color w:val="auto"/>
          <w:highlight w:val="none"/>
          <w:lang w:val="en-US" w:eastAsia="zh-CN"/>
        </w:rPr>
        <w:t>广西北部湾宏亚建设管理有限公司</w:t>
      </w:r>
      <w:r>
        <w:rPr>
          <w:rFonts w:hint="eastAsia"/>
          <w:color w:val="auto"/>
          <w:highlight w:val="none"/>
        </w:rPr>
        <w:t xml:space="preserve">             </w:t>
      </w:r>
    </w:p>
    <w:p w14:paraId="13961E46">
      <w:pPr>
        <w:pStyle w:val="633"/>
        <w:shd w:val="clear"/>
        <w:rPr>
          <w:rFonts w:hint="default"/>
          <w:color w:val="auto"/>
          <w:highlight w:val="none"/>
          <w:lang w:val="en-US" w:eastAsia="zh-CN"/>
        </w:rPr>
      </w:pPr>
      <w:r>
        <w:rPr>
          <w:rFonts w:hint="eastAsia"/>
          <w:color w:val="auto"/>
          <w:highlight w:val="none"/>
        </w:rPr>
        <w:t>地    址：</w:t>
      </w:r>
      <w:r>
        <w:rPr>
          <w:rFonts w:hint="eastAsia"/>
          <w:color w:val="auto"/>
          <w:highlight w:val="none"/>
          <w:lang w:eastAsia="zh-CN"/>
        </w:rPr>
        <w:t>广西北海市海城区银河城市科技产业城2栋0101号</w:t>
      </w:r>
      <w:r>
        <w:rPr>
          <w:rFonts w:hint="eastAsia"/>
          <w:color w:val="auto"/>
          <w:highlight w:val="none"/>
        </w:rPr>
        <w:t xml:space="preserve"> </w:t>
      </w:r>
    </w:p>
    <w:p w14:paraId="23F741A7">
      <w:pPr>
        <w:shd w:val="clear"/>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韦丽丹</w:t>
      </w:r>
    </w:p>
    <w:p w14:paraId="41ABD4A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w:t>
      </w:r>
      <w:r>
        <w:rPr>
          <w:rFonts w:hint="eastAsia" w:ascii="宋体" w:hAnsi="宋体" w:cs="宋体"/>
          <w:color w:val="auto"/>
          <w:sz w:val="24"/>
          <w:highlight w:val="none"/>
          <w:lang w:val="en-US" w:eastAsia="zh-CN"/>
        </w:rPr>
        <w:t>0779-3928925</w:t>
      </w:r>
    </w:p>
    <w:p w14:paraId="14D096D7">
      <w:pPr>
        <w:pStyle w:val="633"/>
        <w:shd w:val="clear"/>
        <w:rPr>
          <w:rFonts w:hint="eastAsia"/>
          <w:color w:val="auto"/>
          <w:highlight w:val="none"/>
        </w:rPr>
      </w:pPr>
    </w:p>
    <w:p w14:paraId="6021A336">
      <w:pPr>
        <w:shd w:val="clear"/>
        <w:spacing w:line="360" w:lineRule="auto"/>
        <w:rPr>
          <w:rFonts w:hint="eastAsia" w:cs="仿宋_GB2312" w:asciiTheme="minorEastAsia" w:hAnsiTheme="minorEastAsia" w:eastAsiaTheme="minorEastAsia"/>
          <w:color w:val="auto"/>
          <w:sz w:val="24"/>
          <w:highlight w:val="none"/>
        </w:rPr>
      </w:pPr>
    </w:p>
    <w:p w14:paraId="4B0EC676">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p>
    <w:p w14:paraId="4863F338">
      <w:pPr>
        <w:shd w:val="clear"/>
        <w:rPr>
          <w:rFonts w:hint="eastAsia" w:cs="仿宋_GB2312" w:asciiTheme="minorEastAsia" w:hAnsiTheme="minorEastAsia" w:eastAsiaTheme="minorEastAsia"/>
          <w:b/>
          <w:color w:val="auto"/>
          <w:sz w:val="36"/>
          <w:szCs w:val="20"/>
          <w:highlight w:val="none"/>
        </w:rPr>
      </w:pPr>
      <w:bookmarkStart w:id="28" w:name="_Toc8027"/>
      <w:r>
        <w:rPr>
          <w:rFonts w:hint="eastAsia" w:cs="仿宋_GB2312" w:asciiTheme="minorEastAsia" w:hAnsiTheme="minorEastAsia" w:eastAsiaTheme="minorEastAsia"/>
          <w:b/>
          <w:color w:val="auto"/>
          <w:sz w:val="36"/>
          <w:szCs w:val="20"/>
          <w:highlight w:val="none"/>
        </w:rPr>
        <w:br w:type="page"/>
      </w:r>
    </w:p>
    <w:p w14:paraId="057DDF9D">
      <w:pPr>
        <w:shd w:val="clear"/>
        <w:adjustRightInd/>
        <w:spacing w:line="360" w:lineRule="auto"/>
        <w:jc w:val="center"/>
        <w:outlineLvl w:val="0"/>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6"/>
          <w:szCs w:val="20"/>
          <w:highlight w:val="none"/>
        </w:rPr>
        <w:t>第二部分  竞争性磋商流程</w:t>
      </w:r>
      <w:bookmarkEnd w:id="28"/>
    </w:p>
    <w:p w14:paraId="59627A3D">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2D5D2209">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09D0DDDF">
      <w:pPr>
        <w:pStyle w:val="393"/>
        <w:shd w:val="clear"/>
        <w:spacing w:before="0"/>
        <w:ind w:firstLine="480"/>
        <w:rPr>
          <w:rFonts w:hint="eastAsia"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2A7556E3">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1.2供应商获取磋商文件。</w:t>
      </w:r>
    </w:p>
    <w:p w14:paraId="5547105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7033137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1.4发布更正（延期）公告，澄清或修改磋商文件（如果有）。</w:t>
      </w:r>
    </w:p>
    <w:p w14:paraId="13FF240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1.5供应商按磋商文件要求编制响应文件。</w:t>
      </w:r>
    </w:p>
    <w:p w14:paraId="184DB059">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04D9176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19B041A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14:paraId="703C7139">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3.磋商与评审</w:t>
      </w:r>
    </w:p>
    <w:p w14:paraId="006141A1">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3.1磋商小组签到。</w:t>
      </w:r>
    </w:p>
    <w:p w14:paraId="679FEB6D">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3.2采购代理机构宣布有关纪律以及磋商、评审工作程序。</w:t>
      </w:r>
    </w:p>
    <w:p w14:paraId="1C6AA3FF">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3.3磋商小组审查确认磋商文件。磋商文件内容违反国家有关强制性规定的，磋商小组应当停止评审并向采购代理机构说明情况。</w:t>
      </w:r>
    </w:p>
    <w:p w14:paraId="6D9D6D4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3.4磋商小组对供应商的资格进行审查。</w:t>
      </w:r>
    </w:p>
    <w:p w14:paraId="44FD8C65">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3.5磋商小组审查响应文件。</w:t>
      </w:r>
    </w:p>
    <w:p w14:paraId="4284704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3.6对于未实质性响应磋商文件的响应文件由磋商小组认定响应无效，并告知该供应商。</w:t>
      </w:r>
    </w:p>
    <w:p w14:paraId="670211FD">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16577C6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65BC0820">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3.9经磋商确定磋商文件的变动情况。对磋商文件作出的实质性变动是磋商文件的有效组成部分，磋商小组应当及时以书面形式同时通知所有参加磋商的供应商。</w:t>
      </w:r>
    </w:p>
    <w:p w14:paraId="282FA8D6">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034F46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3.11磋商小组按照下列方式确定提交最后报价的供应商，有特殊规定的从其规定：</w:t>
      </w:r>
    </w:p>
    <w:p w14:paraId="4AE5A8D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4D3B6280">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2340DC07">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617FBB66">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4FD4F2F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3.14磋商小组应当根据综合评分情况，按照评审得分由高到低顺序推荐3名以上成交候选供应商，并编写评审报告。</w:t>
      </w:r>
    </w:p>
    <w:p w14:paraId="545F5E81">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 成交</w:t>
      </w:r>
    </w:p>
    <w:p w14:paraId="54BFBEF5">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w:t>
      </w:r>
      <w:r>
        <w:rPr>
          <w:rFonts w:hint="eastAsia" w:ascii="宋体" w:hAnsi="宋体" w:cs="宋体"/>
          <w:color w:val="auto"/>
          <w:szCs w:val="24"/>
          <w:highlight w:val="none"/>
        </w:rPr>
        <w:t>依法及时</w:t>
      </w:r>
      <w:r>
        <w:rPr>
          <w:rFonts w:hint="eastAsia" w:asciiTheme="minorEastAsia" w:hAnsiTheme="minorEastAsia" w:eastAsiaTheme="minorEastAsia"/>
          <w:color w:val="auto"/>
          <w:szCs w:val="24"/>
          <w:highlight w:val="none"/>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44FA270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w:t>
      </w:r>
      <w:r>
        <w:rPr>
          <w:rFonts w:hint="eastAsia" w:ascii="宋体" w:hAnsi="宋体" w:cs="宋体"/>
          <w:color w:val="auto"/>
          <w:sz w:val="24"/>
          <w:szCs w:val="24"/>
          <w:highlight w:val="none"/>
          <w:lang w:val="en-US" w:eastAsia="zh-CN"/>
        </w:rPr>
        <w:t>中国政府采购网(www.ccgp.gov.cn)、广西壮族自治区政府采购网（http://zfcg.gxzf.gov.cn/）</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全国公共资源交易平台（广西.北海）(http://ggzy.jgswj.gxzf.gov.cn/bhggzy/)</w:t>
      </w:r>
      <w:r>
        <w:rPr>
          <w:rFonts w:hint="eastAsia" w:asciiTheme="minorEastAsia" w:hAnsiTheme="minorEastAsia" w:eastAsiaTheme="minorEastAsia"/>
          <w:color w:val="auto"/>
          <w:szCs w:val="24"/>
          <w:highlight w:val="none"/>
        </w:rPr>
        <w:t>上公告成交结果，同时向成交供应商发出成交通知书，并将磋商文件随成交结果同时公告。</w:t>
      </w:r>
    </w:p>
    <w:p w14:paraId="19B7C827">
      <w:pPr>
        <w:pStyle w:val="393"/>
        <w:shd w:val="clear"/>
        <w:spacing w:before="0"/>
        <w:ind w:firstLine="0" w:firstLineChars="0"/>
        <w:rPr>
          <w:rFonts w:hint="eastAsia"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5E8A9BB7">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B4F7AFB">
      <w:pPr>
        <w:shd w:val="clear"/>
        <w:tabs>
          <w:tab w:val="left" w:pos="0"/>
        </w:tabs>
        <w:spacing w:line="360" w:lineRule="auto"/>
        <w:ind w:firstLine="48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7BD6A751">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07B1BCC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6396C5AF">
      <w:pPr>
        <w:widowControl/>
        <w:shd w:val="clear"/>
        <w:adjustRightInd/>
        <w:jc w:val="left"/>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72A76D30">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6.竞争性磋商流程图</w:t>
      </w:r>
    </w:p>
    <w:p w14:paraId="7945FA31">
      <w:pPr>
        <w:pStyle w:val="393"/>
        <w:shd w:val="clear"/>
        <w:spacing w:before="0"/>
        <w:ind w:firstLine="0" w:firstLineChars="0"/>
        <w:rPr>
          <w:rFonts w:hint="eastAsia" w:asciiTheme="minorEastAsia" w:hAnsiTheme="minorEastAsia" w:eastAsiaTheme="minorEastAsia"/>
          <w:b/>
          <w:color w:val="auto"/>
          <w:highlight w:val="none"/>
        </w:rPr>
      </w:pPr>
    </w:p>
    <w:p w14:paraId="763453DA">
      <w:pPr>
        <w:widowControl/>
        <w:shd w:val="clear"/>
        <w:adjustRightInd/>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6E311CFE">
      <w:pPr>
        <w:widowControl/>
        <w:shd w:val="clear"/>
        <w:adjustRightInd/>
        <w:jc w:val="left"/>
        <w:rPr>
          <w:rFonts w:hint="eastAsia"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872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564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667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257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155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076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53C1B2D6">
      <w:pPr>
        <w:shd w:val="clear"/>
        <w:adjustRightInd/>
        <w:spacing w:line="360" w:lineRule="auto"/>
        <w:jc w:val="center"/>
        <w:outlineLvl w:val="0"/>
        <w:rPr>
          <w:rFonts w:hint="eastAsia" w:cs="仿宋_GB2312" w:asciiTheme="minorEastAsia" w:hAnsiTheme="minorEastAsia" w:eastAsiaTheme="minorEastAsia"/>
          <w:b/>
          <w:color w:val="auto"/>
          <w:sz w:val="36"/>
          <w:szCs w:val="20"/>
          <w:highlight w:val="none"/>
        </w:rPr>
      </w:pPr>
      <w:bookmarkStart w:id="29" w:name="_Toc25086"/>
      <w:r>
        <w:rPr>
          <w:rFonts w:hint="eastAsia" w:cs="仿宋_GB2312" w:asciiTheme="minorEastAsia" w:hAnsiTheme="minorEastAsia" w:eastAsiaTheme="minorEastAsia"/>
          <w:b/>
          <w:color w:val="auto"/>
          <w:sz w:val="36"/>
          <w:szCs w:val="20"/>
          <w:highlight w:val="none"/>
        </w:rPr>
        <w:t>第三部分</w:t>
      </w:r>
      <w:bookmarkEnd w:id="8"/>
      <w:r>
        <w:rPr>
          <w:rFonts w:hint="eastAsia" w:cs="仿宋_GB2312" w:asciiTheme="minorEastAsia" w:hAnsiTheme="minorEastAsia" w:eastAsiaTheme="minorEastAsia"/>
          <w:b/>
          <w:color w:val="auto"/>
          <w:sz w:val="36"/>
          <w:szCs w:val="20"/>
          <w:highlight w:val="none"/>
        </w:rPr>
        <w:t xml:space="preserve">  供应商须知</w:t>
      </w:r>
      <w:bookmarkEnd w:id="9"/>
      <w:bookmarkEnd w:id="29"/>
    </w:p>
    <w:p w14:paraId="6552CE0D">
      <w:pPr>
        <w:shd w:val="clear"/>
        <w:adjustRightInd/>
        <w:spacing w:line="360" w:lineRule="auto"/>
        <w:jc w:val="center"/>
        <w:outlineLvl w:val="1"/>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一、前附表</w:t>
      </w:r>
    </w:p>
    <w:tbl>
      <w:tblPr>
        <w:tblStyle w:val="61"/>
        <w:tblW w:w="96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28" w:type="dxa"/>
          <w:bottom w:w="0" w:type="dxa"/>
          <w:right w:w="28" w:type="dxa"/>
        </w:tblCellMar>
      </w:tblPr>
      <w:tblGrid>
        <w:gridCol w:w="769"/>
        <w:gridCol w:w="1437"/>
        <w:gridCol w:w="7456"/>
      </w:tblGrid>
      <w:tr w14:paraId="371E5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769" w:type="dxa"/>
            <w:tcBorders>
              <w:top w:val="single" w:color="auto" w:sz="4" w:space="0"/>
              <w:left w:val="single" w:color="auto" w:sz="4" w:space="0"/>
              <w:bottom w:val="single" w:color="auto" w:sz="4" w:space="0"/>
              <w:right w:val="single" w:color="auto" w:sz="4" w:space="0"/>
            </w:tcBorders>
            <w:vAlign w:val="center"/>
          </w:tcPr>
          <w:p w14:paraId="1987E553">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序号</w:t>
            </w:r>
          </w:p>
        </w:tc>
        <w:tc>
          <w:tcPr>
            <w:tcW w:w="1437" w:type="dxa"/>
            <w:tcBorders>
              <w:top w:val="single" w:color="000000" w:sz="8" w:space="0"/>
              <w:left w:val="single" w:color="auto" w:sz="4" w:space="0"/>
              <w:bottom w:val="single" w:color="000000" w:sz="8" w:space="0"/>
              <w:right w:val="single" w:color="000000" w:sz="8" w:space="0"/>
            </w:tcBorders>
            <w:vAlign w:val="center"/>
          </w:tcPr>
          <w:p w14:paraId="0EA1B15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事项</w:t>
            </w:r>
          </w:p>
        </w:tc>
        <w:tc>
          <w:tcPr>
            <w:tcW w:w="7456" w:type="dxa"/>
            <w:tcBorders>
              <w:top w:val="single" w:color="000000" w:sz="8" w:space="0"/>
              <w:left w:val="single" w:color="000000" w:sz="2" w:space="0"/>
              <w:bottom w:val="single" w:color="000000" w:sz="8" w:space="0"/>
              <w:right w:val="single" w:color="000000" w:sz="8" w:space="0"/>
            </w:tcBorders>
            <w:vAlign w:val="center"/>
          </w:tcPr>
          <w:p w14:paraId="16BF12F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本项目的特别规定</w:t>
            </w:r>
          </w:p>
        </w:tc>
      </w:tr>
      <w:tr w14:paraId="2D2CBF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87" w:hRule="atLeast"/>
        </w:trPr>
        <w:tc>
          <w:tcPr>
            <w:tcW w:w="769" w:type="dxa"/>
            <w:tcBorders>
              <w:top w:val="single" w:color="auto" w:sz="4" w:space="0"/>
              <w:left w:val="single" w:color="auto" w:sz="4" w:space="0"/>
              <w:bottom w:val="single" w:color="auto" w:sz="4" w:space="0"/>
              <w:right w:val="single" w:color="auto" w:sz="4" w:space="0"/>
            </w:tcBorders>
            <w:vAlign w:val="center"/>
          </w:tcPr>
          <w:p w14:paraId="6C879A4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p>
        </w:tc>
        <w:tc>
          <w:tcPr>
            <w:tcW w:w="1437" w:type="dxa"/>
            <w:tcBorders>
              <w:top w:val="single" w:color="000000" w:sz="8" w:space="0"/>
              <w:left w:val="single" w:color="auto" w:sz="4" w:space="0"/>
              <w:bottom w:val="single" w:color="000000" w:sz="8" w:space="0"/>
              <w:right w:val="single" w:color="000000" w:sz="8" w:space="0"/>
            </w:tcBorders>
            <w:vAlign w:val="center"/>
          </w:tcPr>
          <w:p w14:paraId="7B5F97D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项目属性</w:t>
            </w:r>
          </w:p>
        </w:tc>
        <w:tc>
          <w:tcPr>
            <w:tcW w:w="7456" w:type="dxa"/>
            <w:tcBorders>
              <w:top w:val="single" w:color="000000" w:sz="8" w:space="0"/>
              <w:left w:val="single" w:color="000000" w:sz="2" w:space="0"/>
              <w:bottom w:val="single" w:color="000000" w:sz="8" w:space="0"/>
              <w:right w:val="single" w:color="000000" w:sz="8" w:space="0"/>
            </w:tcBorders>
            <w:vAlign w:val="center"/>
          </w:tcPr>
          <w:p w14:paraId="332D2CF7">
            <w:pPr>
              <w:keepNext w:val="0"/>
              <w:keepLines w:val="0"/>
              <w:suppressLineNumbers w:val="0"/>
              <w:shd w:val="clear"/>
              <w:spacing w:before="0" w:beforeAutospacing="0" w:after="0" w:afterAutospacing="0" w:line="360" w:lineRule="auto"/>
              <w:ind w:left="0" w:right="0"/>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服务类。</w:t>
            </w:r>
          </w:p>
        </w:tc>
      </w:tr>
      <w:tr w14:paraId="5A6D4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685" w:hRule="atLeast"/>
        </w:trPr>
        <w:tc>
          <w:tcPr>
            <w:tcW w:w="769" w:type="dxa"/>
            <w:tcBorders>
              <w:top w:val="single" w:color="auto" w:sz="4" w:space="0"/>
              <w:left w:val="single" w:color="auto" w:sz="4" w:space="0"/>
              <w:bottom w:val="single" w:color="auto" w:sz="4" w:space="0"/>
              <w:right w:val="single" w:color="auto" w:sz="4" w:space="0"/>
            </w:tcBorders>
            <w:vAlign w:val="center"/>
          </w:tcPr>
          <w:p w14:paraId="2953025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p>
        </w:tc>
        <w:tc>
          <w:tcPr>
            <w:tcW w:w="1437" w:type="dxa"/>
            <w:tcBorders>
              <w:top w:val="single" w:color="000000" w:sz="8" w:space="0"/>
              <w:left w:val="single" w:color="auto" w:sz="4" w:space="0"/>
              <w:bottom w:val="single" w:color="000000" w:sz="8" w:space="0"/>
              <w:right w:val="single" w:color="000000" w:sz="8" w:space="0"/>
            </w:tcBorders>
            <w:vAlign w:val="center"/>
          </w:tcPr>
          <w:p w14:paraId="3B0AEBB1">
            <w:pPr>
              <w:keepNext w:val="0"/>
              <w:keepLines w:val="0"/>
              <w:suppressLineNumbers w:val="0"/>
              <w:shd w:val="clear"/>
              <w:snapToGrid w:val="0"/>
              <w:spacing w:before="0" w:beforeAutospacing="0" w:after="0" w:afterAutospacing="0" w:line="360" w:lineRule="auto"/>
              <w:ind w:left="0" w:right="0"/>
              <w:rPr>
                <w:rFonts w:hint="default"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采购标的及其对应的中小企业划分标准所属行业</w:t>
            </w:r>
          </w:p>
        </w:tc>
        <w:tc>
          <w:tcPr>
            <w:tcW w:w="7456" w:type="dxa"/>
            <w:tcBorders>
              <w:top w:val="single" w:color="000000" w:sz="8" w:space="0"/>
              <w:left w:val="single" w:color="000000" w:sz="2" w:space="0"/>
              <w:bottom w:val="single" w:color="000000" w:sz="8" w:space="0"/>
              <w:right w:val="single" w:color="000000" w:sz="8" w:space="0"/>
            </w:tcBorders>
            <w:vAlign w:val="center"/>
          </w:tcPr>
          <w:p w14:paraId="5F41F81A">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color w:val="auto"/>
                <w:highlight w:val="none"/>
                <w:lang w:val="en-US" w:eastAsia="zh-CN"/>
              </w:rPr>
            </w:pPr>
            <w:r>
              <w:rPr>
                <w:rFonts w:hint="eastAsia" w:cs="宋体" w:asciiTheme="minorEastAsia" w:hAnsiTheme="minorEastAsia" w:eastAsiaTheme="minorEastAsia"/>
                <w:color w:val="auto"/>
                <w:kern w:val="0"/>
                <w:sz w:val="24"/>
                <w:highlight w:val="none"/>
              </w:rPr>
              <w:t>标的：</w:t>
            </w:r>
            <w:r>
              <w:rPr>
                <w:rFonts w:hint="eastAsia" w:cs="Times New Roman" w:asciiTheme="minorEastAsia" w:hAnsiTheme="minorEastAsia" w:eastAsiaTheme="minorEastAsia"/>
                <w:color w:val="auto"/>
                <w:sz w:val="24"/>
                <w:highlight w:val="none"/>
                <w:u w:val="single"/>
                <w:lang w:val="en-US" w:eastAsia="zh-CN"/>
              </w:rPr>
              <w:t xml:space="preserve">广西壮族自治区第十六届运动会竞技体育项目（武术散打）竞赛服务 </w:t>
            </w:r>
            <w:r>
              <w:rPr>
                <w:rFonts w:hint="eastAsia" w:cs="Times New Roman" w:asciiTheme="minorEastAsia" w:hAnsiTheme="minorEastAsia" w:eastAsiaTheme="minorEastAsia"/>
                <w:color w:val="auto"/>
                <w:sz w:val="24"/>
                <w:highlight w:val="none"/>
                <w:u w:val="none"/>
                <w:lang w:val="en-US" w:eastAsia="zh-CN"/>
              </w:rPr>
              <w:t>，</w:t>
            </w:r>
            <w:r>
              <w:rPr>
                <w:rFonts w:hint="eastAsia" w:cs="Times New Roman" w:asciiTheme="minorEastAsia" w:hAnsiTheme="minorEastAsia" w:eastAsiaTheme="minorEastAsia"/>
                <w:color w:val="auto"/>
                <w:sz w:val="24"/>
                <w:highlight w:val="none"/>
                <w:u w:val="single"/>
                <w:lang w:val="en-US" w:eastAsia="zh-CN"/>
              </w:rPr>
              <w:t xml:space="preserve">属于 其他未列明行业 </w:t>
            </w:r>
            <w:r>
              <w:rPr>
                <w:rFonts w:hint="eastAsia" w:cs="Times New Roman" w:asciiTheme="minorEastAsia" w:hAnsiTheme="minorEastAsia" w:eastAsiaTheme="minorEastAsia"/>
                <w:color w:val="auto"/>
                <w:sz w:val="24"/>
                <w:highlight w:val="none"/>
                <w:u w:val="none"/>
                <w:lang w:val="en-US" w:eastAsia="zh-CN"/>
              </w:rPr>
              <w:t>行业</w:t>
            </w:r>
          </w:p>
        </w:tc>
      </w:tr>
      <w:tr w14:paraId="3DDF0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3" w:hRule="atLeast"/>
        </w:trPr>
        <w:tc>
          <w:tcPr>
            <w:tcW w:w="769" w:type="dxa"/>
            <w:tcBorders>
              <w:top w:val="single" w:color="auto" w:sz="4" w:space="0"/>
              <w:left w:val="single" w:color="auto" w:sz="4" w:space="0"/>
              <w:bottom w:val="single" w:color="auto" w:sz="4" w:space="0"/>
              <w:right w:val="single" w:color="auto" w:sz="4" w:space="0"/>
            </w:tcBorders>
            <w:vAlign w:val="center"/>
          </w:tcPr>
          <w:p w14:paraId="0E3143DB">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w:t>
            </w:r>
          </w:p>
        </w:tc>
        <w:tc>
          <w:tcPr>
            <w:tcW w:w="1437" w:type="dxa"/>
            <w:tcBorders>
              <w:top w:val="single" w:color="000000" w:sz="8" w:space="0"/>
              <w:left w:val="single" w:color="auto" w:sz="4" w:space="0"/>
              <w:bottom w:val="single" w:color="000000" w:sz="8" w:space="0"/>
              <w:right w:val="single" w:color="000000" w:sz="8" w:space="0"/>
            </w:tcBorders>
            <w:vAlign w:val="center"/>
          </w:tcPr>
          <w:p w14:paraId="4FC0E01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是否允许采购进口产品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388E7F87">
            <w:pPr>
              <w:keepNext w:val="0"/>
              <w:keepLines w:val="0"/>
              <w:pageBreakBefore w:val="0"/>
              <w:widowControl w:val="0"/>
              <w:suppressLineNumbers w:val="0"/>
              <w:shd w:val="clear"/>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bookmarkStart w:id="162" w:name="_GoBack"/>
                <w:r>
                  <w:rPr>
                    <w:rFonts w:hint="eastAsia" w:cs="宋体" w:asciiTheme="minorEastAsia" w:hAnsiTheme="minorEastAsia" w:eastAsiaTheme="minorEastAsia"/>
                    <w:color w:val="auto"/>
                    <w:kern w:val="0"/>
                    <w:sz w:val="24"/>
                    <w:highlight w:val="none"/>
                  </w:rPr>
                  <w:sym w:font="Wingdings" w:char="F0FE"/>
                </w:r>
                <w:bookmarkEnd w:id="162"/>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kern w:val="0"/>
                <w:sz w:val="24"/>
                <w:highlight w:val="none"/>
              </w:rPr>
              <w:t>本项目不允许采购进口产品。</w:t>
            </w:r>
          </w:p>
          <w:p w14:paraId="031ADBA3">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147455008"/>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en-US" w:eastAsia="zh-CN" w:bidi="ar-SA"/>
              </w:rPr>
              <w:t>B</w:t>
            </w:r>
            <w:r>
              <w:rPr>
                <w:rFonts w:hint="eastAsia" w:ascii="宋体" w:eastAsia="宋体" w:cs="宋体" w:hAnsiTheme="minorEastAsia"/>
                <w:b w:val="0"/>
                <w:bCs w:val="0"/>
                <w:color w:val="auto"/>
                <w:kern w:val="0"/>
                <w:sz w:val="24"/>
                <w:szCs w:val="32"/>
                <w:highlight w:val="none"/>
                <w:lang w:val="zh-CN" w:eastAsia="zh-CN" w:bidi="ar-SA"/>
              </w:rPr>
              <w:t>可以就</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0"/>
                <w:sz w:val="24"/>
                <w:szCs w:val="32"/>
                <w:highlight w:val="none"/>
                <w:lang w:val="zh-CN" w:eastAsia="zh-CN" w:bidi="ar-SA"/>
              </w:rPr>
              <w:t>采购进口产品。</w:t>
            </w:r>
          </w:p>
        </w:tc>
      </w:tr>
      <w:tr w14:paraId="18E8C6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579" w:hRule="atLeast"/>
        </w:trPr>
        <w:tc>
          <w:tcPr>
            <w:tcW w:w="769" w:type="dxa"/>
            <w:tcBorders>
              <w:top w:val="single" w:color="auto" w:sz="4" w:space="0"/>
              <w:left w:val="single" w:color="auto" w:sz="4" w:space="0"/>
              <w:bottom w:val="single" w:color="auto" w:sz="4" w:space="0"/>
              <w:right w:val="single" w:color="auto" w:sz="4" w:space="0"/>
            </w:tcBorders>
            <w:vAlign w:val="center"/>
          </w:tcPr>
          <w:p w14:paraId="3F253BCB">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w:t>
            </w:r>
          </w:p>
        </w:tc>
        <w:tc>
          <w:tcPr>
            <w:tcW w:w="1437" w:type="dxa"/>
            <w:tcBorders>
              <w:top w:val="single" w:color="000000" w:sz="8" w:space="0"/>
              <w:left w:val="single" w:color="auto" w:sz="4" w:space="0"/>
              <w:bottom w:val="single" w:color="000000" w:sz="8" w:space="0"/>
              <w:right w:val="single" w:color="000000" w:sz="8" w:space="0"/>
            </w:tcBorders>
            <w:vAlign w:val="center"/>
          </w:tcPr>
          <w:p w14:paraId="59616343">
            <w:pPr>
              <w:keepNext w:val="0"/>
              <w:keepLines w:val="0"/>
              <w:suppressLineNumbers w:val="0"/>
              <w:shd w:val="clear"/>
              <w:snapToGrid w:val="0"/>
              <w:spacing w:before="0" w:beforeAutospacing="0" w:after="0" w:afterAutospacing="0" w:line="360" w:lineRule="auto"/>
              <w:ind w:left="0" w:right="0" w:firstLine="482" w:firstLineChars="200"/>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分包</w:t>
            </w:r>
          </w:p>
        </w:tc>
        <w:tc>
          <w:tcPr>
            <w:tcW w:w="7456" w:type="dxa"/>
            <w:tcBorders>
              <w:top w:val="single" w:color="000000" w:sz="8" w:space="0"/>
              <w:left w:val="single" w:color="000000" w:sz="2" w:space="0"/>
              <w:bottom w:val="single" w:color="000000" w:sz="8" w:space="0"/>
              <w:right w:val="single" w:color="000000" w:sz="8" w:space="0"/>
            </w:tcBorders>
            <w:vAlign w:val="center"/>
          </w:tcPr>
          <w:p w14:paraId="6043D0F3">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☐A同意将非主体、非关键性的</w:t>
            </w:r>
            <w:r>
              <w:rPr>
                <w:rFonts w:hint="eastAsia" w:cs="宋体" w:asciiTheme="minorEastAsia" w:hAnsiTheme="minorEastAsia" w:eastAsiaTheme="minorEastAsia"/>
                <w:b w:val="0"/>
                <w:bCs w:val="0"/>
                <w:color w:val="auto"/>
                <w:kern w:val="0"/>
                <w:sz w:val="24"/>
                <w:szCs w:val="32"/>
                <w:highlight w:val="none"/>
                <w:u w:val="single"/>
                <w:lang w:val="zh-CN" w:eastAsia="zh-CN" w:bidi="ar-SA"/>
              </w:rPr>
              <w:t xml:space="preserve">             </w:t>
            </w:r>
            <w:r>
              <w:rPr>
                <w:rFonts w:hint="eastAsia" w:cs="宋体" w:asciiTheme="minorEastAsia" w:hAnsiTheme="minorEastAsia" w:eastAsiaTheme="minorEastAsia"/>
                <w:b w:val="0"/>
                <w:bCs w:val="0"/>
                <w:color w:val="auto"/>
                <w:kern w:val="0"/>
                <w:sz w:val="24"/>
                <w:szCs w:val="32"/>
                <w:highlight w:val="none"/>
                <w:lang w:val="zh-CN" w:eastAsia="zh-CN" w:bidi="ar-SA"/>
              </w:rPr>
              <w:t>工作分包。</w:t>
            </w:r>
          </w:p>
          <w:p w14:paraId="13044E25">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sdt>
              <w:sdtPr>
                <w:rPr>
                  <w:rFonts w:hint="eastAsia" w:cs="宋体" w:asciiTheme="minorEastAsia" w:hAnsiTheme="minorEastAsia" w:eastAsiaTheme="minorEastAsia"/>
                  <w:b/>
                  <w:bCs/>
                  <w:color w:val="auto"/>
                  <w:kern w:val="0"/>
                  <w:sz w:val="24"/>
                  <w:szCs w:val="32"/>
                  <w:highlight w:val="none"/>
                  <w:lang w:val="zh-CN" w:eastAsia="zh-CN" w:bidi="ar-SA"/>
                </w:rPr>
                <w:id w:val="147460704"/>
                <w14:checkbox>
                  <w14:checked w14:val="1"/>
                  <w14:checkedState w14:val="00FE" w14:font="Wingdings"/>
                  <w14:uncheckedState w14:val="2610" w14:font="MS Gothic"/>
                </w14:checkbox>
              </w:sdtPr>
              <w:sdtEndPr>
                <w:rPr>
                  <w:rFonts w:hint="eastAsia" w:cs="宋体" w:asciiTheme="minorEastAsia" w:hAnsiTheme="minorEastAsia" w:eastAsiaTheme="minorEastAsia"/>
                  <w:b/>
                  <w:bCs/>
                  <w:color w:val="auto"/>
                  <w:kern w:val="0"/>
                  <w:sz w:val="24"/>
                  <w:szCs w:val="32"/>
                  <w:highlight w:val="none"/>
                  <w:lang w:val="zh-CN" w:eastAsia="zh-CN" w:bidi="ar-SA"/>
                </w:rPr>
              </w:sdtEndPr>
              <w:sdtContent>
                <w:r>
                  <w:rPr>
                    <w:rFonts w:hint="eastAsia" w:ascii="Wingdings" w:hAnsi="Wingdings" w:cs="宋体" w:eastAsiaTheme="minorEastAsia"/>
                    <w:b w:val="0"/>
                    <w:bCs w:val="0"/>
                    <w:color w:val="auto"/>
                    <w:kern w:val="0"/>
                    <w:sz w:val="24"/>
                    <w:szCs w:val="24"/>
                    <w:highlight w:val="none"/>
                    <w:lang w:val="en-US" w:eastAsia="zh-CN" w:bidi="ar-SA"/>
                  </w:rPr>
                  <w:t>þ</w:t>
                </w:r>
              </w:sdtContent>
            </w:sdt>
            <w:r>
              <w:rPr>
                <w:rFonts w:hint="eastAsia" w:cs="宋体" w:asciiTheme="minorEastAsia" w:hAnsiTheme="minorEastAsia" w:eastAsiaTheme="minorEastAsia"/>
                <w:b w:val="0"/>
                <w:bCs w:val="0"/>
                <w:color w:val="auto"/>
                <w:kern w:val="0"/>
                <w:sz w:val="24"/>
                <w:szCs w:val="32"/>
                <w:highlight w:val="none"/>
                <w:lang w:val="zh-CN" w:eastAsia="zh-CN" w:bidi="ar-SA"/>
              </w:rPr>
              <w:t>B不同意分包。</w:t>
            </w:r>
          </w:p>
          <w:p w14:paraId="37700DBC">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en-US"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注：不得限制大中型企业向小微企业合理分包。</w:t>
            </w:r>
          </w:p>
        </w:tc>
      </w:tr>
      <w:tr w14:paraId="6646FC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69" w:hRule="atLeast"/>
        </w:trPr>
        <w:tc>
          <w:tcPr>
            <w:tcW w:w="769" w:type="dxa"/>
            <w:tcBorders>
              <w:top w:val="single" w:color="auto" w:sz="4" w:space="0"/>
              <w:left w:val="single" w:color="auto" w:sz="4" w:space="0"/>
              <w:bottom w:val="single" w:color="auto" w:sz="4" w:space="0"/>
              <w:right w:val="single" w:color="auto" w:sz="4" w:space="0"/>
            </w:tcBorders>
            <w:vAlign w:val="center"/>
          </w:tcPr>
          <w:p w14:paraId="20A93D3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w:t>
            </w:r>
          </w:p>
        </w:tc>
        <w:tc>
          <w:tcPr>
            <w:tcW w:w="1437" w:type="dxa"/>
            <w:tcBorders>
              <w:top w:val="single" w:color="000000" w:sz="8" w:space="0"/>
              <w:left w:val="single" w:color="auto" w:sz="4" w:space="0"/>
              <w:bottom w:val="single" w:color="000000" w:sz="8" w:space="0"/>
              <w:right w:val="single" w:color="000000" w:sz="8" w:space="0"/>
            </w:tcBorders>
            <w:vAlign w:val="center"/>
          </w:tcPr>
          <w:p w14:paraId="2438EE9D">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开标前答疑会或现场考察</w:t>
            </w:r>
          </w:p>
        </w:tc>
        <w:tc>
          <w:tcPr>
            <w:tcW w:w="7456" w:type="dxa"/>
            <w:tcBorders>
              <w:top w:val="single" w:color="000000" w:sz="8" w:space="0"/>
              <w:left w:val="single" w:color="000000" w:sz="2" w:space="0"/>
              <w:bottom w:val="single" w:color="000000" w:sz="8" w:space="0"/>
              <w:right w:val="single" w:color="000000" w:sz="8" w:space="0"/>
            </w:tcBorders>
            <w:vAlign w:val="center"/>
          </w:tcPr>
          <w:p w14:paraId="73CF364D">
            <w:pPr>
              <w:keepNext w:val="0"/>
              <w:keepLines w:val="0"/>
              <w:pageBreakBefore w:val="0"/>
              <w:widowControl w:val="0"/>
              <w:suppressLineNumbers w:val="0"/>
              <w:shd w:val="clear"/>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cs="宋体" w:eastAsiaTheme="minorEastAsia"/>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5E2D81C0">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999802974"/>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zh-CN" w:eastAsia="zh-CN" w:bidi="ar-SA"/>
              </w:rPr>
              <w:t>B组织，</w:t>
            </w:r>
            <w:r>
              <w:rPr>
                <w:rFonts w:hint="eastAsia" w:ascii="宋体" w:eastAsia="宋体" w:cs="宋体" w:hAnsiTheme="minorEastAsia"/>
                <w:b w:val="0"/>
                <w:bCs w:val="0"/>
                <w:color w:val="auto"/>
                <w:kern w:val="2"/>
                <w:sz w:val="24"/>
                <w:szCs w:val="32"/>
                <w:highlight w:val="none"/>
                <w:lang w:val="zh-CN" w:eastAsia="zh-CN" w:bidi="ar-SA"/>
              </w:rPr>
              <w:t>时间：</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,地点：</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，联系人：</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，联系方式：</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20"/>
                <w:highlight w:val="none"/>
                <w:lang w:val="zh-CN" w:eastAsia="zh-CN" w:bidi="ar-SA"/>
              </w:rPr>
              <w:t>。</w:t>
            </w:r>
          </w:p>
        </w:tc>
      </w:tr>
      <w:tr w14:paraId="1D8AA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1" w:hRule="atLeast"/>
        </w:trPr>
        <w:tc>
          <w:tcPr>
            <w:tcW w:w="769" w:type="dxa"/>
            <w:tcBorders>
              <w:top w:val="single" w:color="auto" w:sz="4" w:space="0"/>
              <w:left w:val="single" w:color="auto" w:sz="4" w:space="0"/>
              <w:bottom w:val="single" w:color="auto" w:sz="4" w:space="0"/>
              <w:right w:val="single" w:color="auto" w:sz="4" w:space="0"/>
            </w:tcBorders>
            <w:vAlign w:val="center"/>
          </w:tcPr>
          <w:p w14:paraId="19C83580">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p>
        </w:tc>
        <w:tc>
          <w:tcPr>
            <w:tcW w:w="1437" w:type="dxa"/>
            <w:tcBorders>
              <w:top w:val="single" w:color="000000" w:sz="8" w:space="0"/>
              <w:left w:val="single" w:color="auto" w:sz="4" w:space="0"/>
              <w:bottom w:val="single" w:color="000000" w:sz="8" w:space="0"/>
              <w:right w:val="single" w:color="000000" w:sz="8" w:space="0"/>
            </w:tcBorders>
            <w:vAlign w:val="center"/>
          </w:tcPr>
          <w:p w14:paraId="137EE03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样品提供</w:t>
            </w:r>
          </w:p>
        </w:tc>
        <w:tc>
          <w:tcPr>
            <w:tcW w:w="7456" w:type="dxa"/>
            <w:tcBorders>
              <w:top w:val="single" w:color="000000" w:sz="8" w:space="0"/>
              <w:left w:val="single" w:color="000000" w:sz="2" w:space="0"/>
              <w:bottom w:val="single" w:color="000000" w:sz="8" w:space="0"/>
              <w:right w:val="single" w:color="000000" w:sz="8" w:space="0"/>
            </w:tcBorders>
            <w:vAlign w:val="center"/>
          </w:tcPr>
          <w:p w14:paraId="5C4B95F9">
            <w:pPr>
              <w:keepNext w:val="0"/>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不要求提供。</w:t>
            </w:r>
          </w:p>
          <w:p w14:paraId="03D7457F">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026831988"/>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B要求提供，</w:t>
            </w:r>
          </w:p>
          <w:p w14:paraId="0C37CB0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w:t>
            </w:r>
            <w:r>
              <w:rPr>
                <w:rFonts w:hint="eastAsia" w:ascii="宋体" w:eastAsia="宋体" w:cs="宋体" w:hAnsiTheme="minorEastAsia"/>
                <w:snapToGrid w:val="0"/>
                <w:color w:val="auto"/>
                <w:kern w:val="28"/>
                <w:sz w:val="24"/>
                <w:highlight w:val="none"/>
              </w:rPr>
              <w:t>样品：</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4A4994F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w:t>
            </w:r>
            <w:r>
              <w:rPr>
                <w:rFonts w:hint="eastAsia" w:ascii="宋体" w:eastAsia="宋体" w:cs="宋体" w:hAnsiTheme="minorEastAsia"/>
                <w:snapToGrid w:val="0"/>
                <w:color w:val="auto"/>
                <w:kern w:val="28"/>
                <w:sz w:val="24"/>
                <w:highlight w:val="none"/>
              </w:rPr>
              <w:t>样品制作的标准和要求：</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22DE69EF">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（3）样品的评审方法以及评审标准</w:t>
            </w:r>
            <w:r>
              <w:rPr>
                <w:rFonts w:hint="eastAsia" w:ascii="宋体" w:eastAsia="宋体" w:cs="宋体" w:hAnsiTheme="minorEastAsia"/>
                <w:snapToGrid w:val="0"/>
                <w:color w:val="auto"/>
                <w:kern w:val="28"/>
                <w:sz w:val="24"/>
                <w:highlight w:val="none"/>
              </w:rPr>
              <w:t>：详见</w:t>
            </w:r>
            <w:r>
              <w:rPr>
                <w:rFonts w:hint="eastAsia" w:ascii="宋体" w:eastAsia="宋体" w:cs="宋体" w:hAnsiTheme="minorEastAsia"/>
                <w:color w:val="auto"/>
                <w:sz w:val="24"/>
                <w:highlight w:val="none"/>
                <w:u w:val="single"/>
              </w:rPr>
              <w:t>评审标准</w:t>
            </w:r>
            <w:r>
              <w:rPr>
                <w:rFonts w:hint="eastAsia" w:ascii="宋体" w:eastAsia="宋体" w:cs="宋体" w:hAnsiTheme="minorEastAsia"/>
                <w:color w:val="auto"/>
                <w:kern w:val="0"/>
                <w:sz w:val="24"/>
                <w:highlight w:val="none"/>
              </w:rPr>
              <w:t>；</w:t>
            </w:r>
          </w:p>
          <w:p w14:paraId="07A6A89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（4）是否需要随样品提交检测报告：</w:t>
            </w:r>
            <w:sdt>
              <w:sdtPr>
                <w:rPr>
                  <w:rFonts w:hint="eastAsia" w:ascii="宋体" w:eastAsia="宋体" w:cs="宋体" w:hAnsiTheme="minorEastAsia"/>
                  <w:color w:val="auto"/>
                  <w:kern w:val="0"/>
                  <w:sz w:val="24"/>
                  <w:highlight w:val="none"/>
                </w:rPr>
                <w:id w:val="1303421454"/>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否；</w:t>
            </w:r>
            <w:sdt>
              <w:sdtPr>
                <w:rPr>
                  <w:rFonts w:hint="eastAsia" w:ascii="宋体" w:eastAsia="宋体" w:cs="宋体" w:hAnsiTheme="minorEastAsia"/>
                  <w:color w:val="auto"/>
                  <w:kern w:val="0"/>
                  <w:sz w:val="24"/>
                  <w:highlight w:val="none"/>
                </w:rPr>
                <w:id w:val="162172843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是，检测机构的要求</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；检测内容</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3B1868B2">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（5）提供样品的时间：</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；地点：</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；联系人</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w:t>
            </w:r>
            <w:r>
              <w:rPr>
                <w:rFonts w:hint="eastAsia" w:ascii="宋体" w:eastAsia="宋体" w:cs="宋体" w:hAnsiTheme="minorEastAsia"/>
                <w:color w:val="auto"/>
                <w:kern w:val="28"/>
                <w:sz w:val="24"/>
                <w:highlight w:val="none"/>
              </w:rPr>
              <w:t>联系电话：</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。请供应商在上述时间内提供样品并按规定位置安装完毕。超过截止时间的，采购人或采购代理机构将不予接收，并将清场并封闭样品现场。</w:t>
            </w:r>
          </w:p>
          <w:p w14:paraId="2790758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63C2ABA5">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r>
              <w:rPr>
                <w:rFonts w:hint="eastAsia" w:ascii="宋体" w:eastAsia="宋体" w:cs="宋体" w:hAnsiTheme="minorEastAsia"/>
                <w:b w:val="0"/>
                <w:bCs w:val="0"/>
                <w:color w:val="auto"/>
                <w:kern w:val="2"/>
                <w:sz w:val="24"/>
                <w:szCs w:val="32"/>
                <w:highlight w:val="none"/>
                <w:lang w:val="zh-CN" w:eastAsia="zh-CN" w:bidi="ar-SA"/>
              </w:rPr>
              <w:t>（7）制作、运输、安装和保管样品所发生的一切费用由供应商自理。</w:t>
            </w:r>
          </w:p>
        </w:tc>
      </w:tr>
      <w:tr w14:paraId="2F74A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7" w:hRule="atLeast"/>
        </w:trPr>
        <w:tc>
          <w:tcPr>
            <w:tcW w:w="769" w:type="dxa"/>
            <w:tcBorders>
              <w:top w:val="single" w:color="auto" w:sz="4" w:space="0"/>
              <w:left w:val="single" w:color="auto" w:sz="4" w:space="0"/>
              <w:bottom w:val="single" w:color="auto" w:sz="4" w:space="0"/>
              <w:right w:val="single" w:color="auto" w:sz="4" w:space="0"/>
            </w:tcBorders>
            <w:vAlign w:val="center"/>
          </w:tcPr>
          <w:p w14:paraId="6A370E3F">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w:t>
            </w:r>
          </w:p>
        </w:tc>
        <w:tc>
          <w:tcPr>
            <w:tcW w:w="1437" w:type="dxa"/>
            <w:tcBorders>
              <w:top w:val="single" w:color="000000" w:sz="8" w:space="0"/>
              <w:left w:val="single" w:color="auto" w:sz="4" w:space="0"/>
              <w:bottom w:val="single" w:color="000000" w:sz="8" w:space="0"/>
              <w:right w:val="single" w:color="000000" w:sz="8" w:space="0"/>
            </w:tcBorders>
            <w:vAlign w:val="center"/>
          </w:tcPr>
          <w:p w14:paraId="1277AD6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sz w:val="24"/>
                <w:highlight w:val="none"/>
              </w:rPr>
              <w:t>方案讲解演示</w:t>
            </w:r>
          </w:p>
        </w:tc>
        <w:tc>
          <w:tcPr>
            <w:tcW w:w="7456" w:type="dxa"/>
            <w:tcBorders>
              <w:top w:val="single" w:color="000000" w:sz="8" w:space="0"/>
              <w:left w:val="single" w:color="000000" w:sz="2" w:space="0"/>
              <w:bottom w:val="single" w:color="000000" w:sz="8" w:space="0"/>
              <w:right w:val="single" w:color="000000" w:sz="8" w:space="0"/>
            </w:tcBorders>
            <w:vAlign w:val="center"/>
          </w:tcPr>
          <w:p w14:paraId="72EDB3B9">
            <w:pPr>
              <w:keepNext w:val="0"/>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14C45B3B">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174071719"/>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B组织。</w:t>
            </w:r>
          </w:p>
          <w:p w14:paraId="7E99FBD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（1）在评审时安排每个供应商进行方案讲解演示。每个供应商时间不超过</w:t>
            </w:r>
            <w:r>
              <w:rPr>
                <w:rFonts w:hint="eastAsia" w:ascii="宋体" w:eastAsia="宋体" w:cs="宋体" w:hAnsiTheme="minorEastAsia"/>
                <w:color w:val="auto"/>
                <w:kern w:val="0"/>
                <w:sz w:val="24"/>
                <w:highlight w:val="none"/>
                <w:u w:val="single"/>
              </w:rPr>
              <w:t>20</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分钟，讲解次序以响应文件解密时间先后次序为准，讲解演示人员不超过</w:t>
            </w:r>
            <w:r>
              <w:rPr>
                <w:rFonts w:hint="eastAsia" w:ascii="宋体" w:eastAsia="宋体" w:cs="宋体" w:hAnsiTheme="minorEastAsia"/>
                <w:color w:val="auto"/>
                <w:kern w:val="0"/>
                <w:sz w:val="24"/>
                <w:highlight w:val="none"/>
                <w:u w:val="single"/>
              </w:rPr>
              <w:t>3</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人。讲解演示结束后按要求解答评标委员会提问。</w:t>
            </w:r>
          </w:p>
          <w:p w14:paraId="707FB21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（2）方案讲解演示可选择以下其中一种方式：</w:t>
            </w:r>
          </w:p>
          <w:p w14:paraId="259B8675">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73BAF0B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方式二：交易中心现场讲解演示。现场讲解地点为</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，讲解演示</w:t>
            </w:r>
            <w:r>
              <w:rPr>
                <w:rFonts w:hint="eastAsia" w:ascii="宋体" w:eastAsia="宋体" w:cs="宋体" w:hAnsiTheme="minorEastAsia"/>
                <w:color w:val="auto"/>
                <w:kern w:val="0"/>
                <w:sz w:val="24"/>
                <w:highlight w:val="none"/>
                <w:lang w:val="zh-CN"/>
              </w:rPr>
              <w:t>所用电脑等设备由供应商自备。现场讲解演示人员进场时提供讲解人员名单（加盖公章或授权代表签名）及身份证明，否则不得讲</w:t>
            </w:r>
            <w:r>
              <w:rPr>
                <w:rFonts w:hint="eastAsia" w:ascii="宋体" w:eastAsia="宋体" w:cs="宋体" w:hAnsiTheme="minorEastAsia"/>
                <w:color w:val="auto"/>
                <w:kern w:val="0"/>
                <w:sz w:val="24"/>
                <w:highlight w:val="none"/>
              </w:rPr>
              <w:t>解演示。</w:t>
            </w:r>
          </w:p>
          <w:p w14:paraId="138A8EC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zh-CN"/>
              </w:rPr>
            </w:pPr>
            <w:r>
              <w:rPr>
                <w:rFonts w:hint="eastAsia" w:ascii="宋体" w:eastAsia="宋体" w:cs="宋体" w:hAnsiTheme="minorEastAsia"/>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0259C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769" w:type="dxa"/>
            <w:vMerge w:val="restart"/>
            <w:tcBorders>
              <w:top w:val="single" w:color="auto" w:sz="4" w:space="0"/>
              <w:left w:val="single" w:color="auto" w:sz="4" w:space="0"/>
              <w:right w:val="single" w:color="auto" w:sz="4" w:space="0"/>
            </w:tcBorders>
            <w:vAlign w:val="center"/>
          </w:tcPr>
          <w:p w14:paraId="41115FEA">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w:t>
            </w:r>
          </w:p>
        </w:tc>
        <w:tc>
          <w:tcPr>
            <w:tcW w:w="1437" w:type="dxa"/>
            <w:vMerge w:val="restart"/>
            <w:tcBorders>
              <w:top w:val="single" w:color="000000" w:sz="8" w:space="0"/>
              <w:left w:val="single" w:color="auto" w:sz="4" w:space="0"/>
              <w:right w:val="single" w:color="000000" w:sz="8" w:space="0"/>
            </w:tcBorders>
            <w:vAlign w:val="center"/>
          </w:tcPr>
          <w:p w14:paraId="57B7ACC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供应商应当提供的资格、资信证明文件</w:t>
            </w:r>
          </w:p>
        </w:tc>
        <w:tc>
          <w:tcPr>
            <w:tcW w:w="7456" w:type="dxa"/>
            <w:tcBorders>
              <w:top w:val="single" w:color="000000" w:sz="8" w:space="0"/>
              <w:left w:val="single" w:color="000000" w:sz="2" w:space="0"/>
              <w:bottom w:val="single" w:color="auto" w:sz="4" w:space="0"/>
              <w:right w:val="single" w:color="000000" w:sz="8" w:space="0"/>
            </w:tcBorders>
            <w:vAlign w:val="center"/>
          </w:tcPr>
          <w:p w14:paraId="40E3834A">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（1）资格证明文件：见磋商文件第</w:t>
            </w:r>
            <w:r>
              <w:rPr>
                <w:rFonts w:hint="eastAsia" w:ascii="宋体" w:eastAsia="宋体" w:cs="宋体" w:hAnsiTheme="minorEastAsia"/>
                <w:color w:val="auto"/>
                <w:kern w:val="0"/>
                <w:sz w:val="24"/>
                <w:highlight w:val="none"/>
                <w:lang w:val="en-US" w:eastAsia="zh-CN"/>
              </w:rPr>
              <w:t>三</w:t>
            </w:r>
            <w:r>
              <w:rPr>
                <w:rFonts w:hint="eastAsia" w:ascii="宋体" w:eastAsia="宋体" w:cs="宋体" w:hAnsiTheme="minorEastAsia"/>
                <w:color w:val="auto"/>
                <w:kern w:val="0"/>
                <w:sz w:val="24"/>
                <w:highlight w:val="none"/>
              </w:rPr>
              <w:t>部分</w:t>
            </w:r>
            <w:r>
              <w:rPr>
                <w:rFonts w:hint="eastAsia" w:ascii="宋体" w:eastAsia="宋体" w:cs="宋体" w:hAnsiTheme="minorEastAsia"/>
                <w:color w:val="auto"/>
                <w:kern w:val="0"/>
                <w:sz w:val="24"/>
                <w:highlight w:val="none"/>
                <w:lang w:val="en-US" w:eastAsia="zh-CN"/>
              </w:rPr>
              <w:t xml:space="preserve"> 供应商须知</w:t>
            </w:r>
            <w:r>
              <w:rPr>
                <w:rFonts w:hint="eastAsia" w:ascii="宋体" w:eastAsia="宋体" w:cs="宋体" w:hAnsiTheme="minorEastAsia"/>
                <w:color w:val="auto"/>
                <w:kern w:val="0"/>
                <w:sz w:val="24"/>
                <w:highlight w:val="none"/>
              </w:rPr>
              <w:t>。</w:t>
            </w:r>
          </w:p>
          <w:p w14:paraId="087FE1E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snapToGrid w:val="0"/>
                <w:color w:val="auto"/>
                <w:kern w:val="0"/>
                <w:szCs w:val="21"/>
                <w:highlight w:val="none"/>
              </w:rPr>
            </w:pPr>
            <w:r>
              <w:rPr>
                <w:rFonts w:hint="eastAsia" w:ascii="宋体" w:eastAsia="宋体" w:cs="宋体" w:hAnsiTheme="minorEastAsia"/>
                <w:color w:val="auto"/>
                <w:kern w:val="0"/>
                <w:sz w:val="24"/>
                <w:highlight w:val="none"/>
                <w:lang w:val="zh-CN"/>
              </w:rPr>
              <w:t>供应商未提供有效的资格证明文件的，视为供应商不具备磋商文件中规定的资格要求，响应无效。</w:t>
            </w:r>
          </w:p>
        </w:tc>
      </w:tr>
      <w:tr w14:paraId="72377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769" w:type="dxa"/>
            <w:vMerge w:val="continue"/>
            <w:tcBorders>
              <w:left w:val="single" w:color="auto" w:sz="4" w:space="0"/>
              <w:bottom w:val="single" w:color="auto" w:sz="4" w:space="0"/>
              <w:right w:val="single" w:color="auto" w:sz="4" w:space="0"/>
            </w:tcBorders>
            <w:vAlign w:val="center"/>
          </w:tcPr>
          <w:p w14:paraId="6E617A1F">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p>
        </w:tc>
        <w:tc>
          <w:tcPr>
            <w:tcW w:w="1437" w:type="dxa"/>
            <w:vMerge w:val="continue"/>
            <w:tcBorders>
              <w:left w:val="single" w:color="auto" w:sz="4" w:space="0"/>
              <w:bottom w:val="single" w:color="000000" w:sz="8" w:space="0"/>
              <w:right w:val="single" w:color="000000" w:sz="8" w:space="0"/>
            </w:tcBorders>
            <w:vAlign w:val="center"/>
          </w:tcPr>
          <w:p w14:paraId="63CA583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p>
        </w:tc>
        <w:tc>
          <w:tcPr>
            <w:tcW w:w="7456" w:type="dxa"/>
            <w:tcBorders>
              <w:top w:val="single" w:color="auto" w:sz="4" w:space="0"/>
              <w:left w:val="single" w:color="000000" w:sz="2" w:space="0"/>
              <w:bottom w:val="single" w:color="000000" w:sz="8" w:space="0"/>
              <w:right w:val="single" w:color="000000" w:sz="8" w:space="0"/>
            </w:tcBorders>
            <w:vAlign w:val="center"/>
          </w:tcPr>
          <w:p w14:paraId="756729FA">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（2）资信证明文件：根据磋商文件采购需求及评审标准的要求提供。</w:t>
            </w:r>
          </w:p>
        </w:tc>
      </w:tr>
      <w:tr w14:paraId="1DE0D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5CD9CBF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9</w:t>
            </w:r>
          </w:p>
        </w:tc>
        <w:tc>
          <w:tcPr>
            <w:tcW w:w="1437" w:type="dxa"/>
            <w:tcBorders>
              <w:top w:val="single" w:color="000000" w:sz="8" w:space="0"/>
              <w:left w:val="single" w:color="000000" w:sz="2" w:space="0"/>
              <w:bottom w:val="single" w:color="000000" w:sz="8" w:space="0"/>
              <w:right w:val="single" w:color="000000" w:sz="8" w:space="0"/>
            </w:tcBorders>
            <w:vAlign w:val="center"/>
          </w:tcPr>
          <w:p w14:paraId="3194861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节能产品、环境标志产品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0A5E54C8">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highlight w:val="none"/>
              </w:rPr>
            </w:pPr>
            <w:r>
              <w:rPr>
                <w:rFonts w:hint="eastAsia" w:ascii="宋体" w:eastAsia="宋体" w:cs="宋体" w:hAnsiTheme="minorEastAsia"/>
                <w:color w:val="auto"/>
                <w:kern w:val="0"/>
                <w:sz w:val="24"/>
                <w:highlight w:val="none"/>
                <w:lang w:val="zh-CN"/>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4B3F9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2F8023C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w:t>
            </w:r>
          </w:p>
        </w:tc>
        <w:tc>
          <w:tcPr>
            <w:tcW w:w="1437" w:type="dxa"/>
            <w:tcBorders>
              <w:top w:val="single" w:color="000000" w:sz="8" w:space="0"/>
              <w:left w:val="single" w:color="000000" w:sz="2" w:space="0"/>
              <w:bottom w:val="single" w:color="000000" w:sz="8" w:space="0"/>
              <w:right w:val="single" w:color="000000" w:sz="8" w:space="0"/>
            </w:tcBorders>
            <w:vAlign w:val="center"/>
          </w:tcPr>
          <w:p w14:paraId="1CFFC7C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最后报价要求</w:t>
            </w:r>
          </w:p>
        </w:tc>
        <w:tc>
          <w:tcPr>
            <w:tcW w:w="7456" w:type="dxa"/>
            <w:tcBorders>
              <w:top w:val="single" w:color="000000" w:sz="8" w:space="0"/>
              <w:left w:val="single" w:color="000000" w:sz="2" w:space="0"/>
              <w:bottom w:val="single" w:color="000000" w:sz="8" w:space="0"/>
              <w:right w:val="single" w:color="000000" w:sz="8" w:space="0"/>
            </w:tcBorders>
            <w:vAlign w:val="center"/>
          </w:tcPr>
          <w:p w14:paraId="7850465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有关本项目实施所需的所有费用（含税费）均计入最后报价。《最后报价一览表（报价表）》是最后报价的唯一载体。磋商文件中价格全部采用人民币报价。磋商文件未列明，而供应商认为必需的费用也需列入报价。</w:t>
            </w:r>
          </w:p>
          <w:p w14:paraId="51432EB1">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最后报价出现下列情形的，响应无效：</w:t>
            </w:r>
          </w:p>
          <w:p w14:paraId="2BF16B5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1）</w:t>
            </w:r>
            <w:r>
              <w:rPr>
                <w:rFonts w:hint="eastAsia" w:ascii="宋体" w:eastAsia="宋体" w:cs="宋体" w:hAnsiTheme="minorEastAsia"/>
                <w:b/>
                <w:bCs/>
                <w:color w:val="auto"/>
                <w:kern w:val="0"/>
                <w:sz w:val="24"/>
                <w:highlight w:val="none"/>
                <w:lang w:val="zh-CN"/>
              </w:rPr>
              <w:t>响应文件出现不是唯一的、有选择性的最后报价的；</w:t>
            </w:r>
          </w:p>
          <w:p w14:paraId="3A9E456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2）</w:t>
            </w:r>
            <w:r>
              <w:rPr>
                <w:rFonts w:hint="eastAsia" w:ascii="宋体" w:eastAsia="宋体" w:cs="宋体" w:hAnsiTheme="minorEastAsia"/>
                <w:b/>
                <w:bCs/>
                <w:color w:val="auto"/>
                <w:kern w:val="0"/>
                <w:sz w:val="24"/>
                <w:highlight w:val="none"/>
                <w:lang w:val="zh-CN"/>
              </w:rPr>
              <w:t>最后报价超过磋商文件中规定的预算金额或者最高限价的;</w:t>
            </w:r>
          </w:p>
          <w:p w14:paraId="347F5B7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b/>
                <w:bCs/>
                <w:color w:val="auto"/>
                <w:kern w:val="0"/>
                <w:sz w:val="24"/>
                <w:highlight w:val="none"/>
                <w:lang w:val="zh-CN" w:eastAsia="zh-CN"/>
              </w:rPr>
              <w:t>（</w:t>
            </w:r>
            <w:r>
              <w:rPr>
                <w:rFonts w:hint="eastAsia" w:ascii="宋体" w:eastAsia="宋体" w:cs="宋体" w:hAnsiTheme="minorEastAsia"/>
                <w:b/>
                <w:bCs/>
                <w:color w:val="auto"/>
                <w:kern w:val="0"/>
                <w:sz w:val="24"/>
                <w:highlight w:val="none"/>
                <w:lang w:val="en-US" w:eastAsia="zh-CN"/>
              </w:rPr>
              <w:t>3）</w:t>
            </w:r>
            <w:r>
              <w:rPr>
                <w:rFonts w:hint="eastAsia" w:ascii="宋体" w:eastAsia="宋体" w:cs="宋体" w:hAnsiTheme="minorEastAsia"/>
                <w:b/>
                <w:bCs/>
                <w:color w:val="auto"/>
                <w:kern w:val="0"/>
                <w:sz w:val="24"/>
                <w:highlight w:val="none"/>
                <w:lang w:val="zh-CN"/>
              </w:rPr>
              <w:t>供应商对根据修正原则修正后的报价不确认的。</w:t>
            </w:r>
          </w:p>
        </w:tc>
      </w:tr>
      <w:tr w14:paraId="1DD5C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769" w:type="dxa"/>
            <w:tcBorders>
              <w:top w:val="single" w:color="auto" w:sz="4" w:space="0"/>
              <w:left w:val="single" w:color="000000" w:sz="8" w:space="0"/>
              <w:right w:val="single" w:color="000000" w:sz="2" w:space="0"/>
            </w:tcBorders>
            <w:vAlign w:val="center"/>
          </w:tcPr>
          <w:p w14:paraId="15092136">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w:t>
            </w:r>
          </w:p>
        </w:tc>
        <w:tc>
          <w:tcPr>
            <w:tcW w:w="1437" w:type="dxa"/>
            <w:tcBorders>
              <w:top w:val="single" w:color="000000" w:sz="8" w:space="0"/>
              <w:left w:val="single" w:color="000000" w:sz="2" w:space="0"/>
              <w:right w:val="single" w:color="000000" w:sz="8" w:space="0"/>
            </w:tcBorders>
            <w:vAlign w:val="center"/>
          </w:tcPr>
          <w:p w14:paraId="6EF21C06">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中小企业信用融资</w:t>
            </w:r>
          </w:p>
        </w:tc>
        <w:tc>
          <w:tcPr>
            <w:tcW w:w="7456" w:type="dxa"/>
            <w:tcBorders>
              <w:top w:val="single" w:color="000000" w:sz="8" w:space="0"/>
              <w:left w:val="single" w:color="000000" w:sz="2" w:space="0"/>
              <w:right w:val="single" w:color="000000" w:sz="8" w:space="0"/>
            </w:tcBorders>
            <w:vAlign w:val="center"/>
          </w:tcPr>
          <w:p w14:paraId="5BA0002B">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3442162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供应商成交后也可在“广西政府采购云”平台申请政采贷：操作路径：登录广西政府采购云平台-金融服务中心-【融资服务】，可在热门申请中选择产品直接申请。</w:t>
            </w:r>
          </w:p>
        </w:tc>
      </w:tr>
      <w:tr w14:paraId="05985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2"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3F84E28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w:t>
            </w:r>
          </w:p>
        </w:tc>
        <w:tc>
          <w:tcPr>
            <w:tcW w:w="1437" w:type="dxa"/>
            <w:tcBorders>
              <w:top w:val="single" w:color="000000" w:sz="8" w:space="0"/>
              <w:left w:val="single" w:color="000000" w:sz="2" w:space="0"/>
              <w:bottom w:val="single" w:color="000000" w:sz="8" w:space="0"/>
              <w:right w:val="single" w:color="000000" w:sz="8" w:space="0"/>
            </w:tcBorders>
            <w:vAlign w:val="center"/>
          </w:tcPr>
          <w:p w14:paraId="1628877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ascii="宋体" w:eastAsia="宋体" w:cs="宋体" w:hAnsiTheme="minorEastAsia"/>
                <w:b/>
                <w:color w:val="auto"/>
                <w:sz w:val="24"/>
                <w:highlight w:val="none"/>
              </w:rPr>
              <w:t xml:space="preserve">备份响应文件送达地点和签收人员 </w:t>
            </w:r>
            <w:r>
              <w:rPr>
                <w:rFonts w:hint="eastAsia" w:cs="宋体" w:asciiTheme="minorEastAsia" w:hAnsiTheme="minorEastAsia" w:eastAsiaTheme="minorEastAsia"/>
                <w:b/>
                <w:color w:val="auto"/>
                <w:sz w:val="24"/>
                <w:highlight w:val="none"/>
              </w:rPr>
              <w:t xml:space="preserve"> </w:t>
            </w:r>
          </w:p>
        </w:tc>
        <w:tc>
          <w:tcPr>
            <w:tcW w:w="7456" w:type="dxa"/>
            <w:tcBorders>
              <w:top w:val="single" w:color="000000" w:sz="8" w:space="0"/>
              <w:left w:val="single" w:color="000000" w:sz="2" w:space="0"/>
              <w:bottom w:val="single" w:color="000000" w:sz="8" w:space="0"/>
              <w:right w:val="single" w:color="000000" w:sz="8" w:space="0"/>
            </w:tcBorders>
            <w:vAlign w:val="center"/>
          </w:tcPr>
          <w:p w14:paraId="185B6297">
            <w:pPr>
              <w:keepNext w:val="0"/>
              <w:keepLines w:val="0"/>
              <w:suppressLineNumbers w:val="0"/>
              <w:shd w:val="clear"/>
              <w:snapToGrid w:val="0"/>
              <w:spacing w:before="0" w:beforeAutospacing="0" w:after="0" w:afterAutospacing="0" w:line="360" w:lineRule="auto"/>
              <w:ind w:left="0" w:right="0" w:rightChars="0"/>
              <w:jc w:val="left"/>
              <w:rPr>
                <w:rFonts w:hint="eastAsia" w:ascii="宋体" w:eastAsia="宋体" w:cs="宋体" w:hAnsiTheme="minorEastAsia"/>
                <w:color w:val="auto"/>
                <w:kern w:val="0"/>
                <w:sz w:val="24"/>
                <w:highlight w:val="none"/>
                <w:lang w:val="en-US" w:eastAsia="zh-CN"/>
              </w:rPr>
            </w:pPr>
            <w:sdt>
              <w:sdtPr>
                <w:rPr>
                  <w:rFonts w:hint="eastAsia" w:ascii="宋体" w:hAnsi="宋体" w:eastAsia="宋体" w:cs="宋体"/>
                  <w:color w:val="auto"/>
                  <w:kern w:val="0"/>
                  <w:sz w:val="24"/>
                  <w:highlight w:val="none"/>
                </w:rPr>
                <w:id w:val="147459522"/>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sym w:font="Wingdings" w:char="F0FE"/>
                </w:r>
              </w:sdtContent>
            </w:sdt>
            <w:r>
              <w:rPr>
                <w:rFonts w:hint="eastAsia" w:ascii="宋体" w:eastAsia="宋体" w:cs="宋体" w:hAnsiTheme="minorEastAsia"/>
                <w:color w:val="auto"/>
                <w:kern w:val="0"/>
                <w:sz w:val="24"/>
                <w:highlight w:val="none"/>
                <w:lang w:val="en-US" w:eastAsia="zh-CN"/>
              </w:rPr>
              <w:t>A本项目对备份响应文件无要求。</w:t>
            </w:r>
          </w:p>
          <w:p w14:paraId="660A5A6F">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en-US" w:eastAsia="zh-CN"/>
              </w:rPr>
            </w:pPr>
            <w:sdt>
              <w:sdtPr>
                <w:rPr>
                  <w:rFonts w:hint="eastAsia" w:ascii="宋体" w:eastAsia="宋体" w:cs="宋体" w:hAnsiTheme="minorEastAsia"/>
                  <w:color w:val="auto"/>
                  <w:kern w:val="0"/>
                  <w:sz w:val="24"/>
                  <w:highlight w:val="none"/>
                  <w:lang w:val="zh-CN"/>
                </w:rPr>
                <w:id w:val="120660486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t>☐</w:t>
                </w:r>
              </w:sdtContent>
            </w:sdt>
            <w:r>
              <w:rPr>
                <w:rFonts w:hint="eastAsia" w:ascii="宋体" w:eastAsia="宋体" w:cs="宋体" w:hAnsiTheme="minorEastAsia"/>
                <w:color w:val="auto"/>
                <w:kern w:val="0"/>
                <w:sz w:val="24"/>
                <w:highlight w:val="none"/>
                <w:lang w:val="zh-CN"/>
              </w:rPr>
              <w:t>B接受：备份响应文件送达地点：</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；备份响应文件签收人员联系电话：</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w:t>
            </w:r>
            <w:r>
              <w:rPr>
                <w:rFonts w:hint="eastAsia" w:ascii="宋体" w:eastAsia="宋体" w:cs="宋体" w:hAnsiTheme="minorEastAsia"/>
                <w:b/>
                <w:bCs/>
                <w:color w:val="auto"/>
                <w:kern w:val="0"/>
                <w:sz w:val="24"/>
                <w:highlight w:val="none"/>
                <w:lang w:val="zh-CN"/>
              </w:rPr>
              <w:t>采购人、采购代理机构不强制或变相强制磋商供应商提交备份响应文件。</w:t>
            </w:r>
          </w:p>
        </w:tc>
      </w:tr>
      <w:tr w14:paraId="19088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21" w:hRule="atLeast"/>
        </w:trPr>
        <w:tc>
          <w:tcPr>
            <w:tcW w:w="769" w:type="dxa"/>
            <w:tcBorders>
              <w:top w:val="single" w:color="auto" w:sz="4" w:space="0"/>
              <w:left w:val="single" w:color="auto" w:sz="4" w:space="0"/>
              <w:bottom w:val="single" w:color="auto" w:sz="4" w:space="0"/>
              <w:right w:val="single" w:color="auto" w:sz="4" w:space="0"/>
            </w:tcBorders>
            <w:vAlign w:val="center"/>
          </w:tcPr>
          <w:p w14:paraId="5E185E01">
            <w:pPr>
              <w:keepNext w:val="0"/>
              <w:keepLines w:val="0"/>
              <w:suppressLineNumbers w:val="0"/>
              <w:shd w:val="clear"/>
              <w:snapToGrid w:val="0"/>
              <w:spacing w:before="0" w:beforeAutospacing="0" w:after="0" w:afterAutospacing="0" w:line="360" w:lineRule="auto"/>
              <w:ind w:left="0" w:right="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3</w:t>
            </w:r>
          </w:p>
        </w:tc>
        <w:tc>
          <w:tcPr>
            <w:tcW w:w="1437" w:type="dxa"/>
            <w:tcBorders>
              <w:top w:val="single" w:color="auto" w:sz="4" w:space="0"/>
              <w:left w:val="single" w:color="auto" w:sz="4" w:space="0"/>
              <w:bottom w:val="single" w:color="auto" w:sz="4" w:space="0"/>
              <w:right w:val="single" w:color="auto" w:sz="4" w:space="0"/>
            </w:tcBorders>
            <w:vAlign w:val="center"/>
          </w:tcPr>
          <w:p w14:paraId="53E84A8E">
            <w:pPr>
              <w:keepNext w:val="0"/>
              <w:keepLines w:val="0"/>
              <w:suppressLineNumbers w:val="0"/>
              <w:shd w:val="clear"/>
              <w:snapToGrid w:val="0"/>
              <w:spacing w:before="0" w:beforeAutospacing="0" w:after="0" w:afterAutospacing="0" w:line="360" w:lineRule="auto"/>
              <w:ind w:left="0" w:right="0"/>
              <w:jc w:val="center"/>
              <w:rPr>
                <w:rFonts w:hint="default"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7456" w:type="dxa"/>
            <w:tcBorders>
              <w:top w:val="single" w:color="auto" w:sz="4" w:space="0"/>
              <w:left w:val="single" w:color="auto" w:sz="4" w:space="0"/>
              <w:bottom w:val="single" w:color="auto" w:sz="4" w:space="0"/>
              <w:right w:val="single" w:color="auto" w:sz="4" w:space="0"/>
            </w:tcBorders>
            <w:vAlign w:val="center"/>
          </w:tcPr>
          <w:p w14:paraId="04F4F6D4">
            <w:pPr>
              <w:keepNext w:val="0"/>
              <w:keepLines w:val="0"/>
              <w:suppressLineNumbers w:val="0"/>
              <w:shd w:val="clear"/>
              <w:spacing w:before="0" w:beforeAutospacing="0" w:after="0" w:afterAutospacing="0" w:line="360" w:lineRule="auto"/>
              <w:ind w:left="0" w:right="0"/>
              <w:rPr>
                <w:rFonts w:hint="default"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726ED7E0">
      <w:pPr>
        <w:shd w:val="clear"/>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br w:type="page"/>
      </w:r>
    </w:p>
    <w:p w14:paraId="08B9193B">
      <w:pPr>
        <w:shd w:val="clear"/>
        <w:adjustRightInd/>
        <w:spacing w:line="360" w:lineRule="auto"/>
        <w:ind w:firstLine="3845" w:firstLineChars="1197"/>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二、总则</w:t>
      </w:r>
    </w:p>
    <w:p w14:paraId="4C671D3E">
      <w:pPr>
        <w:shd w:val="clear"/>
        <w:snapToGrid w:val="0"/>
        <w:spacing w:line="360" w:lineRule="auto"/>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14:paraId="23910369">
      <w:pPr>
        <w:shd w:val="clear"/>
        <w:snapToGrid w:val="0"/>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本磋商文件适用于该项目的邀请、响应、开启响应文件、信用信息查询、资格性审查、评审、成交、合同、验收等行为（法律、法规另有规定的，从其规定）。</w:t>
      </w:r>
    </w:p>
    <w:p w14:paraId="169D7EA7">
      <w:pPr>
        <w:shd w:val="clea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2.定义</w:t>
      </w:r>
    </w:p>
    <w:p w14:paraId="61FAE93D">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“采购人”系指磋商邀请公告中载明的本项目的采购人。</w:t>
      </w:r>
    </w:p>
    <w:p w14:paraId="253A3763">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“采购代理机构”系指磋商邀请公告中载明的本项目的采购代理机构。</w:t>
      </w:r>
    </w:p>
    <w:p w14:paraId="28688EC0">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“供应商”系指响应磋商、参加本次竞争的法人、其他组织或自然人。</w:t>
      </w:r>
    </w:p>
    <w:p w14:paraId="730FE169">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3BAAEC2C">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14:paraId="4100E769">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2.6“响应文件”系指供应商提交的商务技术文件。供应商提交最后报价后，最后报价是供应商响应文件的有效组成部分。</w:t>
      </w:r>
    </w:p>
    <w:p w14:paraId="7F9DC69F">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2.7“电子交易平台”系指本项目政府采购活动所依托的</w:t>
      </w:r>
      <w:r>
        <w:rPr>
          <w:rFonts w:hint="eastAsia" w:ascii="宋体" w:hAnsi="宋体" w:cs="宋体"/>
          <w:color w:val="auto"/>
          <w:sz w:val="24"/>
          <w:highlight w:val="none"/>
        </w:rPr>
        <w:t>广西政府采购云平台（https://www.gcy.zfcg.gxzf.gov.cn/）</w:t>
      </w:r>
      <w:r>
        <w:rPr>
          <w:rFonts w:hint="eastAsia" w:asciiTheme="minorEastAsia" w:hAnsiTheme="minorEastAsia" w:eastAsiaTheme="minorEastAsia"/>
          <w:color w:val="auto"/>
          <w:sz w:val="24"/>
          <w:highlight w:val="none"/>
        </w:rPr>
        <w:t>。</w:t>
      </w:r>
    </w:p>
    <w:p w14:paraId="6B0FFD62">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p>
    <w:p w14:paraId="418EAAAA">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签字</w:t>
      </w:r>
      <w:r>
        <w:rPr>
          <w:rFonts w:hint="eastAsia" w:ascii="宋体" w:hAnsi="宋体" w:cs="宋体"/>
          <w:color w:val="auto"/>
          <w:sz w:val="24"/>
          <w:highlight w:val="none"/>
          <w:lang w:eastAsia="zh-CN"/>
        </w:rPr>
        <w:t>）</w:t>
      </w:r>
      <w:r>
        <w:rPr>
          <w:rFonts w:hint="eastAsia" w:ascii="宋体" w:hAnsi="宋体" w:cs="宋体"/>
          <w:color w:val="auto"/>
          <w:sz w:val="24"/>
          <w:highlight w:val="none"/>
        </w:rPr>
        <w:t>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6373E4E">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14:paraId="5A27783A">
      <w:pPr>
        <w:shd w:val="clear"/>
        <w:snapToGrid w:val="0"/>
        <w:spacing w:line="360" w:lineRule="auto"/>
        <w:ind w:firstLine="480" w:firstLineChars="200"/>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 “※”系指磋商过程中可能实质性变动的内容，</w:t>
      </w:r>
      <w:r>
        <w:rPr>
          <w:rFonts w:asciiTheme="minorEastAsia" w:hAnsiTheme="minorEastAsia" w:eastAsiaTheme="minorEastAsia"/>
          <w:color w:val="auto"/>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3D616886">
      <w:pPr>
        <w:shd w:val="clea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14:paraId="7EBF73D8">
      <w:pPr>
        <w:shd w:val="clear"/>
        <w:spacing w:line="360" w:lineRule="auto"/>
        <w:ind w:firstLine="480" w:firstLineChars="200"/>
        <w:rPr>
          <w:rFonts w:hint="eastAsia"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诺的响应有效期少于磋商文件中载明的磋商有效期的，响应无效。</w:t>
      </w:r>
    </w:p>
    <w:p w14:paraId="6F6A0439">
      <w:pPr>
        <w:pStyle w:val="393"/>
        <w:shd w:val="clear"/>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3.2响应文件合格提交后，自响应截止日期起，在响应有效期内有效。</w:t>
      </w:r>
    </w:p>
    <w:p w14:paraId="725B1F75">
      <w:pPr>
        <w:pStyle w:val="393"/>
        <w:shd w:val="clear"/>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3.3在原定响应有效期满之前，如果出现特殊情况，采购代理机构可以以书面形式通知供应商延长响应有效期。供应商同意延长的，不得要求或被允许修改其响应文件;供应商拒绝延长的，其响应无效。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highlight w:val="none"/>
        </w:rPr>
        <w:t>拒绝延长磋商有效期的供应商不得再参与该项目后续采购活动。</w:t>
      </w:r>
    </w:p>
    <w:p w14:paraId="7DC30563">
      <w:pPr>
        <w:shd w:val="clear"/>
        <w:tabs>
          <w:tab w:val="left" w:pos="378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4．响应费用</w:t>
      </w:r>
    </w:p>
    <w:p w14:paraId="349865AB">
      <w:pPr>
        <w:pStyle w:val="32"/>
        <w:shd w:val="clear"/>
        <w:spacing w:line="360" w:lineRule="auto"/>
        <w:ind w:firstLine="480" w:firstLineChars="200"/>
        <w:rPr>
          <w:rFonts w:hint="default" w:cs="仿宋_GB2312" w:asciiTheme="minorEastAsia" w:hAnsiTheme="minorEastAsia" w:eastAsiaTheme="minorEastAsia"/>
          <w:color w:val="auto"/>
          <w:highlight w:val="none"/>
          <w:lang w:val="en-US" w:eastAsia="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50475FFC">
      <w:pPr>
        <w:shd w:val="clear"/>
        <w:spacing w:line="360" w:lineRule="auto"/>
        <w:jc w:val="center"/>
        <w:rPr>
          <w:rFonts w:hint="eastAsia" w:cs="仿宋_GB2312" w:asciiTheme="minorEastAsia" w:hAnsiTheme="minorEastAsia" w:eastAsiaTheme="minorEastAsia"/>
          <w:b/>
          <w:color w:val="auto"/>
          <w:sz w:val="24"/>
          <w:highlight w:val="none"/>
        </w:rPr>
      </w:pPr>
    </w:p>
    <w:p w14:paraId="6F0D7BE7">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三、需要落实的政府采购政策</w:t>
      </w:r>
    </w:p>
    <w:p w14:paraId="273EFF4A">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hint="eastAsia" w:asciiTheme="minorEastAsia" w:hAnsiTheme="minorEastAsia" w:eastAsiaTheme="minorEastAsia"/>
          <w:b/>
          <w:color w:val="auto"/>
          <w:sz w:val="24"/>
          <w:highlight w:val="none"/>
        </w:rPr>
        <w:t>.支持绿色发展</w:t>
      </w:r>
    </w:p>
    <w:p w14:paraId="4ACD1105">
      <w:pPr>
        <w:shd w:val="clear"/>
        <w:spacing w:line="360" w:lineRule="auto"/>
        <w:ind w:firstLine="480" w:firstLineChars="200"/>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42915B01">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.2</w:t>
      </w:r>
      <w:r>
        <w:rPr>
          <w:rFonts w:hint="eastAsia" w:ascii="宋体" w:hAnsi="宋体" w:cs="宋体"/>
          <w:color w:val="auto"/>
          <w:sz w:val="24"/>
          <w:highlight w:val="none"/>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247AF57D">
      <w:pPr>
        <w:shd w:val="clear"/>
        <w:spacing w:line="360" w:lineRule="auto"/>
        <w:ind w:firstLine="480" w:firstLineChars="200"/>
        <w:rPr>
          <w:rFonts w:hint="eastAsia" w:ascii="宋体" w:hAnsi="宋体" w:cs="宋体"/>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04794E5F">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ascii="宋体" w:hAnsi="宋体" w:cs="宋体"/>
          <w:color w:val="auto"/>
          <w:sz w:val="24"/>
          <w:highlight w:val="none"/>
        </w:rPr>
        <w:t xml:space="preserve">.4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7CC42CDE">
      <w:pPr>
        <w:pStyle w:val="32"/>
        <w:shd w:val="clear"/>
        <w:spacing w:line="360" w:lineRule="auto"/>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w:t>
      </w:r>
      <w:r>
        <w:rPr>
          <w:rFonts w:hint="eastAsia" w:asciiTheme="minorEastAsia" w:hAnsiTheme="minorEastAsia" w:eastAsiaTheme="minorEastAsia"/>
          <w:b/>
          <w:color w:val="auto"/>
          <w:sz w:val="24"/>
          <w:szCs w:val="24"/>
          <w:highlight w:val="none"/>
        </w:rPr>
        <w:t>.支持中小企业发展。</w:t>
      </w:r>
    </w:p>
    <w:p w14:paraId="41BE5946">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5D17E09A">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08FAD81B">
      <w:pPr>
        <w:widowControl/>
        <w:shd w:val="clear"/>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bCs/>
          <w:color w:val="auto"/>
          <w:sz w:val="24"/>
          <w:highlight w:val="none"/>
          <w:lang w:val="en-US" w:eastAsia="zh-CN"/>
        </w:rPr>
        <w:t>2</w:t>
      </w:r>
      <w:r>
        <w:rPr>
          <w:rFonts w:cs="宋体" w:asciiTheme="minorEastAsia" w:hAnsiTheme="minorEastAsia" w:eastAsiaTheme="minorEastAsia"/>
          <w:bCs/>
          <w:color w:val="auto"/>
          <w:sz w:val="24"/>
          <w:highlight w:val="none"/>
        </w:rPr>
        <w:t>.2</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40AFD7EF">
      <w:pPr>
        <w:widowControl/>
        <w:shd w:val="clear"/>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14236542">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34669D97">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.4符合《关于促进残疾人就业政府采购政策的通知》（财库〔2017〕141号）规定的条件并提供《残疾人福利性单位声明函》的残疾人福利性单位视同小型、微型企业；</w:t>
      </w:r>
    </w:p>
    <w:p w14:paraId="3B70079B">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14:paraId="025F38F1">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77AED692">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.7中小企业享受扶持政策获得政府采购合同的，小微企业不得将合同分包给大中型企业，中型企业不得将合同分包给大型企业。</w:t>
      </w:r>
    </w:p>
    <w:p w14:paraId="1C0F83C9">
      <w:pPr>
        <w:shd w:val="clear"/>
        <w:spacing w:line="360" w:lineRule="auto"/>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3</w:t>
      </w:r>
      <w:r>
        <w:rPr>
          <w:rFonts w:hint="eastAsia" w:cs="宋体" w:asciiTheme="minorEastAsia" w:hAnsiTheme="minorEastAsia" w:eastAsiaTheme="minorEastAsia"/>
          <w:b/>
          <w:color w:val="auto"/>
          <w:sz w:val="24"/>
          <w:highlight w:val="none"/>
        </w:rPr>
        <w:t>.</w:t>
      </w:r>
      <w:r>
        <w:rPr>
          <w:rFonts w:hint="eastAsia" w:cs="宋体" w:asciiTheme="minorEastAsia" w:hAnsiTheme="minorEastAsia" w:eastAsiaTheme="minorEastAsia"/>
          <w:b/>
          <w:bCs/>
          <w:color w:val="auto"/>
          <w:sz w:val="24"/>
          <w:highlight w:val="none"/>
        </w:rPr>
        <w:t>支持创新发展</w:t>
      </w:r>
    </w:p>
    <w:p w14:paraId="7E4A87C5">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.1 采购人优先采购被认定为首台套产品和“制造精品”的自主创新产品。</w:t>
      </w:r>
    </w:p>
    <w:p w14:paraId="3C873B0E">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4BB3F2DC">
      <w:pPr>
        <w:shd w:val="clear"/>
        <w:spacing w:line="360" w:lineRule="auto"/>
        <w:rPr>
          <w:rFonts w:hint="eastAsia" w:ascii="宋体" w:hAnsi="宋体" w:cs="宋体"/>
          <w:b/>
          <w:color w:val="auto"/>
          <w:sz w:val="24"/>
          <w:highlight w:val="none"/>
        </w:rPr>
      </w:pPr>
      <w:r>
        <w:rPr>
          <w:rFonts w:hint="eastAsia" w:cs="宋体" w:asciiTheme="minorEastAsia" w:hAnsiTheme="minorEastAsia" w:eastAsiaTheme="minorEastAsia"/>
          <w:b/>
          <w:color w:val="auto"/>
          <w:sz w:val="24"/>
          <w:highlight w:val="none"/>
          <w:lang w:val="en-US" w:eastAsia="zh-CN"/>
        </w:rPr>
        <w:t>4</w:t>
      </w:r>
      <w:r>
        <w:rPr>
          <w:rFonts w:hint="eastAsia" w:cs="宋体" w:asciiTheme="minorEastAsia" w:hAnsiTheme="minorEastAsia" w:eastAsiaTheme="minorEastAsia"/>
          <w:b/>
          <w:color w:val="auto"/>
          <w:sz w:val="24"/>
          <w:highlight w:val="none"/>
        </w:rPr>
        <w:t>.</w:t>
      </w:r>
      <w:r>
        <w:rPr>
          <w:rFonts w:hint="eastAsia" w:ascii="宋体" w:hAnsi="宋体" w:cs="宋体"/>
          <w:b/>
          <w:color w:val="auto"/>
          <w:sz w:val="24"/>
          <w:highlight w:val="none"/>
        </w:rPr>
        <w:t>平等对待内外资企业</w:t>
      </w:r>
    </w:p>
    <w:p w14:paraId="68A69BF3">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4A45AC2">
      <w:pPr>
        <w:pStyle w:val="633"/>
        <w:shd w:val="clear"/>
        <w:ind w:firstLine="0"/>
        <w:rPr>
          <w:rFonts w:hint="eastAsia"/>
          <w:b/>
          <w:bCs/>
          <w:color w:val="auto"/>
          <w:highlight w:val="none"/>
        </w:rPr>
      </w:pPr>
      <w:r>
        <w:rPr>
          <w:rFonts w:hint="eastAsia" w:cs="宋体" w:asciiTheme="minorEastAsia" w:hAnsiTheme="minorEastAsia" w:eastAsiaTheme="minorEastAsia"/>
          <w:b/>
          <w:color w:val="auto"/>
          <w:highlight w:val="none"/>
          <w:lang w:val="en-US" w:eastAsia="zh-CN"/>
        </w:rPr>
        <w:t>5</w:t>
      </w:r>
      <w:r>
        <w:rPr>
          <w:rFonts w:hint="eastAsia" w:cs="宋体" w:asciiTheme="minorEastAsia" w:hAnsiTheme="minorEastAsia" w:eastAsiaTheme="minorEastAsia"/>
          <w:b/>
          <w:color w:val="auto"/>
          <w:highlight w:val="none"/>
        </w:rPr>
        <w:t>.</w:t>
      </w:r>
      <w:r>
        <w:rPr>
          <w:rFonts w:hint="eastAsia"/>
          <w:b/>
          <w:color w:val="auto"/>
          <w:highlight w:val="none"/>
        </w:rPr>
        <w:t>平等对待符合条件的破产重整企业</w:t>
      </w:r>
    </w:p>
    <w:p w14:paraId="64446D17">
      <w:pPr>
        <w:pStyle w:val="633"/>
        <w:shd w:val="clear"/>
        <w:rPr>
          <w:rFonts w:hint="eastAsia"/>
          <w:color w:val="auto"/>
          <w:highlight w:val="none"/>
        </w:rPr>
      </w:pPr>
      <w:r>
        <w:rPr>
          <w:rFonts w:hint="eastAsia" w:cs="宋体"/>
          <w:color w:val="auto"/>
          <w:highlight w:val="none"/>
        </w:rPr>
        <w:t>平等对待符合条件的破产重整企业，切实保障企业公平竞争，平等维护企业的合法利益。</w:t>
      </w:r>
    </w:p>
    <w:p w14:paraId="3EC7F692">
      <w:pPr>
        <w:shd w:val="clear"/>
        <w:spacing w:line="360" w:lineRule="auto"/>
        <w:ind w:firstLine="480" w:firstLineChars="200"/>
        <w:rPr>
          <w:rFonts w:hint="eastAsia" w:asciiTheme="minorEastAsia" w:hAnsiTheme="minorEastAsia" w:eastAsiaTheme="minorEastAsia"/>
          <w:color w:val="auto"/>
          <w:sz w:val="24"/>
          <w:highlight w:val="none"/>
        </w:rPr>
      </w:pPr>
    </w:p>
    <w:p w14:paraId="787F7AD8">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四、询问、质疑与投诉</w:t>
      </w:r>
    </w:p>
    <w:p w14:paraId="1505EE65">
      <w:pPr>
        <w:pStyle w:val="32"/>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1.在线询问、质疑、投诉</w:t>
      </w:r>
    </w:p>
    <w:p w14:paraId="03951051">
      <w:pPr>
        <w:shd w:val="clear"/>
        <w:spacing w:line="360" w:lineRule="auto"/>
        <w:ind w:firstLine="480" w:firstLineChars="200"/>
        <w:rPr>
          <w:rFonts w:hint="eastAsia"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 xml:space="preserve">根据《北海市财政局  </w:t>
      </w:r>
      <w:r>
        <w:rPr>
          <w:rFonts w:hint="eastAsia" w:asciiTheme="minorEastAsia" w:hAnsiTheme="minorEastAsia" w:eastAsiaTheme="minorEastAsia"/>
          <w:color w:val="auto"/>
          <w:sz w:val="24"/>
          <w:highlight w:val="none"/>
          <w:lang w:val="en-US" w:eastAsia="zh-CN"/>
        </w:rPr>
        <w:t>北海市政府采购中心</w:t>
      </w:r>
      <w:r>
        <w:rPr>
          <w:rFonts w:hint="eastAsia" w:asciiTheme="minorEastAsia" w:hAnsiTheme="minorEastAsia" w:eastAsiaTheme="minorEastAsia"/>
          <w:color w:val="auto"/>
          <w:sz w:val="24"/>
          <w:highlight w:val="none"/>
          <w:lang w:val="zh-CN"/>
        </w:rPr>
        <w:t>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49D4AED">
      <w:pPr>
        <w:pStyle w:val="633"/>
        <w:shd w:val="clear"/>
        <w:rPr>
          <w:rFonts w:hint="eastAsia"/>
          <w:color w:val="auto"/>
          <w:highlight w:val="none"/>
          <w:lang w:val="en-US" w:eastAsia="zh-CN"/>
        </w:rPr>
      </w:pPr>
      <w:r>
        <w:rPr>
          <w:rFonts w:hint="eastAsia"/>
          <w:color w:val="auto"/>
          <w:highlight w:val="none"/>
        </w:rPr>
        <w:t>询问联系部门：</w:t>
      </w:r>
      <w:r>
        <w:rPr>
          <w:rFonts w:hint="eastAsia"/>
          <w:color w:val="auto"/>
          <w:highlight w:val="none"/>
          <w:lang w:val="en-US" w:eastAsia="zh-CN"/>
        </w:rPr>
        <w:t>广西北部湾宏亚建设管理有限公司</w:t>
      </w:r>
    </w:p>
    <w:p w14:paraId="5AB1EBE2">
      <w:pPr>
        <w:pStyle w:val="633"/>
        <w:shd w:val="clear"/>
        <w:rPr>
          <w:rFonts w:hint="eastAsia" w:eastAsia="宋体"/>
          <w:color w:val="auto"/>
          <w:highlight w:val="none"/>
          <w:lang w:eastAsia="zh-CN"/>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地址：</w:t>
      </w:r>
      <w:r>
        <w:rPr>
          <w:rFonts w:hint="eastAsia" w:cs="Times New Roman"/>
          <w:b w:val="0"/>
          <w:bCs w:val="0"/>
          <w:color w:val="auto"/>
          <w:sz w:val="24"/>
          <w:szCs w:val="20"/>
          <w:highlight w:val="none"/>
          <w:lang w:eastAsia="zh-CN"/>
        </w:rPr>
        <w:t>广西北海市海城区银河城市科技产业城2栋0101号</w:t>
      </w:r>
    </w:p>
    <w:p w14:paraId="2F02EEA8">
      <w:pPr>
        <w:pStyle w:val="633"/>
        <w:shd w:val="clear"/>
        <w:ind w:firstLine="480" w:firstLineChars="200"/>
        <w:rPr>
          <w:rFonts w:hint="eastAsia"/>
          <w:color w:val="auto"/>
          <w:highlight w:val="none"/>
        </w:rPr>
      </w:pPr>
      <w:r>
        <w:rPr>
          <w:rFonts w:hint="eastAsia"/>
          <w:color w:val="auto"/>
          <w:highlight w:val="none"/>
        </w:rPr>
        <w:t>质疑联系部门：</w:t>
      </w:r>
      <w:r>
        <w:rPr>
          <w:rFonts w:hint="eastAsia"/>
          <w:color w:val="auto"/>
          <w:highlight w:val="none"/>
          <w:lang w:val="en-US" w:eastAsia="zh-CN"/>
        </w:rPr>
        <w:t>广西北部湾宏亚建设管理有限公司</w:t>
      </w:r>
      <w:r>
        <w:rPr>
          <w:rFonts w:hint="eastAsia"/>
          <w:color w:val="auto"/>
          <w:highlight w:val="none"/>
        </w:rPr>
        <w:t xml:space="preserve">        </w:t>
      </w:r>
    </w:p>
    <w:p w14:paraId="1A721492">
      <w:pPr>
        <w:pStyle w:val="633"/>
        <w:shd w:val="clear"/>
        <w:ind w:firstLine="480" w:firstLineChars="200"/>
        <w:rPr>
          <w:color w:val="auto"/>
          <w:highlight w:val="none"/>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s="Times New Roman"/>
          <w:b w:val="0"/>
          <w:bCs w:val="0"/>
          <w:color w:val="auto"/>
          <w:sz w:val="24"/>
          <w:szCs w:val="20"/>
          <w:highlight w:val="none"/>
          <w:lang w:eastAsia="zh-CN"/>
        </w:rPr>
        <w:t>广西北海市海城区银河城市科技产业城2栋0101号</w:t>
      </w:r>
      <w:r>
        <w:rPr>
          <w:rFonts w:hint="eastAsia"/>
          <w:color w:val="auto"/>
          <w:highlight w:val="none"/>
        </w:rPr>
        <w:t xml:space="preserve"> </w:t>
      </w:r>
    </w:p>
    <w:p w14:paraId="489D1900">
      <w:pPr>
        <w:pStyle w:val="633"/>
        <w:shd w:val="clear"/>
        <w:rPr>
          <w:rFonts w:hint="eastAsia"/>
          <w:color w:val="auto"/>
          <w:highlight w:val="none"/>
        </w:rPr>
      </w:pPr>
      <w:r>
        <w:rPr>
          <w:rFonts w:hint="eastAsia"/>
          <w:color w:val="auto"/>
          <w:highlight w:val="none"/>
        </w:rPr>
        <w:t>投诉联系部门：</w:t>
      </w:r>
      <w:r>
        <w:rPr>
          <w:rFonts w:hint="eastAsia"/>
          <w:bCs/>
          <w:color w:val="auto"/>
          <w:highlight w:val="none"/>
          <w:lang w:eastAsia="zh-CN"/>
        </w:rPr>
        <w:t>北海市财政局</w:t>
      </w:r>
      <w:r>
        <w:rPr>
          <w:rFonts w:hint="eastAsia"/>
          <w:bCs/>
          <w:color w:val="auto"/>
          <w:highlight w:val="none"/>
        </w:rPr>
        <w:t>（财政监督部门）</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w:t>
      </w:r>
    </w:p>
    <w:p w14:paraId="114C4C06">
      <w:pPr>
        <w:pStyle w:val="633"/>
        <w:shd w:val="clear"/>
        <w:rPr>
          <w:color w:val="auto"/>
          <w:highlight w:val="none"/>
        </w:rPr>
      </w:pPr>
      <w:r>
        <w:rPr>
          <w:rFonts w:hint="eastAsia"/>
          <w:color w:val="auto"/>
          <w:highlight w:val="none"/>
        </w:rPr>
        <w:t>联系电话：</w:t>
      </w:r>
      <w:r>
        <w:rPr>
          <w:rFonts w:hint="eastAsia"/>
          <w:bCs/>
          <w:color w:val="auto"/>
          <w:highlight w:val="none"/>
          <w:lang w:eastAsia="zh-CN"/>
        </w:rPr>
        <w:t>0779-3063975</w:t>
      </w:r>
      <w:r>
        <w:rPr>
          <w:rFonts w:hint="eastAsia"/>
          <w:color w:val="auto"/>
          <w:highlight w:val="none"/>
        </w:rPr>
        <w:t xml:space="preserve">  地址：北海市海城区北部湾西路19号</w:t>
      </w:r>
    </w:p>
    <w:p w14:paraId="2695C6D8">
      <w:pPr>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14:paraId="352BAB4B">
      <w:pPr>
        <w:shd w:val="clear"/>
        <w:autoSpaceDE w:val="0"/>
        <w:autoSpaceDN w:val="0"/>
        <w:spacing w:line="360" w:lineRule="auto"/>
        <w:ind w:firstLine="480" w:firstLineChars="200"/>
        <w:jc w:val="left"/>
        <w:rPr>
          <w:rFonts w:hint="eastAsia"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0627F32">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14:paraId="1A258C52">
      <w:pPr>
        <w:pStyle w:val="32"/>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.1质疑提出时效</w:t>
      </w:r>
    </w:p>
    <w:p w14:paraId="38C5E2B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3.1.1提出质疑的供应商应当是参与所质疑项目采购活动的供应商。潜在供应商已依法获取其可质疑的采购文件的，可以对该文件提出质疑。</w:t>
      </w:r>
    </w:p>
    <w:p w14:paraId="702F08E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2E4668E">
      <w:pPr>
        <w:pStyle w:val="16"/>
        <w:shd w:val="clear"/>
        <w:spacing w:line="360" w:lineRule="auto"/>
        <w:ind w:firstLine="434" w:firstLineChars="181"/>
        <w:rPr>
          <w:rFonts w:hint="eastAsia" w:asciiTheme="minorEastAsia" w:hAnsiTheme="minorEastAsia" w:eastAsiaTheme="minorEastAsia"/>
          <w:snapToGrid/>
          <w:color w:val="auto"/>
          <w:kern w:val="2"/>
          <w:sz w:val="24"/>
          <w:highlight w:val="none"/>
        </w:rPr>
      </w:pPr>
      <w:r>
        <w:rPr>
          <w:rFonts w:hint="eastAsia" w:asciiTheme="minorEastAsia" w:hAnsiTheme="minorEastAsia" w:eastAsiaTheme="minorEastAsia"/>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752A46B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3.1.2.2对采购过程提出质疑的，质疑期限为各采购程序环节结束之日起计算。</w:t>
      </w:r>
    </w:p>
    <w:p w14:paraId="6FD96AB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3.1.2.3对采购结果提出质疑的，质疑期限自采购结果公告期限届满之日起计算。</w:t>
      </w:r>
    </w:p>
    <w:p w14:paraId="2FE9AB1E">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3.1.2.4对同一采购程序环节的质疑，供应商须一次性提出。</w:t>
      </w:r>
    </w:p>
    <w:p w14:paraId="4F5B764F">
      <w:pPr>
        <w:pStyle w:val="32"/>
        <w:shd w:val="clear"/>
        <w:spacing w:line="360" w:lineRule="auto"/>
        <w:ind w:firstLine="482"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3.2质疑答复</w:t>
      </w:r>
    </w:p>
    <w:p w14:paraId="0388C819">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3.2.1根据采购人与采购代理机构签订采购委托协议的规定，质疑答复责任主体如下：</w:t>
      </w:r>
    </w:p>
    <w:p w14:paraId="16E65237">
      <w:pPr>
        <w:widowControl/>
        <w:shd w:val="clear"/>
        <w:adjustRightInd/>
        <w:jc w:val="center"/>
        <w:rPr>
          <w:rFonts w:hint="eastAsia"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966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7F11BA3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vAlign w:val="center"/>
          </w:tcPr>
          <w:p w14:paraId="439144BB">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1535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0226149">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vAlign w:val="center"/>
          </w:tcPr>
          <w:p w14:paraId="3BB0FB0A">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vAlign w:val="center"/>
          </w:tcPr>
          <w:p w14:paraId="718D81AC">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00D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F3D7EC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2F1D6E26">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vAlign w:val="center"/>
          </w:tcPr>
          <w:p w14:paraId="6B6D430D">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2D18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0450D8E">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vAlign w:val="center"/>
          </w:tcPr>
          <w:p w14:paraId="67CAFC22">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vAlign w:val="center"/>
          </w:tcPr>
          <w:p w14:paraId="4588B76D">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3946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BC8D30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6F3BA4FD">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vAlign w:val="center"/>
          </w:tcPr>
          <w:p w14:paraId="65631F65">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7198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EA64377">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vAlign w:val="center"/>
          </w:tcPr>
          <w:p w14:paraId="689B17C7">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vAlign w:val="center"/>
          </w:tcPr>
          <w:p w14:paraId="425B27A3">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274AEAB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注：采购人或代理机构应当协助质疑答复责任主体及时答复供应商的书面质疑。</w:t>
      </w:r>
    </w:p>
    <w:p w14:paraId="4EE592D7">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221DE334">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 2.3询问或者质疑事项可能影响采购结果的，采购人应当暂停签订合同，已经签订合同的，应当中止履行合同。</w:t>
      </w:r>
    </w:p>
    <w:p w14:paraId="33B7AECF">
      <w:pPr>
        <w:pStyle w:val="32"/>
        <w:shd w:val="clear"/>
        <w:spacing w:line="360" w:lineRule="auto"/>
        <w:ind w:firstLine="482"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3.3质疑函</w:t>
      </w:r>
    </w:p>
    <w:p w14:paraId="4ABA4D2B">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3.3.1供应商提出质疑应当提交质疑函和必要的证明材料。质疑函应当包括下列内容：</w:t>
      </w:r>
    </w:p>
    <w:p w14:paraId="198BC4C4">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szCs w:val="24"/>
          <w:highlight w:val="none"/>
        </w:rPr>
        <w:t>供应商的姓名或者名称、地址、邮编、联系人及联系电话；</w:t>
      </w:r>
    </w:p>
    <w:p w14:paraId="0197D9BE">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szCs w:val="24"/>
          <w:highlight w:val="none"/>
        </w:rPr>
        <w:t>质疑项目的名称、编号；</w:t>
      </w:r>
    </w:p>
    <w:p w14:paraId="2D64D3DF">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szCs w:val="24"/>
          <w:highlight w:val="none"/>
        </w:rPr>
        <w:t>具体、明确的质疑事项和与质疑事项相关的请求；</w:t>
      </w:r>
    </w:p>
    <w:p w14:paraId="2158AACB">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szCs w:val="24"/>
          <w:highlight w:val="none"/>
        </w:rPr>
        <w:t>事实依据；</w:t>
      </w:r>
    </w:p>
    <w:p w14:paraId="72DFB598">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szCs w:val="24"/>
          <w:highlight w:val="none"/>
        </w:rPr>
        <w:t>必要的法律依据；</w:t>
      </w:r>
    </w:p>
    <w:p w14:paraId="625C2D83">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szCs w:val="24"/>
          <w:highlight w:val="none"/>
        </w:rPr>
        <w:t>提出质疑的日期。</w:t>
      </w:r>
    </w:p>
    <w:p w14:paraId="25C4A60B">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3.3.1.7供应商提交的质疑函需一式三份。供应商为自然人的，应当由本人签字；供应商为法人或者其他组织的，应当由法定代表人、主要负责人，或者其授权代表签字或者盖章，并加盖公章。</w:t>
      </w:r>
    </w:p>
    <w:p w14:paraId="074809B5">
      <w:pPr>
        <w:pStyle w:val="32"/>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3B1FC92C">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.供应商投诉</w:t>
      </w:r>
    </w:p>
    <w:p w14:paraId="0E909BAC">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7A517AC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57B79AD9">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.3供应</w:t>
      </w:r>
      <w:r>
        <w:rPr>
          <w:rFonts w:hint="eastAsia" w:asciiTheme="minorEastAsia" w:hAnsiTheme="minorEastAsia" w:eastAsiaTheme="minorEastAsia"/>
          <w:color w:val="auto"/>
          <w:sz w:val="24"/>
          <w:highlight w:val="none"/>
        </w:rPr>
        <w:t>商投诉应当有明确的请求和必要的证明材料。</w:t>
      </w:r>
    </w:p>
    <w:p w14:paraId="3B7AF5B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68ACC963">
      <w:pPr>
        <w:pStyle w:val="32"/>
        <w:shd w:val="clear"/>
        <w:spacing w:line="360" w:lineRule="auto"/>
        <w:ind w:firstLine="482" w:firstLineChars="200"/>
        <w:rPr>
          <w:rFonts w:hint="eastAsia" w:asciiTheme="minorEastAsia" w:hAnsiTheme="minorEastAsia" w:eastAsiaTheme="minorEastAsia"/>
          <w:b/>
          <w:color w:val="auto"/>
          <w:sz w:val="24"/>
          <w:highlight w:val="none"/>
        </w:rPr>
      </w:pPr>
    </w:p>
    <w:p w14:paraId="5D4233CA">
      <w:pPr>
        <w:shd w:val="clear"/>
        <w:adjustRightInd/>
        <w:spacing w:line="360" w:lineRule="auto"/>
        <w:jc w:val="center"/>
        <w:rPr>
          <w:rFonts w:hint="eastAsia" w:cs="仿宋_GB2312" w:asciiTheme="minorEastAsia" w:hAnsiTheme="minorEastAsia" w:eastAsiaTheme="minorEastAsia"/>
          <w:b/>
          <w:color w:val="auto"/>
          <w:sz w:val="32"/>
          <w:szCs w:val="20"/>
          <w:highlight w:val="none"/>
        </w:rPr>
      </w:pPr>
    </w:p>
    <w:p w14:paraId="1CF40DD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五、磋商文件构成、修改、解释</w:t>
      </w:r>
    </w:p>
    <w:p w14:paraId="606B1120">
      <w:pPr>
        <w:shd w:val="clear"/>
        <w:autoSpaceDE w:val="0"/>
        <w:autoSpaceDN w:val="0"/>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1．磋商文件的构成</w:t>
      </w:r>
    </w:p>
    <w:p w14:paraId="6F2DE648">
      <w:pPr>
        <w:pStyle w:val="32"/>
        <w:shd w:val="clea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磋商文件包括下列文件及附件</w:t>
      </w:r>
    </w:p>
    <w:p w14:paraId="29786FFF">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131FB4CE">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竞争性磋商流程</w:t>
      </w:r>
    </w:p>
    <w:p w14:paraId="1D9C856D">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72114A0B">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174EEDD1">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评审方法及评审标准</w:t>
      </w:r>
    </w:p>
    <w:p w14:paraId="637A9095">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5855063D">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455EAE96">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5A2FB7DE">
      <w:pPr>
        <w:pStyle w:val="32"/>
        <w:shd w:val="clea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澄清或者修改的内容为磋商文件的组成部分</w:t>
      </w:r>
      <w:r>
        <w:rPr>
          <w:rFonts w:hint="eastAsia" w:cs="仿宋_GB2312" w:asciiTheme="minorEastAsia" w:hAnsiTheme="minorEastAsia" w:eastAsiaTheme="minorEastAsia"/>
          <w:color w:val="auto"/>
          <w:sz w:val="24"/>
          <w:highlight w:val="none"/>
        </w:rPr>
        <w:t>。</w:t>
      </w:r>
    </w:p>
    <w:p w14:paraId="226F3EAB">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磋商文件的</w:t>
      </w:r>
      <w:r>
        <w:rPr>
          <w:rFonts w:hint="eastAsia" w:cs="仿宋_GB2312" w:asciiTheme="minorEastAsia" w:hAnsiTheme="minorEastAsia" w:eastAsiaTheme="minorEastAsia"/>
          <w:b/>
          <w:color w:val="auto"/>
          <w:sz w:val="24"/>
          <w:szCs w:val="24"/>
          <w:highlight w:val="none"/>
        </w:rPr>
        <w:t>澄清、修改</w:t>
      </w:r>
    </w:p>
    <w:p w14:paraId="08BB6B33">
      <w:pPr>
        <w:pStyle w:val="393"/>
        <w:shd w:val="clear"/>
        <w:snapToGrid w:val="0"/>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2.1已获取磋商文件的潜在供应商，若有问题需要澄清，应于提交首次响应文件截止时间前，以书面形式向采购代理机构提出。</w:t>
      </w:r>
    </w:p>
    <w:p w14:paraId="21626E97">
      <w:pPr>
        <w:pStyle w:val="393"/>
        <w:shd w:val="clear"/>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cs="宋体" w:asciiTheme="minorEastAsia" w:hAnsiTheme="minorEastAsia" w:eastAsiaTheme="minorEastAsia"/>
          <w:color w:val="auto"/>
          <w:highlight w:val="none"/>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响应文件截止时间和响应文件开启时间。该澄清或者修改的内容为磋商文件的组成部分。</w:t>
      </w:r>
    </w:p>
    <w:p w14:paraId="52B5E87A">
      <w:pPr>
        <w:pStyle w:val="393"/>
        <w:shd w:val="clear"/>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通知所有获取磋商文件的供应商；不足5日的，采购人、采购代理机构应当顺延提交首次响应文件截止时间。</w:t>
      </w:r>
    </w:p>
    <w:p w14:paraId="60855B67">
      <w:pPr>
        <w:pStyle w:val="393"/>
        <w:shd w:val="clear"/>
        <w:snapToGrid w:val="0"/>
        <w:spacing w:before="0"/>
        <w:ind w:firstLine="482"/>
        <w:rPr>
          <w:rFonts w:hint="eastAsia"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响应文件未按磋商文件的澄清、修改的内容编制，又不符合实质性要求的，响应无效。</w:t>
      </w:r>
    </w:p>
    <w:p w14:paraId="03E06243">
      <w:pPr>
        <w:pStyle w:val="23"/>
        <w:shd w:val="clear"/>
        <w:rPr>
          <w:rFonts w:hint="eastAsia" w:cs="仿宋_GB2312" w:asciiTheme="minorEastAsia" w:hAnsiTheme="minorEastAsia" w:eastAsiaTheme="minorEastAsia"/>
          <w:color w:val="auto"/>
          <w:sz w:val="18"/>
          <w:szCs w:val="18"/>
          <w:highlight w:val="none"/>
          <w:lang w:val="en-US"/>
        </w:rPr>
      </w:pPr>
      <w:r>
        <w:rPr>
          <w:rFonts w:hint="eastAsia" w:cs="仿宋_GB2312" w:asciiTheme="minorEastAsia" w:hAnsiTheme="minorEastAsia" w:eastAsiaTheme="minorEastAsia"/>
          <w:color w:val="auto"/>
          <w:szCs w:val="24"/>
          <w:highlight w:val="none"/>
          <w:lang w:val="en-US"/>
        </w:rPr>
        <w:t xml:space="preserve">    </w:t>
      </w:r>
    </w:p>
    <w:p w14:paraId="201CFE7A">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六、响应文件的编制</w:t>
      </w:r>
    </w:p>
    <w:p w14:paraId="762356C5">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响应文件的语言</w:t>
      </w:r>
    </w:p>
    <w:p w14:paraId="6CF3C15B">
      <w:pPr>
        <w:pStyle w:val="32"/>
        <w:shd w:val="clear"/>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02953099">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2. 响应文件的组成</w:t>
      </w:r>
    </w:p>
    <w:p w14:paraId="4EADA88C">
      <w:pPr>
        <w:pStyle w:val="32"/>
        <w:shd w:val="clear"/>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响应文件应当包括以下主要内容：</w:t>
      </w:r>
    </w:p>
    <w:p w14:paraId="284E920C">
      <w:pPr>
        <w:pStyle w:val="32"/>
        <w:shd w:val="clear"/>
        <w:spacing w:line="360" w:lineRule="auto"/>
        <w:ind w:firstLine="482" w:firstLineChars="200"/>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2.1</w:t>
      </w:r>
      <w:r>
        <w:rPr>
          <w:rFonts w:hint="eastAsia" w:asciiTheme="minorEastAsia" w:hAnsiTheme="minorEastAsia" w:eastAsiaTheme="minorEastAsia"/>
          <w:b/>
          <w:color w:val="auto"/>
          <w:sz w:val="24"/>
          <w:szCs w:val="24"/>
          <w:highlight w:val="none"/>
        </w:rPr>
        <w:t>资格文件</w:t>
      </w:r>
    </w:p>
    <w:p w14:paraId="5F33089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▲（1）供应商满足《中华人民共和国政府采购法》第二十二条规定，应当在响应文件中以书面形式作出信用承诺（承诺函格式见附件）；</w:t>
      </w:r>
      <w:r>
        <w:rPr>
          <w:rFonts w:hint="eastAsia" w:asciiTheme="minorEastAsia" w:hAnsiTheme="minorEastAsia" w:eastAsiaTheme="minorEastAsia"/>
          <w:b/>
          <w:bCs/>
          <w:color w:val="auto"/>
          <w:sz w:val="24"/>
          <w:highlight w:val="none"/>
        </w:rPr>
        <w:t>（必须提供）</w:t>
      </w:r>
    </w:p>
    <w:p w14:paraId="3850037D">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▲（2）供应商直接控股股东信息表（格式后附）；</w:t>
      </w:r>
      <w:r>
        <w:rPr>
          <w:rFonts w:hint="eastAsia" w:asciiTheme="minorEastAsia" w:hAnsiTheme="minorEastAsia" w:eastAsiaTheme="minorEastAsia"/>
          <w:b/>
          <w:bCs/>
          <w:color w:val="auto"/>
          <w:sz w:val="24"/>
          <w:highlight w:val="none"/>
        </w:rPr>
        <w:t>（必须提供）</w:t>
      </w:r>
    </w:p>
    <w:p w14:paraId="3C31183F">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▲（3）供应商直接管理关系信息表（格式后附）；</w:t>
      </w:r>
      <w:r>
        <w:rPr>
          <w:rFonts w:hint="eastAsia" w:asciiTheme="minorEastAsia" w:hAnsiTheme="minorEastAsia" w:eastAsiaTheme="minorEastAsia"/>
          <w:b/>
          <w:bCs/>
          <w:color w:val="auto"/>
          <w:sz w:val="24"/>
          <w:highlight w:val="none"/>
        </w:rPr>
        <w:t>（必须提供）</w:t>
      </w:r>
    </w:p>
    <w:p w14:paraId="1B4AD600">
      <w:pPr>
        <w:shd w:val="clear"/>
        <w:spacing w:line="360" w:lineRule="auto"/>
        <w:ind w:firstLine="420"/>
        <w:rPr>
          <w:rFonts w:hint="eastAsia" w:asciiTheme="minorEastAsia" w:hAnsiTheme="minorEastAsia" w:eastAsiaTheme="minorEastAsia"/>
          <w:b/>
          <w:bCs w:val="0"/>
          <w:color w:val="auto"/>
          <w:sz w:val="24"/>
          <w:szCs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b w:val="0"/>
          <w:bCs/>
          <w:color w:val="auto"/>
          <w:sz w:val="24"/>
          <w:szCs w:val="24"/>
          <w:highlight w:val="none"/>
        </w:rPr>
        <w:t>本项目为专门面向</w:t>
      </w:r>
      <w:r>
        <w:rPr>
          <w:rFonts w:hint="eastAsia" w:asciiTheme="minorEastAsia" w:hAnsiTheme="minorEastAsia" w:eastAsiaTheme="minorEastAsia"/>
          <w:b w:val="0"/>
          <w:bCs/>
          <w:color w:val="auto"/>
          <w:sz w:val="24"/>
          <w:szCs w:val="24"/>
          <w:highlight w:val="none"/>
          <w:lang w:val="en-US" w:eastAsia="zh-CN"/>
        </w:rPr>
        <w:t>中小</w:t>
      </w:r>
      <w:r>
        <w:rPr>
          <w:rFonts w:hint="eastAsia" w:asciiTheme="minorEastAsia" w:hAnsiTheme="minorEastAsia" w:eastAsiaTheme="minorEastAsia"/>
          <w:b w:val="0"/>
          <w:bCs/>
          <w:color w:val="auto"/>
          <w:sz w:val="24"/>
          <w:szCs w:val="24"/>
          <w:highlight w:val="none"/>
        </w:rPr>
        <w:t>企业采购的项目</w:t>
      </w:r>
      <w:r>
        <w:rPr>
          <w:rFonts w:hint="eastAsia" w:asciiTheme="minorEastAsia" w:hAnsiTheme="minorEastAsia" w:eastAsiaTheme="minorEastAsia"/>
          <w:b w:val="0"/>
          <w:bCs/>
          <w:color w:val="auto"/>
          <w:sz w:val="24"/>
          <w:szCs w:val="24"/>
          <w:highlight w:val="none"/>
          <w:lang w:eastAsia="zh-CN"/>
        </w:rPr>
        <w:t>，</w:t>
      </w:r>
      <w:r>
        <w:rPr>
          <w:rFonts w:hint="eastAsia" w:ascii="宋体" w:hAnsi="宋体" w:cs="宋体"/>
          <w:color w:val="auto"/>
          <w:kern w:val="1"/>
          <w:sz w:val="24"/>
          <w:szCs w:val="24"/>
          <w:highlight w:val="none"/>
          <w:lang w:val="en-US" w:eastAsia="zh-CN"/>
        </w:rPr>
        <w:t>服务</w:t>
      </w:r>
      <w:r>
        <w:rPr>
          <w:rFonts w:hint="eastAsia" w:ascii="宋体" w:hAnsi="宋体" w:cs="宋体"/>
          <w:color w:val="auto"/>
          <w:kern w:val="1"/>
          <w:sz w:val="24"/>
          <w:szCs w:val="24"/>
          <w:highlight w:val="none"/>
        </w:rPr>
        <w:t>的</w:t>
      </w:r>
      <w:r>
        <w:rPr>
          <w:rFonts w:hint="eastAsia" w:ascii="宋体" w:hAnsi="宋体" w:cs="宋体"/>
          <w:color w:val="auto"/>
          <w:kern w:val="1"/>
          <w:sz w:val="24"/>
          <w:szCs w:val="24"/>
          <w:highlight w:val="none"/>
          <w:lang w:val="en-US" w:eastAsia="zh-CN"/>
        </w:rPr>
        <w:t>承接</w:t>
      </w:r>
      <w:r>
        <w:rPr>
          <w:rFonts w:hint="eastAsia" w:ascii="宋体" w:hAnsi="宋体" w:cs="宋体"/>
          <w:color w:val="auto"/>
          <w:kern w:val="1"/>
          <w:sz w:val="24"/>
          <w:szCs w:val="24"/>
          <w:highlight w:val="none"/>
        </w:rPr>
        <w:t>单位</w:t>
      </w:r>
      <w:r>
        <w:rPr>
          <w:rFonts w:hint="eastAsia" w:ascii="宋体" w:hAnsi="宋体" w:cs="宋体"/>
          <w:color w:val="auto"/>
          <w:kern w:val="1"/>
          <w:sz w:val="24"/>
          <w:szCs w:val="24"/>
          <w:highlight w:val="none"/>
          <w:lang w:val="en-US" w:eastAsia="zh-CN"/>
        </w:rPr>
        <w:t>应</w:t>
      </w:r>
      <w:r>
        <w:rPr>
          <w:rFonts w:hint="eastAsia" w:ascii="宋体" w:hAnsi="宋体" w:cs="宋体"/>
          <w:color w:val="auto"/>
          <w:kern w:val="1"/>
          <w:sz w:val="24"/>
          <w:szCs w:val="24"/>
          <w:highlight w:val="none"/>
        </w:rPr>
        <w:t>为符合政策要求的</w:t>
      </w:r>
      <w:r>
        <w:rPr>
          <w:rFonts w:hint="eastAsia" w:ascii="宋体" w:hAnsi="宋体" w:cs="宋体"/>
          <w:color w:val="auto"/>
          <w:kern w:val="1"/>
          <w:sz w:val="24"/>
          <w:szCs w:val="24"/>
          <w:highlight w:val="none"/>
          <w:lang w:val="en-US" w:eastAsia="zh-CN"/>
        </w:rPr>
        <w:t>中小</w:t>
      </w:r>
      <w:r>
        <w:rPr>
          <w:rFonts w:hint="eastAsia" w:ascii="宋体" w:hAnsi="宋体" w:cs="宋体"/>
          <w:color w:val="auto"/>
          <w:kern w:val="1"/>
          <w:sz w:val="24"/>
          <w:szCs w:val="24"/>
          <w:highlight w:val="none"/>
        </w:rPr>
        <w:t>企业</w:t>
      </w:r>
      <w:r>
        <w:rPr>
          <w:rFonts w:hint="eastAsia" w:ascii="宋体" w:hAnsi="宋体" w:cs="宋体"/>
          <w:color w:val="auto"/>
          <w:kern w:val="1"/>
          <w:sz w:val="24"/>
          <w:szCs w:val="24"/>
          <w:highlight w:val="none"/>
          <w:lang w:eastAsia="zh-CN"/>
        </w:rPr>
        <w:t>（供应商应为</w:t>
      </w:r>
      <w:r>
        <w:rPr>
          <w:rFonts w:hint="eastAsia" w:ascii="宋体" w:hAnsi="宋体" w:cs="宋体"/>
          <w:color w:val="auto"/>
          <w:kern w:val="1"/>
          <w:sz w:val="24"/>
          <w:szCs w:val="24"/>
          <w:highlight w:val="none"/>
          <w:lang w:val="en-US" w:eastAsia="zh-CN"/>
        </w:rPr>
        <w:t>中小微</w:t>
      </w:r>
      <w:r>
        <w:rPr>
          <w:rFonts w:hint="eastAsia" w:ascii="宋体" w:hAnsi="宋体" w:cs="宋体"/>
          <w:color w:val="auto"/>
          <w:kern w:val="1"/>
          <w:sz w:val="24"/>
          <w:szCs w:val="24"/>
          <w:highlight w:val="none"/>
          <w:lang w:eastAsia="zh-CN"/>
        </w:rPr>
        <w:t>企业</w:t>
      </w:r>
      <w:r>
        <w:rPr>
          <w:rFonts w:hint="eastAsia" w:ascii="宋体" w:hAnsi="宋体" w:cs="宋体"/>
          <w:color w:val="auto"/>
          <w:kern w:val="1"/>
          <w:sz w:val="24"/>
          <w:szCs w:val="24"/>
          <w:highlight w:val="none"/>
          <w:lang w:val="en-US" w:eastAsia="zh-CN"/>
        </w:rPr>
        <w:t>/</w:t>
      </w:r>
      <w:r>
        <w:rPr>
          <w:rFonts w:hint="eastAsia" w:ascii="宋体" w:hAnsi="宋体" w:cs="宋体"/>
          <w:color w:val="auto"/>
          <w:kern w:val="1"/>
          <w:sz w:val="24"/>
          <w:szCs w:val="24"/>
          <w:highlight w:val="none"/>
          <w:lang w:eastAsia="zh-CN"/>
        </w:rPr>
        <w:t>监狱企业</w:t>
      </w:r>
      <w:r>
        <w:rPr>
          <w:rFonts w:hint="eastAsia" w:ascii="宋体" w:hAnsi="宋体" w:cs="宋体"/>
          <w:color w:val="auto"/>
          <w:kern w:val="1"/>
          <w:sz w:val="24"/>
          <w:szCs w:val="24"/>
          <w:highlight w:val="none"/>
          <w:lang w:val="en-US" w:eastAsia="zh-CN"/>
        </w:rPr>
        <w:t>/</w:t>
      </w:r>
      <w:r>
        <w:rPr>
          <w:rFonts w:hint="eastAsia" w:ascii="宋体" w:hAnsi="宋体" w:cs="宋体"/>
          <w:color w:val="auto"/>
          <w:kern w:val="1"/>
          <w:sz w:val="24"/>
          <w:szCs w:val="24"/>
          <w:highlight w:val="none"/>
          <w:lang w:eastAsia="zh-CN"/>
        </w:rPr>
        <w:t>残疾人福利性单位)；</w:t>
      </w:r>
      <w:r>
        <w:rPr>
          <w:rFonts w:hint="eastAsia" w:ascii="宋体" w:hAnsi="宋体" w:cs="宋体"/>
          <w:color w:val="auto"/>
          <w:kern w:val="1"/>
          <w:sz w:val="24"/>
          <w:szCs w:val="24"/>
          <w:highlight w:val="none"/>
          <w:lang w:val="en-US" w:eastAsia="zh-CN"/>
        </w:rPr>
        <w:t>需提供</w:t>
      </w:r>
      <w:r>
        <w:rPr>
          <w:rFonts w:hint="eastAsia" w:asciiTheme="minorEastAsia" w:hAnsiTheme="minorEastAsia" w:eastAsiaTheme="minorEastAsia"/>
          <w:b w:val="0"/>
          <w:bCs/>
          <w:color w:val="auto"/>
          <w:sz w:val="24"/>
          <w:szCs w:val="24"/>
          <w:highlight w:val="none"/>
        </w:rPr>
        <w:t>提供中小企业声明函</w:t>
      </w:r>
      <w:r>
        <w:rPr>
          <w:rFonts w:hint="eastAsia" w:asciiTheme="minorEastAsia" w:hAnsiTheme="minorEastAsia" w:eastAsiaTheme="minorEastAsia"/>
          <w:b w:val="0"/>
          <w:bCs/>
          <w:color w:val="auto"/>
          <w:sz w:val="24"/>
          <w:szCs w:val="24"/>
          <w:highlight w:val="none"/>
          <w:lang w:eastAsia="zh-CN"/>
        </w:rPr>
        <w:t>（</w:t>
      </w:r>
      <w:r>
        <w:rPr>
          <w:rFonts w:hint="eastAsia" w:asciiTheme="minorEastAsia" w:hAnsiTheme="minorEastAsia" w:eastAsiaTheme="minorEastAsia"/>
          <w:b w:val="0"/>
          <w:bCs/>
          <w:color w:val="auto"/>
          <w:sz w:val="24"/>
          <w:szCs w:val="24"/>
          <w:highlight w:val="none"/>
          <w:lang w:val="en-US" w:eastAsia="zh-CN"/>
        </w:rPr>
        <w:t>格式后附）</w:t>
      </w:r>
      <w:r>
        <w:rPr>
          <w:rFonts w:hint="eastAsia" w:asciiTheme="minorEastAsia" w:hAnsiTheme="minorEastAsia" w:eastAsiaTheme="minorEastAsia"/>
          <w:b w:val="0"/>
          <w:bCs/>
          <w:color w:val="auto"/>
          <w:sz w:val="24"/>
          <w:szCs w:val="24"/>
          <w:highlight w:val="none"/>
        </w:rPr>
        <w:t>或者残疾人福利性单位声明函（格式后附）</w:t>
      </w:r>
      <w:r>
        <w:rPr>
          <w:rFonts w:hint="eastAsia" w:asciiTheme="minorEastAsia" w:hAnsiTheme="minorEastAsia" w:eastAsiaTheme="minorEastAsia"/>
          <w:b w:val="0"/>
          <w:bCs/>
          <w:color w:val="auto"/>
          <w:sz w:val="24"/>
          <w:szCs w:val="24"/>
          <w:highlight w:val="none"/>
          <w:lang w:eastAsia="zh-CN"/>
        </w:rPr>
        <w:t>，</w:t>
      </w:r>
      <w:r>
        <w:rPr>
          <w:rFonts w:hint="eastAsia" w:asciiTheme="minorEastAsia" w:hAnsiTheme="minorEastAsia" w:eastAsiaTheme="minorEastAsia"/>
          <w:b w:val="0"/>
          <w:bCs/>
          <w:color w:val="auto"/>
          <w:sz w:val="24"/>
          <w:szCs w:val="24"/>
          <w:highlight w:val="none"/>
          <w:lang w:val="en-US" w:eastAsia="zh-CN"/>
        </w:rPr>
        <w:t>或者</w:t>
      </w:r>
      <w:r>
        <w:rPr>
          <w:rFonts w:hint="eastAsia" w:asciiTheme="minorEastAsia" w:hAnsiTheme="minorEastAsia" w:eastAsiaTheme="minorEastAsia"/>
          <w:b w:val="0"/>
          <w:bCs/>
          <w:color w:val="auto"/>
          <w:sz w:val="24"/>
          <w:szCs w:val="24"/>
          <w:highlight w:val="none"/>
        </w:rPr>
        <w:t>供应商属于监狱企业的需提供由省级以上监狱管理局、戒毒管理局（含新疆生产建设兵团）出具的属于监狱企业的证明文件；</w:t>
      </w:r>
      <w:r>
        <w:rPr>
          <w:rFonts w:hint="eastAsia" w:asciiTheme="minorEastAsia" w:hAnsiTheme="minorEastAsia" w:eastAsiaTheme="minorEastAsia"/>
          <w:b/>
          <w:bCs w:val="0"/>
          <w:color w:val="auto"/>
          <w:sz w:val="24"/>
          <w:szCs w:val="24"/>
          <w:highlight w:val="none"/>
        </w:rPr>
        <w:t>（必须提供）</w:t>
      </w:r>
    </w:p>
    <w:p w14:paraId="03B9756E">
      <w:pPr>
        <w:pStyle w:val="32"/>
        <w:numPr>
          <w:ilvl w:val="0"/>
          <w:numId w:val="0"/>
        </w:numPr>
        <w:shd w:val="clear"/>
        <w:spacing w:line="360" w:lineRule="auto"/>
        <w:ind w:firstLine="480"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（5）竞标声明（格式后附）；</w:t>
      </w:r>
      <w:r>
        <w:rPr>
          <w:rFonts w:hint="eastAsia" w:asciiTheme="minorEastAsia" w:hAnsiTheme="minorEastAsia" w:eastAsiaTheme="minorEastAsia"/>
          <w:b/>
          <w:bCs/>
          <w:color w:val="auto"/>
          <w:sz w:val="24"/>
          <w:highlight w:val="none"/>
          <w:lang w:val="en-US" w:eastAsia="zh-CN"/>
        </w:rPr>
        <w:t>（必须提供）</w:t>
      </w:r>
    </w:p>
    <w:p w14:paraId="65B68559">
      <w:pPr>
        <w:pStyle w:val="32"/>
        <w:numPr>
          <w:ilvl w:val="0"/>
          <w:numId w:val="0"/>
        </w:numPr>
        <w:shd w:val="clea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kern w:val="2"/>
          <w:sz w:val="24"/>
          <w:szCs w:val="20"/>
          <w:highlight w:val="none"/>
          <w:lang w:val="en-US" w:eastAsia="zh-CN" w:bidi="ar-SA"/>
        </w:rPr>
        <w:t>（6）</w:t>
      </w:r>
      <w:r>
        <w:rPr>
          <w:rFonts w:hint="eastAsia" w:asciiTheme="minorEastAsia" w:hAnsiTheme="minorEastAsia" w:eastAsiaTheme="minorEastAsia"/>
          <w:color w:val="auto"/>
          <w:sz w:val="24"/>
          <w:highlight w:val="none"/>
          <w:lang w:val="en-US" w:eastAsia="zh-CN"/>
        </w:rPr>
        <w:t>供应商认为需要提供的其他资格文件。</w:t>
      </w:r>
    </w:p>
    <w:p w14:paraId="2B2ECA3B">
      <w:pPr>
        <w:pStyle w:val="32"/>
        <w:shd w:val="clea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2.2 </w:t>
      </w:r>
      <w:r>
        <w:rPr>
          <w:rFonts w:hint="eastAsia" w:asciiTheme="minorEastAsia" w:hAnsiTheme="minorEastAsia" w:eastAsiaTheme="minorEastAsia"/>
          <w:b/>
          <w:bCs/>
          <w:color w:val="auto"/>
          <w:sz w:val="24"/>
          <w:highlight w:val="none"/>
        </w:rPr>
        <w:t>报价文件</w:t>
      </w:r>
      <w:r>
        <w:rPr>
          <w:rFonts w:hint="eastAsia" w:asciiTheme="minorEastAsia" w:hAnsiTheme="minorEastAsia" w:eastAsiaTheme="minorEastAsia"/>
          <w:b/>
          <w:bCs/>
          <w:color w:val="auto"/>
          <w:sz w:val="24"/>
          <w:highlight w:val="none"/>
          <w:lang w:eastAsia="zh-CN"/>
        </w:rPr>
        <w:t>：</w:t>
      </w:r>
    </w:p>
    <w:p w14:paraId="32D30678">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竞标报价表（格式后附）；</w:t>
      </w:r>
      <w:r>
        <w:rPr>
          <w:rFonts w:hint="eastAsia" w:asciiTheme="minorEastAsia" w:hAnsiTheme="minorEastAsia" w:eastAsiaTheme="minorEastAsia"/>
          <w:b/>
          <w:bCs/>
          <w:color w:val="auto"/>
          <w:sz w:val="24"/>
          <w:highlight w:val="none"/>
        </w:rPr>
        <w:t>（必须提供）</w:t>
      </w:r>
    </w:p>
    <w:p w14:paraId="232D5B10">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报价文件</w:t>
      </w:r>
      <w:r>
        <w:rPr>
          <w:rFonts w:hint="eastAsia" w:asciiTheme="minorEastAsia" w:hAnsiTheme="minorEastAsia" w:eastAsiaTheme="minorEastAsia"/>
          <w:color w:val="auto"/>
          <w:sz w:val="24"/>
          <w:highlight w:val="none"/>
        </w:rPr>
        <w:t>。</w:t>
      </w:r>
    </w:p>
    <w:p w14:paraId="2604B975">
      <w:pPr>
        <w:pStyle w:val="32"/>
        <w:shd w:val="clea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2.3 </w:t>
      </w:r>
      <w:r>
        <w:rPr>
          <w:rFonts w:hint="eastAsia" w:asciiTheme="minorEastAsia" w:hAnsiTheme="minorEastAsia" w:eastAsiaTheme="minorEastAsia"/>
          <w:b/>
          <w:bCs/>
          <w:color w:val="auto"/>
          <w:sz w:val="24"/>
          <w:highlight w:val="none"/>
        </w:rPr>
        <w:t>商务技术文件</w:t>
      </w:r>
      <w:r>
        <w:rPr>
          <w:rFonts w:hint="eastAsia" w:asciiTheme="minorEastAsia" w:hAnsiTheme="minorEastAsia" w:eastAsiaTheme="minorEastAsia"/>
          <w:b/>
          <w:bCs/>
          <w:color w:val="auto"/>
          <w:sz w:val="24"/>
          <w:highlight w:val="none"/>
          <w:lang w:eastAsia="zh-CN"/>
        </w:rPr>
        <w:t>：</w:t>
      </w:r>
    </w:p>
    <w:p w14:paraId="58D8019E">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磋商书</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3D290CCA">
      <w:pPr>
        <w:pStyle w:val="32"/>
        <w:shd w:val="clear"/>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承诺函</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p>
    <w:p w14:paraId="4648C43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法定代表人（负责人）授权委托书和委托代理人身份证复印件（委托代理时必须提供），法定代表人（负责人）参加磋商时，提供法定代表人（负责人）身份证明书和身份证复印件（格式</w:t>
      </w:r>
      <w:r>
        <w:rPr>
          <w:rFonts w:hint="eastAsia" w:asciiTheme="minorEastAsia" w:hAnsiTheme="minorEastAsia" w:eastAsiaTheme="minorEastAsia"/>
          <w:color w:val="auto"/>
          <w:sz w:val="24"/>
          <w:highlight w:val="none"/>
          <w:lang w:val="en-US" w:eastAsia="zh-CN"/>
        </w:rPr>
        <w:t>后附</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r>
        <w:rPr>
          <w:rFonts w:hint="eastAsia" w:asciiTheme="minorEastAsia" w:hAnsiTheme="minorEastAsia" w:eastAsiaTheme="minorEastAsia"/>
          <w:color w:val="auto"/>
          <w:sz w:val="24"/>
          <w:highlight w:val="none"/>
        </w:rPr>
        <w:t>；</w:t>
      </w:r>
    </w:p>
    <w:p w14:paraId="1BC2F2E1">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lang w:eastAsia="zh-CN"/>
        </w:rPr>
        <w:t>）</w:t>
      </w:r>
      <w:r>
        <w:rPr>
          <w:rFonts w:hint="eastAsia" w:ascii="宋体" w:hAnsi="宋体"/>
          <w:color w:val="auto"/>
          <w:sz w:val="24"/>
          <w:highlight w:val="none"/>
        </w:rPr>
        <w:t>商务、服务（技术）响应、偏离情况说明表</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4D570048">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人员</w:t>
      </w:r>
      <w:r>
        <w:rPr>
          <w:rFonts w:hint="eastAsia" w:asciiTheme="minorEastAsia" w:hAnsiTheme="minorEastAsia" w:eastAsiaTheme="minorEastAsia"/>
          <w:color w:val="auto"/>
          <w:sz w:val="24"/>
          <w:highlight w:val="none"/>
        </w:rPr>
        <w:t>配备情况表（格式后附）；</w:t>
      </w:r>
      <w:r>
        <w:rPr>
          <w:rFonts w:hint="eastAsia" w:asciiTheme="minorEastAsia" w:hAnsiTheme="minorEastAsia" w:eastAsiaTheme="minorEastAsia"/>
          <w:b/>
          <w:bCs/>
          <w:color w:val="auto"/>
          <w:sz w:val="24"/>
          <w:highlight w:val="none"/>
        </w:rPr>
        <w:t>（必须提供）</w:t>
      </w:r>
    </w:p>
    <w:p w14:paraId="3D7F5112">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服务承诺</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2F0014">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项目实施方案</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18F235">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商务技术文件</w:t>
      </w:r>
      <w:r>
        <w:rPr>
          <w:rFonts w:hint="eastAsia" w:asciiTheme="minorEastAsia" w:hAnsiTheme="minorEastAsia" w:eastAsiaTheme="minorEastAsia"/>
          <w:color w:val="auto"/>
          <w:sz w:val="24"/>
          <w:highlight w:val="none"/>
        </w:rPr>
        <w:t>。</w:t>
      </w:r>
    </w:p>
    <w:p w14:paraId="567E58B8">
      <w:pPr>
        <w:pStyle w:val="32"/>
        <w:shd w:val="clear"/>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注：以上标明“必须提供”的材料</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供应商需按照要求如实提供，否则按响应无效处理。</w:t>
      </w:r>
      <w:r>
        <w:rPr>
          <w:rFonts w:hint="eastAsia" w:asciiTheme="minorEastAsia" w:hAnsiTheme="minorEastAsia" w:eastAsiaTheme="minorEastAsia"/>
          <w:b/>
          <w:bCs/>
          <w:color w:val="auto"/>
          <w:sz w:val="24"/>
          <w:highlight w:val="none"/>
        </w:rPr>
        <w:t>属于复印件的，</w:t>
      </w:r>
      <w:r>
        <w:rPr>
          <w:rFonts w:hint="eastAsia" w:asciiTheme="minorEastAsia" w:hAnsiTheme="minorEastAsia" w:eastAsiaTheme="minorEastAsia"/>
          <w:b/>
          <w:bCs/>
          <w:color w:val="auto"/>
          <w:sz w:val="24"/>
          <w:highlight w:val="none"/>
          <w:lang w:val="en-US" w:eastAsia="zh-CN"/>
        </w:rPr>
        <w:t>需</w:t>
      </w:r>
      <w:r>
        <w:rPr>
          <w:rFonts w:hint="eastAsia" w:asciiTheme="minorEastAsia" w:hAnsiTheme="minorEastAsia" w:eastAsiaTheme="minorEastAsia"/>
          <w:b/>
          <w:bCs/>
          <w:color w:val="auto"/>
          <w:sz w:val="24"/>
          <w:highlight w:val="none"/>
        </w:rPr>
        <w:t>加盖供应商电子签章。</w:t>
      </w:r>
    </w:p>
    <w:p w14:paraId="04782B46">
      <w:pPr>
        <w:pStyle w:val="32"/>
        <w:shd w:val="clear"/>
        <w:spacing w:line="360" w:lineRule="auto"/>
        <w:ind w:firstLine="482"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0FBFC550">
      <w:pPr>
        <w:shd w:val="clear"/>
        <w:spacing w:line="360" w:lineRule="auto"/>
        <w:ind w:firstLine="480" w:firstLineChars="200"/>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3.1各供应商在编制响应文件时请按照磋商文件第七部分规定的格式进行，混乱的编排导致响应文件被误读或磋商小组查找不到有效文件是供应商的风险。</w:t>
      </w:r>
    </w:p>
    <w:p w14:paraId="1A7CD3A4">
      <w:pPr>
        <w:shd w:val="clea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57FBAEA8">
      <w:pPr>
        <w:shd w:val="clea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4FF0DD89">
      <w:pPr>
        <w:pStyle w:val="393"/>
        <w:shd w:val="clear"/>
        <w:snapToGrid w:val="0"/>
        <w:spacing w:before="0"/>
        <w:ind w:firstLine="48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3.4响应文件按照磋商文件第七部分格式要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供应商的响应文件未按照磋商文件要求签署、盖章的，其响应无效</w:t>
      </w:r>
      <w:r>
        <w:rPr>
          <w:rFonts w:hint="eastAsia" w:cs="仿宋_GB2312" w:asciiTheme="minorEastAsia" w:hAnsiTheme="minorEastAsia" w:eastAsiaTheme="minorEastAsia"/>
          <w:color w:val="auto"/>
          <w:szCs w:val="24"/>
          <w:highlight w:val="none"/>
        </w:rPr>
        <w:t>。</w:t>
      </w:r>
    </w:p>
    <w:p w14:paraId="7D15CD90">
      <w:pPr>
        <w:pStyle w:val="393"/>
        <w:shd w:val="clear"/>
        <w:snapToGrid w:val="0"/>
        <w:spacing w:before="0"/>
        <w:ind w:firstLine="480"/>
        <w:rPr>
          <w:rFonts w:hint="eastAsia"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502995DD">
      <w:pPr>
        <w:pStyle w:val="393"/>
        <w:shd w:val="clear"/>
        <w:snapToGrid w:val="0"/>
        <w:spacing w:before="0"/>
        <w:ind w:firstLine="480"/>
        <w:rPr>
          <w:rFonts w:hint="eastAsia"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3.6磋商文件对响应文件签</w:t>
      </w:r>
      <w:r>
        <w:rPr>
          <w:rFonts w:hint="eastAsia" w:ascii="宋体" w:hAnsi="宋体" w:cs="宋体"/>
          <w:color w:val="auto"/>
          <w:highlight w:val="none"/>
        </w:rPr>
        <w:t>署、盖章的要求适用于电子签名、CA签章以及</w:t>
      </w:r>
      <w:r>
        <w:rPr>
          <w:rFonts w:hint="eastAsia" w:cs="宋体" w:asciiTheme="minorEastAsia" w:hAnsiTheme="minorEastAsia" w:eastAsiaTheme="minorEastAsia"/>
          <w:color w:val="auto"/>
          <w:highlight w:val="none"/>
        </w:rPr>
        <w:t>磋商</w:t>
      </w:r>
      <w:r>
        <w:rPr>
          <w:rFonts w:hint="eastAsia" w:ascii="宋体" w:hAnsi="宋体" w:cs="宋体"/>
          <w:color w:val="auto"/>
          <w:highlight w:val="none"/>
        </w:rPr>
        <w:t>文件明确允许的其他方式。</w:t>
      </w:r>
    </w:p>
    <w:p w14:paraId="1464A2A2">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p>
    <w:p w14:paraId="7614459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七、</w:t>
      </w:r>
      <w:r>
        <w:rPr>
          <w:rFonts w:hint="eastAsia" w:asciiTheme="minorEastAsia" w:hAnsiTheme="minorEastAsia" w:eastAsiaTheme="minorEastAsia"/>
          <w:b/>
          <w:color w:val="auto"/>
          <w:sz w:val="32"/>
          <w:szCs w:val="32"/>
          <w:highlight w:val="none"/>
        </w:rPr>
        <w:t>响应</w:t>
      </w:r>
      <w:r>
        <w:rPr>
          <w:rFonts w:hint="eastAsia" w:cs="仿宋_GB2312" w:asciiTheme="minorEastAsia" w:hAnsiTheme="minorEastAsia" w:eastAsiaTheme="minorEastAsia"/>
          <w:b/>
          <w:color w:val="auto"/>
          <w:sz w:val="32"/>
          <w:szCs w:val="20"/>
          <w:highlight w:val="none"/>
        </w:rPr>
        <w:t>文件的提交和备份</w:t>
      </w:r>
    </w:p>
    <w:p w14:paraId="2133F5EF">
      <w:pPr>
        <w:pStyle w:val="393"/>
        <w:shd w:val="clear"/>
        <w:spacing w:before="0"/>
        <w:ind w:firstLine="0" w:firstLineChars="0"/>
        <w:rPr>
          <w:rFonts w:hint="eastAsia" w:cs="仿宋_GB2312" w:asciiTheme="minorEastAsia" w:hAnsiTheme="minorEastAsia" w:eastAsiaTheme="minorEastAsia"/>
          <w:b/>
          <w:color w:val="auto"/>
          <w:szCs w:val="24"/>
          <w:highlight w:val="none"/>
        </w:rPr>
      </w:pPr>
    </w:p>
    <w:p w14:paraId="1082B576">
      <w:pPr>
        <w:pStyle w:val="393"/>
        <w:shd w:val="clear"/>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1.响应文件的提交、补充、修改、撤回</w:t>
      </w:r>
    </w:p>
    <w:p w14:paraId="3EDB7E0A">
      <w:pPr>
        <w:pStyle w:val="393"/>
        <w:shd w:val="clear"/>
        <w:ind w:firstLine="480"/>
        <w:rPr>
          <w:rFonts w:hint="eastAsia"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1C9F3885">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3AC0DB85">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在提交“最后报价”后，供应商不能退出磋商。</w:t>
      </w:r>
    </w:p>
    <w:p w14:paraId="548813DC">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35432DA8">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6C915964">
      <w:pPr>
        <w:pStyle w:val="32"/>
        <w:shd w:val="clear"/>
        <w:spacing w:line="360" w:lineRule="auto"/>
        <w:rPr>
          <w:rFonts w:hint="default" w:cs="仿宋_GB2312" w:asciiTheme="minorEastAsia" w:hAnsiTheme="minorEastAsia" w:eastAsiaTheme="minorEastAsia"/>
          <w:b/>
          <w:color w:val="auto"/>
          <w:sz w:val="24"/>
          <w:szCs w:val="24"/>
          <w:highlight w:val="none"/>
          <w:lang w:val="en-US" w:eastAsia="zh-CN"/>
        </w:rPr>
      </w:pPr>
      <w:r>
        <w:rPr>
          <w:rFonts w:hint="eastAsia" w:cs="仿宋_GB2312" w:asciiTheme="minorEastAsia" w:hAnsiTheme="minorEastAsia" w:eastAsiaTheme="minorEastAsia"/>
          <w:b/>
          <w:color w:val="auto"/>
          <w:sz w:val="24"/>
          <w:szCs w:val="24"/>
          <w:highlight w:val="none"/>
        </w:rPr>
        <w:t>2.备份响应文件</w:t>
      </w:r>
      <w:r>
        <w:rPr>
          <w:rFonts w:hint="eastAsia" w:cs="仿宋_GB2312" w:asciiTheme="minorEastAsia" w:hAnsiTheme="minorEastAsia" w:eastAsiaTheme="minorEastAsia"/>
          <w:b/>
          <w:color w:val="auto"/>
          <w:sz w:val="24"/>
          <w:szCs w:val="24"/>
          <w:highlight w:val="none"/>
          <w:lang w:eastAsia="zh-CN"/>
        </w:rPr>
        <w:t>（</w:t>
      </w:r>
      <w:r>
        <w:rPr>
          <w:rFonts w:hint="eastAsia" w:cs="仿宋_GB2312" w:asciiTheme="minorEastAsia" w:hAnsiTheme="minorEastAsia" w:eastAsiaTheme="minorEastAsia"/>
          <w:b/>
          <w:color w:val="auto"/>
          <w:sz w:val="24"/>
          <w:szCs w:val="24"/>
          <w:highlight w:val="none"/>
          <w:lang w:val="en-US" w:eastAsia="zh-CN"/>
        </w:rPr>
        <w:t>注：本项目不要求提供备份响应文件）</w:t>
      </w:r>
    </w:p>
    <w:p w14:paraId="6A5DACAA">
      <w:pPr>
        <w:pStyle w:val="32"/>
        <w:shd w:val="clear"/>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auto"/>
          <w:sz w:val="24"/>
          <w:szCs w:val="24"/>
          <w:highlight w:val="none"/>
        </w:rPr>
        <w:t>但采购人、采购代理机构不强制或变相强制供应商提交备份响应文件。</w:t>
      </w:r>
    </w:p>
    <w:p w14:paraId="24D986B5">
      <w:pPr>
        <w:pStyle w:val="32"/>
        <w:shd w:val="clear"/>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2.2 备份响应文件须在“广西政府采购云平台投标客户端”制作生成，并储存在不可修改的</w:t>
      </w:r>
      <w:r>
        <w:rPr>
          <w:rFonts w:hint="eastAsia" w:asciiTheme="minorEastAsia" w:hAnsiTheme="minorEastAsia" w:eastAsiaTheme="minorEastAsia"/>
          <w:b/>
          <w:color w:val="auto"/>
          <w:sz w:val="24"/>
          <w:highlight w:val="none"/>
        </w:rPr>
        <w:t>电子光盘等存储介质</w:t>
      </w:r>
      <w:r>
        <w:rPr>
          <w:rFonts w:hint="eastAsia" w:cs="仿宋_GB2312" w:asciiTheme="minorEastAsia" w:hAnsiTheme="minorEastAsia" w:eastAsiaTheme="minorEastAsia"/>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highlight w:val="none"/>
        </w:rPr>
        <w:t>▲不符合上述制作、</w:t>
      </w:r>
      <w:r>
        <w:rPr>
          <w:rFonts w:hint="eastAsia" w:cs="仿宋_GB2312" w:asciiTheme="minorEastAsia" w:hAnsiTheme="minorEastAsia" w:eastAsiaTheme="minorEastAsia"/>
          <w:b/>
          <w:color w:val="auto"/>
          <w:sz w:val="24"/>
          <w:szCs w:val="24"/>
          <w:highlight w:val="none"/>
        </w:rPr>
        <w:t>存储、密封规定的备份响应文件将被视为无效或者被拒绝接收。</w:t>
      </w:r>
    </w:p>
    <w:p w14:paraId="542C6676">
      <w:pPr>
        <w:pStyle w:val="32"/>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141A11C9">
      <w:pPr>
        <w:pStyle w:val="32"/>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highlight w:val="none"/>
        </w:rPr>
        <w:t>磋商文件第三部分供应商须知前附表规定的备份响应文件送达地点</w:t>
      </w:r>
      <w:r>
        <w:rPr>
          <w:rFonts w:hint="eastAsia" w:cs="仿宋_GB2312" w:asciiTheme="minorEastAsia" w:hAnsiTheme="minorEastAsia" w:eastAsiaTheme="minorEastAsia"/>
          <w:color w:val="auto"/>
          <w:sz w:val="24"/>
          <w:szCs w:val="24"/>
          <w:highlight w:val="none"/>
        </w:rPr>
        <w:t>；送达时间以签收人签收时间为准。采购代理机构将拒绝接受逾期送达的备份响应文件。邮寄过程中，电子备份响应文件发生泄露、遗失、损坏或延期送达等情况的，由供应商自行负责。</w:t>
      </w:r>
    </w:p>
    <w:p w14:paraId="71881F9C">
      <w:pPr>
        <w:pStyle w:val="32"/>
        <w:shd w:val="clear"/>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 xml:space="preserve">2.5 </w:t>
      </w:r>
      <w:r>
        <w:rPr>
          <w:rFonts w:hint="eastAsia" w:asciiTheme="minorEastAsia" w:hAnsiTheme="minorEastAsia" w:eastAsiaTheme="minorEastAsia"/>
          <w:b/>
          <w:color w:val="auto"/>
          <w:sz w:val="24"/>
          <w:highlight w:val="none"/>
        </w:rPr>
        <w:t>▲</w:t>
      </w:r>
      <w:r>
        <w:rPr>
          <w:rFonts w:hint="eastAsia" w:cs="仿宋_GB2312" w:asciiTheme="minorEastAsia" w:hAnsiTheme="minorEastAsia" w:eastAsiaTheme="minorEastAsia"/>
          <w:b/>
          <w:color w:val="auto"/>
          <w:sz w:val="24"/>
          <w:szCs w:val="24"/>
          <w:highlight w:val="none"/>
        </w:rPr>
        <w:t>供应商仅提交备份响应文件，未在电子交易平台传输提交响应文件的，响应无效。</w:t>
      </w:r>
    </w:p>
    <w:p w14:paraId="5BB35B1A">
      <w:pPr>
        <w:shd w:val="clear"/>
        <w:spacing w:line="360" w:lineRule="auto"/>
        <w:rPr>
          <w:rFonts w:hint="default" w:ascii="宋体" w:hAnsi="宋体" w:eastAsia="宋体" w:cs="宋体"/>
          <w:b/>
          <w:snapToGrid w:val="0"/>
          <w:color w:val="auto"/>
          <w:highlight w:val="none"/>
          <w:lang w:val="en-US" w:eastAsia="zh-CN"/>
        </w:rPr>
      </w:pPr>
      <w:r>
        <w:rPr>
          <w:rFonts w:hint="eastAsia" w:cs="仿宋_GB2312" w:asciiTheme="minorEastAsia" w:hAnsiTheme="minorEastAsia" w:eastAsiaTheme="minorEastAsia"/>
          <w:b/>
          <w:color w:val="auto"/>
          <w:sz w:val="24"/>
          <w:highlight w:val="none"/>
        </w:rPr>
        <w:t>3.</w:t>
      </w:r>
      <w:r>
        <w:rPr>
          <w:rFonts w:hint="eastAsia" w:ascii="宋体" w:hAnsi="宋体" w:cs="宋体"/>
          <w:b/>
          <w:snapToGrid w:val="0"/>
          <w:color w:val="auto"/>
          <w:kern w:val="28"/>
          <w:sz w:val="24"/>
          <w:highlight w:val="none"/>
        </w:rPr>
        <w:t>磋商保证金</w:t>
      </w:r>
      <w:r>
        <w:rPr>
          <w:rFonts w:hint="eastAsia" w:ascii="宋体" w:hAnsi="宋体" w:cs="宋体"/>
          <w:b/>
          <w:snapToGrid w:val="0"/>
          <w:color w:val="auto"/>
          <w:kern w:val="28"/>
          <w:sz w:val="24"/>
          <w:highlight w:val="none"/>
          <w:lang w:eastAsia="zh-CN"/>
        </w:rPr>
        <w:t>（</w:t>
      </w:r>
      <w:r>
        <w:rPr>
          <w:rFonts w:hint="eastAsia" w:ascii="宋体" w:hAnsi="宋体" w:cs="宋体"/>
          <w:b/>
          <w:snapToGrid w:val="0"/>
          <w:color w:val="auto"/>
          <w:kern w:val="28"/>
          <w:sz w:val="24"/>
          <w:highlight w:val="none"/>
          <w:lang w:val="en-US" w:eastAsia="zh-CN"/>
        </w:rPr>
        <w:t>注：本项目不要求提交磋商保证金）</w:t>
      </w:r>
    </w:p>
    <w:p w14:paraId="01F897B3">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59972DAF">
      <w:pPr>
        <w:shd w:val="clea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675F6E08">
      <w:pPr>
        <w:shd w:val="clear"/>
        <w:snapToGrid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p>
    <w:p w14:paraId="076848EE">
      <w:pPr>
        <w:shd w:val="clea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p>
    <w:p w14:paraId="1DE4BD1E">
      <w:pPr>
        <w:shd w:val="clea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798F5D68">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08C9921A">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2A3969DD">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采购人或者采购代理机构逾期退还磋商保证金的，除应当退还磋商保证金本金外，还应当按中国人民银行同期贷款基准利率上浮20％后的利率支付超期资金占用费，但因供应商自身原因导致无法及时退还的除外。</w:t>
      </w:r>
    </w:p>
    <w:p w14:paraId="721E4A39">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068175BD">
      <w:pPr>
        <w:shd w:val="clear"/>
        <w:spacing w:line="360" w:lineRule="auto"/>
        <w:ind w:firstLine="480" w:firstLineChars="200"/>
        <w:rPr>
          <w:rFonts w:hint="eastAsia" w:asciiTheme="minorEastAsia" w:hAnsiTheme="minorEastAsia" w:eastAsiaTheme="minorEastAsia"/>
          <w:color w:val="auto"/>
          <w:sz w:val="24"/>
          <w:highlight w:val="none"/>
        </w:rPr>
      </w:pPr>
    </w:p>
    <w:p w14:paraId="35660D62">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八、</w:t>
      </w:r>
      <w:r>
        <w:rPr>
          <w:rFonts w:hint="eastAsia" w:asciiTheme="minorEastAsia" w:hAnsiTheme="minorEastAsia" w:eastAsiaTheme="minorEastAsia"/>
          <w:b/>
          <w:color w:val="auto"/>
          <w:sz w:val="32"/>
          <w:szCs w:val="32"/>
          <w:highlight w:val="none"/>
        </w:rPr>
        <w:t>开启响应文件与信用信息查询</w:t>
      </w:r>
    </w:p>
    <w:p w14:paraId="4672F28D">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14:paraId="08E7A13F">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69234A9C">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1.2开启响应文件时，电子交易平台按开启响应文件时间自动提取所有响应文件。采购代理机构依托电子交易平台发起开始解密指令，供应商按照平台提示和磋商文件的规定在半小时内完成在线解密。</w:t>
      </w:r>
    </w:p>
    <w:p w14:paraId="0C274FA6">
      <w:pPr>
        <w:pStyle w:val="32"/>
        <w:shd w:val="clear"/>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20625535">
      <w:pPr>
        <w:pStyle w:val="393"/>
        <w:shd w:val="clear"/>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2.信用信息查询</w:t>
      </w:r>
    </w:p>
    <w:p w14:paraId="0FD9EEA9">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2.1信用信息查询渠道及截止时间：采购人或采购代理机构将通过“信用中国”网站(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14:paraId="620ACDB7">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2.2信用信息查询记录和证据留存的具体方式：现场查询的供应商的信用记录、查询结果经确认后存档。</w:t>
      </w:r>
    </w:p>
    <w:p w14:paraId="30AFF6AC">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14C8D489">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8BA27FB">
      <w:pPr>
        <w:pStyle w:val="32"/>
        <w:shd w:val="clear"/>
        <w:spacing w:line="360" w:lineRule="auto"/>
        <w:rPr>
          <w:rFonts w:hint="eastAsia" w:cs="仿宋_GB2312" w:asciiTheme="minorEastAsia" w:hAnsiTheme="minorEastAsia" w:eastAsiaTheme="minorEastAsia"/>
          <w:b/>
          <w:color w:val="auto"/>
          <w:sz w:val="24"/>
          <w:szCs w:val="24"/>
          <w:highlight w:val="none"/>
        </w:rPr>
      </w:pPr>
    </w:p>
    <w:p w14:paraId="0FEE6E87">
      <w:pPr>
        <w:shd w:val="clear"/>
        <w:adjustRightInd/>
        <w:spacing w:line="360" w:lineRule="auto"/>
        <w:jc w:val="center"/>
        <w:outlineLvl w:val="1"/>
        <w:rPr>
          <w:rFonts w:hint="eastAsia"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九</w:t>
      </w:r>
      <w:r>
        <w:rPr>
          <w:rFonts w:hint="eastAsia" w:cs="仿宋_GB2312" w:asciiTheme="minorEastAsia" w:hAnsiTheme="minorEastAsia" w:eastAsiaTheme="minorEastAsia"/>
          <w:b/>
          <w:color w:val="auto"/>
          <w:sz w:val="32"/>
          <w:szCs w:val="20"/>
          <w:highlight w:val="none"/>
        </w:rPr>
        <w:t>、提交</w:t>
      </w:r>
      <w:r>
        <w:rPr>
          <w:rFonts w:hint="eastAsia" w:asciiTheme="minorEastAsia" w:hAnsiTheme="minorEastAsia" w:eastAsiaTheme="minorEastAsia"/>
          <w:b/>
          <w:color w:val="auto"/>
          <w:sz w:val="32"/>
          <w:szCs w:val="32"/>
          <w:highlight w:val="none"/>
        </w:rPr>
        <w:t>最后报价</w:t>
      </w:r>
    </w:p>
    <w:p w14:paraId="5A08A13A">
      <w:pPr>
        <w:shd w:val="clear"/>
        <w:snapToGrid w:val="0"/>
        <w:spacing w:line="360" w:lineRule="auto"/>
        <w:rPr>
          <w:rFonts w:hint="eastAsia" w:cs="仿宋_GB2312" w:asciiTheme="minorEastAsia" w:hAnsiTheme="minorEastAsia" w:eastAsiaTheme="minorEastAsia"/>
          <w:color w:val="auto"/>
          <w:sz w:val="24"/>
          <w:highlight w:val="none"/>
          <w:u w:val="single"/>
          <w:lang w:val="zh-CN"/>
        </w:rPr>
      </w:pPr>
      <w:r>
        <w:rPr>
          <w:rFonts w:hint="eastAsia" w:asciiTheme="minorEastAsia" w:hAnsiTheme="minorEastAsia" w:eastAsiaTheme="minorEastAsia"/>
          <w:b/>
          <w:color w:val="auto"/>
          <w:sz w:val="24"/>
          <w:highlight w:val="none"/>
        </w:rPr>
        <w:t>1.</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p>
    <w:p w14:paraId="172B10EE">
      <w:pPr>
        <w:pStyle w:val="32"/>
        <w:shd w:val="clear"/>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1.1最后报价一览表；</w:t>
      </w:r>
    </w:p>
    <w:p w14:paraId="50C60D6D">
      <w:pPr>
        <w:pStyle w:val="32"/>
        <w:shd w:val="clear"/>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1.2中小企业声明函（如果有）。</w:t>
      </w:r>
    </w:p>
    <w:p w14:paraId="1D4BB685">
      <w:pPr>
        <w:pStyle w:val="32"/>
        <w:shd w:val="clear"/>
        <w:snapToGrid w:val="0"/>
        <w:spacing w:line="360" w:lineRule="auto"/>
        <w:ind w:firstLine="480" w:firstLineChars="200"/>
        <w:rPr>
          <w:rFonts w:hint="eastAsia" w:cs="仿宋_GB2312" w:asciiTheme="minorEastAsia" w:hAnsiTheme="minorEastAsia" w:eastAsiaTheme="minorEastAsia"/>
          <w:color w:val="auto"/>
          <w:sz w:val="24"/>
          <w:szCs w:val="24"/>
          <w:highlight w:val="none"/>
        </w:rPr>
      </w:pPr>
    </w:p>
    <w:p w14:paraId="222D8A52">
      <w:pPr>
        <w:shd w:val="clear"/>
        <w:adjustRightInd/>
        <w:spacing w:line="360" w:lineRule="auto"/>
        <w:jc w:val="center"/>
        <w:rPr>
          <w:rFonts w:hint="eastAsia" w:cs="仿宋_GB2312" w:asciiTheme="minorEastAsia" w:hAnsiTheme="minorEastAsia" w:eastAsiaTheme="minorEastAsia"/>
          <w:b/>
          <w:color w:val="auto"/>
          <w:sz w:val="32"/>
          <w:szCs w:val="20"/>
          <w:highlight w:val="none"/>
        </w:rPr>
      </w:pPr>
    </w:p>
    <w:p w14:paraId="14BB6DFB">
      <w:pPr>
        <w:shd w:val="clear"/>
        <w:adjustRightInd/>
        <w:spacing w:line="360" w:lineRule="auto"/>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szCs w:val="20"/>
          <w:highlight w:val="none"/>
        </w:rPr>
        <w:t>十、</w:t>
      </w:r>
      <w:r>
        <w:rPr>
          <w:rFonts w:hint="eastAsia" w:asciiTheme="minorEastAsia" w:hAnsiTheme="minorEastAsia" w:eastAsiaTheme="minorEastAsia"/>
          <w:b/>
          <w:color w:val="auto"/>
          <w:sz w:val="32"/>
          <w:szCs w:val="32"/>
          <w:highlight w:val="none"/>
        </w:rPr>
        <w:t>评审</w:t>
      </w:r>
    </w:p>
    <w:p w14:paraId="29B013AE">
      <w:pPr>
        <w:pStyle w:val="393"/>
        <w:shd w:val="clear"/>
        <w:spacing w:before="0"/>
        <w:ind w:firstLine="0" w:firstLineChars="0"/>
        <w:rPr>
          <w:rFonts w:hint="eastAsia" w:cs="仿宋_GB2312"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highlight w:val="none"/>
        </w:rPr>
        <w:t xml:space="preserve"> 评审方法：</w:t>
      </w:r>
      <w:r>
        <w:rPr>
          <w:rFonts w:hint="eastAsia" w:cs="仿宋_GB2312" w:asciiTheme="minorEastAsia" w:hAnsiTheme="minorEastAsia" w:eastAsiaTheme="minorEastAsia"/>
          <w:color w:val="auto"/>
          <w:highlight w:val="none"/>
        </w:rPr>
        <w:t>综合评分法。</w:t>
      </w:r>
    </w:p>
    <w:p w14:paraId="66CB7FEA">
      <w:pPr>
        <w:pStyle w:val="393"/>
        <w:shd w:val="clear"/>
        <w:spacing w:before="0"/>
        <w:ind w:firstLine="0" w:firstLineChars="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highlight w:val="none"/>
        </w:rPr>
        <w:t>2. 价格分计算方法：</w:t>
      </w:r>
      <w:r>
        <w:rPr>
          <w:rFonts w:hint="eastAsia" w:cs="仿宋_GB2312" w:asciiTheme="minorEastAsia" w:hAnsiTheme="minorEastAsia" w:eastAsiaTheme="minorEastAsia"/>
          <w:color w:val="auto"/>
          <w:highlight w:val="none"/>
        </w:rPr>
        <w:t>低价优先法。</w:t>
      </w:r>
    </w:p>
    <w:p w14:paraId="123C0D41">
      <w:pPr>
        <w:pStyle w:val="393"/>
        <w:shd w:val="clear"/>
        <w:spacing w:before="0"/>
        <w:ind w:firstLine="0" w:firstLineChars="0"/>
        <w:rPr>
          <w:rFonts w:hint="eastAsia"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3. 评审要求：</w:t>
      </w:r>
      <w:r>
        <w:rPr>
          <w:rFonts w:hint="eastAsia" w:cs="仿宋_GB2312" w:asciiTheme="minorEastAsia" w:hAnsiTheme="minorEastAsia" w:eastAsiaTheme="minorEastAsia"/>
          <w:color w:val="auto"/>
          <w:highlight w:val="none"/>
        </w:rPr>
        <w:t>详见磋商文件第五部分“评审方法及评审标准”。</w:t>
      </w:r>
    </w:p>
    <w:p w14:paraId="34D836E9">
      <w:pPr>
        <w:shd w:val="clear"/>
        <w:adjustRightInd/>
        <w:spacing w:line="360" w:lineRule="auto"/>
        <w:jc w:val="center"/>
        <w:rPr>
          <w:rFonts w:hint="eastAsia" w:cs="仿宋_GB2312" w:asciiTheme="minorEastAsia" w:hAnsiTheme="minorEastAsia" w:eastAsiaTheme="minorEastAsia"/>
          <w:color w:val="auto"/>
          <w:sz w:val="24"/>
          <w:highlight w:val="none"/>
        </w:rPr>
      </w:pPr>
    </w:p>
    <w:p w14:paraId="3F5293A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十一、</w:t>
      </w:r>
      <w:r>
        <w:rPr>
          <w:rFonts w:hint="eastAsia" w:asciiTheme="minorEastAsia" w:hAnsiTheme="minorEastAsia" w:eastAsiaTheme="minorEastAsia"/>
          <w:b/>
          <w:color w:val="auto"/>
          <w:sz w:val="32"/>
          <w:szCs w:val="32"/>
          <w:highlight w:val="none"/>
        </w:rPr>
        <w:t>成交</w:t>
      </w:r>
    </w:p>
    <w:p w14:paraId="4DBEB59B">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14:paraId="509525C4">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1149779D">
      <w:pPr>
        <w:pStyle w:val="32"/>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14:paraId="680B2EBB">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4D670978">
      <w:pPr>
        <w:shd w:val="clea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3．成交通知及成交结果公告</w:t>
      </w:r>
    </w:p>
    <w:p w14:paraId="13C01816">
      <w:pPr>
        <w:shd w:val="clear"/>
        <w:spacing w:line="360" w:lineRule="auto"/>
        <w:ind w:firstLine="480" w:firstLineChars="200"/>
        <w:rPr>
          <w:rFonts w:hint="eastAsia" w:ascii="宋体" w:hAnsi="宋体" w:cs="宋体"/>
          <w:color w:val="auto"/>
          <w:sz w:val="24"/>
          <w:highlight w:val="none"/>
        </w:rPr>
      </w:pPr>
      <w:r>
        <w:rPr>
          <w:rFonts w:hint="eastAsia" w:asciiTheme="minorEastAsia" w:hAnsiTheme="minorEastAsia" w:eastAsiaTheme="minorEastAsia"/>
          <w:color w:val="auto"/>
          <w:sz w:val="24"/>
          <w:szCs w:val="21"/>
          <w:highlight w:val="none"/>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3B7AE942">
      <w:pPr>
        <w:shd w:val="clea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30" w:name="_Hlk101184471"/>
      <w:r>
        <w:rPr>
          <w:rFonts w:hint="eastAsia" w:cs="宋体" w:asciiTheme="minorEastAsia" w:hAnsiTheme="minorEastAsia" w:eastAsiaTheme="minorEastAsia"/>
          <w:color w:val="auto"/>
          <w:sz w:val="24"/>
          <w:highlight w:val="none"/>
        </w:rPr>
        <w:t>评审专家抽取规则、</w:t>
      </w:r>
      <w:bookmarkEnd w:id="30"/>
      <w:r>
        <w:rPr>
          <w:rFonts w:hint="eastAsia" w:cs="宋体" w:asciiTheme="minorEastAsia" w:hAnsiTheme="minorEastAsia" w:eastAsiaTheme="minorEastAsia"/>
          <w:color w:val="auto"/>
          <w:sz w:val="24"/>
          <w:highlight w:val="none"/>
        </w:rPr>
        <w:t>未成交情况说明、成交公告期限以及评审专家名单、成交供应商和未成交供应商的评审总得分及排名。</w:t>
      </w:r>
    </w:p>
    <w:p w14:paraId="5164C025">
      <w:pPr>
        <w:shd w:val="clea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3.3公告期限为1个工作日。</w:t>
      </w:r>
    </w:p>
    <w:p w14:paraId="3705D29B">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4356DE17">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十二、合同</w:t>
      </w:r>
    </w:p>
    <w:p w14:paraId="1B0B1BE0">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1.合同主要条款：</w:t>
      </w:r>
      <w:r>
        <w:rPr>
          <w:rFonts w:hint="eastAsia" w:asciiTheme="minorEastAsia" w:hAnsiTheme="minorEastAsia" w:eastAsiaTheme="minorEastAsia"/>
          <w:color w:val="auto"/>
          <w:sz w:val="24"/>
          <w:highlight w:val="none"/>
        </w:rPr>
        <w:t>详见“第六部分拟签订的合同文本”。</w:t>
      </w:r>
    </w:p>
    <w:p w14:paraId="66B0351C">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2.合同的签订</w:t>
      </w:r>
    </w:p>
    <w:p w14:paraId="443C18E7">
      <w:pPr>
        <w:widowControl/>
        <w:shd w:val="clear" w:color="auto"/>
        <w:spacing w:line="360" w:lineRule="auto"/>
        <w:ind w:firstLine="480"/>
        <w:jc w:val="left"/>
        <w:rPr>
          <w:rFonts w:hint="eastAsia" w:cs="宋体" w:asciiTheme="minorEastAsia" w:hAnsiTheme="minorEastAsia" w:eastAsiaTheme="minorEastAsia"/>
          <w:color w:val="auto"/>
          <w:kern w:val="0"/>
          <w:sz w:val="24"/>
          <w:highlight w:val="none"/>
        </w:rPr>
      </w:pPr>
      <w:r>
        <w:rPr>
          <w:rFonts w:hint="eastAsia" w:asciiTheme="minorEastAsia" w:hAnsiTheme="minorEastAsia" w:eastAsiaTheme="minorEastAsia"/>
          <w:color w:val="auto"/>
          <w:sz w:val="24"/>
          <w:highlight w:val="none"/>
        </w:rPr>
        <w:t>2.1</w:t>
      </w:r>
      <w:r>
        <w:rPr>
          <w:rFonts w:hint="eastAsia" w:ascii="宋体" w:hAnsi="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E3F5404">
      <w:pPr>
        <w:pStyle w:val="393"/>
        <w:shd w:val="clear"/>
        <w:snapToGrid w:val="0"/>
        <w:spacing w:before="0"/>
        <w:ind w:firstLine="480"/>
        <w:rPr>
          <w:rFonts w:hint="eastAsia"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3D85512">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64DC86B7">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7C0B64EF">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2.5如签订合同并生效后，供应商无故拒绝或延期，除按照合同条款处理外，列入不良行为记录一次，并给予通报。</w:t>
      </w:r>
    </w:p>
    <w:p w14:paraId="0895321C">
      <w:pPr>
        <w:pStyle w:val="393"/>
        <w:shd w:val="clear"/>
        <w:snapToGrid w:val="0"/>
        <w:spacing w:before="0" w:after="120"/>
        <w:ind w:firstLine="480"/>
        <w:rPr>
          <w:rFonts w:hint="eastAsia"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磋商文件、响应文件等内容通过政府采购电子交易平台在线签订，自动备案。</w:t>
      </w:r>
    </w:p>
    <w:p w14:paraId="4BA0B38C">
      <w:pPr>
        <w:pStyle w:val="393"/>
        <w:shd w:val="clear"/>
        <w:snapToGrid w:val="0"/>
        <w:spacing w:before="0"/>
        <w:ind w:firstLine="480"/>
        <w:rPr>
          <w:rFonts w:hint="eastAsia" w:ascii="宋体" w:hAnsi="宋体" w:cs="宋体"/>
          <w:color w:val="auto"/>
          <w:highlight w:val="none"/>
        </w:rPr>
      </w:pPr>
      <w:r>
        <w:rPr>
          <w:rFonts w:hint="eastAsia" w:ascii="宋体" w:hAnsi="宋体" w:cs="宋体"/>
          <w:color w:val="auto"/>
          <w:highlight w:val="none"/>
        </w:rPr>
        <w:t>2.7政采贷</w:t>
      </w:r>
    </w:p>
    <w:p w14:paraId="2041752E">
      <w:pPr>
        <w:shd w:val="clea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E81E3AD">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60B68559">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608D9E77">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4EC7810A">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65A181EC">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179F0FFF">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7348B2A8">
      <w:pPr>
        <w:shd w:val="clea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w:t>
      </w:r>
      <w:r>
        <w:rPr>
          <w:rFonts w:hint="eastAsia" w:ascii="宋体" w:hAnsi="宋体" w:cs="宋体"/>
          <w:color w:val="auto"/>
          <w:sz w:val="24"/>
          <w:szCs w:val="20"/>
          <w:highlight w:val="none"/>
          <w:lang w:eastAsia="zh-CN"/>
        </w:rPr>
        <w:t>广西北部湾宏亚建设管理有限公司</w:t>
      </w:r>
      <w:r>
        <w:rPr>
          <w:rFonts w:hint="eastAsia" w:ascii="宋体" w:hAnsi="宋体" w:cs="宋体"/>
          <w:color w:val="auto"/>
          <w:sz w:val="24"/>
          <w:szCs w:val="20"/>
          <w:highlight w:val="none"/>
        </w:rPr>
        <w:t>首页“政采贷”板块。</w:t>
      </w:r>
    </w:p>
    <w:p w14:paraId="5BC78D6F">
      <w:pPr>
        <w:pStyle w:val="633"/>
        <w:shd w:val="clear"/>
        <w:rPr>
          <w:rFonts w:hint="eastAsia"/>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9BFF2DF">
      <w:pPr>
        <w:shd w:val="clear"/>
        <w:autoSpaceDE w:val="0"/>
        <w:autoSpaceDN w:val="0"/>
        <w:adjustRightInd/>
        <w:snapToGrid w:val="0"/>
        <w:spacing w:line="360" w:lineRule="auto"/>
        <w:ind w:firstLine="480" w:firstLineChars="200"/>
        <w:textAlignment w:val="bottom"/>
        <w:rPr>
          <w:rFonts w:hint="eastAsia"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78C30712">
      <w:pPr>
        <w:shd w:val="clea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25C1B763">
      <w:pPr>
        <w:shd w:val="clea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6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231B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73BEB6F">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vAlign w:val="center"/>
          </w:tcPr>
          <w:p w14:paraId="11E1219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vAlign w:val="center"/>
          </w:tcPr>
          <w:p w14:paraId="1CB29C2B">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vAlign w:val="center"/>
          </w:tcPr>
          <w:p w14:paraId="6F75ADC7">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vAlign w:val="center"/>
          </w:tcPr>
          <w:p w14:paraId="0D55973A">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vAlign w:val="center"/>
          </w:tcPr>
          <w:p w14:paraId="1770966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7E12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DD5237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vAlign w:val="center"/>
          </w:tcPr>
          <w:p w14:paraId="4C98F6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vAlign w:val="center"/>
          </w:tcPr>
          <w:p w14:paraId="2ED0050F">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vAlign w:val="center"/>
          </w:tcPr>
          <w:p w14:paraId="039052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450D1DA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vAlign w:val="center"/>
          </w:tcPr>
          <w:p w14:paraId="3491717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8B0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DC7457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vAlign w:val="center"/>
          </w:tcPr>
          <w:p w14:paraId="13F8CE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vAlign w:val="center"/>
          </w:tcPr>
          <w:p w14:paraId="1779106B">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504F9EC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vAlign w:val="center"/>
          </w:tcPr>
          <w:p w14:paraId="0EA64B6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vAlign w:val="center"/>
          </w:tcPr>
          <w:p w14:paraId="5650CFA4">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12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D4F973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vAlign w:val="center"/>
          </w:tcPr>
          <w:p w14:paraId="7A3DF4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vAlign w:val="center"/>
          </w:tcPr>
          <w:p w14:paraId="2D4491FF">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vAlign w:val="center"/>
          </w:tcPr>
          <w:p w14:paraId="21F54290">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3E7FC6F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vAlign w:val="center"/>
          </w:tcPr>
          <w:p w14:paraId="7C3B2EF2">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2DCE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2385CA0">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vAlign w:val="center"/>
          </w:tcPr>
          <w:p w14:paraId="622EF423">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vAlign w:val="center"/>
          </w:tcPr>
          <w:p w14:paraId="1F81A24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vAlign w:val="center"/>
          </w:tcPr>
          <w:p w14:paraId="21AF62E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货物类1年</w:t>
            </w:r>
          </w:p>
          <w:p w14:paraId="02ADF81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服务类3年</w:t>
            </w:r>
          </w:p>
          <w:p w14:paraId="6F2B43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vAlign w:val="center"/>
          </w:tcPr>
          <w:p w14:paraId="397503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6C869D4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75E5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67399F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vAlign w:val="center"/>
          </w:tcPr>
          <w:p w14:paraId="4F619313">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vAlign w:val="center"/>
          </w:tcPr>
          <w:p w14:paraId="03D021A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vAlign w:val="center"/>
          </w:tcPr>
          <w:p w14:paraId="75129BEB">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vAlign w:val="center"/>
          </w:tcPr>
          <w:p w14:paraId="410DF8A2">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vAlign w:val="center"/>
          </w:tcPr>
          <w:p w14:paraId="60C5AC4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079A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53E1C3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vAlign w:val="center"/>
          </w:tcPr>
          <w:p w14:paraId="57C2CB1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vAlign w:val="center"/>
          </w:tcPr>
          <w:p w14:paraId="510F3E41">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0CA4C7A6">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11EF6ED8">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51B1868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C49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690DF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vAlign w:val="center"/>
          </w:tcPr>
          <w:p w14:paraId="074E6CB6">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vAlign w:val="center"/>
          </w:tcPr>
          <w:p w14:paraId="561F2B60">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p>
        </w:tc>
        <w:tc>
          <w:tcPr>
            <w:tcW w:w="993" w:type="dxa"/>
            <w:vAlign w:val="center"/>
          </w:tcPr>
          <w:p w14:paraId="6A09A877">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850" w:type="dxa"/>
            <w:vAlign w:val="center"/>
          </w:tcPr>
          <w:p w14:paraId="5572C94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3366" w:type="dxa"/>
            <w:vAlign w:val="center"/>
          </w:tcPr>
          <w:p w14:paraId="3F084BB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625C9A63">
      <w:pPr>
        <w:pStyle w:val="633"/>
        <w:shd w:val="clear"/>
        <w:rPr>
          <w:rFonts w:hint="eastAsia"/>
          <w:color w:val="auto"/>
          <w:highlight w:val="none"/>
        </w:rPr>
      </w:pPr>
      <w:r>
        <w:rPr>
          <w:rFonts w:hint="eastAsia"/>
          <w:color w:val="auto"/>
          <w:highlight w:val="none"/>
        </w:rPr>
        <w:t>注：表中联系电话、授信金额、授信期限、最低利率等信息可能动态更新，仅供参考，具体以办理时相关银行公布的为准。</w:t>
      </w:r>
    </w:p>
    <w:p w14:paraId="63075EB2">
      <w:pPr>
        <w:shd w:val="clear"/>
        <w:tabs>
          <w:tab w:val="left" w:pos="0"/>
        </w:tabs>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3．履约保证金</w:t>
      </w:r>
    </w:p>
    <w:p w14:paraId="7F100541">
      <w:pPr>
        <w:shd w:val="clea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3.1拟签订的合同文本要求成交供应商提交履约保证金的，供应商应当以支票、汇票、本票或者金融机构、担保机构出具的保函等非现金形式提交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664AEE11">
      <w:pPr>
        <w:pStyle w:val="633"/>
        <w:shd w:val="clear"/>
        <w:ind w:firstLine="480" w:firstLineChars="200"/>
        <w:rPr>
          <w:snapToGrid w:val="0"/>
          <w:color w:val="auto"/>
          <w:highlight w:val="none"/>
        </w:rPr>
      </w:pPr>
      <w:r>
        <w:rPr>
          <w:rFonts w:hint="eastAsia"/>
          <w:snapToGrid w:val="0"/>
          <w:color w:val="auto"/>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74A730CD">
      <w:pPr>
        <w:pStyle w:val="633"/>
        <w:shd w:val="clear"/>
        <w:rPr>
          <w:color w:val="auto"/>
          <w:highlight w:val="none"/>
        </w:rPr>
      </w:pPr>
      <w:r>
        <w:rPr>
          <w:rFonts w:hint="eastAsia"/>
          <w:color w:val="auto"/>
          <w:highlight w:val="none"/>
        </w:rPr>
        <w:t>3.3履约保证金的退还。验收合格的政府采购项目，采购人应当按照合同约定的退还方式，在5个工作日内办理履约保证金退还手续。</w:t>
      </w:r>
    </w:p>
    <w:p w14:paraId="1DB2CE8B">
      <w:pPr>
        <w:pStyle w:val="633"/>
        <w:shd w:val="clear"/>
        <w:rPr>
          <w:rFonts w:hint="eastAsia"/>
          <w:color w:val="auto"/>
          <w:highlight w:val="none"/>
        </w:rPr>
      </w:pPr>
      <w:r>
        <w:rPr>
          <w:color w:val="auto"/>
          <w:highlight w:val="none"/>
        </w:rPr>
        <w:t>4.</w:t>
      </w:r>
      <w:r>
        <w:rPr>
          <w:rFonts w:hint="eastAsia"/>
          <w:color w:val="auto"/>
          <w:highlight w:val="none"/>
        </w:rPr>
        <w:t>预付款</w:t>
      </w:r>
    </w:p>
    <w:p w14:paraId="4B521F06">
      <w:pPr>
        <w:shd w:val="clear"/>
        <w:adjustRightInd/>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59C20B4D">
      <w:pPr>
        <w:shd w:val="clear"/>
        <w:tabs>
          <w:tab w:val="left" w:pos="0"/>
        </w:tabs>
        <w:spacing w:line="360" w:lineRule="auto"/>
        <w:ind w:firstLine="480" w:firstLineChars="200"/>
        <w:rPr>
          <w:rFonts w:hint="eastAsia"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5F19184B">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04C5D7AF">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十三、验收</w:t>
      </w:r>
    </w:p>
    <w:p w14:paraId="16CEE236">
      <w:pPr>
        <w:pStyle w:val="24"/>
        <w:shd w:val="clear"/>
        <w:spacing w:line="360" w:lineRule="auto"/>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1.验收</w:t>
      </w:r>
    </w:p>
    <w:p w14:paraId="4D8D3C97">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5E31015">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1.2采购人可以邀请参加本项目的其他供应商或者第三方机构参与验收。参与验收的供应商或者第三方机构的意见作为验收书的参考资料一并存档。</w:t>
      </w:r>
    </w:p>
    <w:p w14:paraId="2A797859">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B9F1D9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E366C61">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71826C2C">
      <w:pPr>
        <w:shd w:val="clear"/>
        <w:snapToGrid w:val="0"/>
        <w:spacing w:line="360" w:lineRule="auto"/>
        <w:jc w:val="center"/>
        <w:outlineLvl w:val="1"/>
        <w:rPr>
          <w:rFonts w:hint="eastAsia"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6"/>
          <w:szCs w:val="36"/>
          <w:highlight w:val="none"/>
        </w:rPr>
        <w:t>十四、电子交易活动的中止</w:t>
      </w:r>
    </w:p>
    <w:p w14:paraId="24458BD0">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电子交易活动的中止</w:t>
      </w:r>
    </w:p>
    <w:p w14:paraId="317B4CF5">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p>
    <w:p w14:paraId="514C677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1.1电子交易平台发生故障而无法登录访问的； </w:t>
      </w:r>
    </w:p>
    <w:p w14:paraId="43A9E71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1.2电子交易平台应用或数据库出现错误，不能进行正常操作的；</w:t>
      </w:r>
    </w:p>
    <w:p w14:paraId="0048D071">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1.3电子交易平台发现严重安全漏洞，有潜在泄密危险的；</w:t>
      </w:r>
    </w:p>
    <w:p w14:paraId="4ED52D81">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1.4病毒发作导致不能进行正常操作的； </w:t>
      </w:r>
    </w:p>
    <w:p w14:paraId="3325D9E9">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1.5其他无法保证电子交易的公平、公正和安全的情况。</w:t>
      </w:r>
    </w:p>
    <w:p w14:paraId="26D898C3">
      <w:pPr>
        <w:shd w:val="clea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31" w:name="_Hlt68072990"/>
      <w:bookmarkEnd w:id="31"/>
      <w:bookmarkStart w:id="32" w:name="_Hlt75236290"/>
      <w:bookmarkEnd w:id="32"/>
      <w:bookmarkStart w:id="33" w:name="_Hlt74714665"/>
      <w:bookmarkEnd w:id="33"/>
      <w:bookmarkStart w:id="34" w:name="_Hlt74730295"/>
      <w:bookmarkEnd w:id="34"/>
      <w:bookmarkStart w:id="35" w:name="_Hlt74729768"/>
      <w:bookmarkEnd w:id="35"/>
      <w:bookmarkStart w:id="36" w:name="_Hlt75236101"/>
      <w:bookmarkEnd w:id="36"/>
      <w:bookmarkStart w:id="37" w:name="_Hlt74707468"/>
      <w:bookmarkEnd w:id="37"/>
      <w:bookmarkStart w:id="38" w:name="_Hlt75236011"/>
      <w:bookmarkEnd w:id="38"/>
      <w:bookmarkStart w:id="39" w:name="_Hlt68057669"/>
      <w:bookmarkEnd w:id="39"/>
      <w:bookmarkStart w:id="40" w:name="_Toc164416483"/>
      <w:bookmarkStart w:id="41" w:name="第三部分"/>
    </w:p>
    <w:p w14:paraId="60DA8378">
      <w:pPr>
        <w:shd w:val="clear"/>
        <w:tabs>
          <w:tab w:val="left" w:pos="0"/>
        </w:tabs>
        <w:spacing w:line="360" w:lineRule="auto"/>
        <w:rPr>
          <w:rFonts w:hint="eastAsia" w:cs="Helvetica" w:asciiTheme="minorEastAsia" w:hAnsiTheme="minorEastAsia" w:eastAsiaTheme="minorEastAsia"/>
          <w:color w:val="auto"/>
          <w:kern w:val="0"/>
          <w:sz w:val="24"/>
          <w:highlight w:val="none"/>
        </w:rPr>
      </w:pPr>
    </w:p>
    <w:p w14:paraId="5B5944B5">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w:t>
      </w:r>
      <w:r>
        <w:rPr>
          <w:rFonts w:hint="eastAsia" w:cs="仿宋_GB2312" w:asciiTheme="minorEastAsia" w:hAnsiTheme="minorEastAsia" w:eastAsiaTheme="minorEastAsia"/>
          <w:b/>
          <w:color w:val="auto"/>
          <w:sz w:val="36"/>
          <w:szCs w:val="36"/>
          <w:highlight w:val="none"/>
          <w:lang w:val="en-US" w:eastAsia="zh-CN"/>
        </w:rPr>
        <w:t>五</w:t>
      </w:r>
      <w:r>
        <w:rPr>
          <w:rFonts w:hint="eastAsia" w:cs="仿宋_GB2312" w:asciiTheme="minorEastAsia" w:hAnsiTheme="minorEastAsia" w:eastAsiaTheme="minorEastAsia"/>
          <w:b/>
          <w:color w:val="auto"/>
          <w:sz w:val="36"/>
          <w:szCs w:val="36"/>
          <w:highlight w:val="none"/>
        </w:rPr>
        <w:t>、其他事项</w:t>
      </w:r>
    </w:p>
    <w:p w14:paraId="52C832D9">
      <w:pPr>
        <w:shd w:val="clea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lang w:val="en-US" w:eastAsia="zh-CN"/>
        </w:rPr>
        <w:t>1.</w:t>
      </w:r>
      <w:r>
        <w:rPr>
          <w:rFonts w:hint="eastAsia" w:ascii="宋体" w:hAnsi="宋体" w:cs="宋体"/>
          <w:b/>
          <w:color w:val="auto"/>
          <w:sz w:val="24"/>
          <w:highlight w:val="none"/>
        </w:rPr>
        <w:t>代理费用的收取标准和方式（适用于有权收取代理费用的采购代理机构）</w:t>
      </w:r>
    </w:p>
    <w:p w14:paraId="1288C922">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1.1采购代理费支付方式：</w:t>
      </w:r>
    </w:p>
    <w:p w14:paraId="2D3478BC">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本项目代理服务费由成交供应商一次性向采购代理机构支付。</w:t>
      </w:r>
    </w:p>
    <w:p w14:paraId="328043BC">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□采购人支付。</w:t>
      </w:r>
    </w:p>
    <w:p w14:paraId="29BB0A8E">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1.2采购代理费收取标准：</w:t>
      </w:r>
    </w:p>
    <w:p w14:paraId="14A25B2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以分标（□成交金额/</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采购预算/□暂定成交金额/□其他 / ）为计费额，按代理服务收费标准（</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货物类/</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服务类/□工程类）采用差额定率累进法计算出收费基准价格，采购代理收费以（</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收费基准价格/□收费基准价格下浮 20 %/□收费基准价格上浮 / %）收取。</w:t>
      </w:r>
    </w:p>
    <w:p w14:paraId="3D0A01D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□固定采购代理收费。</w:t>
      </w:r>
    </w:p>
    <w:p w14:paraId="4FD708B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1.3采购代理费收取银行账户</w:t>
      </w:r>
    </w:p>
    <w:p w14:paraId="10DEAA8E">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开户名称：广西北部湾宏亚建设管理有限公司北海分公司 </w:t>
      </w:r>
    </w:p>
    <w:p w14:paraId="29CCDF5F">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开户银行：北海工行江苏路支行</w:t>
      </w:r>
    </w:p>
    <w:p w14:paraId="4EB00196">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银行账号：2107 5309 0930 0049 767</w:t>
      </w:r>
    </w:p>
    <w:p w14:paraId="631390A8">
      <w:pPr>
        <w:shd w:val="clea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1.4代理服务收费标准：</w:t>
      </w:r>
      <w:r>
        <w:rPr>
          <w:rFonts w:hint="eastAsia" w:ascii="宋体" w:hAnsi="宋体" w:eastAsia="宋体" w:cs="宋体"/>
          <w:bCs/>
          <w:color w:val="auto"/>
          <w:sz w:val="24"/>
          <w:szCs w:val="24"/>
          <w:highlight w:val="none"/>
          <w:lang w:val="en-US" w:eastAsia="zh-CN"/>
        </w:rPr>
        <w:t>根据</w:t>
      </w:r>
      <w:r>
        <w:rPr>
          <w:rFonts w:hint="eastAsia" w:ascii="宋体" w:hAnsi="宋体" w:eastAsia="宋体" w:cs="宋体"/>
          <w:bCs/>
          <w:color w:val="auto"/>
          <w:sz w:val="24"/>
          <w:szCs w:val="24"/>
          <w:highlight w:val="none"/>
        </w:rPr>
        <w:t>《关于进一步放开建设项目专业服务价格的通知》（发改价格〔2015〕299号）</w:t>
      </w:r>
      <w:r>
        <w:rPr>
          <w:rFonts w:hint="eastAsia" w:ascii="宋体" w:hAnsi="宋体" w:eastAsia="宋体" w:cs="宋体"/>
          <w:bCs/>
          <w:color w:val="auto"/>
          <w:sz w:val="24"/>
          <w:szCs w:val="24"/>
          <w:highlight w:val="none"/>
          <w:lang w:val="en-US" w:eastAsia="zh-CN"/>
        </w:rPr>
        <w:t>规定</w:t>
      </w:r>
      <w:r>
        <w:rPr>
          <w:rFonts w:hint="eastAsia" w:ascii="宋体" w:hAnsi="宋体" w:eastAsia="宋体" w:cs="宋体"/>
          <w:bCs/>
          <w:color w:val="auto"/>
          <w:sz w:val="24"/>
          <w:szCs w:val="24"/>
          <w:highlight w:val="none"/>
        </w:rPr>
        <w:t>，招标代理</w:t>
      </w:r>
      <w:r>
        <w:rPr>
          <w:rFonts w:hint="eastAsia" w:ascii="宋体" w:hAnsi="宋体" w:eastAsia="宋体" w:cs="宋体"/>
          <w:bCs/>
          <w:color w:val="auto"/>
          <w:sz w:val="24"/>
          <w:szCs w:val="24"/>
          <w:highlight w:val="none"/>
          <w:lang w:val="en-US" w:eastAsia="zh-CN"/>
        </w:rPr>
        <w:t>服务</w:t>
      </w:r>
      <w:r>
        <w:rPr>
          <w:rFonts w:hint="eastAsia" w:ascii="宋体" w:hAnsi="宋体" w:eastAsia="宋体" w:cs="宋体"/>
          <w:bCs/>
          <w:color w:val="auto"/>
          <w:sz w:val="24"/>
          <w:szCs w:val="24"/>
          <w:highlight w:val="none"/>
        </w:rPr>
        <w:t>费实行市场调节价，价格由双方协商确定。</w:t>
      </w:r>
    </w:p>
    <w:p w14:paraId="736DEFEF">
      <w:pPr>
        <w:shd w:val="clear"/>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解释权</w:t>
      </w:r>
    </w:p>
    <w:p w14:paraId="2D45075D">
      <w:pPr>
        <w:pStyle w:val="32"/>
        <w:shd w:val="clear"/>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1E78472E">
      <w:pPr>
        <w:pStyle w:val="32"/>
        <w:shd w:val="clear"/>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lang w:val="en-US" w:eastAsia="zh-CN"/>
        </w:rPr>
        <w:t>3.</w:t>
      </w:r>
      <w:r>
        <w:rPr>
          <w:rFonts w:hAnsi="宋体" w:cs="Times New Roman"/>
          <w:b/>
          <w:color w:val="auto"/>
          <w:sz w:val="24"/>
          <w:szCs w:val="24"/>
          <w:highlight w:val="none"/>
        </w:rPr>
        <w:t>有关事宜</w:t>
      </w:r>
    </w:p>
    <w:p w14:paraId="658A6971">
      <w:pPr>
        <w:pStyle w:val="32"/>
        <w:shd w:val="clear"/>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6EDE2F57">
      <w:pPr>
        <w:pStyle w:val="32"/>
        <w:shd w:val="clear"/>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单位全称：</w:t>
      </w:r>
      <w:r>
        <w:rPr>
          <w:rFonts w:hint="eastAsia" w:ascii="宋体" w:hAnsi="宋体" w:cs="宋体"/>
          <w:color w:val="auto"/>
          <w:sz w:val="24"/>
          <w:highlight w:val="none"/>
        </w:rPr>
        <w:t>广西北部湾宏亚建设管理有限公司</w:t>
      </w:r>
    </w:p>
    <w:p w14:paraId="30378F0D">
      <w:pPr>
        <w:pStyle w:val="32"/>
        <w:shd w:val="clear"/>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b w:val="0"/>
          <w:bCs w:val="0"/>
          <w:color w:val="auto"/>
          <w:sz w:val="24"/>
          <w:szCs w:val="20"/>
          <w:highlight w:val="none"/>
          <w:lang w:eastAsia="zh-CN"/>
        </w:rPr>
        <w:t>广西北海市海城区银河城市科技产业城2栋0101号</w:t>
      </w:r>
    </w:p>
    <w:p w14:paraId="03E14CDA">
      <w:pPr>
        <w:pStyle w:val="32"/>
        <w:shd w:val="clear"/>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0779-3928925</w:t>
      </w:r>
      <w:r>
        <w:rPr>
          <w:rFonts w:hAnsi="宋体" w:cs="Times New Roman"/>
          <w:color w:val="auto"/>
          <w:kern w:val="0"/>
          <w:sz w:val="24"/>
          <w:szCs w:val="24"/>
          <w:highlight w:val="none"/>
        </w:rPr>
        <w:t xml:space="preserve">   </w:t>
      </w:r>
    </w:p>
    <w:p w14:paraId="28EC819B">
      <w:pPr>
        <w:pStyle w:val="32"/>
        <w:shd w:val="clear"/>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韦丽丹</w:t>
      </w:r>
    </w:p>
    <w:p w14:paraId="3891FD3B">
      <w:pPr>
        <w:pStyle w:val="73"/>
        <w:shd w:val="clear"/>
        <w:rPr>
          <w:rFonts w:hint="eastAsia"/>
          <w:color w:val="auto"/>
          <w:highlight w:val="none"/>
        </w:rPr>
      </w:pPr>
    </w:p>
    <w:p w14:paraId="49374D86">
      <w:pPr>
        <w:shd w:val="clear"/>
        <w:tabs>
          <w:tab w:val="left" w:pos="0"/>
        </w:tabs>
        <w:spacing w:line="360" w:lineRule="auto"/>
        <w:rPr>
          <w:rFonts w:hint="eastAsia" w:cs="Helvetica" w:asciiTheme="minorEastAsia" w:hAnsiTheme="minorEastAsia" w:eastAsiaTheme="minorEastAsia"/>
          <w:color w:val="auto"/>
          <w:kern w:val="0"/>
          <w:sz w:val="24"/>
          <w:highlight w:val="none"/>
        </w:rPr>
      </w:pPr>
    </w:p>
    <w:p w14:paraId="2C52C988">
      <w:pPr>
        <w:shd w:val="clear"/>
        <w:rPr>
          <w:rFonts w:hint="eastAsia" w:cs="仿宋_GB2312" w:asciiTheme="minorEastAsia" w:hAnsiTheme="minorEastAsia" w:eastAsiaTheme="minorEastAsia"/>
          <w:b/>
          <w:color w:val="auto"/>
          <w:sz w:val="36"/>
          <w:szCs w:val="36"/>
          <w:highlight w:val="none"/>
        </w:rPr>
      </w:pPr>
      <w:bookmarkStart w:id="42" w:name="_Toc21470"/>
      <w:r>
        <w:rPr>
          <w:rFonts w:hint="eastAsia" w:cs="仿宋_GB2312" w:asciiTheme="minorEastAsia" w:hAnsiTheme="minorEastAsia" w:eastAsiaTheme="minorEastAsia"/>
          <w:b/>
          <w:color w:val="auto"/>
          <w:sz w:val="36"/>
          <w:szCs w:val="36"/>
          <w:highlight w:val="none"/>
        </w:rPr>
        <w:br w:type="page"/>
      </w:r>
    </w:p>
    <w:p w14:paraId="400DDF49">
      <w:pPr>
        <w:shd w:val="clear"/>
        <w:adjustRightInd/>
        <w:snapToGrid w:val="0"/>
        <w:spacing w:line="360" w:lineRule="auto"/>
        <w:jc w:val="center"/>
        <w:outlineLvl w:val="9"/>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第四部分  采购需求</w:t>
      </w:r>
      <w:bookmarkEnd w:id="42"/>
    </w:p>
    <w:p w14:paraId="6435707C">
      <w:pPr>
        <w:shd w:val="clear"/>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w:t>
      </w:r>
    </w:p>
    <w:p w14:paraId="68A038C1">
      <w:pPr>
        <w:keepNext w:val="0"/>
        <w:keepLines w:val="0"/>
        <w:pageBreakBefore w:val="0"/>
        <w:widowControl/>
        <w:shd w:val="clear"/>
        <w:kinsoku/>
        <w:wordWrap/>
        <w:overflowPunct/>
        <w:topLinePunct w:val="0"/>
        <w:autoSpaceDE/>
        <w:autoSpaceDN/>
        <w:bidi w:val="0"/>
        <w:adjustRightInd w:val="0"/>
        <w:snapToGrid/>
        <w:spacing w:line="360" w:lineRule="auto"/>
        <w:ind w:firstLine="482"/>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①采购预算：本项目的政府采购预算为人民币捌拾壹万捌仟柒佰叁拾元整（¥818730.00元），</w:t>
      </w:r>
      <w:r>
        <w:rPr>
          <w:rFonts w:hint="eastAsia" w:ascii="宋体" w:hAnsi="宋体" w:eastAsia="宋体" w:cs="宋体"/>
          <w:b w:val="0"/>
          <w:bCs/>
          <w:color w:val="auto"/>
          <w:sz w:val="24"/>
          <w:szCs w:val="24"/>
          <w:highlight w:val="none"/>
        </w:rPr>
        <w:t>超过预算</w:t>
      </w:r>
      <w:r>
        <w:rPr>
          <w:rFonts w:hint="eastAsia" w:ascii="宋体" w:hAnsi="宋体" w:cs="宋体"/>
          <w:b w:val="0"/>
          <w:bCs/>
          <w:color w:val="auto"/>
          <w:sz w:val="24"/>
          <w:szCs w:val="24"/>
          <w:highlight w:val="none"/>
          <w:lang w:val="en-US" w:eastAsia="zh-CN"/>
        </w:rPr>
        <w:t>单价和总</w:t>
      </w:r>
      <w:r>
        <w:rPr>
          <w:rFonts w:hint="eastAsia" w:ascii="宋体" w:hAnsi="宋体" w:eastAsia="宋体" w:cs="宋体"/>
          <w:b w:val="0"/>
          <w:bCs/>
          <w:color w:val="auto"/>
          <w:sz w:val="24"/>
          <w:szCs w:val="24"/>
          <w:highlight w:val="none"/>
        </w:rPr>
        <w:t>价的报价视为无效报价。</w:t>
      </w:r>
    </w:p>
    <w:p w14:paraId="35ED1434">
      <w:pPr>
        <w:keepNext w:val="0"/>
        <w:keepLines w:val="0"/>
        <w:pageBreakBefore w:val="0"/>
        <w:widowControl/>
        <w:numPr>
          <w:ilvl w:val="0"/>
          <w:numId w:val="0"/>
        </w:numPr>
        <w:shd w:val="clear"/>
        <w:kinsoku/>
        <w:wordWrap w:val="0"/>
        <w:overflowPunct/>
        <w:topLinePunct w:val="0"/>
        <w:autoSpaceDE/>
        <w:autoSpaceDN/>
        <w:bidi w:val="0"/>
        <w:adjustRightInd w:val="0"/>
        <w:snapToGrid/>
        <w:spacing w:line="360" w:lineRule="auto"/>
        <w:ind w:firstLine="482" w:firstLineChars="0"/>
        <w:textAlignment w:val="auto"/>
        <w:rPr>
          <w:rFonts w:hint="eastAsia" w:ascii="宋体" w:hAnsi="宋体" w:eastAsia="宋体" w:cs="宋体"/>
          <w:b w:val="0"/>
          <w:bCs/>
          <w:color w:val="auto"/>
          <w:kern w:val="0"/>
          <w:sz w:val="24"/>
          <w:szCs w:val="24"/>
          <w:highlight w:val="none"/>
        </w:rPr>
      </w:pPr>
      <w:r>
        <w:rPr>
          <w:rFonts w:hint="eastAsia" w:ascii="宋体" w:hAnsi="宋体" w:cs="宋体"/>
          <w:b w:val="0"/>
          <w:bCs/>
          <w:color w:val="auto"/>
          <w:kern w:val="0"/>
          <w:sz w:val="24"/>
          <w:szCs w:val="24"/>
          <w:highlight w:val="none"/>
          <w:lang w:val="en-US" w:eastAsia="zh-CN"/>
        </w:rPr>
        <w:t>②</w:t>
      </w:r>
      <w:r>
        <w:rPr>
          <w:rFonts w:hint="eastAsia" w:ascii="宋体" w:hAnsi="宋体" w:eastAsia="宋体" w:cs="宋体"/>
          <w:b w:val="0"/>
          <w:bCs/>
          <w:color w:val="auto"/>
          <w:kern w:val="0"/>
          <w:sz w:val="24"/>
          <w:szCs w:val="24"/>
          <w:highlight w:val="none"/>
        </w:rPr>
        <w:t>本项目类别：服务类。</w:t>
      </w:r>
    </w:p>
    <w:p w14:paraId="0803E4A3">
      <w:pPr>
        <w:keepNext w:val="0"/>
        <w:keepLines w:val="0"/>
        <w:pageBreakBefore w:val="0"/>
        <w:widowControl/>
        <w:numPr>
          <w:ilvl w:val="0"/>
          <w:numId w:val="0"/>
        </w:numPr>
        <w:shd w:val="clear"/>
        <w:kinsoku/>
        <w:wordWrap w:val="0"/>
        <w:overflowPunct/>
        <w:topLinePunct w:val="0"/>
        <w:autoSpaceDE/>
        <w:autoSpaceDN/>
        <w:bidi w:val="0"/>
        <w:adjustRightInd w:val="0"/>
        <w:snapToGrid/>
        <w:spacing w:line="360" w:lineRule="auto"/>
        <w:ind w:firstLine="482" w:firstLineChars="0"/>
        <w:jc w:val="left"/>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③</w:t>
      </w:r>
      <w:r>
        <w:rPr>
          <w:rFonts w:hint="eastAsia" w:ascii="宋体" w:hAnsi="宋体" w:cs="宋体"/>
          <w:b w:val="0"/>
          <w:bCs/>
          <w:color w:val="auto"/>
          <w:sz w:val="24"/>
          <w:szCs w:val="24"/>
          <w:highlight w:val="none"/>
        </w:rPr>
        <w:t>本项目采购标的对应的中小企业划分标准所属行业为：</w:t>
      </w:r>
      <w:r>
        <w:rPr>
          <w:rFonts w:hint="eastAsia" w:ascii="宋体" w:hAnsi="宋体" w:cs="宋体"/>
          <w:b w:val="0"/>
          <w:bCs/>
          <w:color w:val="auto"/>
          <w:sz w:val="24"/>
          <w:szCs w:val="24"/>
          <w:highlight w:val="none"/>
          <w:lang w:val="en-US" w:eastAsia="zh-CN"/>
        </w:rPr>
        <w:t>其他未列明行业</w:t>
      </w:r>
      <w:r>
        <w:rPr>
          <w:rFonts w:hint="eastAsia" w:ascii="宋体" w:hAnsi="宋体" w:cs="宋体"/>
          <w:b w:val="0"/>
          <w:bCs/>
          <w:color w:val="auto"/>
          <w:sz w:val="24"/>
          <w:szCs w:val="24"/>
          <w:highlight w:val="none"/>
        </w:rPr>
        <w:t xml:space="preserve">。 </w:t>
      </w:r>
    </w:p>
    <w:p w14:paraId="22599D46">
      <w:pPr>
        <w:keepNext w:val="0"/>
        <w:keepLines w:val="0"/>
        <w:pageBreakBefore w:val="0"/>
        <w:widowControl/>
        <w:numPr>
          <w:ilvl w:val="0"/>
          <w:numId w:val="0"/>
        </w:numPr>
        <w:shd w:val="clear"/>
        <w:kinsoku/>
        <w:wordWrap w:val="0"/>
        <w:overflowPunct/>
        <w:topLinePunct w:val="0"/>
        <w:autoSpaceDE/>
        <w:autoSpaceDN/>
        <w:bidi w:val="0"/>
        <w:adjustRightInd w:val="0"/>
        <w:snapToGrid/>
        <w:spacing w:line="360" w:lineRule="auto"/>
        <w:ind w:firstLine="482" w:firstLineChars="0"/>
        <w:jc w:val="left"/>
        <w:textAlignment w:val="auto"/>
        <w:rPr>
          <w:rFonts w:hint="eastAsia" w:ascii="宋体" w:hAnsi="宋体" w:cs="宋体"/>
          <w:b w:val="0"/>
          <w:bCs/>
          <w:color w:val="auto"/>
          <w:kern w:val="0"/>
          <w:sz w:val="24"/>
          <w:szCs w:val="24"/>
          <w:highlight w:val="none"/>
          <w:lang w:val="en-US" w:eastAsia="zh-CN" w:bidi="ar"/>
        </w:rPr>
      </w:pPr>
      <w:r>
        <w:rPr>
          <w:rFonts w:hint="eastAsia" w:cs="Times New Roman"/>
          <w:b w:val="0"/>
          <w:bCs/>
          <w:color w:val="auto"/>
          <w:kern w:val="2"/>
          <w:sz w:val="24"/>
          <w:szCs w:val="24"/>
          <w:highlight w:val="none"/>
          <w:lang w:val="en-US" w:eastAsia="zh-CN" w:bidi="ar-SA"/>
        </w:rPr>
        <w:t>④</w:t>
      </w:r>
      <w:r>
        <w:rPr>
          <w:rFonts w:hint="eastAsia" w:ascii="宋体" w:hAnsi="宋体" w:cs="宋体"/>
          <w:b w:val="0"/>
          <w:bCs/>
          <w:color w:val="auto"/>
          <w:kern w:val="0"/>
          <w:sz w:val="24"/>
          <w:szCs w:val="24"/>
          <w:highlight w:val="none"/>
          <w:lang w:val="en-US" w:eastAsia="zh-CN" w:bidi="ar"/>
        </w:rPr>
        <w:t>本章节所有技术要求、商务要求均为实质性要求，供应商需完全响应，不接受负偏离，否则磋商无效。</w:t>
      </w:r>
    </w:p>
    <w:p w14:paraId="4FD6AE36">
      <w:pPr>
        <w:keepNext w:val="0"/>
        <w:keepLines w:val="0"/>
        <w:pageBreakBefore w:val="0"/>
        <w:widowControl w:val="0"/>
        <w:shd w:val="clear"/>
        <w:kinsoku/>
        <w:wordWrap/>
        <w:overflowPunct/>
        <w:topLinePunct w:val="0"/>
        <w:autoSpaceDE/>
        <w:autoSpaceDN/>
        <w:bidi w:val="0"/>
        <w:adjustRightInd w:val="0"/>
        <w:snapToGrid/>
        <w:spacing w:line="360" w:lineRule="auto"/>
        <w:ind w:leftChars="0" w:firstLine="482" w:firstLineChars="200"/>
        <w:textAlignment w:val="auto"/>
        <w:rPr>
          <w:rFonts w:hint="eastAsia" w:ascii="Times New Roman" w:hAnsi="Times New Roman" w:eastAsia="宋体" w:cs="Times New Roman"/>
          <w:b/>
          <w:bCs/>
          <w:color w:val="auto"/>
          <w:sz w:val="24"/>
          <w:szCs w:val="24"/>
          <w:highlight w:val="none"/>
          <w:lang w:val="en-US" w:eastAsia="zh-CN"/>
        </w:rPr>
      </w:pPr>
      <w:bookmarkStart w:id="43" w:name="heading_0"/>
      <w:r>
        <w:rPr>
          <w:rFonts w:hint="eastAsia" w:ascii="Times New Roman" w:hAnsi="Times New Roman" w:eastAsia="宋体" w:cs="Times New Roman"/>
          <w:b/>
          <w:bCs/>
          <w:color w:val="auto"/>
          <w:sz w:val="24"/>
          <w:szCs w:val="24"/>
          <w:highlight w:val="none"/>
          <w:lang w:val="en-US" w:eastAsia="zh-CN"/>
        </w:rPr>
        <w:t>一、项目总体概况</w:t>
      </w:r>
      <w:bookmarkEnd w:id="43"/>
    </w:p>
    <w:p w14:paraId="3D9B182D">
      <w:pPr>
        <w:keepNext w:val="0"/>
        <w:keepLines w:val="0"/>
        <w:pageBreakBefore w:val="0"/>
        <w:widowControl w:val="0"/>
        <w:shd w:val="clear"/>
        <w:kinsoku/>
        <w:wordWrap/>
        <w:overflowPunct/>
        <w:topLinePunct w:val="0"/>
        <w:autoSpaceDE/>
        <w:autoSpaceDN/>
        <w:bidi w:val="0"/>
        <w:adjustRightInd w:val="0"/>
        <w:snapToGrid/>
        <w:spacing w:line="360" w:lineRule="auto"/>
        <w:ind w:leftChars="0"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bookmarkStart w:id="44" w:name="heading_1"/>
      <w:r>
        <w:rPr>
          <w:rFonts w:hint="eastAsia" w:ascii="Times New Roman" w:hAnsi="Times New Roman" w:eastAsia="宋体" w:cs="Times New Roman"/>
          <w:b w:val="0"/>
          <w:bCs w:val="0"/>
          <w:color w:val="auto"/>
          <w:sz w:val="24"/>
          <w:szCs w:val="24"/>
          <w:highlight w:val="none"/>
          <w:lang w:val="en-US" w:eastAsia="zh-CN"/>
        </w:rPr>
        <w:t>（一）</w:t>
      </w:r>
      <w:r>
        <w:rPr>
          <w:rFonts w:hint="eastAsia" w:cs="Times New Roman"/>
          <w:b w:val="0"/>
          <w:bCs w:val="0"/>
          <w:color w:val="auto"/>
          <w:sz w:val="24"/>
          <w:szCs w:val="24"/>
          <w:highlight w:val="none"/>
          <w:lang w:val="en-US" w:eastAsia="zh-CN"/>
        </w:rPr>
        <w:t>项目</w:t>
      </w:r>
      <w:r>
        <w:rPr>
          <w:rFonts w:hint="eastAsia" w:ascii="Times New Roman" w:hAnsi="Times New Roman" w:eastAsia="宋体" w:cs="Times New Roman"/>
          <w:b w:val="0"/>
          <w:bCs w:val="0"/>
          <w:color w:val="auto"/>
          <w:sz w:val="24"/>
          <w:szCs w:val="24"/>
          <w:highlight w:val="none"/>
          <w:lang w:val="en-US" w:eastAsia="zh-CN"/>
        </w:rPr>
        <w:t>基本信息</w:t>
      </w:r>
      <w:bookmarkEnd w:id="44"/>
    </w:p>
    <w:p w14:paraId="78F34957">
      <w:pPr>
        <w:keepNext w:val="0"/>
        <w:keepLines w:val="0"/>
        <w:pageBreakBefore w:val="0"/>
        <w:widowControl w:val="0"/>
        <w:shd w:val="clear"/>
        <w:kinsoku/>
        <w:wordWrap/>
        <w:overflowPunct/>
        <w:topLinePunct w:val="0"/>
        <w:autoSpaceDE/>
        <w:autoSpaceDN/>
        <w:bidi w:val="0"/>
        <w:adjustRightInd w:val="0"/>
        <w:snapToGrid/>
        <w:spacing w:line="360" w:lineRule="auto"/>
        <w:ind w:leftChars="0"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bookmarkStart w:id="45" w:name="heading_2"/>
      <w:r>
        <w:rPr>
          <w:rFonts w:hint="eastAsia" w:ascii="Times New Roman" w:hAnsi="Times New Roman" w:eastAsia="宋体" w:cs="Times New Roman"/>
          <w:b w:val="0"/>
          <w:bCs w:val="0"/>
          <w:color w:val="auto"/>
          <w:sz w:val="24"/>
          <w:szCs w:val="24"/>
          <w:highlight w:val="none"/>
          <w:lang w:val="en-US" w:eastAsia="zh-CN"/>
        </w:rPr>
        <w:t xml:space="preserve">1. </w:t>
      </w:r>
      <w:r>
        <w:rPr>
          <w:rFonts w:hint="eastAsia" w:cs="Times New Roman"/>
          <w:b w:val="0"/>
          <w:bCs w:val="0"/>
          <w:color w:val="auto"/>
          <w:sz w:val="24"/>
          <w:szCs w:val="24"/>
          <w:highlight w:val="none"/>
          <w:lang w:val="en-US" w:eastAsia="zh-CN"/>
        </w:rPr>
        <w:t>项目</w:t>
      </w:r>
      <w:r>
        <w:rPr>
          <w:rFonts w:hint="eastAsia" w:ascii="Times New Roman" w:hAnsi="Times New Roman" w:eastAsia="宋体" w:cs="Times New Roman"/>
          <w:b w:val="0"/>
          <w:bCs w:val="0"/>
          <w:color w:val="auto"/>
          <w:sz w:val="24"/>
          <w:szCs w:val="24"/>
          <w:highlight w:val="none"/>
          <w:lang w:val="en-US" w:eastAsia="zh-CN"/>
        </w:rPr>
        <w:t>名称：</w:t>
      </w:r>
      <w:r>
        <w:rPr>
          <w:rFonts w:hint="eastAsia" w:ascii="Times New Roman" w:hAnsi="Times New Roman" w:eastAsia="宋体" w:cs="Times New Roman"/>
          <w:b w:val="0"/>
          <w:bCs w:val="0"/>
          <w:color w:val="auto"/>
          <w:sz w:val="24"/>
          <w:szCs w:val="24"/>
          <w:highlight w:val="none"/>
          <w:lang w:val="en-US" w:eastAsia="zh-CN"/>
        </w:rPr>
        <w:fldChar w:fldCharType="begin"/>
      </w:r>
      <w:r>
        <w:rPr>
          <w:rFonts w:hint="eastAsia" w:ascii="Times New Roman" w:hAnsi="Times New Roman" w:eastAsia="宋体" w:cs="Times New Roman"/>
          <w:b w:val="0"/>
          <w:bCs w:val="0"/>
          <w:color w:val="auto"/>
          <w:sz w:val="24"/>
          <w:szCs w:val="24"/>
          <w:highlight w:val="none"/>
          <w:lang w:val="en-US" w:eastAsia="zh-CN"/>
        </w:rPr>
        <w:instrText xml:space="preserve"> HYPERLINK "https://middle.gcy.zfcg.gxzf.gov.cn/budget-quota-index/" \l "/purchase/plan/details/22709513" \t "https://middle.gcy.zfcg.gxzf.gov.cn/purchaseplan_front/" \l "/plan/list/_blank" </w:instrText>
      </w:r>
      <w:r>
        <w:rPr>
          <w:rFonts w:hint="eastAsia" w:ascii="Times New Roman" w:hAnsi="Times New Roman" w:eastAsia="宋体" w:cs="Times New Roman"/>
          <w:b w:val="0"/>
          <w:bCs w:val="0"/>
          <w:color w:val="auto"/>
          <w:sz w:val="24"/>
          <w:szCs w:val="24"/>
          <w:highlight w:val="none"/>
          <w:lang w:val="en-US" w:eastAsia="zh-CN"/>
        </w:rPr>
        <w:fldChar w:fldCharType="separate"/>
      </w:r>
      <w:r>
        <w:rPr>
          <w:rFonts w:hint="eastAsia" w:ascii="Times New Roman" w:hAnsi="Times New Roman" w:eastAsia="宋体" w:cs="Times New Roman"/>
          <w:b w:val="0"/>
          <w:bCs w:val="0"/>
          <w:color w:val="auto"/>
          <w:sz w:val="24"/>
          <w:szCs w:val="24"/>
          <w:highlight w:val="none"/>
          <w:lang w:val="en-US" w:eastAsia="zh-CN"/>
        </w:rPr>
        <w:t>广西壮族自治区第十六届运动会竞技体育项目（武术散打）竞赛服务采购</w:t>
      </w:r>
      <w:r>
        <w:rPr>
          <w:rFonts w:hint="eastAsia" w:ascii="Times New Roman" w:hAnsi="Times New Roman" w:eastAsia="宋体" w:cs="Times New Roman"/>
          <w:b w:val="0"/>
          <w:bCs w:val="0"/>
          <w:color w:val="auto"/>
          <w:sz w:val="24"/>
          <w:szCs w:val="24"/>
          <w:highlight w:val="none"/>
          <w:lang w:val="en-US" w:eastAsia="zh-CN"/>
        </w:rPr>
        <w:fldChar w:fldCharType="end"/>
      </w:r>
    </w:p>
    <w:p w14:paraId="405DE8B9">
      <w:pPr>
        <w:keepNext w:val="0"/>
        <w:keepLines w:val="0"/>
        <w:pageBreakBefore w:val="0"/>
        <w:widowControl w:val="0"/>
        <w:shd w:val="clear"/>
        <w:kinsoku/>
        <w:wordWrap/>
        <w:overflowPunct/>
        <w:topLinePunct w:val="0"/>
        <w:autoSpaceDE/>
        <w:autoSpaceDN/>
        <w:bidi w:val="0"/>
        <w:adjustRightInd w:val="0"/>
        <w:snapToGrid/>
        <w:spacing w:line="360" w:lineRule="auto"/>
        <w:ind w:left="239" w:leftChars="114" w:firstLine="240" w:firstLineChars="100"/>
        <w:textAlignment w:val="auto"/>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2. 采购内容：广西壮族自治区第十六届运动会竞技体育项目（武术散打）竞赛服务，</w:t>
      </w:r>
    </w:p>
    <w:p w14:paraId="20D0320B">
      <w:pPr>
        <w:keepNext w:val="0"/>
        <w:keepLines w:val="0"/>
        <w:pageBreakBefore w:val="0"/>
        <w:widowControl w:val="0"/>
        <w:shd w:val="clear"/>
        <w:kinsoku/>
        <w:wordWrap/>
        <w:overflowPunct/>
        <w:topLinePunct w:val="0"/>
        <w:autoSpaceDE/>
        <w:autoSpaceDN/>
        <w:bidi w:val="0"/>
        <w:adjustRightInd w:val="0"/>
        <w:snapToGrid/>
        <w:spacing w:line="360" w:lineRule="auto"/>
        <w:textAlignment w:val="auto"/>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包括赛事运营统筹、专业技术支撑、场地运维保障、综合赛事服务、志愿服务管理、专业器材租赁、成绩辅助统计、后勤配套保障、场地水电保障等全套竞赛配套服务，服务周期全面覆盖赛事筹备、赛事开展、赛后归档全阶段，全方位保障赛事安全、规范、有序开展。</w:t>
      </w:r>
    </w:p>
    <w:p w14:paraId="58820CDD">
      <w:pPr>
        <w:keepNext w:val="0"/>
        <w:keepLines w:val="0"/>
        <w:pageBreakBefore w:val="0"/>
        <w:widowControl w:val="0"/>
        <w:shd w:val="clear"/>
        <w:kinsoku/>
        <w:wordWrap/>
        <w:overflowPunct/>
        <w:topLinePunct w:val="0"/>
        <w:autoSpaceDE/>
        <w:autoSpaceDN/>
        <w:bidi w:val="0"/>
        <w:adjustRightInd w:val="0"/>
        <w:snapToGrid/>
        <w:spacing w:line="360" w:lineRule="auto"/>
        <w:ind w:leftChars="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3. 采购方式：竞争性磋商</w:t>
      </w:r>
    </w:p>
    <w:p w14:paraId="7D7C2887">
      <w:pPr>
        <w:keepNext w:val="0"/>
        <w:keepLines w:val="0"/>
        <w:pageBreakBefore w:val="0"/>
        <w:widowControl w:val="0"/>
        <w:shd w:val="clear"/>
        <w:kinsoku/>
        <w:wordWrap/>
        <w:overflowPunct/>
        <w:topLinePunct w:val="0"/>
        <w:autoSpaceDE/>
        <w:autoSpaceDN/>
        <w:bidi w:val="0"/>
        <w:adjustRightInd w:val="0"/>
        <w:snapToGrid/>
        <w:spacing w:line="360" w:lineRule="auto"/>
        <w:ind w:leftChars="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4. 采购预算：</w:t>
      </w:r>
      <w:r>
        <w:rPr>
          <w:rFonts w:hint="eastAsia" w:ascii="宋体" w:hAnsi="宋体" w:cs="宋体"/>
          <w:b w:val="0"/>
          <w:bCs/>
          <w:color w:val="auto"/>
          <w:sz w:val="24"/>
          <w:szCs w:val="24"/>
          <w:highlight w:val="none"/>
          <w:lang w:val="en-US" w:eastAsia="zh-CN"/>
        </w:rPr>
        <w:t>本项目的采购预算为人民币捌拾壹万捌仟柒佰叁拾元整（¥818730.00元），</w:t>
      </w:r>
      <w:r>
        <w:rPr>
          <w:rFonts w:hint="eastAsia" w:ascii="宋体" w:hAnsi="宋体" w:eastAsia="宋体" w:cs="宋体"/>
          <w:b w:val="0"/>
          <w:bCs/>
          <w:color w:val="auto"/>
          <w:sz w:val="24"/>
          <w:szCs w:val="24"/>
          <w:highlight w:val="none"/>
        </w:rPr>
        <w:t>超过预算的报价视为无效报价。</w:t>
      </w:r>
    </w:p>
    <w:bookmarkEnd w:id="45"/>
    <w:p w14:paraId="32E9A9B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bookmarkStart w:id="46" w:name="_Toc20242"/>
      <w:r>
        <w:rPr>
          <w:rFonts w:hint="eastAsia" w:ascii="宋体" w:hAnsi="宋体" w:eastAsia="宋体" w:cs="宋体"/>
          <w:sz w:val="24"/>
          <w:szCs w:val="24"/>
        </w:rPr>
        <w:t>（二）赛程安排</w:t>
      </w:r>
    </w:p>
    <w:p w14:paraId="0165B01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武术散打项目</w:t>
      </w:r>
      <w:r>
        <w:rPr>
          <w:rFonts w:hint="eastAsia" w:ascii="宋体" w:hAnsi="宋体" w:eastAsia="宋体" w:cs="宋体"/>
          <w:sz w:val="24"/>
          <w:szCs w:val="24"/>
          <w:lang w:val="en-US" w:eastAsia="zh-CN"/>
        </w:rPr>
        <w:t>报到时间：9月17日，</w:t>
      </w:r>
      <w:r>
        <w:rPr>
          <w:rFonts w:hint="eastAsia" w:ascii="宋体" w:hAnsi="宋体" w:eastAsia="宋体" w:cs="宋体"/>
          <w:sz w:val="24"/>
          <w:szCs w:val="24"/>
        </w:rPr>
        <w:t>比赛时长4天（2026年9月20日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23日），赛事配套2天赛前场地适应训练（2026年9月18日—19日），整体赛事保障周期共计6天。赛事包含赛前场地适应训练、正式比赛、赛后场地复原全流程保障，各阶段安排如下：</w:t>
      </w:r>
    </w:p>
    <w:p w14:paraId="795D0F6B">
      <w:pPr>
        <w:rPr>
          <w:rFonts w:hint="eastAsia" w:ascii="宋体" w:hAnsi="宋体" w:eastAsia="宋体" w:cs="宋体"/>
          <w:sz w:val="24"/>
          <w:szCs w:val="24"/>
        </w:rPr>
      </w:pPr>
      <w:r>
        <w:rPr>
          <w:rFonts w:hint="eastAsia" w:ascii="宋体" w:hAnsi="宋体" w:eastAsia="宋体" w:cs="宋体"/>
          <w:sz w:val="24"/>
          <w:szCs w:val="24"/>
        </w:rPr>
        <w:br w:type="page"/>
      </w:r>
    </w:p>
    <w:p w14:paraId="2355A55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2608"/>
        <w:gridCol w:w="4649"/>
      </w:tblGrid>
      <w:tr w14:paraId="6E63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14" w:type="dxa"/>
            <w:shd w:val="clear" w:color="auto" w:fill="auto"/>
            <w:vAlign w:val="center"/>
          </w:tcPr>
          <w:p w14:paraId="63FE124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阶段</w:t>
            </w:r>
          </w:p>
        </w:tc>
        <w:tc>
          <w:tcPr>
            <w:tcW w:w="2608" w:type="dxa"/>
            <w:shd w:val="clear" w:color="auto" w:fill="auto"/>
            <w:vAlign w:val="center"/>
          </w:tcPr>
          <w:p w14:paraId="6FE15D4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时间</w:t>
            </w:r>
          </w:p>
        </w:tc>
        <w:tc>
          <w:tcPr>
            <w:tcW w:w="4649" w:type="dxa"/>
            <w:shd w:val="clear" w:color="auto" w:fill="auto"/>
            <w:vAlign w:val="center"/>
          </w:tcPr>
          <w:p w14:paraId="192D1FA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主要工作内容</w:t>
            </w:r>
          </w:p>
        </w:tc>
      </w:tr>
      <w:tr w14:paraId="027E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Align w:val="center"/>
          </w:tcPr>
          <w:p w14:paraId="4631336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赛前场地适应训练</w:t>
            </w:r>
          </w:p>
        </w:tc>
        <w:tc>
          <w:tcPr>
            <w:tcW w:w="2608" w:type="dxa"/>
            <w:vAlign w:val="center"/>
          </w:tcPr>
          <w:p w14:paraId="17811C8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9月18日—19日（2天）</w:t>
            </w:r>
          </w:p>
        </w:tc>
        <w:tc>
          <w:tcPr>
            <w:tcW w:w="4649" w:type="dxa"/>
            <w:vAlign w:val="center"/>
          </w:tcPr>
          <w:p w14:paraId="787B68D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参赛队伍入场训练、场地适应，器材及计时计分设备调试，各类保障力量到位</w:t>
            </w:r>
          </w:p>
        </w:tc>
      </w:tr>
      <w:tr w14:paraId="6D59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Align w:val="center"/>
          </w:tcPr>
          <w:p w14:paraId="50DE661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正式比赛</w:t>
            </w:r>
          </w:p>
        </w:tc>
        <w:tc>
          <w:tcPr>
            <w:tcW w:w="2608" w:type="dxa"/>
            <w:vAlign w:val="center"/>
          </w:tcPr>
          <w:p w14:paraId="46A1FAE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9月20日—23日（4天）</w:t>
            </w:r>
          </w:p>
        </w:tc>
        <w:tc>
          <w:tcPr>
            <w:tcW w:w="4649" w:type="dxa"/>
            <w:vAlign w:val="center"/>
          </w:tcPr>
          <w:p w14:paraId="6F4F3BD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武术散打项目正式比赛，成绩实时统计公示，颁奖仪式</w:t>
            </w:r>
          </w:p>
        </w:tc>
      </w:tr>
      <w:tr w14:paraId="378B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Align w:val="center"/>
          </w:tcPr>
          <w:p w14:paraId="56747E6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赛后收尾</w:t>
            </w:r>
          </w:p>
        </w:tc>
        <w:tc>
          <w:tcPr>
            <w:tcW w:w="2608" w:type="dxa"/>
            <w:vAlign w:val="center"/>
          </w:tcPr>
          <w:p w14:paraId="71D386D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赛事结束后3个工作日内</w:t>
            </w:r>
          </w:p>
        </w:tc>
        <w:tc>
          <w:tcPr>
            <w:tcW w:w="4649" w:type="dxa"/>
            <w:vAlign w:val="center"/>
          </w:tcPr>
          <w:p w14:paraId="2329EF6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场地复原、器材拆卸运回、物资清点、资料归档、费用结算、工作总结</w:t>
            </w:r>
          </w:p>
        </w:tc>
      </w:tr>
    </w:tbl>
    <w:p w14:paraId="49D26C8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p>
    <w:p w14:paraId="07BBD6C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（三）举办场馆情况</w:t>
      </w:r>
    </w:p>
    <w:p w14:paraId="1689380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比赛地点为北海市文化宫三楼篮球馆。该场馆为标准化室内运动场馆，具备赛事竞赛、观众观赛、功能办公、后勤保障等配套区域，可充分满足武术散打对抗性赛事的竞赛开展、安全管控及现场保障需求。供应商须按照采购人及赛事要求，负责竞赛擂台、裁判区域、候赛区、运动员休息区、功能配套区、观众区域等功能区布置，完成赛事氛围搭建与实时维护，全程保障场地水电稳定供应，赛事结束后完成场地清洁、物料拆除、器材清点收纳、场地原貌复原并完好交接。</w:t>
      </w:r>
    </w:p>
    <w:p w14:paraId="5FCA3CF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（四）服务对象及服务范围</w:t>
      </w:r>
    </w:p>
    <w:p w14:paraId="3A426A9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服务对象涵盖武术散打项目参赛运动员、领队、教练员、裁判员、仲裁人员、技术保障人员、赛事工作人员、志愿者、安保及医疗保障人员等全体赛事相关人员。服务内容包括赛事运营统筹、专业技术支撑、场地运维保障、综合赛事服务、志愿服务管理、专业器材租赁、成绩辅助统计、后勤配套保障、场地水电保障等全链条竞赛配套服务，结合武术散打项目对抗性、高安全性要求特点，实现赛事标准化、专业化、一体化统筹保障。</w:t>
      </w:r>
    </w:p>
    <w:p w14:paraId="175174C4">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二、服务内容</w:t>
      </w:r>
    </w:p>
    <w:p w14:paraId="681D2DD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（一）赛事运营服务</w:t>
      </w:r>
    </w:p>
    <w:p w14:paraId="74CD5DB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供应商统筹武术散打赛事全流程运营管理，严格遵循自治区运动会赛事办赛规范及武术散打项目专项竞赛规则，具体包括：</w:t>
      </w:r>
    </w:p>
    <w:p w14:paraId="627E1B6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负责赛事整体方案细化、赛前场地适应训练统筹、</w:t>
      </w:r>
      <w:r>
        <w:rPr>
          <w:rFonts w:hint="eastAsia" w:ascii="宋体" w:hAnsi="宋体" w:eastAsia="宋体" w:cs="宋体"/>
          <w:sz w:val="24"/>
          <w:szCs w:val="24"/>
          <w:lang w:eastAsia="zh-CN"/>
        </w:rPr>
        <w:t>各项</w:t>
      </w:r>
      <w:r>
        <w:rPr>
          <w:rFonts w:hint="eastAsia" w:ascii="宋体" w:hAnsi="宋体" w:eastAsia="宋体" w:cs="宋体"/>
          <w:sz w:val="24"/>
          <w:szCs w:val="24"/>
        </w:rPr>
        <w:t>赛程落地执行；</w:t>
      </w:r>
    </w:p>
    <w:p w14:paraId="3ECAFA8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负责参赛及工作人员统筹调度、赛事全流程管控；</w:t>
      </w:r>
    </w:p>
    <w:p w14:paraId="1109B07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负责开颁奖仪式统筹、赛场秩序维护、赛事流程衔接；</w:t>
      </w:r>
    </w:p>
    <w:p w14:paraId="027E5F0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精准对接裁判组、仲裁组、技术保障组、参赛队伍、组委会各工作组，落实每日工作台账；</w:t>
      </w:r>
    </w:p>
    <w:p w14:paraId="3203E37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 结合武术散打赛事对抗性强、安全防控要求高的项目特点，针对性处置赛场冲突、人员受伤、赛程调整等各类赛事突发问题，保障赛事流程统一、标准规范、衔接顺畅；</w:t>
      </w:r>
    </w:p>
    <w:p w14:paraId="3F1C82C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 负责赛事资料整理归档。</w:t>
      </w:r>
    </w:p>
    <w:p w14:paraId="63F4267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（二）专业技术服务</w:t>
      </w:r>
    </w:p>
    <w:p w14:paraId="298EF62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保障武术散打专业计时计分系统、成绩公示显示设备稳定运行，配备全套符合竞赛标准的计时计分+显示设备，实现赛事数据实时采集、精准统计、大屏公示、全程可追溯；</w:t>
      </w:r>
    </w:p>
    <w:p w14:paraId="6584304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落实赛事全程影像录像留存工作，完整记录赛前训练及正赛全过程，保障赛事申诉、仲裁、成绩复核工作有序开展；</w:t>
      </w:r>
    </w:p>
    <w:p w14:paraId="0A4908B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负责武术散打竞赛执裁设备、计时显示设备赛前校准、赛中巡检运维、赛后核验归档；</w:t>
      </w:r>
    </w:p>
    <w:p w14:paraId="78951E5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全程提供武术散打竞赛规则解读、技术咨询、设备故障应急处置服务。</w:t>
      </w:r>
    </w:p>
    <w:p w14:paraId="6CD7A98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（三）场地运维服务</w:t>
      </w:r>
    </w:p>
    <w:p w14:paraId="73BC611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负责竞赛擂台、裁判区域、候赛区、运动员休息区、功能配套区、观众区域的清洁、规整、安全隐患排查；</w:t>
      </w:r>
    </w:p>
    <w:p w14:paraId="3AA48B6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完成赛事背景板、标识标牌、赛场围挡、条幅、颁奖台等氛围物料制作搭建与实时维护；</w:t>
      </w:r>
    </w:p>
    <w:p w14:paraId="2C0A66E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全程保障赛场水电稳定供应，足额保障赛事期间场地水电使用需求，严格落实室内赛事场地用电、消防、器材摆放安全规范，实时排查处置设备故障；</w:t>
      </w:r>
    </w:p>
    <w:p w14:paraId="19FB78B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足额支付赛事期间场地租赁费用，保障场地合规使用；</w:t>
      </w:r>
    </w:p>
    <w:p w14:paraId="1C1ABFB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 赛事结束后全面完成场地清洁、物料拆除、器材清点收纳、场地原貌复原工作，确保赛事场地完好交接。</w:t>
      </w:r>
    </w:p>
    <w:p w14:paraId="522258F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（四）综合赛事保障服务</w:t>
      </w:r>
    </w:p>
    <w:p w14:paraId="76CB962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食宿保障。严格按照第十六届运动会统一赛事标准，为武术散打项目</w:t>
      </w:r>
      <w:r>
        <w:rPr>
          <w:rFonts w:hint="eastAsia" w:ascii="宋体" w:hAnsi="宋体" w:eastAsia="宋体" w:cs="宋体"/>
          <w:sz w:val="24"/>
          <w:szCs w:val="24"/>
          <w:lang w:val="en-US" w:eastAsia="zh-CN"/>
        </w:rPr>
        <w:t>的</w:t>
      </w:r>
      <w:r>
        <w:rPr>
          <w:rFonts w:hint="eastAsia" w:ascii="宋体" w:hAnsi="宋体" w:eastAsia="宋体" w:cs="宋体"/>
          <w:sz w:val="24"/>
          <w:szCs w:val="24"/>
        </w:rPr>
        <w:t>参赛领队、教练员、运动员提供赛前适应场地及赛事期间食宿保障，落实专人对接食宿管理，严格把控食品安全、住宿卫生与安全。</w:t>
      </w:r>
      <w:r>
        <w:rPr>
          <w:rFonts w:hint="eastAsia" w:ascii="宋体" w:hAnsi="宋体" w:eastAsia="宋体" w:cs="宋体"/>
          <w:sz w:val="24"/>
          <w:szCs w:val="24"/>
          <w:lang w:val="en-US" w:eastAsia="zh-CN"/>
        </w:rPr>
        <w:t>根据反兴奋剂工作要求，供应商需从采购人指定的大型商超采购食材，并按照反兴奋剂管理规定做好食材采购、检测、溯源记录、餐食制作、保障供应等服务，切实落实运动员的食品安全保障工作。</w:t>
      </w:r>
      <w:r>
        <w:rPr>
          <w:rFonts w:hint="eastAsia" w:ascii="宋体" w:hAnsi="宋体" w:eastAsia="宋体" w:cs="宋体"/>
          <w:sz w:val="24"/>
          <w:szCs w:val="24"/>
        </w:rPr>
        <w:t>同步为项目总裁判长、副总裁判长、裁判长、副裁判长、仲裁委员、编排纪录人员、各级裁判员、技术人员、驻地医生等全体赛事工作人员提供对应标准食宿保障，规范落实食宿经费支出标准。</w:t>
      </w:r>
    </w:p>
    <w:p w14:paraId="6EC1693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人员劳务保障。按赛事标准足额落实总裁判长、外省总裁判长、副总裁判长、裁判长、副裁判长、仲裁委员、编排长、纪录长、普通裁判员、计分系统技术人员、驻地医生、安保人员、礼仪人员、主持人等各类工作人员劳务补贴，严格区分岗位层级、区内区外人员补贴标准，规范劳务核算、台账登记与发放管理，确保合规透明。</w:t>
      </w:r>
    </w:p>
    <w:p w14:paraId="2460B41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交通接驳保障。根据赛事规模配备对应规格专用车辆，分别设置裁判员、运动员专属接驳车辆，负责赛事人员驻地至赛场的往返接驳，保障赛事期间交通准时、安全、高效；严格落实区内、区外裁判员异地往返差旅补贴及市内交通补贴，规范补贴核算发放，全方位保障赛事人员出行需求。</w:t>
      </w:r>
    </w:p>
    <w:p w14:paraId="13211D6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医疗安保保障。赛事驻地、赛场均配备专职值守医生、护士、救护车及全套医疗物资，配置2台救护车、2名司机、2名医生、2名护士，全程处置运动员对抗损伤、突发健康问题；结合武术散打赛事高强度对抗、易发生运动损伤的特点，强化赛场医疗值守与应急救护力量。固定配备3名专职安保人员，联合医务人员共计9人开展赛场、功能区域、赛事驻地的秩序维护、安全巡查、隐患管控，有效防范赛场冲突、人员受伤等突发情况。</w:t>
      </w:r>
    </w:p>
    <w:p w14:paraId="58731D1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 后勤办公保障。统一采购配备武术散打项目赛事所需纸笔、打印机墨盒、各类办公用具等全套竞赛办公用品，配齐赛事台账整理、资料打印、日常会务、现场执裁所需物资，保障赛事后勤办公、资料归档、赛事记录等工作有序开展。</w:t>
      </w:r>
    </w:p>
    <w:p w14:paraId="267C20F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 颁奖保障。配备8名专业礼仪人员、2名赛事主持人，负责赛事彩排、正式颁奖仪式全程服务，规范完成流程统筹、现场秩序维护、仪式执行工作，保障颁奖仪式庄重规范、统一标准。</w:t>
      </w:r>
    </w:p>
    <w:p w14:paraId="41AA49E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 赛事保险保障。统一购置全覆盖赛事保险，保障赛事全程参赛人员、工作人员、志愿者人身安全，覆盖赛前训练、正式比赛全周期，有效规避赛事安全风险。</w:t>
      </w:r>
    </w:p>
    <w:p w14:paraId="5AF2ED4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（五）志愿服务管理</w:t>
      </w:r>
    </w:p>
    <w:p w14:paraId="7949425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赛事规模足额配置30名赛事志愿者及工作人员，统一按照100元/人/天标准落实交通、误餐等综合补助，服务周期6天。赛前开展专项岗前培训，明确岗位职责、服务规范、赛事礼仪、场地动线及应急处置流程，重点强化赛场秩序维护、运动员辅助保障、突发情况协助处置等专项培训；赛中统筹开展赛场引导、物资分发、候场秩序维护、后勤协助、信息对接、成绩辅助公示等志愿服务工作，全程做好人员管理、纪律督导，适配武术散打赛事办赛需求，展现自治区运动会良好赛事风貌。</w:t>
      </w:r>
    </w:p>
    <w:p w14:paraId="3B827D2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（六）专业器材与系统租赁运维</w:t>
      </w:r>
    </w:p>
    <w:p w14:paraId="4BD238A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武术散打项目专项竞赛需求，提供全套专业竞赛器材、计时计分显示系统、办公设备租赁及搬运、安装、调试、全程运维、赛后回收服务，所有器材、系统均符合省级赛事竞赛标准。重点租赁整套专业计时计分+显示设备，适配武术散打赛事计分统计、成绩公示、赛事仲裁的专业需求。供应商负责所有设备器材的运输、进场布设、精准调试、赛中动态巡检、故障应急处置、赛后拆卸清点运回，全程保障设备完好、安全、合规使用，满足赛前训练及正式比赛全部执裁需求。</w:t>
      </w:r>
    </w:p>
    <w:p w14:paraId="6113DE9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（七）成绩辅助统计服务</w:t>
      </w:r>
    </w:p>
    <w:p w14:paraId="21D746E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组建武术散打项目专项成绩统计服务团队，配合裁判组、技术组完成赛事成绩实时记录、精准核对、分类统计、汇总公示、赛后归档工作。严格遵循武术散打项目专属竞赛规则核算比赛成绩，依托专业计时计分显示系统实时更新赛事榜单，同步做好成绩复核、参赛队伍异议对接、赛事数据全程留存工作，确保赛事成绩真实、准确、规范。同步建立完整赛事数据台账，整理全套赛事成绩资料，为赛事总结、运动员评优、颁奖工作提供精准数据支撑。</w:t>
      </w:r>
    </w:p>
    <w:p w14:paraId="6D176D37">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三、服务要求及标准</w:t>
      </w:r>
    </w:p>
    <w:p w14:paraId="5570383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（一）总体要求</w:t>
      </w:r>
    </w:p>
    <w:p w14:paraId="00CDE28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供应商应严格执行自治区运动会赛事办赛规范及武术散打项目专项竞赛规则，所有服务标准、器材规格、系统参数、人员配置严格按照本采购需求及武术散打项目专项赛事</w:t>
      </w:r>
      <w:r>
        <w:rPr>
          <w:rFonts w:hint="eastAsia" w:ascii="宋体" w:hAnsi="宋体" w:eastAsia="宋体" w:cs="宋体"/>
          <w:sz w:val="24"/>
          <w:szCs w:val="24"/>
          <w:lang w:val="en-US" w:eastAsia="zh-CN"/>
        </w:rPr>
        <w:t>规则</w:t>
      </w:r>
      <w:r>
        <w:rPr>
          <w:rFonts w:hint="eastAsia" w:ascii="宋体" w:hAnsi="宋体" w:eastAsia="宋体" w:cs="宋体"/>
          <w:sz w:val="24"/>
          <w:szCs w:val="24"/>
        </w:rPr>
        <w:t>要求执行，中标（成交）后不得转包、违法分包，不得降低服务标准、缩减服务内容、降低器材品质，全程接受组委会及监管部门监督。</w:t>
      </w:r>
    </w:p>
    <w:p w14:paraId="585D10C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（二）通用服务标准</w:t>
      </w:r>
    </w:p>
    <w:p w14:paraId="29EFDE5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所有赛事服务流程规范、人员配置充足、响应及时高效，全程落实标准化服务管控。</w:t>
      </w:r>
    </w:p>
    <w:p w14:paraId="07A6121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所有赛事工作人员、裁判辅助人员、技术人员、志愿者持证上岗、着装规范、服务专业。</w:t>
      </w:r>
    </w:p>
    <w:p w14:paraId="169C6CB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赛事全程无服务投诉、无工作失误、无安全隐患，保障武术散打赛事全程平稳有序、规范落地。</w:t>
      </w:r>
    </w:p>
    <w:p w14:paraId="51DAC87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三）</w:t>
      </w:r>
      <w:r>
        <w:rPr>
          <w:rFonts w:hint="eastAsia" w:ascii="宋体" w:hAnsi="宋体" w:eastAsia="宋体" w:cs="宋体"/>
          <w:sz w:val="24"/>
          <w:szCs w:val="24"/>
        </w:rPr>
        <w:t>比赛场地、设备设施配备要求</w:t>
      </w:r>
    </w:p>
    <w:p w14:paraId="13B86DE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国家体育总局武术中心、中国武术协会2021年颁布的《武术散打项目办赛指南》的要求，做好比赛场地、设备设施的保障工作。其中，比赛用软垫、擂台以及运动员的护具由采购人提供；其他设备由供应商自备。</w:t>
      </w:r>
    </w:p>
    <w:p w14:paraId="6011491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比赛场馆的内场空间至少400平方米;比赛擂台四周保护软垫外围边线至少200厘米内应保留平整空旷的空间，地面垂直无障碍空间不少于700厘米；具备赛前热身用房等必要的竞赛功能用房及相关设施。比赛场地光照度1000-2000勒克斯。</w:t>
      </w:r>
    </w:p>
    <w:p w14:paraId="1133737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训练(热身)用房的内场面积应根据比赛规模配置1-2处面积不少于800厘米x800厘米、厚度3-5厘米软硬适度的软垫，软垫周围200厘米内无棱角突出的硬物。</w:t>
      </w:r>
    </w:p>
    <w:p w14:paraId="65A9036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3、武术散打竞赛场地分为武术散打竞赛标准擂台或带围绳的擂台:</w:t>
      </w:r>
    </w:p>
    <w:p w14:paraId="5C54C33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武术散打竟赛标准擂台:高80厘米、长800厘米、宽800厘米，台面铺有厚度为5厘米软硬适度的软垫，软垫上铺有防滑盖单，具体相关条件与技术要求需符合中国武术协会最新审定的《武术散打竟赛规则》。擂台应结实牢靠，平整安全。若设置两个擂台，其间的距离应不少于800厘米。</w:t>
      </w:r>
    </w:p>
    <w:p w14:paraId="28FC2B2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武术散打职业比赛围绳擂台:擂台面积(含围绳)为600x600-700x700平方厘米，围绳外合面延伸出40-90厘米;台面距离地面的高度不超过120厘米。台面铺有厚度不小于5厘米的软垫，软垫上覆盖防滑盖单。擂台四周须有5根直径为3-5厘米的围绳固定在四角的立柱上，且有柔软材料包裹。整个擂台应结实牢靠、平整安全。</w:t>
      </w:r>
    </w:p>
    <w:p w14:paraId="4C82870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4、根据赛事需求配有满足比赛所需要的电子评分系统1套、高清数码摄像机2台(含三脚架)、仲裁用电视机(或电脑)1台、配套音响、耳麦、集群电话(对讲机)等设备。由供应商自行准备。</w:t>
      </w:r>
    </w:p>
    <w:p w14:paraId="108FC32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武术散打比赛运动员必须穿戴护头、护齿、护胸、拳套、缠手带、护裆，青少年比赛还必须穿戴护脚背。职业比赛至少应穿戴护齿、拳套、缠手带、护裆，根据需要穿戴护脚背，必要时穿戴护头和护胸。护具的相关技术要求需符合中国武术协会最新审定的《武术散打竞赛规则》要求。</w:t>
      </w:r>
      <w:bookmarkStart w:id="47" w:name="heading_4"/>
    </w:p>
    <w:p w14:paraId="3AA21CB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lang w:val="en-US" w:eastAsia="en-US"/>
        </w:rPr>
        <w:t>、</w:t>
      </w:r>
      <w:r>
        <w:rPr>
          <w:rFonts w:hint="eastAsia" w:ascii="宋体" w:hAnsi="宋体" w:eastAsia="宋体" w:cs="宋体"/>
          <w:sz w:val="24"/>
          <w:szCs w:val="24"/>
        </w:rPr>
        <w:t>竞赛配套功能用房及场地配置</w:t>
      </w:r>
      <w:bookmarkEnd w:id="47"/>
      <w:r>
        <w:rPr>
          <w:rFonts w:hint="eastAsia" w:ascii="宋体" w:hAnsi="宋体" w:eastAsia="宋体" w:cs="宋体"/>
          <w:sz w:val="24"/>
          <w:szCs w:val="24"/>
          <w:lang w:eastAsia="zh-CN"/>
        </w:rPr>
        <w:t>：</w:t>
      </w:r>
      <w:r>
        <w:rPr>
          <w:rFonts w:hint="eastAsia" w:ascii="宋体" w:hAnsi="宋体" w:eastAsia="宋体" w:cs="宋体"/>
          <w:sz w:val="24"/>
          <w:szCs w:val="24"/>
        </w:rPr>
        <w:t>须配置满足赛事运行的功能分区 / 功能用房，含：检录区、称重区、裁判员工作区、器材存放室、运动员候场区、医疗救护点、技术会议室、媒体工作区；各区域标识清晰，动线合理，运动员通道、裁判通道、观众通道物理隔离，互不交叉干扰。</w:t>
      </w:r>
    </w:p>
    <w:p w14:paraId="45C1200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称重区：配备专业电子称重设备，独立密闭空间，满足运动员赛前称重流程。</w:t>
      </w:r>
    </w:p>
    <w:p w14:paraId="74D2156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医疗救护点：紧邻比赛擂台，配备急救桌椅、急救物资，预留急救转运通道。</w:t>
      </w:r>
      <w:bookmarkStart w:id="48" w:name="heading_5"/>
    </w:p>
    <w:p w14:paraId="1DA5395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竞赛器材、技术设备全套配置</w:t>
      </w:r>
      <w:bookmarkEnd w:id="48"/>
    </w:p>
    <w:p w14:paraId="3E06C63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裁判判罚器材：色别牌（红、蓝、半红半蓝各 6 块，合计 18 块）、劝告牌、警告牌、强制读秒牌、申诉牌、牌架、哨子（单音、双音）、铜锣及锣锤、计时器、读秒计时设备、计数器等全套裁判用具。</w:t>
      </w:r>
    </w:p>
    <w:p w14:paraId="7CC860B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竞赛技术设备：散打竞赛电子计分计时系统、音响扩音系统、现场成绩公示设备、高清摄像录制设备（至少 2 台，用于仲裁回看）、电子称重设备 2 套（含备用）。</w:t>
      </w:r>
    </w:p>
    <w:p w14:paraId="7A06006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rPr>
        <w:t>辅助物料：擂台标识、警戒线、分区隔离围挡、指示牌、桌椅、候场座椅、医疗点位配套物资等全部现场物料。</w:t>
      </w:r>
    </w:p>
    <w:p w14:paraId="51BF492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bookmarkStart w:id="49" w:name="heading_6"/>
      <w:r>
        <w:rPr>
          <w:rFonts w:hint="eastAsia" w:ascii="宋体" w:hAnsi="宋体" w:eastAsia="宋体" w:cs="宋体"/>
          <w:sz w:val="24"/>
          <w:szCs w:val="24"/>
          <w:lang w:val="en-US" w:eastAsia="zh-CN"/>
        </w:rPr>
        <w:t>（四）安装、调试、验收、拆除及质保服务要求</w:t>
      </w:r>
      <w:bookmarkEnd w:id="49"/>
    </w:p>
    <w:p w14:paraId="755F38C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供应商须在赛事正式开赛至少 1 个完整日历日前完成全部擂台搭建、场地铺装、器材布设、系统调试，配合采购人、技术代表完成场地器材联合验收，出具场地器材自检记录，验收不合格须无条件整改直至达标。</w:t>
      </w:r>
    </w:p>
    <w:p w14:paraId="30C3F91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赛事全过程派驻专业技术保障人员在岗值守，对擂台、软垫、电子计时计分、音响设备实时巡检，出现故障第一时间处置，由供应商自备的设备、设施，具备备用器材、备用设备应急替换能力。</w:t>
      </w:r>
    </w:p>
    <w:p w14:paraId="35CE32F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赛事全部结束后，完成全部设施器材拆除、清运，恢复场馆原有场地原貌。</w:t>
      </w:r>
    </w:p>
    <w:p w14:paraId="5E87F34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由供应商自备的设备、设施在赛事服务周期内全程质保，因设备器材质量问题造成的安全事故，由服务供应商承担全部责任。</w:t>
      </w:r>
    </w:p>
    <w:p w14:paraId="459E838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五</w:t>
      </w:r>
      <w:r>
        <w:rPr>
          <w:rFonts w:hint="eastAsia" w:ascii="宋体" w:hAnsi="宋体" w:eastAsia="宋体" w:cs="宋体"/>
          <w:sz w:val="24"/>
          <w:szCs w:val="24"/>
        </w:rPr>
        <w:t>）安全保障标准</w:t>
      </w:r>
    </w:p>
    <w:p w14:paraId="1DA15D8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严格落实赛事安全生产责任制，针对武术散打项目对抗性强、运动损伤风险高的赛事特点，建立全维度安全管控体系。</w:t>
      </w:r>
    </w:p>
    <w:p w14:paraId="272C4E7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全面排查场地环境、设备设施、用电用水、人员管控、器材运维等各类安全隐患，杜绝赛事安全事故、人员伤亡、设备故障等问题。</w:t>
      </w:r>
    </w:p>
    <w:p w14:paraId="658F035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重点强化赛场擂台安全防护、运动员参赛安全管控、医疗应急快速处置能力，全面保障参赛人员、工作人员人身安全及赛事整体运行安全。</w:t>
      </w:r>
    </w:p>
    <w:p w14:paraId="37A0F79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六</w:t>
      </w:r>
      <w:r>
        <w:rPr>
          <w:rFonts w:hint="eastAsia" w:ascii="宋体" w:hAnsi="宋体" w:eastAsia="宋体" w:cs="宋体"/>
          <w:sz w:val="24"/>
          <w:szCs w:val="24"/>
        </w:rPr>
        <w:t>）分阶段实施进度要求</w:t>
      </w:r>
    </w:p>
    <w:p w14:paraId="7285D0F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本项目严格按照武术散打赛事时间节点实行分阶段全流程节点管控，明确各阶段工作任务与完成时限，确保所有服务提前到位、无缝衔接赛事进程：</w:t>
      </w:r>
    </w:p>
    <w:p w14:paraId="21CB857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赛前沟通协调阶段（签订合同后3个工作日内）：对接组委会及赛事场地运营单位，细化赛事服务细则、人员配置、器材清单、场地搭建、水电保障、运维预案、应急方案，完成全部服务方案</w:t>
      </w:r>
      <w:r>
        <w:rPr>
          <w:rFonts w:hint="eastAsia" w:ascii="宋体" w:hAnsi="宋体" w:eastAsia="宋体" w:cs="宋体"/>
          <w:sz w:val="24"/>
          <w:szCs w:val="24"/>
          <w:lang w:val="en-US" w:eastAsia="zh-CN"/>
        </w:rPr>
        <w:t>报采购人</w:t>
      </w:r>
      <w:r>
        <w:rPr>
          <w:rFonts w:hint="eastAsia" w:ascii="宋体" w:hAnsi="宋体" w:eastAsia="宋体" w:cs="宋体"/>
          <w:sz w:val="24"/>
          <w:szCs w:val="24"/>
        </w:rPr>
        <w:t>审核确认。</w:t>
      </w:r>
    </w:p>
    <w:p w14:paraId="7F9E928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 赛前筹备阶段（赛事开赛3日前）：完成赛场氛围搭建、器材及计时计分设备进场安装调试、设备全面检测、人员岗前培训、物资配齐到位，开展赛前全流程模拟演练，排查各类服务及安全隐患，落实场地租赁、水电对接工作。</w:t>
      </w:r>
    </w:p>
    <w:p w14:paraId="6EA263F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 赛事执行阶段（赛事全程）：9月20日—23日全程保障赛事有序开展，同步覆盖赛前2天场地适应训练保障，落实赛事运营、技术支撑、场地运维、后勤保障、志愿服务、成绩统计、医疗安保应急处置等全部服务工作。</w:t>
      </w:r>
    </w:p>
    <w:p w14:paraId="5F61FA7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 赛后收尾阶段（赛事结束后3个工作日内）：完成场地复原、器材拆卸运回、物资清点、数据归档、台账整理、费用结算、工作总结等收尾工作。</w:t>
      </w:r>
    </w:p>
    <w:p w14:paraId="48255EF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七）赛程安排</w:t>
      </w:r>
    </w:p>
    <w:p w14:paraId="2CF437E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供应商须配合采购人、竞赛技术代表开展赛程编制工作，严格遵循中国武术协会《武术散打竞赛规则和裁判法》，结合区运会竞赛规程、报名参赛人数、体重级别、竞赛赛制（淘汰赛 / 复活赛）编制完整《武术散打比赛赛程方案》，包含每日竞赛单元、场次排布、检录时间、称重时间、热身安排、休息间隔、颁奖环节时间节点，赛程方案须提交采购人审核，按审核意见修改完善后方可执行。</w:t>
      </w:r>
    </w:p>
    <w:p w14:paraId="74CED66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赛程编排原则：</w:t>
      </w:r>
    </w:p>
    <w:p w14:paraId="01CEBE5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（1）执行散打竞赛赛制，单场比赛执行三局两胜制，每局 2 分钟，局间休息 1 分钟；少年组、青年组等不同组别按照竞赛规程对应调整时长；合理设置两场比赛之间间隔，保障运动员恢复时间，避免运动员连续高强度上场。</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（2）赛前设置正式称重环节，赛程中明确各参赛组别称重时间、检录时间、热身开放时段。</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（3）合理规划每日比赛场次，避免过度压缩比赛间隔，兼顾竞赛效率与运动员安全。</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（4）赛程方案同步输出秩序册相关赛程附表，区分男子、女子各体重级别，清晰标注场次、台次、时间。</w:t>
      </w:r>
    </w:p>
    <w:p w14:paraId="27348C8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场赛程执行：比赛现场严格按照审定后的赛程推进，设置现场计时、检录岗位，实时管控比赛进度；如出现运动员弃权、伤情退赛、场次顺延等突发情况，在竞赛技术代表指导下动态调整现场执行节奏，并做好记录。</w:t>
      </w:r>
    </w:p>
    <w:p w14:paraId="0F777203">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四、人员配置要求</w:t>
      </w:r>
    </w:p>
    <w:p w14:paraId="2F5645B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（一）总体要求</w:t>
      </w:r>
    </w:p>
    <w:p w14:paraId="73845D3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供应商须为本项目配备充足、专业、稳定的赛事服务团队，实行专人负责、统一着装、持证上岗、规范服务，人员数量及资质不得低于本采购需求所列标准。</w:t>
      </w:r>
    </w:p>
    <w:p w14:paraId="0BD43CE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供应商应于合同签订后3个工作日内向采购人提交人员配置方案及人员名册（含姓名、岗位、资质证明等），经采购人审核确认后方可上岗。</w:t>
      </w:r>
    </w:p>
    <w:p w14:paraId="2013184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赛前须组织全体工作人员开展岗前培训，明确岗位职责、服务规范、赛事礼仪、场地动线及应急处置流程；核心岗位人员未经采购人书面同意不得随意调换。</w:t>
      </w:r>
    </w:p>
    <w:p w14:paraId="473954F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供应商应建立人员管理台账，如实登记各岗位人员考勤、补贴发放情况，接受采购人及监管部门核查，确保人员配置落实到位、补贴发放合规透明。</w:t>
      </w:r>
    </w:p>
    <w:p w14:paraId="5CA1730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eastAsia="宋体" w:cs="宋体"/>
          <w:sz w:val="24"/>
          <w:szCs w:val="24"/>
          <w:lang w:val="en-US" w:eastAsia="zh-CN"/>
        </w:rPr>
        <w:t>服务对象以及基本服务</w:t>
      </w:r>
      <w:r>
        <w:rPr>
          <w:rFonts w:hint="eastAsia" w:ascii="宋体" w:hAnsi="宋体" w:eastAsia="宋体" w:cs="宋体"/>
          <w:sz w:val="24"/>
          <w:szCs w:val="24"/>
        </w:rPr>
        <w:t>人员配置</w:t>
      </w:r>
      <w:r>
        <w:rPr>
          <w:rFonts w:hint="eastAsia" w:ascii="宋体" w:hAnsi="宋体" w:eastAsia="宋体" w:cs="宋体"/>
          <w:sz w:val="24"/>
          <w:szCs w:val="24"/>
          <w:lang w:val="en-US" w:eastAsia="zh-CN"/>
        </w:rPr>
        <w:t>情况</w:t>
      </w:r>
    </w:p>
    <w:p w14:paraId="1DAE486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w:t>
      </w:r>
      <w:r>
        <w:rPr>
          <w:rFonts w:hint="eastAsia" w:ascii="宋体" w:hAnsi="宋体" w:eastAsia="宋体" w:cs="宋体"/>
          <w:sz w:val="24"/>
          <w:szCs w:val="24"/>
          <w:lang w:val="en-US" w:eastAsia="zh-CN"/>
        </w:rPr>
        <w:t>基本</w:t>
      </w:r>
      <w:r>
        <w:rPr>
          <w:rFonts w:hint="eastAsia" w:ascii="宋体" w:hAnsi="宋体" w:eastAsia="宋体" w:cs="宋体"/>
          <w:sz w:val="24"/>
          <w:szCs w:val="24"/>
        </w:rPr>
        <w:t>人员配置</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食宿费及劳务报酬</w:t>
      </w:r>
      <w:r>
        <w:rPr>
          <w:rFonts w:hint="eastAsia" w:ascii="宋体" w:hAnsi="宋体" w:eastAsia="宋体" w:cs="宋体"/>
          <w:sz w:val="24"/>
          <w:szCs w:val="24"/>
        </w:rPr>
        <w:t>按下列标准执行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项目履约完成后，住宿费及人员劳务报酬将按照实际参赛(服务)人员数量、参赛（服务）天数,实报实销。差旅费按《北海市本级党政机关差旅费管理办法》(北财行〔2014〕22号)及《关于印发北海市本级党政机关差旅费管理办法补充规定的通知》(北财行〔2015〕24号)执行。</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2041"/>
        <w:gridCol w:w="986"/>
        <w:gridCol w:w="1759"/>
        <w:gridCol w:w="1465"/>
        <w:gridCol w:w="1459"/>
        <w:gridCol w:w="907"/>
      </w:tblGrid>
      <w:tr w14:paraId="4452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7" w:type="dxa"/>
            <w:shd w:val="clear" w:color="auto" w:fill="auto"/>
            <w:vAlign w:val="center"/>
          </w:tcPr>
          <w:p w14:paraId="23ED574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041" w:type="dxa"/>
            <w:shd w:val="clear" w:color="auto" w:fill="auto"/>
            <w:vAlign w:val="center"/>
          </w:tcPr>
          <w:p w14:paraId="04985D5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岗位/类别</w:t>
            </w:r>
          </w:p>
        </w:tc>
        <w:tc>
          <w:tcPr>
            <w:tcW w:w="986" w:type="dxa"/>
            <w:shd w:val="clear" w:color="auto" w:fill="auto"/>
            <w:vAlign w:val="center"/>
          </w:tcPr>
          <w:p w14:paraId="237B3FFB">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人数</w:t>
            </w:r>
          </w:p>
        </w:tc>
        <w:tc>
          <w:tcPr>
            <w:tcW w:w="1759" w:type="dxa"/>
            <w:shd w:val="clear" w:color="auto" w:fill="auto"/>
            <w:vAlign w:val="center"/>
          </w:tcPr>
          <w:p w14:paraId="0F2F43E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预计</w:t>
            </w:r>
            <w:r>
              <w:rPr>
                <w:rFonts w:hint="eastAsia" w:ascii="宋体" w:hAnsi="宋体" w:eastAsia="宋体" w:cs="宋体"/>
                <w:b/>
                <w:bCs/>
                <w:sz w:val="24"/>
                <w:szCs w:val="24"/>
              </w:rPr>
              <w:t>服务</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参赛）</w:t>
            </w:r>
            <w:r>
              <w:rPr>
                <w:rFonts w:hint="eastAsia" w:ascii="宋体" w:hAnsi="宋体" w:eastAsia="宋体" w:cs="宋体"/>
                <w:b/>
                <w:bCs/>
                <w:sz w:val="24"/>
                <w:szCs w:val="24"/>
              </w:rPr>
              <w:t>周期</w:t>
            </w:r>
          </w:p>
        </w:tc>
        <w:tc>
          <w:tcPr>
            <w:tcW w:w="1465" w:type="dxa"/>
            <w:shd w:val="clear" w:color="auto" w:fill="auto"/>
            <w:vAlign w:val="center"/>
          </w:tcPr>
          <w:p w14:paraId="75F7A0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食宿费标准</w:t>
            </w:r>
          </w:p>
        </w:tc>
        <w:tc>
          <w:tcPr>
            <w:tcW w:w="1459" w:type="dxa"/>
            <w:shd w:val="clear" w:color="auto" w:fill="auto"/>
            <w:vAlign w:val="center"/>
          </w:tcPr>
          <w:p w14:paraId="5D8AAFE5">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劳务报酬</w:t>
            </w:r>
          </w:p>
        </w:tc>
        <w:tc>
          <w:tcPr>
            <w:tcW w:w="907" w:type="dxa"/>
            <w:shd w:val="clear" w:color="auto" w:fill="auto"/>
            <w:vAlign w:val="center"/>
          </w:tcPr>
          <w:p w14:paraId="3616950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备注</w:t>
            </w:r>
          </w:p>
        </w:tc>
      </w:tr>
      <w:tr w14:paraId="2EB2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17A7FD1B">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041" w:type="dxa"/>
            <w:vAlign w:val="center"/>
          </w:tcPr>
          <w:p w14:paraId="58A9069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参赛领队、教练员、运动员</w:t>
            </w:r>
          </w:p>
        </w:tc>
        <w:tc>
          <w:tcPr>
            <w:tcW w:w="986" w:type="dxa"/>
            <w:vAlign w:val="center"/>
          </w:tcPr>
          <w:p w14:paraId="63ABF9E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260人</w:t>
            </w:r>
          </w:p>
        </w:tc>
        <w:tc>
          <w:tcPr>
            <w:tcW w:w="1759" w:type="dxa"/>
            <w:vAlign w:val="center"/>
          </w:tcPr>
          <w:p w14:paraId="510259F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食宿7天</w:t>
            </w:r>
          </w:p>
        </w:tc>
        <w:tc>
          <w:tcPr>
            <w:tcW w:w="1465" w:type="dxa"/>
            <w:vAlign w:val="center"/>
          </w:tcPr>
          <w:p w14:paraId="5F98BC7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230</w:t>
            </w:r>
          </w:p>
        </w:tc>
        <w:tc>
          <w:tcPr>
            <w:tcW w:w="1459" w:type="dxa"/>
            <w:vAlign w:val="center"/>
          </w:tcPr>
          <w:p w14:paraId="2674D9E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c>
          <w:tcPr>
            <w:tcW w:w="907" w:type="dxa"/>
            <w:vAlign w:val="center"/>
          </w:tcPr>
          <w:p w14:paraId="6566C72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6A2A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67" w:type="dxa"/>
            <w:vAlign w:val="center"/>
          </w:tcPr>
          <w:p w14:paraId="468D596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2041" w:type="dxa"/>
            <w:vAlign w:val="center"/>
          </w:tcPr>
          <w:p w14:paraId="1A41928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总裁判长（外省）</w:t>
            </w:r>
          </w:p>
        </w:tc>
        <w:tc>
          <w:tcPr>
            <w:tcW w:w="986" w:type="dxa"/>
            <w:vAlign w:val="center"/>
          </w:tcPr>
          <w:p w14:paraId="448BFD7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1人</w:t>
            </w:r>
          </w:p>
        </w:tc>
        <w:tc>
          <w:tcPr>
            <w:tcW w:w="1759" w:type="dxa"/>
            <w:vAlign w:val="center"/>
          </w:tcPr>
          <w:p w14:paraId="1BEB607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食宿7天、劳务6天</w:t>
            </w:r>
          </w:p>
        </w:tc>
        <w:tc>
          <w:tcPr>
            <w:tcW w:w="1465" w:type="dxa"/>
            <w:vAlign w:val="center"/>
          </w:tcPr>
          <w:p w14:paraId="2B59C0F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350</w:t>
            </w:r>
          </w:p>
        </w:tc>
        <w:tc>
          <w:tcPr>
            <w:tcW w:w="1459" w:type="dxa"/>
            <w:vAlign w:val="center"/>
          </w:tcPr>
          <w:p w14:paraId="325652E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350</w:t>
            </w:r>
          </w:p>
        </w:tc>
        <w:tc>
          <w:tcPr>
            <w:tcW w:w="907" w:type="dxa"/>
            <w:vAlign w:val="center"/>
          </w:tcPr>
          <w:p w14:paraId="6E11261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049C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18EB5A3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041" w:type="dxa"/>
            <w:vAlign w:val="center"/>
          </w:tcPr>
          <w:p w14:paraId="25B45B55">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副总裁判长</w:t>
            </w:r>
          </w:p>
        </w:tc>
        <w:tc>
          <w:tcPr>
            <w:tcW w:w="986" w:type="dxa"/>
            <w:vAlign w:val="center"/>
          </w:tcPr>
          <w:p w14:paraId="2AAF667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2人</w:t>
            </w:r>
          </w:p>
        </w:tc>
        <w:tc>
          <w:tcPr>
            <w:tcW w:w="1759" w:type="dxa"/>
            <w:vAlign w:val="center"/>
          </w:tcPr>
          <w:p w14:paraId="488BF4A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食宿7天、劳务6天</w:t>
            </w:r>
          </w:p>
        </w:tc>
        <w:tc>
          <w:tcPr>
            <w:tcW w:w="1465" w:type="dxa"/>
            <w:vAlign w:val="center"/>
          </w:tcPr>
          <w:p w14:paraId="7BF278C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350</w:t>
            </w:r>
          </w:p>
        </w:tc>
        <w:tc>
          <w:tcPr>
            <w:tcW w:w="1459" w:type="dxa"/>
            <w:vAlign w:val="center"/>
          </w:tcPr>
          <w:p w14:paraId="7A76976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230</w:t>
            </w:r>
          </w:p>
        </w:tc>
        <w:tc>
          <w:tcPr>
            <w:tcW w:w="907" w:type="dxa"/>
            <w:vAlign w:val="center"/>
          </w:tcPr>
          <w:p w14:paraId="69C8C1A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184F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74E1E14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2041" w:type="dxa"/>
            <w:vAlign w:val="center"/>
          </w:tcPr>
          <w:p w14:paraId="487B0B1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裁判长</w:t>
            </w:r>
          </w:p>
        </w:tc>
        <w:tc>
          <w:tcPr>
            <w:tcW w:w="986" w:type="dxa"/>
            <w:vAlign w:val="center"/>
          </w:tcPr>
          <w:p w14:paraId="37F4248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2人</w:t>
            </w:r>
          </w:p>
        </w:tc>
        <w:tc>
          <w:tcPr>
            <w:tcW w:w="1759" w:type="dxa"/>
            <w:vAlign w:val="center"/>
          </w:tcPr>
          <w:p w14:paraId="535F44A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食宿7天、劳务6天</w:t>
            </w:r>
          </w:p>
        </w:tc>
        <w:tc>
          <w:tcPr>
            <w:tcW w:w="1465" w:type="dxa"/>
            <w:vAlign w:val="center"/>
          </w:tcPr>
          <w:p w14:paraId="7062842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350</w:t>
            </w:r>
          </w:p>
        </w:tc>
        <w:tc>
          <w:tcPr>
            <w:tcW w:w="1459" w:type="dxa"/>
            <w:vAlign w:val="center"/>
          </w:tcPr>
          <w:p w14:paraId="110A4F5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230</w:t>
            </w:r>
          </w:p>
        </w:tc>
        <w:tc>
          <w:tcPr>
            <w:tcW w:w="907" w:type="dxa"/>
            <w:vAlign w:val="center"/>
          </w:tcPr>
          <w:p w14:paraId="5E0C4F4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66CE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30DB310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2041" w:type="dxa"/>
            <w:vAlign w:val="center"/>
          </w:tcPr>
          <w:p w14:paraId="342A013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副裁判长</w:t>
            </w:r>
          </w:p>
        </w:tc>
        <w:tc>
          <w:tcPr>
            <w:tcW w:w="986" w:type="dxa"/>
            <w:vAlign w:val="center"/>
          </w:tcPr>
          <w:p w14:paraId="606E58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3人</w:t>
            </w:r>
          </w:p>
        </w:tc>
        <w:tc>
          <w:tcPr>
            <w:tcW w:w="1759" w:type="dxa"/>
            <w:vAlign w:val="center"/>
          </w:tcPr>
          <w:p w14:paraId="45EFA52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食宿7天、劳务6天</w:t>
            </w:r>
          </w:p>
        </w:tc>
        <w:tc>
          <w:tcPr>
            <w:tcW w:w="1465" w:type="dxa"/>
            <w:vAlign w:val="center"/>
          </w:tcPr>
          <w:p w14:paraId="3DA94CA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350</w:t>
            </w:r>
          </w:p>
        </w:tc>
        <w:tc>
          <w:tcPr>
            <w:tcW w:w="1459" w:type="dxa"/>
            <w:vAlign w:val="center"/>
          </w:tcPr>
          <w:p w14:paraId="40DEA04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230</w:t>
            </w:r>
          </w:p>
        </w:tc>
        <w:tc>
          <w:tcPr>
            <w:tcW w:w="907" w:type="dxa"/>
            <w:vAlign w:val="center"/>
          </w:tcPr>
          <w:p w14:paraId="3E67070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7351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1BE62B8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2041" w:type="dxa"/>
            <w:vAlign w:val="center"/>
          </w:tcPr>
          <w:p w14:paraId="48E7DE95">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仲裁委员</w:t>
            </w:r>
          </w:p>
        </w:tc>
        <w:tc>
          <w:tcPr>
            <w:tcW w:w="986" w:type="dxa"/>
            <w:vAlign w:val="center"/>
          </w:tcPr>
          <w:p w14:paraId="61187A0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3人</w:t>
            </w:r>
          </w:p>
        </w:tc>
        <w:tc>
          <w:tcPr>
            <w:tcW w:w="1759" w:type="dxa"/>
            <w:vAlign w:val="center"/>
          </w:tcPr>
          <w:p w14:paraId="258FFB0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食宿7天、劳务6天</w:t>
            </w:r>
          </w:p>
        </w:tc>
        <w:tc>
          <w:tcPr>
            <w:tcW w:w="1465" w:type="dxa"/>
            <w:vAlign w:val="center"/>
          </w:tcPr>
          <w:p w14:paraId="5F79086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350</w:t>
            </w:r>
          </w:p>
        </w:tc>
        <w:tc>
          <w:tcPr>
            <w:tcW w:w="1459" w:type="dxa"/>
            <w:vAlign w:val="center"/>
          </w:tcPr>
          <w:p w14:paraId="3237184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230</w:t>
            </w:r>
          </w:p>
        </w:tc>
        <w:tc>
          <w:tcPr>
            <w:tcW w:w="907" w:type="dxa"/>
            <w:vAlign w:val="center"/>
          </w:tcPr>
          <w:p w14:paraId="56EA5A3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1D31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1499A86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2041" w:type="dxa"/>
            <w:vAlign w:val="center"/>
          </w:tcPr>
          <w:p w14:paraId="4AA5A75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编排长、纪录长</w:t>
            </w:r>
          </w:p>
        </w:tc>
        <w:tc>
          <w:tcPr>
            <w:tcW w:w="986" w:type="dxa"/>
            <w:vAlign w:val="center"/>
          </w:tcPr>
          <w:p w14:paraId="60CC4B1B">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2人</w:t>
            </w:r>
          </w:p>
        </w:tc>
        <w:tc>
          <w:tcPr>
            <w:tcW w:w="1759" w:type="dxa"/>
            <w:vAlign w:val="center"/>
          </w:tcPr>
          <w:p w14:paraId="78E7423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食宿7天、劳务6天</w:t>
            </w:r>
          </w:p>
        </w:tc>
        <w:tc>
          <w:tcPr>
            <w:tcW w:w="1465" w:type="dxa"/>
            <w:vAlign w:val="center"/>
          </w:tcPr>
          <w:p w14:paraId="0B5D4B5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350</w:t>
            </w:r>
          </w:p>
        </w:tc>
        <w:tc>
          <w:tcPr>
            <w:tcW w:w="1459" w:type="dxa"/>
            <w:vAlign w:val="center"/>
          </w:tcPr>
          <w:p w14:paraId="7CD4549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230</w:t>
            </w:r>
          </w:p>
        </w:tc>
        <w:tc>
          <w:tcPr>
            <w:tcW w:w="907" w:type="dxa"/>
            <w:vAlign w:val="center"/>
          </w:tcPr>
          <w:p w14:paraId="7642AE4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7989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7AFFF603">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2041" w:type="dxa"/>
            <w:vAlign w:val="center"/>
          </w:tcPr>
          <w:p w14:paraId="4CFBE78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普通裁判员</w:t>
            </w:r>
          </w:p>
        </w:tc>
        <w:tc>
          <w:tcPr>
            <w:tcW w:w="986" w:type="dxa"/>
            <w:vAlign w:val="center"/>
          </w:tcPr>
          <w:p w14:paraId="4A25A03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40人</w:t>
            </w:r>
          </w:p>
        </w:tc>
        <w:tc>
          <w:tcPr>
            <w:tcW w:w="1759" w:type="dxa"/>
            <w:vAlign w:val="center"/>
          </w:tcPr>
          <w:p w14:paraId="2BF04D6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食宿7天、劳务6天</w:t>
            </w:r>
          </w:p>
        </w:tc>
        <w:tc>
          <w:tcPr>
            <w:tcW w:w="1465" w:type="dxa"/>
            <w:vAlign w:val="center"/>
          </w:tcPr>
          <w:p w14:paraId="3BD42B0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300</w:t>
            </w:r>
          </w:p>
        </w:tc>
        <w:tc>
          <w:tcPr>
            <w:tcW w:w="1459" w:type="dxa"/>
            <w:vAlign w:val="center"/>
          </w:tcPr>
          <w:p w14:paraId="29E8F9D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w:t>
            </w:r>
          </w:p>
        </w:tc>
        <w:tc>
          <w:tcPr>
            <w:tcW w:w="907" w:type="dxa"/>
            <w:vAlign w:val="center"/>
          </w:tcPr>
          <w:p w14:paraId="320ED1D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5E5E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A57D4A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2041" w:type="dxa"/>
            <w:vAlign w:val="center"/>
          </w:tcPr>
          <w:p w14:paraId="50EBF75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计分系统技术人员</w:t>
            </w:r>
          </w:p>
        </w:tc>
        <w:tc>
          <w:tcPr>
            <w:tcW w:w="986" w:type="dxa"/>
            <w:vAlign w:val="center"/>
          </w:tcPr>
          <w:p w14:paraId="536E2E9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2人</w:t>
            </w:r>
          </w:p>
        </w:tc>
        <w:tc>
          <w:tcPr>
            <w:tcW w:w="1759" w:type="dxa"/>
            <w:vAlign w:val="center"/>
          </w:tcPr>
          <w:p w14:paraId="5C79E4C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食宿7天、劳务6天</w:t>
            </w:r>
          </w:p>
        </w:tc>
        <w:tc>
          <w:tcPr>
            <w:tcW w:w="1465" w:type="dxa"/>
            <w:vAlign w:val="center"/>
          </w:tcPr>
          <w:p w14:paraId="0303E0D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300</w:t>
            </w:r>
          </w:p>
        </w:tc>
        <w:tc>
          <w:tcPr>
            <w:tcW w:w="1459" w:type="dxa"/>
            <w:vAlign w:val="center"/>
          </w:tcPr>
          <w:p w14:paraId="04BD848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160</w:t>
            </w:r>
          </w:p>
        </w:tc>
        <w:tc>
          <w:tcPr>
            <w:tcW w:w="907" w:type="dxa"/>
            <w:vAlign w:val="center"/>
          </w:tcPr>
          <w:p w14:paraId="1C25DBF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4781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F9543C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2041" w:type="dxa"/>
            <w:vAlign w:val="center"/>
          </w:tcPr>
          <w:p w14:paraId="230B3E7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驻地医生</w:t>
            </w:r>
          </w:p>
        </w:tc>
        <w:tc>
          <w:tcPr>
            <w:tcW w:w="986" w:type="dxa"/>
            <w:vAlign w:val="center"/>
          </w:tcPr>
          <w:p w14:paraId="714C94D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1人</w:t>
            </w:r>
          </w:p>
        </w:tc>
        <w:tc>
          <w:tcPr>
            <w:tcW w:w="1759" w:type="dxa"/>
            <w:vAlign w:val="center"/>
          </w:tcPr>
          <w:p w14:paraId="19F1565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食宿7天、劳务7天</w:t>
            </w:r>
          </w:p>
        </w:tc>
        <w:tc>
          <w:tcPr>
            <w:tcW w:w="1465" w:type="dxa"/>
            <w:vAlign w:val="center"/>
          </w:tcPr>
          <w:p w14:paraId="756AF13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w:t>
            </w:r>
          </w:p>
        </w:tc>
        <w:tc>
          <w:tcPr>
            <w:tcW w:w="1459" w:type="dxa"/>
            <w:vAlign w:val="center"/>
          </w:tcPr>
          <w:p w14:paraId="7217E8F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100</w:t>
            </w:r>
          </w:p>
        </w:tc>
        <w:tc>
          <w:tcPr>
            <w:tcW w:w="907" w:type="dxa"/>
            <w:vAlign w:val="center"/>
          </w:tcPr>
          <w:p w14:paraId="5F17F36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37E9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3D2F927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2041" w:type="dxa"/>
            <w:vAlign w:val="center"/>
          </w:tcPr>
          <w:p w14:paraId="03BCA48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安保人员</w:t>
            </w:r>
          </w:p>
        </w:tc>
        <w:tc>
          <w:tcPr>
            <w:tcW w:w="986" w:type="dxa"/>
            <w:vAlign w:val="center"/>
          </w:tcPr>
          <w:p w14:paraId="16A9436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3人</w:t>
            </w:r>
          </w:p>
        </w:tc>
        <w:tc>
          <w:tcPr>
            <w:tcW w:w="1759" w:type="dxa"/>
            <w:vAlign w:val="center"/>
          </w:tcPr>
          <w:p w14:paraId="2B1A0FF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6天</w:t>
            </w:r>
          </w:p>
        </w:tc>
        <w:tc>
          <w:tcPr>
            <w:tcW w:w="1465" w:type="dxa"/>
            <w:vAlign w:val="center"/>
          </w:tcPr>
          <w:p w14:paraId="49E33E8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40</w:t>
            </w:r>
          </w:p>
        </w:tc>
        <w:tc>
          <w:tcPr>
            <w:tcW w:w="1459" w:type="dxa"/>
            <w:vAlign w:val="center"/>
          </w:tcPr>
          <w:p w14:paraId="5C3A1A7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280</w:t>
            </w:r>
          </w:p>
        </w:tc>
        <w:tc>
          <w:tcPr>
            <w:tcW w:w="907" w:type="dxa"/>
            <w:vAlign w:val="center"/>
          </w:tcPr>
          <w:p w14:paraId="632AF00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476D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A7B0E3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12</w:t>
            </w:r>
          </w:p>
        </w:tc>
        <w:tc>
          <w:tcPr>
            <w:tcW w:w="2041" w:type="dxa"/>
            <w:vAlign w:val="center"/>
          </w:tcPr>
          <w:p w14:paraId="0D4FB73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医疗人员（医生2人、护士2人、司机2人）</w:t>
            </w:r>
          </w:p>
        </w:tc>
        <w:tc>
          <w:tcPr>
            <w:tcW w:w="986" w:type="dxa"/>
            <w:vAlign w:val="center"/>
          </w:tcPr>
          <w:p w14:paraId="75EFFC5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6人</w:t>
            </w:r>
          </w:p>
        </w:tc>
        <w:tc>
          <w:tcPr>
            <w:tcW w:w="1759" w:type="dxa"/>
            <w:vAlign w:val="center"/>
          </w:tcPr>
          <w:p w14:paraId="42D2A5F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6天</w:t>
            </w:r>
          </w:p>
        </w:tc>
        <w:tc>
          <w:tcPr>
            <w:tcW w:w="1465" w:type="dxa"/>
            <w:vAlign w:val="center"/>
          </w:tcPr>
          <w:p w14:paraId="2E213DD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40</w:t>
            </w:r>
          </w:p>
        </w:tc>
        <w:tc>
          <w:tcPr>
            <w:tcW w:w="1459" w:type="dxa"/>
            <w:vAlign w:val="center"/>
          </w:tcPr>
          <w:p w14:paraId="4902504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2000元</w:t>
            </w:r>
          </w:p>
        </w:tc>
        <w:tc>
          <w:tcPr>
            <w:tcW w:w="907" w:type="dxa"/>
            <w:vAlign w:val="center"/>
          </w:tcPr>
          <w:p w14:paraId="3F351864">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6人/天</w:t>
            </w:r>
          </w:p>
        </w:tc>
      </w:tr>
      <w:tr w14:paraId="303C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7BCBEE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13</w:t>
            </w:r>
          </w:p>
        </w:tc>
        <w:tc>
          <w:tcPr>
            <w:tcW w:w="2041" w:type="dxa"/>
            <w:vAlign w:val="center"/>
          </w:tcPr>
          <w:p w14:paraId="0E35FA0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礼仪人员</w:t>
            </w:r>
          </w:p>
        </w:tc>
        <w:tc>
          <w:tcPr>
            <w:tcW w:w="986" w:type="dxa"/>
            <w:vAlign w:val="center"/>
          </w:tcPr>
          <w:p w14:paraId="2DA372D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8人</w:t>
            </w:r>
          </w:p>
        </w:tc>
        <w:tc>
          <w:tcPr>
            <w:tcW w:w="1759" w:type="dxa"/>
            <w:vAlign w:val="center"/>
          </w:tcPr>
          <w:p w14:paraId="05B97AF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2天</w:t>
            </w:r>
          </w:p>
        </w:tc>
        <w:tc>
          <w:tcPr>
            <w:tcW w:w="1465" w:type="dxa"/>
            <w:vAlign w:val="center"/>
          </w:tcPr>
          <w:p w14:paraId="4B9D4B4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c>
          <w:tcPr>
            <w:tcW w:w="1459" w:type="dxa"/>
            <w:vAlign w:val="center"/>
          </w:tcPr>
          <w:p w14:paraId="2B030AF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300</w:t>
            </w:r>
          </w:p>
        </w:tc>
        <w:tc>
          <w:tcPr>
            <w:tcW w:w="907" w:type="dxa"/>
            <w:vAlign w:val="center"/>
          </w:tcPr>
          <w:p w14:paraId="2C5964C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3D71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2BE6842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14</w:t>
            </w:r>
          </w:p>
        </w:tc>
        <w:tc>
          <w:tcPr>
            <w:tcW w:w="2041" w:type="dxa"/>
            <w:vAlign w:val="center"/>
          </w:tcPr>
          <w:p w14:paraId="2DE7703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主持人</w:t>
            </w:r>
          </w:p>
        </w:tc>
        <w:tc>
          <w:tcPr>
            <w:tcW w:w="986" w:type="dxa"/>
            <w:vAlign w:val="center"/>
          </w:tcPr>
          <w:p w14:paraId="15A7AF4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2人</w:t>
            </w:r>
          </w:p>
        </w:tc>
        <w:tc>
          <w:tcPr>
            <w:tcW w:w="1759" w:type="dxa"/>
            <w:vAlign w:val="center"/>
          </w:tcPr>
          <w:p w14:paraId="582F8B7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2天</w:t>
            </w:r>
          </w:p>
        </w:tc>
        <w:tc>
          <w:tcPr>
            <w:tcW w:w="1465" w:type="dxa"/>
            <w:vAlign w:val="center"/>
          </w:tcPr>
          <w:p w14:paraId="4DA889D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c>
          <w:tcPr>
            <w:tcW w:w="1459" w:type="dxa"/>
            <w:vAlign w:val="center"/>
          </w:tcPr>
          <w:p w14:paraId="7BC39E0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500</w:t>
            </w:r>
          </w:p>
        </w:tc>
        <w:tc>
          <w:tcPr>
            <w:tcW w:w="907" w:type="dxa"/>
            <w:vAlign w:val="center"/>
          </w:tcPr>
          <w:p w14:paraId="05A9B1F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0314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7725578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c>
          <w:tcPr>
            <w:tcW w:w="2041" w:type="dxa"/>
            <w:vAlign w:val="center"/>
          </w:tcPr>
          <w:p w14:paraId="05C8925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赛事志愿者及工作人员</w:t>
            </w:r>
          </w:p>
        </w:tc>
        <w:tc>
          <w:tcPr>
            <w:tcW w:w="986" w:type="dxa"/>
            <w:vAlign w:val="center"/>
          </w:tcPr>
          <w:p w14:paraId="11E6AB1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30人</w:t>
            </w:r>
          </w:p>
        </w:tc>
        <w:tc>
          <w:tcPr>
            <w:tcW w:w="1759" w:type="dxa"/>
            <w:vAlign w:val="center"/>
          </w:tcPr>
          <w:p w14:paraId="095E438B">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6天</w:t>
            </w:r>
          </w:p>
        </w:tc>
        <w:tc>
          <w:tcPr>
            <w:tcW w:w="1465" w:type="dxa"/>
            <w:vAlign w:val="center"/>
          </w:tcPr>
          <w:p w14:paraId="7E1CCD5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100</w:t>
            </w:r>
          </w:p>
        </w:tc>
        <w:tc>
          <w:tcPr>
            <w:tcW w:w="1459" w:type="dxa"/>
            <w:vAlign w:val="center"/>
          </w:tcPr>
          <w:p w14:paraId="66F2CA6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c>
          <w:tcPr>
            <w:tcW w:w="907" w:type="dxa"/>
            <w:vAlign w:val="center"/>
          </w:tcPr>
          <w:p w14:paraId="3632397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r>
      <w:tr w14:paraId="175F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8" w:type="dxa"/>
            <w:gridSpan w:val="2"/>
            <w:vAlign w:val="center"/>
          </w:tcPr>
          <w:p w14:paraId="7E6279B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r>
              <w:rPr>
                <w:rFonts w:hint="eastAsia" w:ascii="宋体" w:hAnsi="宋体" w:eastAsia="宋体" w:cs="宋体"/>
                <w:sz w:val="24"/>
                <w:szCs w:val="24"/>
              </w:rPr>
              <w:t>合计</w:t>
            </w:r>
          </w:p>
        </w:tc>
        <w:tc>
          <w:tcPr>
            <w:tcW w:w="986" w:type="dxa"/>
            <w:vAlign w:val="center"/>
          </w:tcPr>
          <w:p w14:paraId="3717BBB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365人</w:t>
            </w:r>
          </w:p>
        </w:tc>
        <w:tc>
          <w:tcPr>
            <w:tcW w:w="1759" w:type="dxa"/>
            <w:vAlign w:val="center"/>
          </w:tcPr>
          <w:p w14:paraId="0B460B2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65" w:type="dxa"/>
            <w:vAlign w:val="center"/>
          </w:tcPr>
          <w:p w14:paraId="4837BD8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59" w:type="dxa"/>
            <w:vAlign w:val="center"/>
          </w:tcPr>
          <w:p w14:paraId="7150A21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p>
        </w:tc>
        <w:tc>
          <w:tcPr>
            <w:tcW w:w="907" w:type="dxa"/>
            <w:vAlign w:val="center"/>
          </w:tcPr>
          <w:p w14:paraId="6924E2D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r>
    </w:tbl>
    <w:p w14:paraId="719F5E3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p>
    <w:p w14:paraId="6A5D39D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注：以上人员配置为本项目最低配置</w:t>
      </w:r>
      <w:r>
        <w:rPr>
          <w:rFonts w:hint="eastAsia" w:ascii="宋体" w:hAnsi="宋体" w:eastAsia="宋体" w:cs="宋体"/>
          <w:sz w:val="24"/>
          <w:szCs w:val="24"/>
          <w:lang w:val="en-US" w:eastAsia="zh-CN"/>
        </w:rPr>
        <w:t>要求</w:t>
      </w:r>
      <w:r>
        <w:rPr>
          <w:rFonts w:hint="eastAsia" w:ascii="宋体" w:hAnsi="宋体" w:eastAsia="宋体" w:cs="宋体"/>
          <w:sz w:val="24"/>
          <w:szCs w:val="24"/>
        </w:rPr>
        <w:t>，供应商可在不低于上述标准的前提下，根据赛事实际需要优化配置。</w:t>
      </w:r>
    </w:p>
    <w:p w14:paraId="2D45BFA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根据赛事组织、运营、保障需要，供应商应组建专门的服务团队，在上述基本人员配置的基础上，增设项目负责人以及各专项服务团队负责人岗位。</w:t>
      </w:r>
    </w:p>
    <w:p w14:paraId="6224BB8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1、项目负责人：供应商须配备1名全职专属项目负责人，赛事全程驻场，全权负责本项目全流程统筹协调、人员调度、问题处置，确保各项工作按要求落地。</w:t>
      </w:r>
    </w:p>
    <w:p w14:paraId="21C70CA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2、各专项服务团队负责人：按照</w:t>
      </w:r>
      <w:r>
        <w:rPr>
          <w:rFonts w:hint="eastAsia" w:ascii="宋体" w:hAnsi="宋体" w:eastAsia="宋体" w:cs="宋体"/>
          <w:sz w:val="24"/>
          <w:szCs w:val="24"/>
        </w:rPr>
        <w:t>运营服务</w:t>
      </w:r>
      <w:r>
        <w:rPr>
          <w:rFonts w:hint="eastAsia" w:ascii="宋体" w:hAnsi="宋体" w:eastAsia="宋体" w:cs="宋体"/>
          <w:sz w:val="24"/>
          <w:szCs w:val="24"/>
          <w:lang w:eastAsia="zh-CN"/>
        </w:rPr>
        <w:t>、</w:t>
      </w:r>
      <w:r>
        <w:rPr>
          <w:rFonts w:hint="eastAsia" w:ascii="宋体" w:hAnsi="宋体" w:eastAsia="宋体" w:cs="宋体"/>
          <w:sz w:val="24"/>
          <w:szCs w:val="24"/>
        </w:rPr>
        <w:t>专业技术服务</w:t>
      </w:r>
      <w:r>
        <w:rPr>
          <w:rFonts w:hint="eastAsia" w:ascii="宋体" w:hAnsi="宋体" w:eastAsia="宋体" w:cs="宋体"/>
          <w:sz w:val="24"/>
          <w:szCs w:val="24"/>
          <w:lang w:eastAsia="zh-CN"/>
        </w:rPr>
        <w:t>、</w:t>
      </w:r>
      <w:r>
        <w:rPr>
          <w:rFonts w:hint="eastAsia" w:ascii="宋体" w:hAnsi="宋体" w:eastAsia="宋体" w:cs="宋体"/>
          <w:sz w:val="24"/>
          <w:szCs w:val="24"/>
        </w:rPr>
        <w:t>场地运维服务</w:t>
      </w:r>
      <w:r>
        <w:rPr>
          <w:rFonts w:hint="eastAsia" w:ascii="宋体" w:hAnsi="宋体" w:eastAsia="宋体" w:cs="宋体"/>
          <w:sz w:val="24"/>
          <w:szCs w:val="24"/>
          <w:lang w:eastAsia="zh-CN"/>
        </w:rPr>
        <w:t>、综合赛事保障服务、</w:t>
      </w:r>
      <w:r>
        <w:rPr>
          <w:rFonts w:hint="eastAsia" w:ascii="宋体" w:hAnsi="宋体" w:eastAsia="宋体" w:cs="宋体"/>
          <w:sz w:val="24"/>
          <w:szCs w:val="24"/>
        </w:rPr>
        <w:t>专业器材与系统租赁运维</w:t>
      </w:r>
      <w:r>
        <w:rPr>
          <w:rFonts w:hint="eastAsia" w:ascii="宋体" w:hAnsi="宋体" w:eastAsia="宋体" w:cs="宋体"/>
          <w:sz w:val="24"/>
          <w:szCs w:val="24"/>
          <w:lang w:eastAsia="zh-CN"/>
        </w:rPr>
        <w:t>、</w:t>
      </w:r>
      <w:r>
        <w:rPr>
          <w:rFonts w:hint="eastAsia" w:ascii="宋体" w:hAnsi="宋体" w:eastAsia="宋体" w:cs="宋体"/>
          <w:sz w:val="24"/>
          <w:szCs w:val="24"/>
        </w:rPr>
        <w:t>成绩辅助统计服务</w:t>
      </w:r>
      <w:r>
        <w:rPr>
          <w:rFonts w:hint="eastAsia" w:ascii="宋体" w:hAnsi="宋体" w:eastAsia="宋体" w:cs="宋体"/>
          <w:sz w:val="24"/>
          <w:szCs w:val="24"/>
          <w:lang w:val="en-US" w:eastAsia="zh-CN"/>
        </w:rPr>
        <w:t>配备各专项服务团队负责人。</w:t>
      </w:r>
    </w:p>
    <w:p w14:paraId="6EDC8A7E">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五、商务要求</w:t>
      </w:r>
    </w:p>
    <w:p w14:paraId="3F09BDD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（一）服务期限</w:t>
      </w:r>
    </w:p>
    <w:p w14:paraId="38C2745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服务期限：</w:t>
      </w:r>
      <w:r>
        <w:rPr>
          <w:rFonts w:hint="eastAsia" w:cs="Times New Roman"/>
          <w:b w:val="0"/>
          <w:bCs w:val="0"/>
          <w:color w:val="auto"/>
          <w:sz w:val="24"/>
          <w:szCs w:val="24"/>
          <w:highlight w:val="none"/>
          <w:lang w:val="en-US" w:eastAsia="zh-CN"/>
        </w:rPr>
        <w:t>服务周期全面覆盖赛事筹备、赛事开展、赛后归档全阶段，</w:t>
      </w:r>
      <w:r>
        <w:rPr>
          <w:rFonts w:hint="eastAsia" w:ascii="宋体" w:hAnsi="宋体" w:eastAsia="宋体" w:cs="宋体"/>
          <w:sz w:val="24"/>
          <w:szCs w:val="24"/>
        </w:rPr>
        <w:t>自采购合同签订之日起，至武术散打赛事全部结束后3个工作日内完成场地复原、器材回收、资料归档、费用结算等全部收尾工作并验收合格之日止。</w:t>
      </w:r>
    </w:p>
    <w:p w14:paraId="68DA403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（二）服务地点</w:t>
      </w:r>
    </w:p>
    <w:p w14:paraId="43C6356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服务地点为北海市文化宫三楼篮球馆及赛事相关驻地（具体以采购人通知为准）。</w:t>
      </w:r>
    </w:p>
    <w:p w14:paraId="462A61B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（三）报价要求及预算控制</w:t>
      </w:r>
    </w:p>
    <w:p w14:paraId="7A50EF6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本项目预算金额为人民币81.8730万元，供应商报价不得超过采购预算及采购文件公布的最高限价。</w:t>
      </w:r>
    </w:p>
    <w:p w14:paraId="047FB90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供应商报价为完成本项目全部服务内容的含税总价，应包括食宿、人员劳务、交通接驳、差旅补贴、场地及水电、氛围物料制作搭建、器材设备及计时计分显示系统租赁运维、办公用品、志愿服务、赛事保险、税费、管理费及完成本项目所需的一切费用，采购人不再另行支付任何费用。</w:t>
      </w:r>
    </w:p>
    <w:p w14:paraId="6A36E4F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（四）资金支付方式</w:t>
      </w:r>
    </w:p>
    <w:p w14:paraId="1058D09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签订合同后，五个工作日内支付合同金额的30%，履约完成并通过验收，支付合同余款。本项目使用财政资金，所有资金的支付以财政资金拨付到位为准。</w:t>
      </w:r>
    </w:p>
    <w:p w14:paraId="1B061A9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五</w:t>
      </w:r>
      <w:r>
        <w:rPr>
          <w:rFonts w:hint="eastAsia" w:ascii="宋体" w:hAnsi="宋体" w:eastAsia="宋体" w:cs="宋体"/>
          <w:sz w:val="24"/>
          <w:szCs w:val="24"/>
        </w:rPr>
        <w:t>）验收标准及方法</w:t>
      </w:r>
    </w:p>
    <w:p w14:paraId="701FBAA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验收组织：由赛事组委会办公室牵头，联合竞赛组织小组及采购人组成联合验收小组，对项目履约情况开展全流程验收。</w:t>
      </w:r>
    </w:p>
    <w:p w14:paraId="3180D9E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分阶段验收：</w:t>
      </w:r>
    </w:p>
    <w:p w14:paraId="61A19BB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赛前验收：赛事开赛3日前，验收小组对场地搭建、器材进场安装调试、设备校准检测、人员到岗培训、物资配齐、应急预案等筹备工作进行逐项核查，形成赛前验收记录，未达标项限期整改，整改合格后方可开赛。</w:t>
      </w:r>
    </w:p>
    <w:p w14:paraId="3A48109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（2）赛中抽检：比赛期间实行每日服务抽检考核机制，对场地运维、人员服务、设备运行、后勤保障、安全管控、技术支撑等工作开展常态化抽查，发现问题立即督促限期整改，压实服务商履约责任。</w:t>
      </w:r>
    </w:p>
    <w:p w14:paraId="0A45232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（3）赛后总验收：赛事结束后3个工作日内，验收小组对照采购需求、合同约定及赛事专项标准，对服务全覆盖、质量全达标、资料全归档、场地全复原等情况开展综合验收，形成验收报告。</w:t>
      </w:r>
    </w:p>
    <w:p w14:paraId="0168C63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 分项验收标准：</w:t>
      </w:r>
    </w:p>
    <w:p w14:paraId="7E99791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（1）场地器材验收：比赛区、各功能分区布设规范；全部器材设备、设施数量、技术参数符合竞赛规则要求，赛前校准检测合格，赛中运行无故障，赛后完好清点回收率100%。</w:t>
      </w:r>
    </w:p>
    <w:p w14:paraId="3C8CF06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（2）人员到岗验收：项目负责人全程驻场，专项服务团队负责人齐备；全员到岗并完成岗前培训考核；各级裁判、技术、医疗、安保人员按标准足额配置，无脱岗、缺岗情况。</w:t>
      </w:r>
    </w:p>
    <w:p w14:paraId="176CF71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服务质量验收：食宿保障严格执行统一标准，运动员食宿满足专业赛事反兴奋剂要求，无食品安全事故；接驳大巴车辆证照齐全（含《道路运输证》）、准时准点，无交通延误；医疗安保全程在岗，急救通道畅通，无安全事故；赛事流程符合专业赛事规程规定。</w:t>
      </w:r>
    </w:p>
    <w:p w14:paraId="7E90318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技术系统验收：电子计分系统、成绩处理系统、大屏公示、录像审议系统全程稳定运行，数据实时精准、无卡顿、无错漏、无丢失；赛事影像完整覆盖赛前训练及全部正式比赛，可随时回放拷贝；设备故障响应不超过1小时、维修更换不超过2小时。</w:t>
      </w:r>
    </w:p>
    <w:p w14:paraId="15928A3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赛事流程验收：称重、抽签、检录、比赛、成绩公示、申诉仲裁、颁奖等各环节流程规范、衔接顺畅；称重2小时内完成，检录提前30分钟启动，成绩当场公示，申诉按规定时限处理，无流程遗漏、无重大执裁失误。</w:t>
      </w:r>
    </w:p>
    <w:p w14:paraId="62A57C4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（6）资料归档验收：赛事台账、数据报表、影像资料、申诉记录、方案总结、物资台账、劳务台账、反兴奋剂工作台账等全套资料完整、规范、真实，分类汇编成册，赛后按时移交采购人存档。</w:t>
      </w:r>
    </w:p>
    <w:p w14:paraId="3B84DA5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 验收结果处理：验收合格的，出具验收合格报告，按合同约定办理结算；验收不合格的，责令限期整改，整改后重新验收，整改仍不达标的，不予结算并依法追究服务商履约违约责任。验收全程公开透明，主动接受财政审计及社会监督。</w:t>
      </w:r>
    </w:p>
    <w:p w14:paraId="3C5D759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六</w:t>
      </w:r>
      <w:r>
        <w:rPr>
          <w:rFonts w:hint="eastAsia" w:ascii="宋体" w:hAnsi="宋体" w:eastAsia="宋体" w:cs="宋体"/>
          <w:sz w:val="24"/>
          <w:szCs w:val="24"/>
        </w:rPr>
        <w:t>）服务承诺与履约保障</w:t>
      </w:r>
    </w:p>
    <w:p w14:paraId="3C21484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全程履约保障：供应商应配备专项保障人员，赛事期间实行24小时专人值守对接，实时响应组委会、参赛队伍、裁判组各类服务及技术需求，快速处置设备故障、系统异常、服务漏洞及赛场突发安全、服务问题。</w:t>
      </w:r>
    </w:p>
    <w:p w14:paraId="7919A36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质量质保服务：赛事所有器材、计时计分显示设备、技术系统均提供全程赛事质保服务；设备故障1小时内响应、2小时内完成维修更换，确保不影响赛事正常赛程推进，保障赛事计分、公示、执裁工作不间断。</w:t>
      </w:r>
    </w:p>
    <w:p w14:paraId="6A32415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售后兜底保障：赛事结束后，统一配合组委会及场地运营单位完成赛事资料归档、数据汇总、经费核对、验收结算、场地复原交接等工作；对履约过程中出现的服务瑕疵、技术问题、质量问题无条件限期整改完善，确保全面履约达标，顺利通过整体验收。</w:t>
      </w:r>
    </w:p>
    <w:p w14:paraId="78AB053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投诉处理：建立赛事服务投诉受理处理机制，明确投诉受理渠道和处理时限，对参赛队伍、裁判组及采购人反映的问题及时响应、限时办结。</w:t>
      </w:r>
    </w:p>
    <w:p w14:paraId="6DEA8D9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七</w:t>
      </w:r>
      <w:r>
        <w:rPr>
          <w:rFonts w:hint="eastAsia" w:ascii="宋体" w:hAnsi="宋体" w:eastAsia="宋体" w:cs="宋体"/>
          <w:sz w:val="24"/>
          <w:szCs w:val="24"/>
        </w:rPr>
        <w:t>）保密要求</w:t>
      </w:r>
    </w:p>
    <w:p w14:paraId="5A2CEA8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供应商对在采购及履约过程中知悉的采购人、赛事组委会及相关单位的未公开信息、赛事数据、人员信息等负有保密义务，未经采购人书面同意不得向第三方披露或用于本项目以外的用途。</w:t>
      </w:r>
    </w:p>
    <w:p w14:paraId="3B5204A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赛事成绩数据、影像资料等赛事资料的存储、使用、移交须符合采购人要求，赛事结束后按规定完成资料归档移交。</w:t>
      </w:r>
    </w:p>
    <w:p w14:paraId="5ADC543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保密义务不因合同终止而终止。</w:t>
      </w:r>
    </w:p>
    <w:p w14:paraId="7062302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八</w:t>
      </w:r>
      <w:r>
        <w:rPr>
          <w:rFonts w:hint="eastAsia" w:ascii="宋体" w:hAnsi="宋体" w:eastAsia="宋体" w:cs="宋体"/>
          <w:sz w:val="24"/>
          <w:szCs w:val="24"/>
        </w:rPr>
        <w:t>）知识产权</w:t>
      </w:r>
    </w:p>
    <w:p w14:paraId="3F31844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供应商为本项目提供的赛事数据、成绩统计成果及相关档案资料，其知识产权及使用权归采购人所有（或按合同约定执行）。</w:t>
      </w:r>
    </w:p>
    <w:p w14:paraId="63706D7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供应商使用的软件系统、器材设备等涉及第三方知识产权的，供应商应保证其有权使用，并负责处理相关知识产权纠纷，不得因此影响赛事正常开展。</w:t>
      </w:r>
    </w:p>
    <w:p w14:paraId="53F119C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九</w:t>
      </w:r>
      <w:r>
        <w:rPr>
          <w:rFonts w:hint="eastAsia" w:ascii="宋体" w:hAnsi="宋体" w:eastAsia="宋体" w:cs="宋体"/>
          <w:sz w:val="24"/>
          <w:szCs w:val="24"/>
        </w:rPr>
        <w:t>）保险要求</w:t>
      </w:r>
    </w:p>
    <w:p w14:paraId="0FB8CDF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供应商应按照本采购需求及合同约定统一购置全覆盖赛事保险，保障赛事全程参赛人员、工作人员、志愿者人身安全，覆盖赛前训练、正式比赛全周期；保险方案及投保情况须报采购人备案确认。</w:t>
      </w:r>
    </w:p>
    <w:p w14:paraId="68AE704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（十）廉洁要求</w:t>
      </w:r>
    </w:p>
    <w:p w14:paraId="1008A80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供应商及其工作人员在采购及履约过程中应严格遵守廉洁自律有关规定，不得向采购人及相关工作人员行贿或提供不正当利益；发现违规违纪行为的，采购人有权解除合同并按规定处理。</w:t>
      </w:r>
    </w:p>
    <w:p w14:paraId="431E124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sz w:val="24"/>
          <w:szCs w:val="24"/>
          <w:lang w:val="en-US" w:eastAsia="zh-CN"/>
        </w:rPr>
        <w:t>一</w:t>
      </w:r>
      <w:r>
        <w:rPr>
          <w:rFonts w:hint="eastAsia" w:ascii="宋体" w:hAnsi="宋体" w:eastAsia="宋体" w:cs="宋体"/>
          <w:sz w:val="24"/>
          <w:szCs w:val="24"/>
        </w:rPr>
        <w:t>）其他要求</w:t>
      </w:r>
    </w:p>
    <w:p w14:paraId="0DE472C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供应商应服从采购人（组委会）统一领导、统一调度，配合竞赛组织小组、财政、审计等部门的全流程监督管理，主动接受监督、审计和社会监督。</w:t>
      </w:r>
    </w:p>
    <w:p w14:paraId="7245DE3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采购人建立常态化服务抽检机制，赛事期间每日对场地运维、人员服务、设备系统运行、后勤保障、志愿服务、安全管控、医疗应急等工作进行抽查考核，供应商应无条件配合并按要求整改。</w:t>
      </w:r>
    </w:p>
    <w:p w14:paraId="0171F99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供应商应制定完善的赛事应急预案（含安全、医疗、设备故障、突发天气、舆情等），报采购人审核备案，并在赛事期间组织实施。</w:t>
      </w:r>
    </w:p>
    <w:p w14:paraId="7B6AFCA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4. </w:t>
      </w:r>
      <w:r>
        <w:rPr>
          <w:rFonts w:hint="eastAsia" w:ascii="宋体" w:hAnsi="宋体" w:eastAsia="宋体" w:cs="宋体"/>
          <w:sz w:val="24"/>
          <w:szCs w:val="24"/>
          <w:lang w:val="en-US" w:eastAsia="zh-CN"/>
        </w:rPr>
        <w:t>本章节所有技术要求、商务要求均为实质性要求，供应商需完全响应，无负偏离，否则视为未实质性响应采购文件要求，响应无效。</w:t>
      </w:r>
    </w:p>
    <w:p w14:paraId="65F23D82">
      <w:pPr>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br w:type="page"/>
      </w:r>
    </w:p>
    <w:p w14:paraId="237E9D5F">
      <w:pPr>
        <w:keepNext w:val="0"/>
        <w:keepLines w:val="0"/>
        <w:pageBreakBefore w:val="0"/>
        <w:shd w:val="clear"/>
        <w:kinsoku/>
        <w:wordWrap/>
        <w:overflowPunct/>
        <w:topLinePunct w:val="0"/>
        <w:bidi w:val="0"/>
        <w:spacing w:line="440" w:lineRule="exact"/>
        <w:ind w:leftChars="0" w:firstLine="723" w:firstLineChars="200"/>
        <w:rPr>
          <w:rFonts w:hint="eastAsia" w:cs="仿宋_GB2312" w:asciiTheme="minorEastAsia" w:hAnsiTheme="minorEastAsia" w:eastAsiaTheme="minorEastAsia"/>
          <w:b/>
          <w:color w:val="auto"/>
          <w:sz w:val="36"/>
          <w:szCs w:val="36"/>
          <w:highlight w:val="none"/>
        </w:rPr>
      </w:pPr>
    </w:p>
    <w:p w14:paraId="4A380574">
      <w:pPr>
        <w:shd w:val="clear"/>
        <w:adjustRightInd/>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40"/>
      <w:bookmarkEnd w:id="41"/>
      <w:bookmarkStart w:id="50" w:name="第四部分"/>
      <w:r>
        <w:rPr>
          <w:rFonts w:hint="eastAsia" w:cs="仿宋_GB2312" w:asciiTheme="minorEastAsia" w:hAnsiTheme="minorEastAsia" w:eastAsiaTheme="minorEastAsia"/>
          <w:b/>
          <w:color w:val="auto"/>
          <w:sz w:val="36"/>
          <w:szCs w:val="36"/>
          <w:highlight w:val="none"/>
        </w:rPr>
        <w:t>评审方法及评审标准</w:t>
      </w:r>
      <w:bookmarkEnd w:id="46"/>
    </w:p>
    <w:p w14:paraId="23107771">
      <w:pPr>
        <w:keepNext w:val="0"/>
        <w:keepLines w:val="0"/>
        <w:pageBreakBefore w:val="0"/>
        <w:shd w:val="clear"/>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p>
    <w:p w14:paraId="32092BCA">
      <w:pPr>
        <w:keepNext w:val="0"/>
        <w:keepLines w:val="0"/>
        <w:pageBreakBefore w:val="0"/>
        <w:shd w:val="clear"/>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一、评审程序和评审方法</w:t>
      </w:r>
    </w:p>
    <w:p w14:paraId="4C5FD134">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1.资格审查</w:t>
      </w:r>
    </w:p>
    <w:p w14:paraId="218C514F">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1.1响应文件开启后，磋商小组依法对供应商的资格证明文件进行审查。</w:t>
      </w:r>
    </w:p>
    <w:p w14:paraId="3CBB8D6A">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注：磋商小组在资格审查结束前，对供应商进行信用查询。</w:t>
      </w:r>
    </w:p>
    <w:p w14:paraId="4A442F66">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（1）查询渠道：“信用中国”网站（www.creditchina.gov.cn）、中国政府采购网（www.ccgp.gov.cn）。</w:t>
      </w:r>
    </w:p>
    <w:p w14:paraId="6E636D95">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21ECEA45">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（3）查询记录和证据留存方式：在查询网站中直接查询，截图另存为电子文档作为评审资料保存。</w:t>
      </w:r>
    </w:p>
    <w:p w14:paraId="1C2DB76C">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26D63653">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1.2资格审查标准为本磋商文件中载明对供应商资格要求的条件。资格审查采用合格制，凡符合磋商文件规定的供应商资格要求的响应文件均通过资格审查。</w:t>
      </w:r>
    </w:p>
    <w:p w14:paraId="56592ED1">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1.3供应商有下列情形之一的，资格审查不通过，其响应文件按无效响应处理：</w:t>
      </w:r>
    </w:p>
    <w:p w14:paraId="2AC23391">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2A78B25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（2）未按磋商文件规定的方式获取本磋商文件的供应商；</w:t>
      </w:r>
    </w:p>
    <w:p w14:paraId="4C68A19C">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（3）响应文件的资格证明文件缺少任一项“供应商须知前附表”资格证明文件规定的“必须提供”的文件资料的；</w:t>
      </w:r>
    </w:p>
    <w:p w14:paraId="0EECB8F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（4）响应文件中的资格证明文件出现任一项不符合“供应商须知前附表”资格证明文件规定的“必须提供”的文件资料要求或者无效的；</w:t>
      </w:r>
    </w:p>
    <w:p w14:paraId="533FEE7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2B7BFAF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1.4通过资格审查的合格供应商不足3家的，不得进入符合性审查环节，采购人或者采购代理机构应当重新开展采购活动。</w:t>
      </w:r>
    </w:p>
    <w:p w14:paraId="7868F521">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2.符合性审查</w:t>
      </w:r>
    </w:p>
    <w:p w14:paraId="647FF82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2.1由磋商小组对通过资格审查的合格供应商的响应文件的竞标报价、商务、技术等实质性要求进行符合性审查，以确定其是否满足磋商文件的实质性要求。</w:t>
      </w:r>
    </w:p>
    <w:p w14:paraId="29E14B3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05F0F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3414A02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7161AA7">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2.4首次响应文件报价出现前后不一致的，按照下列规定修正： </w:t>
      </w:r>
    </w:p>
    <w:p w14:paraId="53701C91">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（1）响应文件中报价表内容与响应文件中相应内容不一致的，以报价表为准；</w:t>
      </w:r>
    </w:p>
    <w:p w14:paraId="37D70B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（2）大写金额和小写金额不一致的，以大写金额为准；</w:t>
      </w:r>
    </w:p>
    <w:p w14:paraId="1190228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（3）单价金额小数点或者百分比有明显错位的，以报价表的总价为准，并修改单价；</w:t>
      </w:r>
    </w:p>
    <w:p w14:paraId="47346D7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（4）总价金额与按单价汇总金额不一致的，以单价金额计算结果为准。</w:t>
      </w:r>
    </w:p>
    <w:p w14:paraId="64C579E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同时出现两种以上不一致的，按照以上（1）-（4）规定的顺序逐条进行修正。修正后的报价经供应商确认后产生约束力，供应商不确认的，其响应文件按无效响应处理。</w:t>
      </w:r>
    </w:p>
    <w:p w14:paraId="3CAA5214">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2.5</w:t>
      </w:r>
      <w:r>
        <w:rPr>
          <w:rFonts w:hint="eastAsia" w:ascii="宋体" w:hAnsi="宋体" w:eastAsia="宋体" w:cs="宋体"/>
          <w:b/>
          <w:bCs/>
          <w:color w:val="auto"/>
          <w:kern w:val="0"/>
          <w:sz w:val="24"/>
          <w:szCs w:val="24"/>
          <w:highlight w:val="none"/>
          <w:lang w:val="en-US" w:eastAsia="zh-CN"/>
        </w:rPr>
        <w:t>响应无效</w:t>
      </w:r>
    </w:p>
    <w:p w14:paraId="0ADCE043">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在评审时，如发现下列情形之一的，将被视为响应文件无效处理：</w:t>
      </w:r>
    </w:p>
    <w:p w14:paraId="02C8A70E">
      <w:pPr>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lang w:val="en-US" w:eastAsia="zh-CN"/>
        </w:rPr>
        <w:t>2.5.1</w:t>
      </w:r>
      <w:r>
        <w:rPr>
          <w:rFonts w:hint="eastAsia" w:cs="仿宋_GB2312" w:asciiTheme="minorEastAsia" w:hAnsiTheme="minorEastAsia" w:eastAsiaTheme="minorEastAsia"/>
          <w:color w:val="auto"/>
          <w:sz w:val="24"/>
          <w:szCs w:val="24"/>
          <w:highlight w:val="none"/>
        </w:rPr>
        <w:t>单位负责人为同一人或者存在直接控股、管理关系的不同供应商参加同一合同项下的政府采购活动的（均无效）；</w:t>
      </w:r>
    </w:p>
    <w:p w14:paraId="55A8D82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2.5.2</w:t>
      </w:r>
      <w:r>
        <w:rPr>
          <w:rFonts w:hint="eastAsia" w:asciiTheme="minorEastAsia" w:hAnsiTheme="minorEastAsia" w:eastAsiaTheme="minorEastAsia"/>
          <w:color w:val="auto"/>
          <w:sz w:val="24"/>
          <w:szCs w:val="24"/>
          <w:highlight w:val="none"/>
        </w:rPr>
        <w:t xml:space="preserve">为采购项目提供整体设计、规范编制或者项目管理、监理、检测等服务的供应商再参加该采购项目的其他采购活动的； </w:t>
      </w:r>
    </w:p>
    <w:p w14:paraId="6E8183C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2.5.3</w:t>
      </w:r>
      <w:r>
        <w:rPr>
          <w:rFonts w:hint="eastAsia" w:asciiTheme="minorEastAsia" w:hAnsiTheme="minorEastAsia" w:eastAsiaTheme="minorEastAsia"/>
          <w:color w:val="auto"/>
          <w:sz w:val="24"/>
          <w:szCs w:val="24"/>
          <w:highlight w:val="none"/>
        </w:rPr>
        <w:t>供应商不具备磋商文件中规定的资格要求的（供应商未提供有效的资格证明文件的，视为供应商不具备磋商文件中规定的资格要求）；</w:t>
      </w:r>
    </w:p>
    <w:p w14:paraId="7628963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2.5.4</w:t>
      </w:r>
      <w:r>
        <w:rPr>
          <w:rFonts w:hint="eastAsia" w:asciiTheme="minorEastAsia" w:hAnsiTheme="minorEastAsia" w:eastAsiaTheme="minorEastAsia"/>
          <w:color w:val="auto"/>
          <w:sz w:val="24"/>
          <w:szCs w:val="24"/>
          <w:highlight w:val="none"/>
        </w:rPr>
        <w:t>如以联合体形式参加政府采购活动的，联合协议不符合磋商文件规定的联合协议要求的；</w:t>
      </w:r>
    </w:p>
    <w:p w14:paraId="54E386B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.5响应文件未按磋商文件的澄清、修改的内容编制，又不符合实质性要求的；</w:t>
      </w:r>
    </w:p>
    <w:p w14:paraId="0E9A544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.6响应文件组成漏项，内容不全或内容字迹模糊辨认不清的；</w:t>
      </w:r>
    </w:p>
    <w:p w14:paraId="16B8D31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.7响应文件中法人授权书所载内容与本项目内容有异的；</w:t>
      </w:r>
    </w:p>
    <w:p w14:paraId="78E727C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.8响应文件未按照磋商文件要求签署、盖章的；</w:t>
      </w:r>
    </w:p>
    <w:p w14:paraId="3C147C9F">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.9</w:t>
      </w:r>
      <w:r>
        <w:rPr>
          <w:rFonts w:hint="eastAsia" w:ascii="宋体" w:hAnsi="宋体" w:cs="宋体"/>
          <w:color w:val="auto"/>
          <w:kern w:val="0"/>
          <w:sz w:val="24"/>
          <w:szCs w:val="24"/>
          <w:highlight w:val="none"/>
        </w:rPr>
        <w:t>采购人拟采购的产品属于政府强制采购的节能产品品目清单范围的，供应商相应的响应产品未获得国家确定的认证机构出具的、处于有效期之内的节能产品认证证书的；</w:t>
      </w:r>
    </w:p>
    <w:p w14:paraId="458001F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.10响应文件含有采购人不能接受的附加条件的；</w:t>
      </w:r>
    </w:p>
    <w:p w14:paraId="06F8D3B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.11响应文件中承诺的响应有效期少于磋商文件中载明的响应有效期的；</w:t>
      </w:r>
    </w:p>
    <w:p w14:paraId="56ABC139">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.12供应商所投内容不符合磋商文件中实质性要求的；</w:t>
      </w:r>
    </w:p>
    <w:p w14:paraId="0FE8ECC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.13所提交的《最后报价一览表》中出现不是唯一的、有选择性的报价的;</w:t>
      </w:r>
    </w:p>
    <w:p w14:paraId="042B77F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.14最后报价高于本项目采购预算或者最高限价的;</w:t>
      </w:r>
    </w:p>
    <w:p w14:paraId="07FA6227">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.15《最后报价一览表》填写不完整或字迹不能辨认或有漏项的；</w:t>
      </w:r>
    </w:p>
    <w:p w14:paraId="3E2AF67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.16供应商对根据修正原则修正后的最后报价不确认的；</w:t>
      </w:r>
    </w:p>
    <w:p w14:paraId="38DEA040">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.17供应商提供虚假材料响应的（包括但不限于以下情节）；</w:t>
      </w:r>
    </w:p>
    <w:p w14:paraId="56A88B6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使用伪造、变造的许可证件；</w:t>
      </w:r>
    </w:p>
    <w:p w14:paraId="7C489FCB">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提供虚假的财务状况或者业绩；</w:t>
      </w:r>
    </w:p>
    <w:p w14:paraId="77272DE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提供虚假的项目负责人或者主要技术人员简历、劳动关系证明；</w:t>
      </w:r>
    </w:p>
    <w:p w14:paraId="2ECCC338">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提供虚假的信用状况；</w:t>
      </w:r>
    </w:p>
    <w:p w14:paraId="5A4CC85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其他弄虚作假的行为。</w:t>
      </w:r>
    </w:p>
    <w:p w14:paraId="5F31D289">
      <w:pPr>
        <w:shd w:val="clear"/>
        <w:spacing w:line="360" w:lineRule="auto"/>
        <w:ind w:firstLine="48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.18供应商有恶意串通、妨碍其他供应商的竞争行为、损害采购人或者其他供应商的合法权益情形的。有下列情形之一的，属于或视为恶意串通，其响应无效：</w:t>
      </w:r>
    </w:p>
    <w:p w14:paraId="46ED506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供应商直接或者间接从采购人或者采购代理机构处获得其他供应商的相关情况并修改其响应文件；</w:t>
      </w:r>
    </w:p>
    <w:p w14:paraId="4BF8AC4D">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供应商按照采购人或者采购代理机构的授意撤换、修改投标文件或者响应文件；</w:t>
      </w:r>
    </w:p>
    <w:p w14:paraId="42FDD69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供应商之间协商报价、技术方案等投标文件或者响应文件的实质性内容；</w:t>
      </w:r>
    </w:p>
    <w:p w14:paraId="44016EBD">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属于同一集团、协会、商会等组织成员的供应商按照该组织要求协同参加政府采购活动；</w:t>
      </w:r>
    </w:p>
    <w:p w14:paraId="0FDC2471">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供应商之间事先约定由某一特定供应商中标、成交；</w:t>
      </w:r>
    </w:p>
    <w:p w14:paraId="1F12A24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6）</w:t>
      </w:r>
      <w:r>
        <w:rPr>
          <w:rFonts w:hint="eastAsia" w:asciiTheme="minorEastAsia" w:hAnsiTheme="minorEastAsia" w:eastAsiaTheme="minorEastAsia"/>
          <w:color w:val="auto"/>
          <w:sz w:val="24"/>
          <w:szCs w:val="24"/>
          <w:highlight w:val="none"/>
        </w:rPr>
        <w:t>供应商之间商定部分供应商放弃参加政府采购活动或者放弃中标、成交；</w:t>
      </w:r>
    </w:p>
    <w:p w14:paraId="2D8DD20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7）</w:t>
      </w:r>
      <w:r>
        <w:rPr>
          <w:rFonts w:hint="eastAsia" w:asciiTheme="minorEastAsia" w:hAnsiTheme="minorEastAsia" w:eastAsiaTheme="minorEastAsia"/>
          <w:color w:val="auto"/>
          <w:sz w:val="24"/>
          <w:szCs w:val="24"/>
          <w:highlight w:val="none"/>
        </w:rPr>
        <w:t>供应商与采购人或者采购代理机构之间、供应商相互之间，为谋求特定供应商中标、成交或者排斥其他供应商的其他串通行为。</w:t>
      </w:r>
    </w:p>
    <w:p w14:paraId="682553A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不同供应商的响应文件由同一单位或者个人编制；</w:t>
      </w:r>
    </w:p>
    <w:p w14:paraId="3D3E77B9">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不同供应商委托同一单位或者个人办理响应事宜；</w:t>
      </w:r>
    </w:p>
    <w:p w14:paraId="0979995C">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10）</w:t>
      </w:r>
      <w:r>
        <w:rPr>
          <w:rFonts w:hint="eastAsia" w:asciiTheme="minorEastAsia" w:hAnsiTheme="minorEastAsia" w:eastAsiaTheme="minorEastAsia"/>
          <w:color w:val="auto"/>
          <w:sz w:val="24"/>
          <w:szCs w:val="24"/>
          <w:highlight w:val="none"/>
        </w:rPr>
        <w:t>不同供应商的响应文件载明的项目管理成员或者联系人员为同一人；</w:t>
      </w:r>
    </w:p>
    <w:p w14:paraId="628E7015">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11）</w:t>
      </w:r>
      <w:r>
        <w:rPr>
          <w:rFonts w:hint="eastAsia" w:asciiTheme="minorEastAsia" w:hAnsiTheme="minorEastAsia" w:eastAsiaTheme="minorEastAsia"/>
          <w:color w:val="auto"/>
          <w:sz w:val="24"/>
          <w:szCs w:val="24"/>
          <w:highlight w:val="none"/>
        </w:rPr>
        <w:t>不同供应商的响应文件异常一致或者最后报价呈规律性差异。</w:t>
      </w:r>
    </w:p>
    <w:p w14:paraId="18127AE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.19供应商仅提交备份响应文件，没有在电子交易平台传输提交响应文件的，响应无效；</w:t>
      </w:r>
    </w:p>
    <w:p w14:paraId="197F8480">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.20法律、法规、规章及省级以上规范性文件规定的其他无效情形。</w:t>
      </w:r>
    </w:p>
    <w:p w14:paraId="5EF3D067">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3.磋商程序</w:t>
      </w:r>
    </w:p>
    <w:p w14:paraId="716CC2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磋商小组集中与单一供应商分别进行磋商，并给予所有参加磋商的供应商平等的磋商机会。符合磋商资格的供应商必须在接到磋商通知后在规定时间内在广西政府采购云平台上参加磋商，未在规定时间内参加磋商的视同放弃参加磋商权利，其响应文件按无效响应处理。</w:t>
      </w:r>
    </w:p>
    <w:p w14:paraId="02FF2FA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9F6A8B8">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3.3对磋商文件作出的实质性变动是磋商文件的有效组成部分，由磋商小组及时以电子澄清函形式同时通知所有参加磋商的供应商。</w:t>
      </w:r>
    </w:p>
    <w:p w14:paraId="753CE07D">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31553047">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6477F0ED">
      <w:pPr>
        <w:keepNext w:val="0"/>
        <w:keepLines w:val="0"/>
        <w:pageBreakBefore w:val="0"/>
        <w:widowControl/>
        <w:shd w:val="clear"/>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3.6采购代理机构对磋商过程和重要磋商内容进行记录。</w:t>
      </w:r>
    </w:p>
    <w:p w14:paraId="07DE17D2">
      <w:pPr>
        <w:keepNext w:val="0"/>
        <w:keepLines w:val="0"/>
        <w:pageBreakBefore w:val="0"/>
        <w:widowControl/>
        <w:shd w:val="clear"/>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4AA98B0">
      <w:pPr>
        <w:keepNext w:val="0"/>
        <w:keepLines w:val="0"/>
        <w:pageBreakBefore w:val="0"/>
        <w:shd w:val="clear"/>
        <w:tabs>
          <w:tab w:val="left" w:pos="2835"/>
        </w:tabs>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3.8除本章第3.7条情形外，对磋商过程提交的响应文件进行有效性、完整性和响应程度审查，通过审查的合格供应商不足3家的，采购人或者采购代理机构应当重新开展采购活动。</w:t>
      </w:r>
    </w:p>
    <w:p w14:paraId="733D12CA">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 最后报价</w:t>
      </w:r>
    </w:p>
    <w:p w14:paraId="59EF40C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61703B3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161E56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最后报价是供应商响应文件的有效组成部分。符合《政府采购竞争性磋商采购方式管理暂行办法》（财库〔2014〕214号）第三条第四项“市场竞争不充分的科研项目，以及需要扶持的科技成果转化项目”和本章第3.7条情形的，提交最后报价的供应商可以为2家。</w:t>
      </w:r>
    </w:p>
    <w:p w14:paraId="7EE57E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703D86EB">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4.5供应商未在规定时间内提交最后报价的，视同退出磋商，其响应文件按无效处理。</w:t>
      </w:r>
    </w:p>
    <w:p w14:paraId="4E24239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4.6最后报价统一开启后，磋商小组对最后报价进行有效性、完整性和响应程度的审查。</w:t>
      </w:r>
    </w:p>
    <w:p w14:paraId="625F275B">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4.7最后报价出现前后不一致的，按照本章第2.4条的规定修正。 </w:t>
      </w:r>
    </w:p>
    <w:p w14:paraId="085321B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4.8修正后的报价出现下列情形的，按无效响应处理：</w:t>
      </w:r>
    </w:p>
    <w:p w14:paraId="628E51B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1D51835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（2）经供应商确认修正后的竞标报价（包含首次报价、最后报价）超过所竞标分标规定的采购预算金额的；</w:t>
      </w:r>
    </w:p>
    <w:p w14:paraId="4333A92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4.9经供应商确认修正后的最后报价作为评审及签订合同的依据。</w:t>
      </w:r>
    </w:p>
    <w:p w14:paraId="02C63988">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4.10供应商出现最后报价按无效响应处理或者响应文件按无效处理时，磋商小组应当告知有关供应商。</w:t>
      </w:r>
    </w:p>
    <w:p w14:paraId="1B7370B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4.11最后报价结束后，磋商小组不得再与供应商进行任何形式的商谈。</w:t>
      </w:r>
    </w:p>
    <w:p w14:paraId="121B2D0E">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5.比较与评价</w:t>
      </w:r>
    </w:p>
    <w:p w14:paraId="4CF3759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5.1评审方法：综合评分法。</w:t>
      </w:r>
    </w:p>
    <w:p w14:paraId="4F077B9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5.2经磋商确定最终采购需求和提交最后报价的供应商后，由磋商小组采用综合评分法对提交最后报价的供应商的响应文件和最后报价进行综合评分。</w:t>
      </w:r>
    </w:p>
    <w:p w14:paraId="4417B87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5.3评审时，磋商小组各成员应当独立对每个有效响应的文件进行评价、打分，然后汇总每个供应商每项评分因素的得分。</w:t>
      </w:r>
    </w:p>
    <w:p w14:paraId="6D383EF3">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（1）磋商小组按照磋商文件中规定的评审标准计算各供应商的报价得分。项目评审过程中，不得去掉最后报价中的最高报价和最低报价。</w:t>
      </w:r>
    </w:p>
    <w:p w14:paraId="3F053B2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（2）各供应商的得分为磋商小组所有成员的有效评分的算术平均数。</w:t>
      </w:r>
    </w:p>
    <w:p w14:paraId="2C67871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5.4评审价为供应商的最后报价（如有修正，以确认修正后的最后报价为准）。</w:t>
      </w:r>
    </w:p>
    <w:p w14:paraId="5FAEA9E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5.5由磋商小组根据综合评分情况，按照评审得分由高到低顺序推荐3名以上成交候选供应商，并编写评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5249ED3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B3DC5E5">
      <w:pPr>
        <w:pStyle w:val="23"/>
        <w:shd w:val="clear"/>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二、评审标准</w:t>
      </w:r>
    </w:p>
    <w:p w14:paraId="7590A95C">
      <w:pPr>
        <w:shd w:val="clear"/>
        <w:snapToGrid w:val="0"/>
        <w:spacing w:line="360" w:lineRule="auto"/>
        <w:jc w:val="left"/>
        <w:outlineLvl w:val="1"/>
        <w:rPr>
          <w:rFonts w:hint="eastAsia" w:ascii="宋体" w:hAnsi="宋体" w:cs="宋体"/>
          <w:b/>
          <w:color w:val="auto"/>
          <w:sz w:val="24"/>
          <w:szCs w:val="24"/>
          <w:highlight w:val="none"/>
        </w:rPr>
      </w:pPr>
      <w:r>
        <w:rPr>
          <w:rFonts w:hint="eastAsia" w:ascii="宋体" w:hAnsi="宋体"/>
          <w:bCs/>
          <w:color w:val="auto"/>
          <w:sz w:val="24"/>
          <w:szCs w:val="24"/>
          <w:highlight w:val="none"/>
        </w:rPr>
        <w:t>6</w:t>
      </w:r>
      <w:r>
        <w:rPr>
          <w:rFonts w:ascii="宋体" w:hAnsi="宋体"/>
          <w:bCs/>
          <w:color w:val="auto"/>
          <w:sz w:val="24"/>
          <w:szCs w:val="24"/>
          <w:highlight w:val="none"/>
        </w:rPr>
        <w:t>.</w:t>
      </w:r>
      <w:r>
        <w:rPr>
          <w:rFonts w:hint="eastAsia" w:ascii="宋体" w:hAnsi="宋体"/>
          <w:bCs/>
          <w:color w:val="auto"/>
          <w:sz w:val="24"/>
          <w:szCs w:val="24"/>
          <w:highlight w:val="none"/>
        </w:rPr>
        <w:t>评审依据：磋商小组将以磋商响应文件为评审依据，对供应商的报价、技术、商务等方面内容按百分制打分。（计分方法按四舍五入取至百分位）</w:t>
      </w:r>
    </w:p>
    <w:tbl>
      <w:tblPr>
        <w:tblStyle w:val="6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047"/>
        <w:gridCol w:w="6786"/>
        <w:gridCol w:w="815"/>
      </w:tblGrid>
      <w:tr w14:paraId="6FFD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40" w:type="pct"/>
            <w:vAlign w:val="center"/>
          </w:tcPr>
          <w:p w14:paraId="75D7B48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564" w:type="pct"/>
            <w:vAlign w:val="center"/>
          </w:tcPr>
          <w:p w14:paraId="211C7C3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评审分项</w:t>
            </w:r>
          </w:p>
        </w:tc>
        <w:tc>
          <w:tcPr>
            <w:tcW w:w="3655" w:type="pct"/>
            <w:vAlign w:val="center"/>
          </w:tcPr>
          <w:p w14:paraId="0B25467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评审因素</w:t>
            </w:r>
          </w:p>
        </w:tc>
        <w:tc>
          <w:tcPr>
            <w:tcW w:w="439" w:type="pct"/>
            <w:vAlign w:val="center"/>
          </w:tcPr>
          <w:p w14:paraId="79C73DA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分值</w:t>
            </w:r>
          </w:p>
        </w:tc>
      </w:tr>
      <w:tr w14:paraId="1E7A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1309077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w:t>
            </w:r>
          </w:p>
        </w:tc>
        <w:tc>
          <w:tcPr>
            <w:tcW w:w="564" w:type="pct"/>
            <w:vAlign w:val="center"/>
          </w:tcPr>
          <w:p w14:paraId="13694C2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cs="仿宋_GB2312" w:asciiTheme="minorEastAsia" w:hAnsiTheme="minorEastAsia" w:eastAsiaTheme="minorEastAsia"/>
                <w:b/>
                <w:bCs/>
                <w:color w:val="auto"/>
                <w:sz w:val="24"/>
                <w:szCs w:val="24"/>
                <w:highlight w:val="none"/>
              </w:rPr>
              <w:t>价格分</w:t>
            </w:r>
            <w:r>
              <w:rPr>
                <w:rFonts w:hint="eastAsia" w:cs="仿宋_GB2312" w:asciiTheme="minorEastAsia" w:hAnsiTheme="minorEastAsia" w:eastAsiaTheme="minorEastAsia"/>
                <w:b/>
                <w:bCs/>
                <w:color w:val="auto"/>
                <w:sz w:val="24"/>
                <w:szCs w:val="24"/>
                <w:highlight w:val="none"/>
                <w:lang w:eastAsia="zh-CN"/>
              </w:rPr>
              <w:t>（</w:t>
            </w:r>
            <w:r>
              <w:rPr>
                <w:rFonts w:hint="eastAsia" w:cs="仿宋_GB2312" w:asciiTheme="minorEastAsia" w:hAnsiTheme="minorEastAsia" w:eastAsiaTheme="minorEastAsia"/>
                <w:b/>
                <w:bCs/>
                <w:color w:val="auto"/>
                <w:sz w:val="24"/>
                <w:szCs w:val="24"/>
                <w:highlight w:val="none"/>
                <w:lang w:val="en-US" w:eastAsia="zh-CN"/>
              </w:rPr>
              <w:t>满分10分</w:t>
            </w:r>
            <w:r>
              <w:rPr>
                <w:rFonts w:hint="eastAsia" w:cs="仿宋_GB2312" w:asciiTheme="minorEastAsia" w:hAnsiTheme="minorEastAsia" w:eastAsiaTheme="minorEastAsia"/>
                <w:b/>
                <w:bCs/>
                <w:color w:val="auto"/>
                <w:sz w:val="24"/>
                <w:szCs w:val="24"/>
                <w:highlight w:val="none"/>
                <w:lang w:eastAsia="zh-CN"/>
              </w:rPr>
              <w:t>）</w:t>
            </w:r>
          </w:p>
        </w:tc>
        <w:tc>
          <w:tcPr>
            <w:tcW w:w="3655" w:type="pct"/>
            <w:vAlign w:val="top"/>
          </w:tcPr>
          <w:p w14:paraId="119CC6A1">
            <w:pPr>
              <w:pStyle w:val="38"/>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）有效投标报价的最低价作为评标基准价，其最低报价为满分；按［投标报价得分=（评标基准价/投标报价）</w:t>
            </w:r>
            <w:r>
              <w:rPr>
                <w:rFonts w:hint="default" w:ascii="Arial" w:hAnsi="Arial" w:eastAsia="宋体" w:cs="Arial"/>
                <w:bCs/>
                <w:color w:val="auto"/>
                <w:sz w:val="24"/>
                <w:szCs w:val="24"/>
                <w:highlight w:val="none"/>
              </w:rPr>
              <w:t>×</w:t>
            </w:r>
            <w:r>
              <w:rPr>
                <w:rFonts w:hint="eastAsia" w:ascii="宋体" w:hAnsi="宋体" w:cs="宋体"/>
                <w:bCs/>
                <w:color w:val="auto"/>
                <w:sz w:val="24"/>
                <w:szCs w:val="24"/>
                <w:highlight w:val="none"/>
                <w:lang w:val="en-US" w:eastAsia="zh-CN"/>
              </w:rPr>
              <w:t>10</w:t>
            </w:r>
            <w:r>
              <w:rPr>
                <w:rFonts w:hint="eastAsia" w:ascii="宋体" w:hAnsi="宋体" w:eastAsia="宋体" w:cs="宋体"/>
                <w:bCs/>
                <w:color w:val="auto"/>
                <w:sz w:val="24"/>
                <w:szCs w:val="24"/>
                <w:highlight w:val="none"/>
              </w:rPr>
              <w:t>］的计算公式计算。</w:t>
            </w:r>
          </w:p>
          <w:p w14:paraId="323D01BC">
            <w:pPr>
              <w:pStyle w:val="38"/>
              <w:widowControl w:val="0"/>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评标过程中，不得去掉报价中的最高报价和最低报价。</w:t>
            </w:r>
          </w:p>
          <w:p w14:paraId="132E483B">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本项目为专门面向中小企业采购项目，不再执行价格评审优惠的扶持政策。</w:t>
            </w:r>
          </w:p>
          <w:p w14:paraId="522D6A4E">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评审过程中，不得去掉报价中的最高报价和最低报价。</w:t>
            </w:r>
          </w:p>
          <w:p w14:paraId="1116DB3C">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）异常低价审查处理</w:t>
            </w:r>
          </w:p>
          <w:p w14:paraId="1752F3E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①政府采购评审中出现下列情形之一的，磋商小组应当启动异常低价投标（响应）审查程序：</w:t>
            </w:r>
          </w:p>
          <w:p w14:paraId="658526D2">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A.响应报价低于全部通过符合性审查供应商响应报价平均值65%的，即响应报价＜全部通过符合性审查供应商响应报价平均值×65%；</w:t>
            </w:r>
          </w:p>
          <w:p w14:paraId="7CB18DDF">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B.响应报价低于通过符合性审查且报价次低供应商响应报价65%的，即响应报价＜通过符合性审查且报价次低供应商响应报价×65%；</w:t>
            </w:r>
          </w:p>
          <w:p w14:paraId="6D99B0DE">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C.响应报价低于采购项目最高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65%的，即响应</w:t>
            </w:r>
            <w:r>
              <w:rPr>
                <w:rFonts w:hint="eastAsia" w:ascii="宋体" w:hAnsi="宋体" w:cs="宋体"/>
                <w:bCs/>
                <w:color w:val="auto"/>
                <w:sz w:val="24"/>
                <w:szCs w:val="24"/>
                <w:highlight w:val="none"/>
                <w:lang w:val="en-US" w:eastAsia="zh-CN"/>
              </w:rPr>
              <w:t>单价报价</w:t>
            </w:r>
            <w:r>
              <w:rPr>
                <w:rFonts w:hint="eastAsia" w:ascii="宋体" w:hAnsi="宋体" w:eastAsia="宋体" w:cs="宋体"/>
                <w:bCs/>
                <w:color w:val="auto"/>
                <w:sz w:val="24"/>
                <w:szCs w:val="24"/>
                <w:highlight w:val="none"/>
                <w:lang w:eastAsia="zh-CN"/>
              </w:rPr>
              <w:t>＜采购项目最高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w:t>
            </w:r>
          </w:p>
          <w:p w14:paraId="1C80C879">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D.其他磋商小组认为供应商报价过低，有可能影响产品质量或者不能诚信履约的情形。</w:t>
            </w:r>
          </w:p>
          <w:p w14:paraId="1CAF030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②审查工作流程：</w:t>
            </w:r>
          </w:p>
          <w:p w14:paraId="3F3B36AC">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磋商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4B529028">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Cs/>
                <w:color w:val="auto"/>
                <w:sz w:val="24"/>
                <w:szCs w:val="24"/>
                <w:highlight w:val="none"/>
                <w:u w:val="single"/>
              </w:rPr>
            </w:pPr>
            <w:r>
              <w:rPr>
                <w:rFonts w:hint="eastAsia" w:ascii="宋体" w:hAnsi="宋体" w:eastAsia="宋体" w:cs="宋体"/>
                <w:bCs/>
                <w:color w:val="auto"/>
                <w:sz w:val="24"/>
                <w:szCs w:val="24"/>
                <w:highlight w:val="none"/>
                <w:lang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tc>
        <w:tc>
          <w:tcPr>
            <w:tcW w:w="439" w:type="pct"/>
            <w:vAlign w:val="center"/>
          </w:tcPr>
          <w:p w14:paraId="04415D47">
            <w:pPr>
              <w:keepNext w:val="0"/>
              <w:keepLines w:val="0"/>
              <w:pageBreakBefore w:val="0"/>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rPr>
            </w:pPr>
            <w:r>
              <w:rPr>
                <w:rFonts w:hint="eastAsia" w:cs="仿宋_GB2312" w:asciiTheme="minorEastAsia" w:hAnsiTheme="minorEastAsia" w:eastAsiaTheme="minorEastAsia"/>
                <w:b/>
                <w:bCs w:val="0"/>
                <w:color w:val="auto"/>
                <w:sz w:val="24"/>
                <w:szCs w:val="24"/>
                <w:highlight w:val="none"/>
                <w:lang w:val="en-US" w:eastAsia="zh-CN"/>
              </w:rPr>
              <w:t>10</w:t>
            </w:r>
            <w:r>
              <w:rPr>
                <w:rFonts w:hint="eastAsia" w:cs="仿宋_GB2312" w:asciiTheme="minorEastAsia" w:hAnsiTheme="minorEastAsia" w:eastAsiaTheme="minorEastAsia"/>
                <w:b/>
                <w:bCs w:val="0"/>
                <w:color w:val="auto"/>
                <w:sz w:val="24"/>
                <w:szCs w:val="24"/>
                <w:highlight w:val="none"/>
              </w:rPr>
              <w:t>分</w:t>
            </w:r>
          </w:p>
        </w:tc>
      </w:tr>
      <w:tr w14:paraId="23C3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40" w:type="pct"/>
            <w:vAlign w:val="center"/>
          </w:tcPr>
          <w:p w14:paraId="064CD69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2</w:t>
            </w:r>
          </w:p>
        </w:tc>
        <w:tc>
          <w:tcPr>
            <w:tcW w:w="564" w:type="pct"/>
            <w:vAlign w:val="center"/>
          </w:tcPr>
          <w:p w14:paraId="7FD3651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技术分</w:t>
            </w:r>
          </w:p>
        </w:tc>
        <w:tc>
          <w:tcPr>
            <w:tcW w:w="3655" w:type="pct"/>
            <w:vAlign w:val="center"/>
          </w:tcPr>
          <w:p w14:paraId="608F2DB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439" w:type="pct"/>
            <w:vAlign w:val="center"/>
          </w:tcPr>
          <w:p w14:paraId="55172BC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分值</w:t>
            </w:r>
          </w:p>
        </w:tc>
      </w:tr>
      <w:tr w14:paraId="47F3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340" w:type="pct"/>
            <w:vAlign w:val="center"/>
          </w:tcPr>
          <w:p w14:paraId="0E3D758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2.1</w:t>
            </w:r>
          </w:p>
        </w:tc>
        <w:tc>
          <w:tcPr>
            <w:tcW w:w="564" w:type="pct"/>
            <w:vAlign w:val="center"/>
          </w:tcPr>
          <w:p w14:paraId="11BF946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服务方案总体框架（满分15分）</w:t>
            </w:r>
          </w:p>
        </w:tc>
        <w:tc>
          <w:tcPr>
            <w:tcW w:w="3655" w:type="pct"/>
            <w:vAlign w:val="center"/>
          </w:tcPr>
          <w:p w14:paraId="737545C4">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一档（15分）：供应商针对本项赛事实际情况，提供完整的服务方案总体框架，涵盖项目概况、组织架构、服务流程、质量管控、风险防范、赛后总结六大核心模块；服务流程节点完整，含赛前筹备、赛中执行、赛后收尾全过程，各节点设明确时间节点与交付成果；建立可量化的质量管控体系，配套质量检查与持续改进机制；方案整体逻辑严谨、针对性强，完全匹配本项目服务需求。</w:t>
            </w:r>
          </w:p>
          <w:p w14:paraId="2C3A2379">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10分）：供应商提供服务方案总体框架，涵盖主要核心模块；服务流程节点不够完整，覆盖赛前赛中赛后主要环节；有基本的质量管控措施；方案整体较完整，能满足项目基本需求，但针对性和细化程度有待加强。</w:t>
            </w:r>
          </w:p>
          <w:p w14:paraId="61916F30">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三档（5分）：供应商仅提供笼统的服务方案框架，核心模块不完整；服务流程节点关键环节缺失；质量管控措施笼统，缺乏可量化指标；方案落地性不足。</w:t>
            </w:r>
          </w:p>
          <w:p w14:paraId="3EA7B3BE">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w:t>
            </w:r>
            <w:r>
              <w:rPr>
                <w:rFonts w:hint="eastAsia" w:ascii="宋体" w:hAnsi="宋体" w:cs="宋体"/>
                <w:b w:val="0"/>
                <w:bCs/>
                <w:color w:val="auto"/>
                <w:sz w:val="24"/>
                <w:szCs w:val="24"/>
                <w:highlight w:val="none"/>
                <w:lang w:eastAsia="zh-CN" w:bidi="ar"/>
              </w:rPr>
              <w:t>本项目</w:t>
            </w:r>
            <w:r>
              <w:rPr>
                <w:rFonts w:hint="eastAsia" w:ascii="宋体" w:hAnsi="宋体" w:cs="宋体"/>
                <w:b w:val="0"/>
                <w:bCs/>
                <w:color w:val="auto"/>
                <w:sz w:val="24"/>
                <w:szCs w:val="24"/>
                <w:highlight w:val="none"/>
                <w:lang w:val="en-US" w:eastAsia="zh-CN"/>
              </w:rPr>
              <w:t>服务方案，不得分。</w:t>
            </w:r>
          </w:p>
        </w:tc>
        <w:tc>
          <w:tcPr>
            <w:tcW w:w="439" w:type="pct"/>
            <w:vAlign w:val="center"/>
          </w:tcPr>
          <w:p w14:paraId="5CBCA11A">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4A92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27046EBE">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2.2</w:t>
            </w:r>
          </w:p>
        </w:tc>
        <w:tc>
          <w:tcPr>
            <w:tcW w:w="564" w:type="pct"/>
            <w:vAlign w:val="center"/>
          </w:tcPr>
          <w:p w14:paraId="462EAD1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竞赛组织方案（满分20分）</w:t>
            </w:r>
          </w:p>
        </w:tc>
        <w:tc>
          <w:tcPr>
            <w:tcW w:w="3655" w:type="pct"/>
            <w:vAlign w:val="center"/>
          </w:tcPr>
          <w:p w14:paraId="1AC4A16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eastAsia="zh-CN" w:bidi="ar"/>
              </w:rPr>
              <w:t>一档（</w:t>
            </w:r>
            <w:r>
              <w:rPr>
                <w:rFonts w:hint="eastAsia" w:ascii="宋体" w:hAnsi="宋体" w:cs="宋体"/>
                <w:b w:val="0"/>
                <w:bCs/>
                <w:color w:val="auto"/>
                <w:sz w:val="24"/>
                <w:szCs w:val="24"/>
                <w:highlight w:val="none"/>
                <w:lang w:val="en-US" w:eastAsia="zh-CN" w:bidi="ar"/>
              </w:rPr>
              <w:t>20</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三项赛事提供详尽的竞赛组织方案：赛程编排科学合理，明确赛事编排、抽签与评分规则，包含各阶段的组织实施安排，对赛事场地布置、器材设备配置、赛事工作人员分工等内容规划清晰，明确各岗位职责与工作要求，能够保障赛事全程平稳有序开展。</w:t>
            </w:r>
          </w:p>
          <w:p w14:paraId="496E9AC5">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w:t>
            </w:r>
            <w:r>
              <w:rPr>
                <w:rFonts w:hint="eastAsia" w:ascii="宋体" w:hAnsi="宋体" w:cs="宋体"/>
                <w:b w:val="0"/>
                <w:bCs/>
                <w:color w:val="auto"/>
                <w:sz w:val="24"/>
                <w:szCs w:val="24"/>
                <w:highlight w:val="none"/>
                <w:lang w:eastAsia="zh-CN" w:bidi="ar"/>
              </w:rPr>
              <w:t>（</w:t>
            </w:r>
            <w:r>
              <w:rPr>
                <w:rFonts w:hint="eastAsia" w:ascii="宋体" w:hAnsi="宋体" w:cs="宋体"/>
                <w:b w:val="0"/>
                <w:bCs/>
                <w:color w:val="auto"/>
                <w:sz w:val="24"/>
                <w:szCs w:val="24"/>
                <w:highlight w:val="none"/>
                <w:lang w:val="en-US" w:eastAsia="zh-CN" w:bidi="ar"/>
              </w:rPr>
              <w:t>14</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赛事提供了竞赛组织方案：赛程编排合理，明确赛事编排、抽签与评分规则；开颁奖仪式方案较完整，基本满足仪式的议程设计要求；成绩统计公示流程清晰，能保障结果准确及时；方案整体完整可操作，能够满足赛事组织基本需求。</w:t>
            </w:r>
          </w:p>
          <w:p w14:paraId="774C14F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三档（8分）：供应商仅提供基本的竞赛组织框架内容，赛程编排覆盖主要赛项，开颁奖仪式等核心内容均有涉及，但内容较为笼统，部分环节安排不够明确，可操作性有待加强。</w:t>
            </w:r>
          </w:p>
          <w:p w14:paraId="2ED5933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bidi="ar"/>
              </w:rPr>
            </w:pPr>
            <w:r>
              <w:rPr>
                <w:rFonts w:hint="eastAsia" w:ascii="宋体" w:hAnsi="宋体" w:cs="宋体"/>
                <w:b w:val="0"/>
                <w:bCs/>
                <w:color w:val="auto"/>
                <w:sz w:val="24"/>
                <w:szCs w:val="24"/>
                <w:highlight w:val="none"/>
                <w:lang w:val="en-US" w:eastAsia="zh-CN" w:bidi="ar"/>
              </w:rPr>
              <w:t>四档（0分）：未提供本项目竞赛组织方案，不得分。</w:t>
            </w:r>
          </w:p>
        </w:tc>
        <w:tc>
          <w:tcPr>
            <w:tcW w:w="439" w:type="pct"/>
            <w:vAlign w:val="center"/>
          </w:tcPr>
          <w:p w14:paraId="10CA335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20</w:t>
            </w:r>
          </w:p>
        </w:tc>
      </w:tr>
      <w:tr w14:paraId="03A1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A4AED1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2.3</w:t>
            </w:r>
          </w:p>
        </w:tc>
        <w:tc>
          <w:tcPr>
            <w:tcW w:w="564" w:type="pct"/>
            <w:vAlign w:val="center"/>
          </w:tcPr>
          <w:p w14:paraId="2EF3E90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lang w:eastAsia="zh-CN"/>
              </w:rPr>
              <w:t>赛事医疗卫生、安全与应急方案</w:t>
            </w:r>
            <w:r>
              <w:rPr>
                <w:rFonts w:hint="eastAsia" w:ascii="宋体" w:hAnsi="宋体" w:eastAsia="宋体" w:cs="宋体"/>
                <w:b/>
                <w:bCs w:val="0"/>
                <w:color w:val="auto"/>
                <w:sz w:val="24"/>
                <w:szCs w:val="24"/>
                <w:highlight w:val="none"/>
                <w:lang w:val="en-US" w:eastAsia="zh-CN"/>
              </w:rPr>
              <w:t>（满分10分）</w:t>
            </w:r>
          </w:p>
        </w:tc>
        <w:tc>
          <w:tcPr>
            <w:tcW w:w="3655" w:type="pct"/>
            <w:vAlign w:val="center"/>
          </w:tcPr>
          <w:p w14:paraId="52C89492">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一档（10分）：方案具有高度针对性，紧密结合本项目竞赛特点、赛事规模、参与人群等进行风险评估和需求分析，赛事各阶段保障措施描述全面到位。对各类可能发生的突发事件制定差异化处置流程，明确分级响应体系、指挥责任及响应时限，确保及时高效响应。预案内容覆盖全面、针对性强、科学合理，具备创新性和高落地价值，能有效保障赛事安全有序运行。</w:t>
            </w:r>
          </w:p>
          <w:p w14:paraId="434D604B">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二档（7分）：方案内容齐全，按赛事保障需求逐项响应，医疗保障、安全防控、应急处置等各模块要素完备，结构清晰，符合赛事基本保障规范，但在针对本项目特点的专属措施方面可进一步加强。</w:t>
            </w:r>
          </w:p>
          <w:p w14:paraId="1BA409B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三档（4分）：方案涵盖医疗、安保、应急等基础内容，框架基本完整，对保障工作的总体思路和各环节安排进行了概述，但结合本项目实际情况的分析不够深入，具体执行层面的细化内容有待充实。</w:t>
            </w:r>
          </w:p>
          <w:p w14:paraId="644A0B5C">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四档（0分）：未提供赛事医疗卫生、安全与应急方案的，不得分。</w:t>
            </w:r>
          </w:p>
        </w:tc>
        <w:tc>
          <w:tcPr>
            <w:tcW w:w="439" w:type="pct"/>
            <w:vAlign w:val="center"/>
          </w:tcPr>
          <w:p w14:paraId="0D7FC6A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9A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6B0F310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4</w:t>
            </w:r>
          </w:p>
        </w:tc>
        <w:tc>
          <w:tcPr>
            <w:tcW w:w="564" w:type="pct"/>
            <w:vAlign w:val="center"/>
          </w:tcPr>
          <w:p w14:paraId="786DB8A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eastAsia="宋体" w:cs="宋体"/>
                <w:b/>
                <w:bCs w:val="0"/>
                <w:color w:val="auto"/>
                <w:sz w:val="24"/>
                <w:szCs w:val="24"/>
                <w:highlight w:val="none"/>
                <w:lang w:eastAsia="zh-CN"/>
              </w:rPr>
              <w:t>物资与后勤保障方案分</w:t>
            </w:r>
            <w:r>
              <w:rPr>
                <w:rFonts w:hint="eastAsia" w:ascii="宋体" w:hAnsi="宋体" w:cs="宋体"/>
                <w:b/>
                <w:bCs/>
                <w:color w:val="auto"/>
                <w:sz w:val="24"/>
                <w:szCs w:val="24"/>
                <w:highlight w:val="none"/>
                <w:lang w:val="en-US" w:eastAsia="zh-CN"/>
              </w:rPr>
              <w:t>（满分10分）</w:t>
            </w:r>
          </w:p>
        </w:tc>
        <w:tc>
          <w:tcPr>
            <w:tcW w:w="3655" w:type="pct"/>
            <w:vAlign w:val="center"/>
          </w:tcPr>
          <w:p w14:paraId="168963AC">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一档（10分）：供应商针对本项</w:t>
            </w:r>
            <w:r>
              <w:rPr>
                <w:rFonts w:hint="eastAsia" w:ascii="宋体" w:hAnsi="宋体" w:cs="宋体"/>
                <w:b w:val="0"/>
                <w:bCs/>
                <w:color w:val="auto"/>
                <w:sz w:val="24"/>
                <w:szCs w:val="24"/>
                <w:highlight w:val="none"/>
                <w:lang w:val="en-US" w:eastAsia="zh-CN" w:bidi="ar"/>
              </w:rPr>
              <w:t>赛事</w:t>
            </w:r>
            <w:r>
              <w:rPr>
                <w:rFonts w:hint="eastAsia" w:ascii="宋体" w:hAnsi="宋体" w:eastAsia="宋体" w:cs="宋体"/>
                <w:b w:val="0"/>
                <w:bCs/>
                <w:color w:val="auto"/>
                <w:sz w:val="24"/>
                <w:szCs w:val="24"/>
                <w:highlight w:val="none"/>
                <w:lang w:val="en-US" w:eastAsia="zh-CN" w:bidi="ar"/>
              </w:rPr>
              <w:t>提供全面的物资与后勤保障方案。场地搭建与氛围布置方案详细，</w:t>
            </w:r>
            <w:r>
              <w:rPr>
                <w:rFonts w:hint="eastAsia" w:ascii="宋体" w:hAnsi="宋体" w:cs="宋体"/>
                <w:b w:val="0"/>
                <w:bCs/>
                <w:color w:val="auto"/>
                <w:sz w:val="24"/>
                <w:szCs w:val="24"/>
                <w:highlight w:val="none"/>
                <w:lang w:val="en-US" w:eastAsia="zh-CN" w:bidi="ar"/>
              </w:rPr>
              <w:t>提供了初步的物料设计样式和赛场布置设计图，</w:t>
            </w:r>
            <w:r>
              <w:rPr>
                <w:rFonts w:hint="eastAsia" w:ascii="宋体" w:hAnsi="宋体" w:eastAsia="宋体" w:cs="宋体"/>
                <w:b w:val="0"/>
                <w:bCs/>
                <w:color w:val="auto"/>
                <w:sz w:val="24"/>
                <w:szCs w:val="24"/>
                <w:highlight w:val="none"/>
                <w:lang w:val="en-US" w:eastAsia="zh-CN" w:bidi="ar"/>
              </w:rPr>
              <w:t>物料清单完整，含主背景板、签到区、成绩公告栏、功能分区指引、赛事主题装饰等，明确搭建进度计划与安全标准；竞赛器材与设备保障充足，提供完整器材清单</w:t>
            </w:r>
            <w:r>
              <w:rPr>
                <w:rFonts w:hint="eastAsia" w:ascii="宋体" w:hAnsi="宋体" w:cs="宋体"/>
                <w:color w:val="auto"/>
                <w:sz w:val="24"/>
                <w:szCs w:val="24"/>
                <w:highlight w:val="none"/>
                <w:lang w:val="en-US" w:eastAsia="zh-CN"/>
              </w:rPr>
              <w:t>以及</w:t>
            </w:r>
            <w:r>
              <w:rPr>
                <w:rFonts w:hint="eastAsia" w:ascii="宋体" w:hAnsi="宋体" w:eastAsia="宋体" w:cs="宋体"/>
                <w:color w:val="auto"/>
                <w:sz w:val="24"/>
                <w:szCs w:val="24"/>
                <w:highlight w:val="none"/>
              </w:rPr>
              <w:t>配套采购的消耗品</w:t>
            </w:r>
            <w:r>
              <w:rPr>
                <w:rFonts w:hint="eastAsia" w:ascii="宋体" w:hAnsi="宋体" w:eastAsia="宋体" w:cs="宋体"/>
                <w:b w:val="0"/>
                <w:bCs/>
                <w:color w:val="auto"/>
                <w:sz w:val="24"/>
                <w:szCs w:val="24"/>
                <w:highlight w:val="none"/>
                <w:lang w:val="en-US" w:eastAsia="zh-CN" w:bidi="ar"/>
              </w:rPr>
              <w:t>，明确器材规格标准、数量、品牌，建立设备故障应急替换机制；食宿交通保障方案细致，提供详细的食宿交通安排计划；志愿服务保障方案完善；方案整体物资齐全、保障到位，完全满足赛事后勤需求。</w:t>
            </w:r>
          </w:p>
          <w:p w14:paraId="1B2B283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二档（7分）：供应商提供物资与后勤保障方案，场地搭建与氛围布置有基本</w:t>
            </w:r>
            <w:r>
              <w:rPr>
                <w:rFonts w:hint="eastAsia" w:ascii="宋体" w:hAnsi="宋体" w:cs="宋体"/>
                <w:b w:val="0"/>
                <w:bCs/>
                <w:color w:val="auto"/>
                <w:sz w:val="24"/>
                <w:szCs w:val="24"/>
                <w:highlight w:val="none"/>
                <w:lang w:val="en-US" w:eastAsia="zh-CN" w:bidi="ar"/>
              </w:rPr>
              <w:t>设计</w:t>
            </w:r>
            <w:r>
              <w:rPr>
                <w:rFonts w:hint="eastAsia" w:ascii="宋体" w:hAnsi="宋体" w:eastAsia="宋体" w:cs="宋体"/>
                <w:b w:val="0"/>
                <w:bCs/>
                <w:color w:val="auto"/>
                <w:sz w:val="24"/>
                <w:szCs w:val="24"/>
                <w:highlight w:val="none"/>
                <w:lang w:val="en-US" w:eastAsia="zh-CN" w:bidi="ar"/>
              </w:rPr>
              <w:t>方案；提供了竞赛器材与设备有基本清单但未能完全覆盖赛事需求；食宿交通有基本安排；志愿服务保障方案不够完善；方案整体较完整，能满足赛事基本后勤保障需求，但部分内容细化不足。</w:t>
            </w:r>
          </w:p>
          <w:p w14:paraId="1D89CB9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color w:val="auto"/>
                <w:highlight w:val="none"/>
              </w:rPr>
            </w:pPr>
            <w:r>
              <w:rPr>
                <w:rFonts w:hint="eastAsia" w:ascii="宋体" w:hAnsi="宋体" w:cs="宋体"/>
                <w:b w:val="0"/>
                <w:bCs/>
                <w:color w:val="auto"/>
                <w:sz w:val="24"/>
                <w:szCs w:val="24"/>
                <w:highlight w:val="none"/>
                <w:lang w:val="en-US" w:eastAsia="zh-CN" w:bidi="ar"/>
              </w:rPr>
              <w:t>三</w:t>
            </w:r>
            <w:r>
              <w:rPr>
                <w:rFonts w:hint="eastAsia" w:ascii="宋体" w:hAnsi="宋体" w:eastAsia="宋体" w:cs="宋体"/>
                <w:b w:val="0"/>
                <w:bCs/>
                <w:color w:val="auto"/>
                <w:sz w:val="24"/>
                <w:szCs w:val="24"/>
                <w:highlight w:val="none"/>
                <w:lang w:val="en-US" w:eastAsia="zh-CN" w:bidi="ar"/>
              </w:rPr>
              <w:t>档（4分）：供应商仅提供笼统的物资与后勤保障方案，场地搭建物料较少；竞赛器材清单不完整，无明确的应急替换机制；食宿交通安排模糊；志愿服务岗位设置不足；方案落地性不足。</w:t>
            </w:r>
          </w:p>
          <w:p w14:paraId="27866FC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四档（0分）：未提供物资与后勤保障方案，不得分。</w:t>
            </w:r>
          </w:p>
        </w:tc>
        <w:tc>
          <w:tcPr>
            <w:tcW w:w="439" w:type="pct"/>
            <w:vAlign w:val="center"/>
          </w:tcPr>
          <w:p w14:paraId="4FEA6985">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0ACC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0A8448F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5</w:t>
            </w:r>
          </w:p>
        </w:tc>
        <w:tc>
          <w:tcPr>
            <w:tcW w:w="564" w:type="pct"/>
            <w:vAlign w:val="center"/>
          </w:tcPr>
          <w:p w14:paraId="3520B8E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服务保障承诺（满分10分）</w:t>
            </w:r>
          </w:p>
        </w:tc>
        <w:tc>
          <w:tcPr>
            <w:tcW w:w="3655" w:type="pct"/>
            <w:vAlign w:val="center"/>
          </w:tcPr>
          <w:p w14:paraId="229C6E12">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eastAsia="zh-CN"/>
              </w:rPr>
              <w:t>一档（10分）：</w:t>
            </w:r>
            <w:r>
              <w:rPr>
                <w:rFonts w:hint="eastAsia" w:ascii="宋体" w:hAnsi="宋体" w:cs="宋体"/>
                <w:b w:val="0"/>
                <w:bCs/>
                <w:color w:val="auto"/>
                <w:sz w:val="24"/>
                <w:szCs w:val="24"/>
                <w:highlight w:val="none"/>
                <w:lang w:val="en-US" w:eastAsia="zh-CN"/>
              </w:rPr>
              <w:t>供应商针对本项目实际情况，明确了项目负责人及专业服务团队配置岗位；提供了各项赛事服务保障承诺，至少包含：驻场服务承诺明确项目负责人及核心团队全程驻场（赛事期间全时段在岗），沟通响应承诺明确响应时效，优于采购需求的要求；各项承诺具体可落地、可核查，完全匹配本项目服务保障要求。</w:t>
            </w:r>
          </w:p>
          <w:p w14:paraId="7B195437">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7分）：供应商配置了基本服务团队，提出了常规服务保障承诺，包括基本的响应时效，符合项目采购需求的要求；驻场安排，可满足项目基本服务保障需求，但针对性保障措施不够细化，承诺条款不够具体。</w:t>
            </w:r>
          </w:p>
          <w:p w14:paraId="0220167B">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三档（</w:t>
            </w:r>
            <w:r>
              <w:rPr>
                <w:rFonts w:hint="eastAsia" w:ascii="宋体" w:hAnsi="宋体" w:cs="宋体"/>
                <w:b w:val="0"/>
                <w:bCs/>
                <w:color w:val="auto"/>
                <w:sz w:val="24"/>
                <w:szCs w:val="24"/>
                <w:highlight w:val="none"/>
                <w:lang w:val="en-US" w:eastAsia="zh-CN"/>
              </w:rPr>
              <w:t>4</w:t>
            </w:r>
            <w:r>
              <w:rPr>
                <w:rFonts w:hint="eastAsia" w:ascii="宋体" w:hAnsi="宋体" w:cs="宋体"/>
                <w:b w:val="0"/>
                <w:bCs/>
                <w:color w:val="auto"/>
                <w:sz w:val="24"/>
                <w:szCs w:val="24"/>
                <w:highlight w:val="none"/>
                <w:lang w:eastAsia="zh-CN"/>
              </w:rPr>
              <w:t>分）：</w:t>
            </w:r>
            <w:r>
              <w:rPr>
                <w:rFonts w:hint="eastAsia" w:ascii="宋体" w:hAnsi="宋体" w:cs="宋体"/>
                <w:b w:val="0"/>
                <w:bCs/>
                <w:color w:val="auto"/>
                <w:sz w:val="24"/>
                <w:szCs w:val="24"/>
                <w:highlight w:val="none"/>
                <w:lang w:val="en-US" w:eastAsia="zh-CN"/>
              </w:rPr>
              <w:t>仅提出笼统的服务保障承诺，未明确团队配置及专项保障措施，包括基本的响应时效、驻场安排，落地性不足。</w:t>
            </w:r>
          </w:p>
          <w:p w14:paraId="007ABA3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四档（0分）：未提供服务保障承诺，不得分。</w:t>
            </w:r>
          </w:p>
        </w:tc>
        <w:tc>
          <w:tcPr>
            <w:tcW w:w="439" w:type="pct"/>
            <w:vAlign w:val="center"/>
          </w:tcPr>
          <w:p w14:paraId="79E5E61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50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49377097">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2.6</w:t>
            </w:r>
          </w:p>
        </w:tc>
        <w:tc>
          <w:tcPr>
            <w:tcW w:w="564" w:type="pct"/>
            <w:vAlign w:val="center"/>
          </w:tcPr>
          <w:p w14:paraId="7E99EAB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
              </w:rPr>
              <w:t>拟投入</w:t>
            </w:r>
            <w:r>
              <w:rPr>
                <w:rFonts w:hint="eastAsia" w:ascii="宋体" w:hAnsi="宋体" w:eastAsia="宋体" w:cs="宋体"/>
                <w:b/>
                <w:bCs/>
                <w:color w:val="auto"/>
                <w:kern w:val="2"/>
                <w:sz w:val="24"/>
                <w:szCs w:val="24"/>
                <w:highlight w:val="none"/>
                <w:lang w:val="en-US" w:eastAsia="zh-CN" w:bidi="ar"/>
              </w:rPr>
              <w:t>人员配置（满分</w:t>
            </w:r>
            <w:r>
              <w:rPr>
                <w:rFonts w:hint="eastAsia" w:ascii="宋体" w:hAnsi="宋体" w:cs="宋体"/>
                <w:b/>
                <w:bCs/>
                <w:color w:val="auto"/>
                <w:kern w:val="2"/>
                <w:sz w:val="24"/>
                <w:szCs w:val="24"/>
                <w:highlight w:val="none"/>
                <w:lang w:val="en-US" w:eastAsia="zh-CN" w:bidi="ar"/>
              </w:rPr>
              <w:t>15</w:t>
            </w:r>
            <w:r>
              <w:rPr>
                <w:rFonts w:hint="eastAsia" w:ascii="宋体" w:hAnsi="宋体" w:eastAsia="宋体" w:cs="宋体"/>
                <w:b/>
                <w:bCs/>
                <w:color w:val="auto"/>
                <w:kern w:val="2"/>
                <w:sz w:val="24"/>
                <w:szCs w:val="24"/>
                <w:highlight w:val="none"/>
                <w:lang w:val="en-US" w:eastAsia="zh-CN" w:bidi="ar"/>
              </w:rPr>
              <w:t>分）</w:t>
            </w:r>
          </w:p>
        </w:tc>
        <w:tc>
          <w:tcPr>
            <w:tcW w:w="3655" w:type="pct"/>
            <w:vAlign w:val="center"/>
          </w:tcPr>
          <w:p w14:paraId="4C2544DA">
            <w:pPr>
              <w:keepNext w:val="0"/>
              <w:keepLines w:val="0"/>
              <w:pageBreakBefore w:val="0"/>
              <w:suppressLineNumbers w:val="0"/>
              <w:shd w:val="clear"/>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一档（</w:t>
            </w:r>
            <w:r>
              <w:rPr>
                <w:rFonts w:hint="eastAsia" w:ascii="宋体" w:hAnsi="宋体" w:cs="宋体"/>
                <w:b w:val="0"/>
                <w:bCs w:val="0"/>
                <w:color w:val="auto"/>
                <w:kern w:val="0"/>
                <w:sz w:val="24"/>
                <w:szCs w:val="24"/>
                <w:highlight w:val="none"/>
                <w:lang w:val="en-US" w:eastAsia="zh-CN"/>
              </w:rPr>
              <w:t>15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针对本项目编制完整详细的人员分工方案，岗位设置</w:t>
            </w:r>
            <w:r>
              <w:rPr>
                <w:rFonts w:hint="eastAsia" w:ascii="宋体" w:hAnsi="宋体" w:cs="宋体"/>
                <w:color w:val="auto"/>
                <w:sz w:val="24"/>
                <w:szCs w:val="24"/>
                <w:highlight w:val="none"/>
                <w:lang w:val="en-US" w:eastAsia="zh-CN"/>
              </w:rPr>
              <w:t>完全满足</w:t>
            </w:r>
            <w:r>
              <w:rPr>
                <w:rFonts w:hint="eastAsia" w:ascii="宋体" w:hAnsi="宋体" w:cs="宋体"/>
                <w:color w:val="auto"/>
                <w:sz w:val="24"/>
                <w:szCs w:val="24"/>
                <w:highlight w:val="none"/>
                <w:lang w:eastAsia="zh-CN"/>
              </w:rPr>
              <w:t>赛事</w:t>
            </w:r>
            <w:r>
              <w:rPr>
                <w:rFonts w:hint="default" w:ascii="宋体" w:hAnsi="宋体" w:eastAsia="宋体" w:cs="宋体"/>
                <w:color w:val="auto"/>
                <w:sz w:val="24"/>
                <w:szCs w:val="24"/>
                <w:highlight w:val="none"/>
              </w:rPr>
              <w:t>需求，岗位职责清晰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项目负责人及专项服务负责人总人数达到10人及以上的</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w:t>
            </w:r>
            <w:r>
              <w:rPr>
                <w:rFonts w:hint="eastAsia" w:ascii="宋体" w:hAnsi="宋体" w:cs="宋体"/>
                <w:color w:val="auto"/>
                <w:sz w:val="24"/>
                <w:szCs w:val="24"/>
                <w:highlight w:val="none"/>
                <w:lang w:eastAsia="zh-CN"/>
              </w:rPr>
              <w:t>，</w:t>
            </w:r>
            <w:r>
              <w:rPr>
                <w:rFonts w:hint="default" w:ascii="宋体" w:hAnsi="宋体" w:eastAsia="宋体" w:cs="宋体"/>
                <w:color w:val="auto"/>
                <w:sz w:val="24"/>
                <w:szCs w:val="24"/>
                <w:highlight w:val="none"/>
              </w:rPr>
              <w:t>按合同</w:t>
            </w:r>
            <w:r>
              <w:rPr>
                <w:rFonts w:hint="eastAsia" w:ascii="宋体" w:hAnsi="宋体" w:cs="宋体"/>
                <w:color w:val="auto"/>
                <w:sz w:val="24"/>
                <w:szCs w:val="24"/>
                <w:highlight w:val="none"/>
                <w:lang w:val="en-US" w:eastAsia="zh-CN"/>
              </w:rPr>
              <w:t>约定</w:t>
            </w:r>
            <w:r>
              <w:rPr>
                <w:rFonts w:hint="default" w:ascii="宋体" w:hAnsi="宋体" w:eastAsia="宋体" w:cs="宋体"/>
                <w:color w:val="auto"/>
                <w:sz w:val="24"/>
                <w:szCs w:val="24"/>
                <w:highlight w:val="none"/>
              </w:rPr>
              <w:t>承担违约责任</w:t>
            </w:r>
            <w:r>
              <w:rPr>
                <w:rFonts w:hint="eastAsia" w:ascii="宋体" w:hAnsi="宋体" w:eastAsia="宋体" w:cs="宋体"/>
                <w:b w:val="0"/>
                <w:bCs w:val="0"/>
                <w:color w:val="auto"/>
                <w:kern w:val="0"/>
                <w:sz w:val="24"/>
                <w:szCs w:val="24"/>
                <w:highlight w:val="none"/>
                <w:lang w:val="en-US" w:eastAsia="zh-CN"/>
              </w:rPr>
              <w:t>。</w:t>
            </w:r>
          </w:p>
          <w:p w14:paraId="5A82B588">
            <w:pPr>
              <w:keepNext w:val="0"/>
              <w:keepLines w:val="0"/>
              <w:pageBreakBefore w:val="0"/>
              <w:suppressLineNumbers w:val="0"/>
              <w:shd w:val="clear"/>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二档（</w:t>
            </w:r>
            <w:r>
              <w:rPr>
                <w:rFonts w:hint="eastAsia" w:ascii="宋体" w:hAnsi="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lang w:val="en-US" w:eastAsia="zh-CN"/>
              </w:rPr>
              <w:t>分）：供应商提供相对具体的人员分工方案，主要岗位设置基本满足本项目赛事服务需要</w:t>
            </w:r>
            <w:r>
              <w:rPr>
                <w:rFonts w:hint="eastAsia" w:ascii="宋体" w:hAnsi="宋体" w:cs="宋体"/>
                <w:b w:val="0"/>
                <w:bCs w:val="0"/>
                <w:color w:val="auto"/>
                <w:kern w:val="0"/>
                <w:sz w:val="24"/>
                <w:szCs w:val="24"/>
                <w:highlight w:val="none"/>
                <w:lang w:val="en-US" w:eastAsia="zh-CN"/>
              </w:rPr>
              <w:t>，</w:t>
            </w:r>
            <w:r>
              <w:rPr>
                <w:rFonts w:hint="eastAsia" w:ascii="宋体" w:hAnsi="宋体" w:cs="宋体"/>
                <w:color w:val="auto"/>
                <w:sz w:val="24"/>
                <w:szCs w:val="24"/>
                <w:highlight w:val="none"/>
                <w:lang w:val="en-US" w:eastAsia="zh-CN"/>
              </w:rPr>
              <w:t>项目负责人及专职竞赛负责人总人数达到8人</w:t>
            </w:r>
            <w:r>
              <w:rPr>
                <w:rFonts w:hint="eastAsia" w:ascii="宋体" w:hAnsi="宋体" w:eastAsia="宋体" w:cs="宋体"/>
                <w:b w:val="0"/>
                <w:bCs w:val="0"/>
                <w:color w:val="auto"/>
                <w:kern w:val="0"/>
                <w:sz w:val="24"/>
                <w:szCs w:val="24"/>
                <w:highlight w:val="none"/>
                <w:lang w:val="en-US" w:eastAsia="zh-CN"/>
              </w:rPr>
              <w:t>；同时在响应文件中承诺：合同履约期间，未经采购人书面同意，核心岗位人员不得擅自更换，若擅自更换</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CN"/>
              </w:rPr>
              <w:t>按合同</w:t>
            </w:r>
            <w:r>
              <w:rPr>
                <w:rFonts w:hint="eastAsia" w:ascii="宋体" w:hAnsi="宋体" w:cs="宋体"/>
                <w:b w:val="0"/>
                <w:bCs w:val="0"/>
                <w:color w:val="auto"/>
                <w:kern w:val="0"/>
                <w:sz w:val="24"/>
                <w:szCs w:val="24"/>
                <w:highlight w:val="none"/>
                <w:lang w:val="en-US" w:eastAsia="zh-CN"/>
              </w:rPr>
              <w:t>约定</w:t>
            </w:r>
            <w:r>
              <w:rPr>
                <w:rFonts w:hint="eastAsia" w:ascii="宋体" w:hAnsi="宋体" w:eastAsia="宋体" w:cs="宋体"/>
                <w:b w:val="0"/>
                <w:bCs w:val="0"/>
                <w:color w:val="auto"/>
                <w:kern w:val="0"/>
                <w:sz w:val="24"/>
                <w:szCs w:val="24"/>
                <w:highlight w:val="none"/>
                <w:lang w:val="en-US" w:eastAsia="zh-CN"/>
              </w:rPr>
              <w:t>承担违约责任。</w:t>
            </w:r>
          </w:p>
          <w:p w14:paraId="50B61C57">
            <w:pPr>
              <w:pStyle w:val="633"/>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440" w:lineRule="exact"/>
              <w:ind w:left="0" w:leftChars="0" w:right="0" w:rightChars="0" w:firstLine="480" w:firstLineChars="200"/>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三档（</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提供人员分工安排，具备基础岗位设置，可满足本项目最低赛事服务需要</w:t>
            </w:r>
            <w:r>
              <w:rPr>
                <w:rFonts w:hint="eastAsia" w:ascii="宋体" w:hAnsi="宋体" w:cs="宋体"/>
                <w:b w:val="0"/>
                <w:bCs w:val="0"/>
                <w:color w:val="auto"/>
                <w:kern w:val="0"/>
                <w:sz w:val="24"/>
                <w:szCs w:val="24"/>
                <w:highlight w:val="none"/>
                <w:lang w:val="en-US" w:eastAsia="zh-CN"/>
              </w:rPr>
              <w:t>，</w:t>
            </w:r>
            <w:r>
              <w:rPr>
                <w:rFonts w:hint="eastAsia" w:ascii="宋体" w:hAnsi="宋体" w:cs="宋体"/>
                <w:color w:val="auto"/>
                <w:sz w:val="24"/>
                <w:szCs w:val="24"/>
                <w:highlight w:val="none"/>
                <w:lang w:val="en-US" w:eastAsia="zh-CN"/>
              </w:rPr>
              <w:t>项目负责人及专职竞赛负责人总人数达到</w:t>
            </w:r>
            <w:r>
              <w:rPr>
                <w:rFonts w:hint="eastAsia" w:cs="宋体"/>
                <w:color w:val="auto"/>
                <w:sz w:val="24"/>
                <w:szCs w:val="24"/>
                <w:highlight w:val="none"/>
                <w:lang w:val="en-US" w:eastAsia="zh-CN"/>
              </w:rPr>
              <w:t>5</w:t>
            </w:r>
            <w:r>
              <w:rPr>
                <w:rFonts w:hint="eastAsia" w:ascii="宋体" w:hAnsi="宋体" w:cs="宋体"/>
                <w:color w:val="auto"/>
                <w:sz w:val="24"/>
                <w:szCs w:val="24"/>
                <w:highlight w:val="none"/>
                <w:lang w:val="en-US" w:eastAsia="zh-CN"/>
              </w:rPr>
              <w:t>人</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文件中承诺：合同履约期间，未经采购人书面同意，核心岗位人员不得擅自更换，若擅自更换按合同承担违约责任</w:t>
            </w:r>
            <w:r>
              <w:rPr>
                <w:rFonts w:hint="eastAsia" w:ascii="宋体" w:hAnsi="宋体" w:eastAsia="宋体" w:cs="宋体"/>
                <w:b w:val="0"/>
                <w:bCs w:val="0"/>
                <w:color w:val="auto"/>
                <w:kern w:val="0"/>
                <w:sz w:val="24"/>
                <w:szCs w:val="24"/>
                <w:highlight w:val="none"/>
                <w:lang w:val="en-US" w:eastAsia="zh-CN"/>
              </w:rPr>
              <w:t>。</w:t>
            </w:r>
          </w:p>
          <w:p w14:paraId="4ABFEEB6">
            <w:pPr>
              <w:pStyle w:val="633"/>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440" w:lineRule="exact"/>
              <w:ind w:left="0" w:leftChars="0" w:right="0" w:rightChars="0" w:firstLine="480" w:firstLineChars="200"/>
              <w:textAlignment w:val="auto"/>
              <w:rPr>
                <w:rFonts w:hint="default"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注：以上人员均需在响应文件中提供身份证、劳动合同以及相关证书（如有）复印件并加盖单位公章，否则不予计分。</w:t>
            </w:r>
          </w:p>
        </w:tc>
        <w:tc>
          <w:tcPr>
            <w:tcW w:w="439" w:type="pct"/>
            <w:vAlign w:val="center"/>
          </w:tcPr>
          <w:p w14:paraId="44BC82D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0450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AE8544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Cs/>
                <w:color w:val="auto"/>
                <w:kern w:val="0"/>
                <w:sz w:val="24"/>
                <w:szCs w:val="24"/>
                <w:highlight w:val="none"/>
                <w:lang w:val="en-US" w:eastAsia="zh-CN"/>
              </w:rPr>
            </w:pPr>
            <w:r>
              <w:rPr>
                <w:rFonts w:hint="eastAsia" w:ascii="宋体" w:hAnsi="宋体" w:cs="宋体"/>
                <w:b/>
                <w:bCs/>
                <w:color w:val="auto"/>
                <w:kern w:val="0"/>
                <w:sz w:val="24"/>
                <w:szCs w:val="24"/>
                <w:highlight w:val="none"/>
              </w:rPr>
              <w:t>3</w:t>
            </w:r>
          </w:p>
        </w:tc>
        <w:tc>
          <w:tcPr>
            <w:tcW w:w="564" w:type="pct"/>
            <w:vAlign w:val="center"/>
          </w:tcPr>
          <w:p w14:paraId="74EB338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2"/>
                <w:sz w:val="24"/>
                <w:szCs w:val="24"/>
                <w:highlight w:val="none"/>
                <w:lang w:val="en-US" w:eastAsia="zh-CN" w:bidi="ar"/>
              </w:rPr>
            </w:pPr>
            <w:r>
              <w:rPr>
                <w:rFonts w:hint="eastAsia" w:ascii="宋体" w:hAnsi="宋体" w:cs="宋体"/>
                <w:b/>
                <w:bCs/>
                <w:color w:val="auto"/>
                <w:sz w:val="24"/>
                <w:szCs w:val="24"/>
                <w:highlight w:val="none"/>
                <w:lang w:val="en-US" w:eastAsia="zh-CN"/>
              </w:rPr>
              <w:t>商务</w:t>
            </w:r>
            <w:r>
              <w:rPr>
                <w:rFonts w:hint="eastAsia" w:ascii="宋体" w:hAnsi="宋体" w:cs="宋体"/>
                <w:b/>
                <w:bCs/>
                <w:color w:val="auto"/>
                <w:sz w:val="24"/>
                <w:szCs w:val="24"/>
                <w:highlight w:val="none"/>
              </w:rPr>
              <w:t>分</w:t>
            </w:r>
          </w:p>
        </w:tc>
        <w:tc>
          <w:tcPr>
            <w:tcW w:w="3655" w:type="pct"/>
            <w:vAlign w:val="center"/>
          </w:tcPr>
          <w:p w14:paraId="22C35791">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color w:val="auto"/>
                <w:kern w:val="0"/>
                <w:sz w:val="24"/>
                <w:szCs w:val="24"/>
                <w:highlight w:val="none"/>
              </w:rPr>
              <w:t>评审因素</w:t>
            </w:r>
          </w:p>
        </w:tc>
        <w:tc>
          <w:tcPr>
            <w:tcW w:w="439" w:type="pct"/>
            <w:vAlign w:val="center"/>
          </w:tcPr>
          <w:p w14:paraId="581512B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lang w:val="en-US" w:eastAsia="zh-CN"/>
              </w:rPr>
            </w:pPr>
            <w:r>
              <w:rPr>
                <w:rFonts w:hint="eastAsia" w:ascii="宋体" w:hAnsi="宋体" w:cs="宋体"/>
                <w:b/>
                <w:color w:val="auto"/>
                <w:kern w:val="0"/>
                <w:sz w:val="24"/>
                <w:szCs w:val="24"/>
                <w:highlight w:val="none"/>
              </w:rPr>
              <w:t>分值</w:t>
            </w:r>
          </w:p>
        </w:tc>
      </w:tr>
      <w:tr w14:paraId="15A9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vAlign w:val="center"/>
          </w:tcPr>
          <w:p w14:paraId="21A462A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3.1</w:t>
            </w:r>
          </w:p>
        </w:tc>
        <w:tc>
          <w:tcPr>
            <w:tcW w:w="564" w:type="pct"/>
            <w:vAlign w:val="center"/>
          </w:tcPr>
          <w:p w14:paraId="7CCC02B8">
            <w:pPr>
              <w:pStyle w:val="56"/>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业绩分</w:t>
            </w:r>
          </w:p>
          <w:p w14:paraId="5B81C93B">
            <w:pPr>
              <w:pStyle w:val="56"/>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
              </w:rPr>
              <w:t>（满分</w:t>
            </w:r>
            <w:r>
              <w:rPr>
                <w:rFonts w:hint="eastAsia" w:hAnsi="宋体" w:eastAsia="宋体" w:cs="宋体"/>
                <w:b/>
                <w:bCs/>
                <w:color w:val="auto"/>
                <w:kern w:val="2"/>
                <w:sz w:val="24"/>
                <w:szCs w:val="24"/>
                <w:highlight w:val="none"/>
                <w:lang w:val="en-US" w:eastAsia="zh-CN" w:bidi="ar"/>
              </w:rPr>
              <w:t>10</w:t>
            </w:r>
            <w:r>
              <w:rPr>
                <w:rFonts w:hint="eastAsia" w:ascii="宋体" w:hAnsi="宋体" w:eastAsia="宋体" w:cs="宋体"/>
                <w:b/>
                <w:bCs/>
                <w:color w:val="auto"/>
                <w:kern w:val="2"/>
                <w:sz w:val="24"/>
                <w:szCs w:val="24"/>
                <w:highlight w:val="none"/>
                <w:lang w:val="en-US" w:eastAsia="zh-CN" w:bidi="ar"/>
              </w:rPr>
              <w:t>分）</w:t>
            </w:r>
          </w:p>
        </w:tc>
        <w:tc>
          <w:tcPr>
            <w:tcW w:w="3655" w:type="pct"/>
            <w:vAlign w:val="center"/>
          </w:tcPr>
          <w:p w14:paraId="19A0C2AA">
            <w:pPr>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供应商自202</w:t>
            </w:r>
            <w:r>
              <w:rPr>
                <w:rFonts w:hint="eastAsia" w:ascii="宋体" w:hAnsi="宋体" w:cs="宋体"/>
                <w:b w:val="0"/>
                <w:bCs w:val="0"/>
                <w:color w:val="auto"/>
                <w:kern w:val="2"/>
                <w:sz w:val="24"/>
                <w:szCs w:val="24"/>
                <w:highlight w:val="none"/>
                <w:lang w:val="en-US" w:eastAsia="zh-CN" w:bidi="ar"/>
              </w:rPr>
              <w:t>1</w:t>
            </w:r>
            <w:r>
              <w:rPr>
                <w:rFonts w:hint="eastAsia" w:ascii="宋体" w:hAnsi="宋体" w:eastAsia="宋体" w:cs="宋体"/>
                <w:b w:val="0"/>
                <w:bCs w:val="0"/>
                <w:color w:val="auto"/>
                <w:kern w:val="2"/>
                <w:sz w:val="24"/>
                <w:szCs w:val="24"/>
                <w:highlight w:val="none"/>
                <w:lang w:val="en-US" w:eastAsia="zh-CN" w:bidi="ar"/>
              </w:rPr>
              <w:t>年1月1日以来承担过类似体育</w:t>
            </w:r>
            <w:r>
              <w:rPr>
                <w:rFonts w:hint="eastAsia" w:ascii="宋体" w:hAnsi="宋体" w:cs="宋体"/>
                <w:b w:val="0"/>
                <w:bCs w:val="0"/>
                <w:color w:val="auto"/>
                <w:kern w:val="2"/>
                <w:sz w:val="24"/>
                <w:szCs w:val="24"/>
                <w:highlight w:val="none"/>
                <w:lang w:val="en-US" w:eastAsia="zh-CN" w:bidi="ar"/>
              </w:rPr>
              <w:t>赛事服务</w:t>
            </w:r>
            <w:r>
              <w:rPr>
                <w:rFonts w:hint="eastAsia" w:ascii="宋体" w:hAnsi="宋体" w:eastAsia="宋体" w:cs="宋体"/>
                <w:b w:val="0"/>
                <w:bCs w:val="0"/>
                <w:color w:val="auto"/>
                <w:kern w:val="2"/>
                <w:sz w:val="24"/>
                <w:szCs w:val="24"/>
                <w:highlight w:val="none"/>
                <w:lang w:val="en-US" w:eastAsia="zh-CN" w:bidi="ar"/>
              </w:rPr>
              <w:t>工作的，每项业绩得2分，满分10分。</w:t>
            </w:r>
          </w:p>
          <w:p w14:paraId="0D778872">
            <w:pPr>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default" w:ascii="宋体" w:hAnsi="宋体"/>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
              </w:rPr>
              <w:t>注：</w:t>
            </w:r>
            <w:r>
              <w:rPr>
                <w:rFonts w:hint="eastAsia" w:ascii="宋体" w:hAnsi="宋体" w:eastAsia="宋体" w:cs="宋体"/>
                <w:b/>
                <w:bCs/>
                <w:color w:val="auto"/>
                <w:kern w:val="2"/>
                <w:sz w:val="24"/>
                <w:szCs w:val="24"/>
                <w:highlight w:val="none"/>
                <w:lang w:val="en-US" w:eastAsia="zh-CN" w:bidi="ar"/>
              </w:rPr>
              <w:t>须提供有效的合同或中标（成交）通知书复印件</w:t>
            </w:r>
            <w:r>
              <w:rPr>
                <w:rFonts w:hint="eastAsia" w:ascii="宋体" w:hAnsi="宋体" w:cs="宋体"/>
                <w:b/>
                <w:bCs/>
                <w:color w:val="auto"/>
                <w:kern w:val="2"/>
                <w:sz w:val="24"/>
                <w:szCs w:val="24"/>
                <w:highlight w:val="none"/>
                <w:lang w:val="en-US" w:eastAsia="zh-CN" w:bidi="ar"/>
              </w:rPr>
              <w:t>（需清晰体现项目内容），</w:t>
            </w:r>
            <w:r>
              <w:rPr>
                <w:rFonts w:hint="eastAsia" w:ascii="宋体" w:hAnsi="宋体" w:eastAsia="宋体" w:cs="宋体"/>
                <w:b/>
                <w:bCs/>
                <w:color w:val="auto"/>
                <w:kern w:val="2"/>
                <w:sz w:val="24"/>
                <w:szCs w:val="24"/>
                <w:highlight w:val="none"/>
                <w:lang w:val="en-US" w:eastAsia="zh-CN" w:bidi="ar"/>
              </w:rPr>
              <w:t>加盖供应商公章。</w:t>
            </w:r>
          </w:p>
        </w:tc>
        <w:tc>
          <w:tcPr>
            <w:tcW w:w="439" w:type="pct"/>
            <w:vAlign w:val="center"/>
          </w:tcPr>
          <w:p w14:paraId="529396B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6406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560" w:type="pct"/>
            <w:gridSpan w:val="3"/>
            <w:vAlign w:val="center"/>
          </w:tcPr>
          <w:p w14:paraId="4E0744D8">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bCs/>
                <w:color w:val="auto"/>
                <w:sz w:val="24"/>
                <w:szCs w:val="24"/>
                <w:highlight w:val="none"/>
              </w:rPr>
            </w:pPr>
            <w:r>
              <w:rPr>
                <w:rFonts w:hint="eastAsia" w:ascii="宋体" w:hAnsi="宋体" w:cs="宋体"/>
                <w:b/>
                <w:bCs/>
                <w:color w:val="auto"/>
                <w:sz w:val="24"/>
                <w:szCs w:val="24"/>
                <w:highlight w:val="none"/>
                <w:lang w:bidi="ar"/>
              </w:rPr>
              <w:t>总得分</w:t>
            </w:r>
            <w:r>
              <w:rPr>
                <w:rFonts w:hint="default" w:ascii="宋体" w:hAnsi="宋体" w:cs="宋体"/>
                <w:b/>
                <w:bCs/>
                <w:color w:val="auto"/>
                <w:sz w:val="24"/>
                <w:szCs w:val="24"/>
                <w:highlight w:val="none"/>
                <w:lang w:bidi="ar"/>
              </w:rPr>
              <w:t>=</w:t>
            </w:r>
            <w:r>
              <w:rPr>
                <w:rFonts w:hint="eastAsia" w:ascii="宋体" w:hAnsi="宋体" w:cs="宋体"/>
                <w:b/>
                <w:color w:val="auto"/>
                <w:sz w:val="21"/>
                <w:szCs w:val="21"/>
                <w:highlight w:val="none"/>
                <w:lang w:val="en-US" w:eastAsia="zh-CN"/>
              </w:rPr>
              <w:t>价格分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 xml:space="preserve">技术分 </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 xml:space="preserve"> 商务分</w:t>
            </w:r>
          </w:p>
        </w:tc>
        <w:tc>
          <w:tcPr>
            <w:tcW w:w="439" w:type="pct"/>
            <w:vAlign w:val="center"/>
          </w:tcPr>
          <w:p w14:paraId="0BB6A80B">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100分</w:t>
            </w:r>
          </w:p>
        </w:tc>
      </w:tr>
    </w:tbl>
    <w:p w14:paraId="262E92C2">
      <w:pPr>
        <w:shd w:val="clear"/>
        <w:rPr>
          <w:color w:val="auto"/>
          <w:highlight w:val="none"/>
        </w:rPr>
      </w:pPr>
    </w:p>
    <w:p w14:paraId="3FFFD5D0">
      <w:pPr>
        <w:shd w:val="clear"/>
        <w:rPr>
          <w:color w:val="auto"/>
          <w:highlight w:val="none"/>
        </w:rPr>
      </w:pPr>
    </w:p>
    <w:p w14:paraId="1AAD3CB3">
      <w:pPr>
        <w:shd w:val="clear"/>
        <w:spacing w:line="360" w:lineRule="auto"/>
        <w:ind w:firstLine="480" w:firstLineChars="200"/>
        <w:rPr>
          <w:rFonts w:ascii="宋体" w:hAnsi="宋体"/>
          <w:color w:val="auto"/>
          <w:sz w:val="24"/>
          <w:szCs w:val="24"/>
          <w:highlight w:val="none"/>
        </w:rPr>
      </w:pPr>
      <w:r>
        <w:rPr>
          <w:rFonts w:ascii="宋体" w:hAnsi="宋体"/>
          <w:bCs/>
          <w:color w:val="auto"/>
          <w:sz w:val="24"/>
          <w:szCs w:val="24"/>
          <w:highlight w:val="none"/>
        </w:rPr>
        <w:t>7.</w:t>
      </w:r>
      <w:r>
        <w:rPr>
          <w:rFonts w:hint="eastAsia" w:ascii="宋体" w:hAnsi="宋体"/>
          <w:bCs/>
          <w:color w:val="auto"/>
          <w:sz w:val="24"/>
          <w:szCs w:val="24"/>
          <w:highlight w:val="none"/>
        </w:rPr>
        <w:t>由磋商小组根据综合评分情况，按照评审得分由高到低顺序推荐3名以上成交候选供应商，并编写评审报告，</w:t>
      </w:r>
      <w:r>
        <w:rPr>
          <w:rFonts w:hint="eastAsia" w:ascii="宋体" w:hAnsi="宋体" w:cs="宋体"/>
          <w:color w:val="auto"/>
          <w:sz w:val="24"/>
          <w:szCs w:val="24"/>
          <w:highlight w:val="none"/>
        </w:rPr>
        <w:t>评审报告</w:t>
      </w:r>
      <w:r>
        <w:rPr>
          <w:rFonts w:hint="eastAsia" w:hAnsi="宋体"/>
          <w:color w:val="auto"/>
          <w:sz w:val="24"/>
          <w:szCs w:val="24"/>
          <w:highlight w:val="none"/>
        </w:rPr>
        <w:t>通过电子交易平台向采购人、采购代理机构提交。</w:t>
      </w:r>
      <w:r>
        <w:rPr>
          <w:rFonts w:hint="eastAsia" w:ascii="宋体" w:hAnsi="宋体"/>
          <w:bCs/>
          <w:color w:val="auto"/>
          <w:sz w:val="24"/>
          <w:szCs w:val="24"/>
          <w:highlight w:val="none"/>
        </w:rPr>
        <w:t>评审得分相同的，按照最后报价由低到高的顺序推荐。评审得分且最后报价相同的，按照技术指标优劣顺序推荐（按技术得分由高到低排序，技术得分相同的按照</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分由高到低排序）。评审得分、最后报价、技术得分、</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分均相同的，由</w:t>
      </w:r>
      <w:r>
        <w:rPr>
          <w:rFonts w:hint="eastAsia" w:ascii="宋体" w:hAnsi="宋体"/>
          <w:bCs/>
          <w:color w:val="auto"/>
          <w:sz w:val="24"/>
          <w:szCs w:val="24"/>
          <w:highlight w:val="none"/>
          <w:lang w:val="en-US" w:eastAsia="zh-CN"/>
        </w:rPr>
        <w:t>磋商小组集体讨论推选</w:t>
      </w:r>
      <w:r>
        <w:rPr>
          <w:rFonts w:hint="eastAsia" w:ascii="宋体" w:hAnsi="宋体"/>
          <w:bCs/>
          <w:color w:val="auto"/>
          <w:sz w:val="24"/>
          <w:szCs w:val="24"/>
          <w:highlight w:val="none"/>
        </w:rPr>
        <w:t>。</w:t>
      </w:r>
    </w:p>
    <w:p w14:paraId="1EE71239">
      <w:pPr>
        <w:rPr>
          <w:rFonts w:hint="eastAsia" w:cs="仿宋_GB2312" w:asciiTheme="minorEastAsia" w:hAnsiTheme="minorEastAsia" w:eastAsiaTheme="minorEastAsia"/>
          <w:b/>
          <w:color w:val="auto"/>
          <w:sz w:val="36"/>
          <w:szCs w:val="36"/>
          <w:highlight w:val="none"/>
        </w:rPr>
      </w:pPr>
      <w:bookmarkStart w:id="51" w:name="_Toc12398"/>
      <w:r>
        <w:rPr>
          <w:rFonts w:hint="eastAsia" w:cs="仿宋_GB2312" w:asciiTheme="minorEastAsia" w:hAnsiTheme="minorEastAsia" w:eastAsiaTheme="minorEastAsia"/>
          <w:b/>
          <w:color w:val="auto"/>
          <w:sz w:val="36"/>
          <w:szCs w:val="36"/>
          <w:highlight w:val="none"/>
        </w:rPr>
        <w:br w:type="page"/>
      </w:r>
    </w:p>
    <w:p w14:paraId="441C4DF9">
      <w:pPr>
        <w:shd w:val="clear"/>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第六部分</w:t>
      </w:r>
      <w:bookmarkEnd w:id="50"/>
      <w:r>
        <w:rPr>
          <w:rFonts w:hint="eastAsia" w:cs="仿宋_GB2312" w:asciiTheme="minorEastAsia" w:hAnsiTheme="minorEastAsia" w:eastAsiaTheme="minorEastAsia"/>
          <w:b/>
          <w:color w:val="auto"/>
          <w:sz w:val="36"/>
          <w:szCs w:val="36"/>
          <w:highlight w:val="none"/>
        </w:rPr>
        <w:t xml:space="preserve">  拟签订的合同文本</w:t>
      </w:r>
      <w:bookmarkEnd w:id="51"/>
    </w:p>
    <w:p w14:paraId="75003C06">
      <w:pPr>
        <w:pStyle w:val="32"/>
        <w:shd w:val="clear"/>
        <w:spacing w:line="360" w:lineRule="auto"/>
        <w:jc w:val="center"/>
        <w:rPr>
          <w:rFonts w:hint="eastAsia" w:ascii="宋体" w:hAnsi="宋体" w:eastAsia="宋体" w:cs="宋体"/>
          <w:b/>
          <w:color w:val="auto"/>
          <w:sz w:val="52"/>
          <w:szCs w:val="52"/>
          <w:highlight w:val="none"/>
        </w:rPr>
      </w:pPr>
      <w:bookmarkStart w:id="52" w:name="第五部分"/>
      <w:bookmarkStart w:id="53" w:name="_Toc86217003"/>
    </w:p>
    <w:p w14:paraId="0275B7B0">
      <w:pPr>
        <w:shd w:val="clea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政府</w:t>
      </w:r>
      <w:r>
        <w:rPr>
          <w:rFonts w:hint="eastAsia" w:ascii="宋体" w:hAnsi="宋体" w:cs="宋体"/>
          <w:b/>
          <w:color w:val="auto"/>
          <w:sz w:val="36"/>
          <w:szCs w:val="36"/>
          <w:highlight w:val="none"/>
        </w:rPr>
        <w:t>采购合同参考范本</w:t>
      </w:r>
    </w:p>
    <w:p w14:paraId="04CC7E34">
      <w:pPr>
        <w:shd w:val="clea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（服务类）</w:t>
      </w:r>
    </w:p>
    <w:p w14:paraId="1C27BC4F">
      <w:pPr>
        <w:pStyle w:val="282"/>
        <w:shd w:val="clear"/>
        <w:ind w:firstLine="2843" w:firstLineChars="1180"/>
        <w:rPr>
          <w:rFonts w:ascii="宋体" w:hAnsi="宋体" w:cs="宋体"/>
          <w:b/>
          <w:color w:val="auto"/>
          <w:szCs w:val="24"/>
          <w:highlight w:val="none"/>
        </w:rPr>
      </w:pPr>
    </w:p>
    <w:p w14:paraId="56FC545B">
      <w:pPr>
        <w:pStyle w:val="24"/>
        <w:shd w:val="clear"/>
        <w:spacing w:after="120"/>
        <w:rPr>
          <w:color w:val="auto"/>
          <w:highlight w:val="none"/>
        </w:rPr>
      </w:pPr>
    </w:p>
    <w:p w14:paraId="22B3C01B">
      <w:pPr>
        <w:pStyle w:val="24"/>
        <w:shd w:val="clear"/>
        <w:spacing w:after="120"/>
        <w:rPr>
          <w:color w:val="auto"/>
          <w:highlight w:val="none"/>
        </w:rPr>
      </w:pPr>
    </w:p>
    <w:p w14:paraId="28E23EBB">
      <w:pPr>
        <w:pStyle w:val="24"/>
        <w:shd w:val="clear"/>
        <w:spacing w:after="120"/>
        <w:rPr>
          <w:color w:val="auto"/>
          <w:highlight w:val="none"/>
        </w:rPr>
      </w:pPr>
    </w:p>
    <w:p w14:paraId="38259424">
      <w:pPr>
        <w:pStyle w:val="24"/>
        <w:shd w:val="clear"/>
        <w:spacing w:after="120"/>
        <w:rPr>
          <w:color w:val="auto"/>
          <w:highlight w:val="none"/>
        </w:rPr>
      </w:pPr>
    </w:p>
    <w:p w14:paraId="613D1E37">
      <w:pPr>
        <w:shd w:val="clear"/>
        <w:adjustRightInd/>
        <w:spacing w:line="360" w:lineRule="auto"/>
        <w:ind w:left="1680" w:leftChars="800"/>
        <w:rPr>
          <w:color w:val="auto"/>
          <w:sz w:val="28"/>
          <w:szCs w:val="28"/>
          <w:highlight w:val="none"/>
        </w:rPr>
      </w:pPr>
      <w:r>
        <w:rPr>
          <w:rFonts w:hint="eastAsia" w:ascii="宋体" w:hAnsi="宋体" w:cs="宋体"/>
          <w:color w:val="auto"/>
          <w:kern w:val="0"/>
          <w:sz w:val="28"/>
          <w:szCs w:val="28"/>
          <w:highlight w:val="none"/>
        </w:rPr>
        <w:t>项目名称：</w:t>
      </w:r>
      <w:r>
        <w:rPr>
          <w:color w:val="auto"/>
          <w:sz w:val="28"/>
          <w:szCs w:val="28"/>
          <w:highlight w:val="none"/>
          <w:u w:val="single"/>
        </w:rPr>
        <w:t xml:space="preserve">                             </w:t>
      </w:r>
    </w:p>
    <w:p w14:paraId="5794C46A">
      <w:pPr>
        <w:shd w:val="clear"/>
        <w:adjustRightInd/>
        <w:spacing w:line="360" w:lineRule="auto"/>
        <w:ind w:left="1680" w:leftChars="800"/>
        <w:rPr>
          <w:color w:val="auto"/>
          <w:sz w:val="28"/>
          <w:szCs w:val="28"/>
          <w:highlight w:val="none"/>
          <w:u w:val="single"/>
        </w:rPr>
      </w:pPr>
      <w:r>
        <w:rPr>
          <w:rFonts w:hint="eastAsia"/>
          <w:color w:val="auto"/>
          <w:sz w:val="28"/>
          <w:szCs w:val="28"/>
          <w:highlight w:val="none"/>
        </w:rPr>
        <w:t>合同编号：</w:t>
      </w:r>
      <w:r>
        <w:rPr>
          <w:color w:val="auto"/>
          <w:sz w:val="28"/>
          <w:szCs w:val="28"/>
          <w:highlight w:val="none"/>
          <w:u w:val="single"/>
        </w:rPr>
        <w:t xml:space="preserve">                             </w:t>
      </w:r>
    </w:p>
    <w:p w14:paraId="5D16679C">
      <w:pPr>
        <w:shd w:val="clear"/>
        <w:adjustRightInd/>
        <w:spacing w:line="360" w:lineRule="auto"/>
        <w:ind w:left="1680" w:leftChars="800"/>
        <w:rPr>
          <w:color w:val="auto"/>
          <w:sz w:val="28"/>
          <w:szCs w:val="28"/>
          <w:highlight w:val="none"/>
        </w:rPr>
      </w:pPr>
      <w:r>
        <w:rPr>
          <w:rFonts w:hint="eastAsia"/>
          <w:color w:val="auto"/>
          <w:sz w:val="28"/>
          <w:szCs w:val="28"/>
          <w:highlight w:val="none"/>
        </w:rPr>
        <w:t>甲</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19061DF5">
      <w:pPr>
        <w:shd w:val="clear"/>
        <w:adjustRightInd/>
        <w:spacing w:line="360" w:lineRule="auto"/>
        <w:ind w:left="1680" w:leftChars="800"/>
        <w:rPr>
          <w:color w:val="auto"/>
          <w:sz w:val="28"/>
          <w:szCs w:val="28"/>
          <w:highlight w:val="none"/>
          <w:u w:val="single"/>
        </w:rPr>
      </w:pPr>
      <w:r>
        <w:rPr>
          <w:rFonts w:hint="eastAsia"/>
          <w:color w:val="auto"/>
          <w:sz w:val="28"/>
          <w:szCs w:val="28"/>
          <w:highlight w:val="none"/>
        </w:rPr>
        <w:t>乙</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7C848D12">
      <w:pPr>
        <w:shd w:val="clear"/>
        <w:adjustRightInd/>
        <w:spacing w:line="360" w:lineRule="auto"/>
        <w:ind w:left="1680" w:leftChars="800"/>
        <w:rPr>
          <w:rFonts w:hint="eastAsia" w:eastAsia="宋体"/>
          <w:color w:val="auto"/>
          <w:sz w:val="28"/>
          <w:szCs w:val="28"/>
          <w:highlight w:val="none"/>
          <w:u w:val="none"/>
          <w:lang w:val="en-US" w:eastAsia="zh-CN"/>
        </w:rPr>
      </w:pPr>
      <w:r>
        <w:rPr>
          <w:rFonts w:hint="eastAsia"/>
          <w:color w:val="auto"/>
          <w:sz w:val="28"/>
          <w:szCs w:val="28"/>
          <w:highlight w:val="none"/>
          <w:u w:val="none"/>
          <w:lang w:val="en-US" w:eastAsia="zh-CN"/>
        </w:rPr>
        <w:t>日    期：</w:t>
      </w:r>
      <w:r>
        <w:rPr>
          <w:color w:val="auto"/>
          <w:sz w:val="28"/>
          <w:szCs w:val="28"/>
          <w:highlight w:val="none"/>
          <w:u w:val="single"/>
        </w:rPr>
        <w:t xml:space="preserve">                             </w:t>
      </w:r>
    </w:p>
    <w:p w14:paraId="1B43691A">
      <w:pPr>
        <w:pStyle w:val="633"/>
        <w:shd w:val="clear"/>
        <w:rPr>
          <w:color w:val="auto"/>
          <w:sz w:val="21"/>
          <w:szCs w:val="21"/>
          <w:highlight w:val="none"/>
        </w:rPr>
      </w:pPr>
    </w:p>
    <w:p w14:paraId="1906EB27">
      <w:pPr>
        <w:pStyle w:val="633"/>
        <w:shd w:val="clear"/>
        <w:rPr>
          <w:color w:val="auto"/>
          <w:sz w:val="21"/>
          <w:szCs w:val="21"/>
          <w:highlight w:val="none"/>
        </w:rPr>
      </w:pPr>
    </w:p>
    <w:p w14:paraId="47CAE107">
      <w:pPr>
        <w:pStyle w:val="633"/>
        <w:shd w:val="clear"/>
        <w:rPr>
          <w:color w:val="auto"/>
          <w:sz w:val="21"/>
          <w:szCs w:val="21"/>
          <w:highlight w:val="none"/>
        </w:rPr>
      </w:pPr>
    </w:p>
    <w:p w14:paraId="51E234E2">
      <w:pPr>
        <w:pStyle w:val="633"/>
        <w:shd w:val="clear"/>
        <w:rPr>
          <w:color w:val="auto"/>
          <w:sz w:val="21"/>
          <w:szCs w:val="21"/>
          <w:highlight w:val="none"/>
        </w:rPr>
      </w:pPr>
    </w:p>
    <w:p w14:paraId="3D186CB7">
      <w:pPr>
        <w:pStyle w:val="633"/>
        <w:shd w:val="clear"/>
        <w:jc w:val="center"/>
        <w:rPr>
          <w:rFonts w:ascii="宋体" w:hAnsi="宋体" w:cs="宋体"/>
          <w:b/>
          <w:color w:val="auto"/>
          <w:sz w:val="24"/>
          <w:szCs w:val="24"/>
          <w:highlight w:val="none"/>
        </w:rPr>
      </w:pPr>
      <w:r>
        <w:rPr>
          <w:color w:val="auto"/>
          <w:sz w:val="21"/>
          <w:szCs w:val="21"/>
          <w:highlight w:val="none"/>
        </w:rPr>
        <w:br w:type="page"/>
      </w:r>
      <w:bookmarkStart w:id="54" w:name="_Toc22209"/>
      <w:r>
        <w:rPr>
          <w:rFonts w:hint="eastAsia" w:ascii="宋体" w:hAnsi="宋体"/>
          <w:b/>
          <w:color w:val="auto"/>
          <w:sz w:val="24"/>
          <w:szCs w:val="24"/>
          <w:highlight w:val="none"/>
        </w:rPr>
        <w:t>第一节 政府采购合同协议书</w:t>
      </w:r>
      <w:bookmarkEnd w:id="54"/>
    </w:p>
    <w:p w14:paraId="465CE70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年</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月</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日</w:t>
      </w:r>
      <w:r>
        <w:rPr>
          <w:rFonts w:hint="eastAsia" w:ascii="宋体" w:hAnsi="宋体"/>
          <w:color w:val="auto"/>
          <w:sz w:val="24"/>
          <w:szCs w:val="24"/>
          <w:highlight w:val="none"/>
        </w:rPr>
        <w:t>，</w:t>
      </w:r>
      <w:r>
        <w:rPr>
          <w:rFonts w:hint="eastAsia" w:ascii="宋体" w:hAnsi="宋体"/>
          <w:color w:val="auto"/>
          <w:sz w:val="24"/>
          <w:szCs w:val="24"/>
          <w:highlight w:val="none"/>
          <w:u w:val="none"/>
          <w:lang w:eastAsia="zh-CN"/>
        </w:rPr>
        <w:t>北海市旅游文体局</w:t>
      </w:r>
      <w:r>
        <w:rPr>
          <w:rFonts w:hint="eastAsia" w:ascii="宋体" w:hAnsi="宋体"/>
          <w:color w:val="auto"/>
          <w:sz w:val="24"/>
          <w:szCs w:val="24"/>
          <w:highlight w:val="none"/>
          <w:u w:val="none"/>
        </w:rPr>
        <w:t>以</w:t>
      </w:r>
      <w:r>
        <w:rPr>
          <w:rFonts w:hint="eastAsia" w:ascii="宋体" w:hAnsi="宋体"/>
          <w:color w:val="auto"/>
          <w:sz w:val="24"/>
          <w:szCs w:val="24"/>
          <w:highlight w:val="none"/>
          <w:u w:val="none"/>
          <w:lang w:val="en-US" w:eastAsia="zh-CN"/>
        </w:rPr>
        <w:t>竞争性磋商方式</w:t>
      </w:r>
      <w:r>
        <w:rPr>
          <w:rFonts w:hint="eastAsia" w:ascii="宋体" w:hAnsi="宋体"/>
          <w:color w:val="auto"/>
          <w:sz w:val="24"/>
          <w:szCs w:val="24"/>
          <w:highlight w:val="none"/>
          <w:u w:val="none"/>
        </w:rPr>
        <w:t>对</w:t>
      </w:r>
      <w:r>
        <w:rPr>
          <w:rFonts w:hint="eastAsia" w:ascii="宋体" w:hAnsi="宋体"/>
          <w:color w:val="auto"/>
          <w:sz w:val="24"/>
          <w:szCs w:val="24"/>
          <w:highlight w:val="none"/>
          <w:u w:val="none"/>
          <w:lang w:eastAsia="zh-CN"/>
        </w:rPr>
        <w:t>广西壮族自治区第十六届运动会竞技体育项目（武术散打）竞赛服务采购</w:t>
      </w:r>
      <w:r>
        <w:rPr>
          <w:rFonts w:hint="eastAsia" w:ascii="宋体" w:hAnsi="宋体"/>
          <w:color w:val="auto"/>
          <w:sz w:val="24"/>
          <w:szCs w:val="24"/>
          <w:highlight w:val="none"/>
          <w:u w:val="none"/>
        </w:rPr>
        <w:t>进行了采购。经</w:t>
      </w:r>
      <w:r>
        <w:rPr>
          <w:rFonts w:hint="eastAsia" w:ascii="宋体" w:hAnsi="宋体"/>
          <w:color w:val="auto"/>
          <w:sz w:val="24"/>
          <w:szCs w:val="24"/>
          <w:highlight w:val="none"/>
          <w:u w:val="none"/>
          <w:lang w:val="en-US" w:eastAsia="zh-CN"/>
        </w:rPr>
        <w:t>磋商小组</w:t>
      </w:r>
      <w:r>
        <w:rPr>
          <w:rFonts w:hint="eastAsia" w:ascii="宋体" w:hAnsi="宋体"/>
          <w:color w:val="auto"/>
          <w:sz w:val="24"/>
          <w:szCs w:val="24"/>
          <w:highlight w:val="none"/>
          <w:u w:val="none"/>
        </w:rPr>
        <w:t>评定，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供应商名称） </w:t>
      </w:r>
      <w:r>
        <w:rPr>
          <w:rFonts w:hint="eastAsia" w:ascii="宋体" w:hAnsi="宋体"/>
          <w:color w:val="auto"/>
          <w:sz w:val="24"/>
          <w:szCs w:val="24"/>
          <w:highlight w:val="none"/>
        </w:rPr>
        <w:t>为该项目</w:t>
      </w:r>
      <w:r>
        <w:rPr>
          <w:rFonts w:hint="eastAsia" w:ascii="宋体" w:hAnsi="宋体" w:cs="宋体"/>
          <w:color w:val="auto"/>
          <w:sz w:val="24"/>
          <w:szCs w:val="24"/>
          <w:highlight w:val="none"/>
        </w:rPr>
        <w:t>成交供应商</w:t>
      </w:r>
      <w:r>
        <w:rPr>
          <w:rFonts w:hint="eastAsia" w:ascii="宋体" w:hAnsi="宋体"/>
          <w:color w:val="auto"/>
          <w:sz w:val="24"/>
          <w:szCs w:val="24"/>
          <w:highlight w:val="none"/>
        </w:rPr>
        <w:t>。现于</w:t>
      </w:r>
      <w:r>
        <w:rPr>
          <w:rFonts w:hint="eastAsia" w:ascii="宋体" w:hAnsi="宋体" w:cs="宋体"/>
          <w:color w:val="auto"/>
          <w:sz w:val="24"/>
          <w:szCs w:val="24"/>
          <w:highlight w:val="none"/>
        </w:rPr>
        <w:t>成交通知书</w:t>
      </w:r>
      <w:r>
        <w:rPr>
          <w:rFonts w:hint="eastAsia" w:ascii="宋体" w:hAnsi="宋体"/>
          <w:color w:val="auto"/>
          <w:sz w:val="24"/>
          <w:szCs w:val="24"/>
          <w:highlight w:val="none"/>
        </w:rPr>
        <w:t>发出之日起</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个</w:t>
      </w:r>
      <w:r>
        <w:rPr>
          <w:rFonts w:hint="eastAsia" w:ascii="宋体" w:hAnsi="宋体"/>
          <w:color w:val="auto"/>
          <w:sz w:val="24"/>
          <w:szCs w:val="24"/>
          <w:highlight w:val="none"/>
          <w:lang w:val="en-US" w:eastAsia="zh-CN"/>
        </w:rPr>
        <w:t>日历日</w:t>
      </w:r>
      <w:r>
        <w:rPr>
          <w:rFonts w:hint="eastAsia" w:ascii="宋体" w:hAnsi="宋体"/>
          <w:color w:val="auto"/>
          <w:sz w:val="24"/>
          <w:szCs w:val="24"/>
          <w:highlight w:val="none"/>
        </w:rPr>
        <w:t>内，按照采购文件确定的事项签订本合同。</w:t>
      </w:r>
    </w:p>
    <w:p w14:paraId="2C81EF68">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zh-CN"/>
        </w:rPr>
        <w:t>根据《中华人民共和国民法典》《中华人民共和国政府采购法》等相关法律法规之规定，按照平等、自愿、公平和诚实信用的原则，经</w:t>
      </w:r>
      <w:r>
        <w:rPr>
          <w:rFonts w:hint="eastAsia" w:ascii="宋体" w:hAnsi="宋体"/>
          <w:color w:val="auto"/>
          <w:sz w:val="24"/>
          <w:szCs w:val="24"/>
          <w:highlight w:val="none"/>
          <w:lang w:val="zh-CN" w:eastAsia="zh-CN"/>
        </w:rPr>
        <w:t>北海市旅游文体局</w:t>
      </w:r>
      <w:r>
        <w:rPr>
          <w:rFonts w:ascii="宋体" w:hAnsi="宋体"/>
          <w:color w:val="auto"/>
          <w:sz w:val="24"/>
          <w:szCs w:val="24"/>
          <w:highlight w:val="none"/>
          <w:lang w:val="zh-CN"/>
        </w:rPr>
        <w:t>(以下简称：甲方)和</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标供应商名称）   </w:t>
      </w:r>
      <w:r>
        <w:rPr>
          <w:rFonts w:ascii="宋体" w:hAnsi="宋体"/>
          <w:color w:val="auto"/>
          <w:sz w:val="24"/>
          <w:szCs w:val="24"/>
          <w:highlight w:val="none"/>
          <w:lang w:val="zh-CN"/>
        </w:rPr>
        <w:t>(以下简称：乙方)协商一致，约定以下合同</w:t>
      </w:r>
      <w:r>
        <w:rPr>
          <w:rFonts w:hint="eastAsia" w:ascii="宋体" w:hAnsi="宋体"/>
          <w:color w:val="auto"/>
          <w:sz w:val="24"/>
          <w:szCs w:val="24"/>
          <w:highlight w:val="none"/>
        </w:rPr>
        <w:t>条款，以兹共同遵守、全面履行。</w:t>
      </w:r>
    </w:p>
    <w:p w14:paraId="776C3CA0">
      <w:pPr>
        <w:shd w:val="clear"/>
        <w:spacing w:line="360" w:lineRule="auto"/>
        <w:ind w:firstLine="482" w:firstLineChars="200"/>
        <w:rPr>
          <w:rFonts w:ascii="宋体" w:hAnsi="宋体"/>
          <w:color w:val="auto"/>
          <w:sz w:val="24"/>
          <w:szCs w:val="24"/>
          <w:highlight w:val="none"/>
        </w:rPr>
      </w:pPr>
      <w:bookmarkStart w:id="55" w:name="_Toc22967"/>
      <w:bookmarkStart w:id="56" w:name="_Toc15367"/>
      <w:bookmarkStart w:id="57" w:name="_Toc20421"/>
      <w:bookmarkStart w:id="58" w:name="_Toc19273"/>
      <w:bookmarkStart w:id="59" w:name="_Toc28855"/>
      <w:r>
        <w:rPr>
          <w:rFonts w:ascii="宋体" w:hAnsi="宋体"/>
          <w:b/>
          <w:color w:val="auto"/>
          <w:sz w:val="24"/>
          <w:szCs w:val="24"/>
          <w:highlight w:val="none"/>
        </w:rPr>
        <w:t xml:space="preserve">1.1 </w:t>
      </w:r>
      <w:r>
        <w:rPr>
          <w:rFonts w:hint="eastAsia" w:ascii="宋体" w:hAnsi="宋体"/>
          <w:b/>
          <w:color w:val="auto"/>
          <w:sz w:val="24"/>
          <w:szCs w:val="24"/>
          <w:highlight w:val="none"/>
        </w:rPr>
        <w:t>合同组成部分</w:t>
      </w:r>
      <w:bookmarkEnd w:id="55"/>
      <w:bookmarkEnd w:id="56"/>
      <w:bookmarkEnd w:id="57"/>
      <w:bookmarkEnd w:id="58"/>
      <w:bookmarkEnd w:id="59"/>
    </w:p>
    <w:p w14:paraId="28B60A58">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5A47C5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1.1.1 </w:t>
      </w:r>
      <w:r>
        <w:rPr>
          <w:rFonts w:hint="eastAsia" w:ascii="宋体" w:hAnsi="宋体"/>
          <w:color w:val="auto"/>
          <w:sz w:val="24"/>
          <w:szCs w:val="24"/>
          <w:highlight w:val="none"/>
        </w:rPr>
        <w:t>本合同及其补充合同、变更协议；</w:t>
      </w:r>
    </w:p>
    <w:p w14:paraId="58DD55C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1.1.2 </w:t>
      </w:r>
      <w:r>
        <w:rPr>
          <w:rFonts w:hint="eastAsia" w:ascii="宋体" w:hAnsi="宋体"/>
          <w:color w:val="auto"/>
          <w:sz w:val="24"/>
          <w:szCs w:val="24"/>
          <w:highlight w:val="none"/>
        </w:rPr>
        <w:t>成交通知书；</w:t>
      </w:r>
    </w:p>
    <w:p w14:paraId="77DCE53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1.1.3 </w:t>
      </w:r>
      <w:r>
        <w:rPr>
          <w:rFonts w:hint="eastAsia" w:ascii="宋体" w:hAnsi="宋体"/>
          <w:color w:val="auto"/>
          <w:sz w:val="24"/>
          <w:szCs w:val="24"/>
          <w:highlight w:val="none"/>
        </w:rPr>
        <w:t>响应文件（含澄清或者说明文件）；</w:t>
      </w:r>
    </w:p>
    <w:p w14:paraId="2590818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1.1.4 </w:t>
      </w:r>
      <w:r>
        <w:rPr>
          <w:rFonts w:hint="eastAsia" w:ascii="宋体" w:hAnsi="宋体"/>
          <w:color w:val="auto"/>
          <w:sz w:val="24"/>
          <w:szCs w:val="24"/>
          <w:highlight w:val="none"/>
        </w:rPr>
        <w:t>采购文件（含澄清或者修改文件）；</w:t>
      </w:r>
    </w:p>
    <w:p w14:paraId="113D83C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1.1.5 </w:t>
      </w:r>
      <w:r>
        <w:rPr>
          <w:rFonts w:hint="eastAsia" w:ascii="宋体" w:hAnsi="宋体"/>
          <w:color w:val="auto"/>
          <w:sz w:val="24"/>
          <w:szCs w:val="24"/>
          <w:highlight w:val="none"/>
        </w:rPr>
        <w:t>其他相关采购文件。</w:t>
      </w:r>
    </w:p>
    <w:p w14:paraId="5CF8DAEA">
      <w:pPr>
        <w:shd w:val="clear"/>
        <w:spacing w:line="360" w:lineRule="auto"/>
        <w:ind w:firstLine="482" w:firstLineChars="200"/>
        <w:rPr>
          <w:rFonts w:ascii="宋体" w:hAnsi="宋体"/>
          <w:b/>
          <w:color w:val="auto"/>
          <w:sz w:val="24"/>
          <w:szCs w:val="24"/>
          <w:highlight w:val="none"/>
        </w:rPr>
      </w:pPr>
      <w:bookmarkStart w:id="60" w:name="_Toc6311"/>
      <w:bookmarkStart w:id="61" w:name="_Toc18585"/>
      <w:bookmarkStart w:id="62" w:name="_Toc22185"/>
      <w:bookmarkStart w:id="63" w:name="_Toc6773"/>
      <w:bookmarkStart w:id="64" w:name="_Toc2918"/>
      <w:r>
        <w:rPr>
          <w:rFonts w:ascii="宋体" w:hAnsi="宋体"/>
          <w:b/>
          <w:color w:val="auto"/>
          <w:sz w:val="24"/>
          <w:szCs w:val="24"/>
          <w:highlight w:val="none"/>
        </w:rPr>
        <w:t xml:space="preserve">1.2 </w:t>
      </w:r>
      <w:r>
        <w:rPr>
          <w:rFonts w:hint="eastAsia" w:ascii="宋体" w:hAnsi="宋体"/>
          <w:b/>
          <w:color w:val="auto"/>
          <w:sz w:val="24"/>
          <w:szCs w:val="24"/>
          <w:highlight w:val="none"/>
        </w:rPr>
        <w:t>标的</w:t>
      </w:r>
      <w:bookmarkEnd w:id="60"/>
      <w:bookmarkEnd w:id="61"/>
      <w:bookmarkEnd w:id="62"/>
      <w:bookmarkEnd w:id="63"/>
      <w:bookmarkEnd w:id="64"/>
    </w:p>
    <w:p w14:paraId="3BCFFD45">
      <w:pPr>
        <w:shd w:val="clear"/>
        <w:spacing w:line="360" w:lineRule="auto"/>
        <w:ind w:firstLine="480" w:firstLineChars="200"/>
        <w:rPr>
          <w:rFonts w:hint="eastAsia" w:ascii="宋体" w:hAnsi="宋体" w:eastAsia="宋体"/>
          <w:color w:val="auto"/>
          <w:sz w:val="24"/>
          <w:szCs w:val="24"/>
          <w:highlight w:val="none"/>
          <w:u w:val="single"/>
          <w:lang w:eastAsia="zh-CN"/>
        </w:rPr>
      </w:pPr>
      <w:r>
        <w:rPr>
          <w:rFonts w:ascii="宋体" w:hAnsi="宋体"/>
          <w:color w:val="auto"/>
          <w:sz w:val="24"/>
          <w:szCs w:val="24"/>
          <w:highlight w:val="none"/>
        </w:rPr>
        <w:t xml:space="preserve">1.2.1 </w:t>
      </w:r>
      <w:r>
        <w:rPr>
          <w:rFonts w:hint="eastAsia" w:ascii="宋体" w:hAnsi="宋体"/>
          <w:color w:val="auto"/>
          <w:sz w:val="24"/>
          <w:szCs w:val="24"/>
          <w:highlight w:val="none"/>
        </w:rPr>
        <w:t>服务内容</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lang w:eastAsia="zh-CN"/>
        </w:rPr>
        <w:t>。</w:t>
      </w:r>
    </w:p>
    <w:p w14:paraId="7BC699C4">
      <w:pPr>
        <w:shd w:val="clear"/>
        <w:spacing w:line="360" w:lineRule="auto"/>
        <w:ind w:firstLine="480" w:firstLineChars="200"/>
        <w:rPr>
          <w:rFonts w:ascii="宋体" w:hAnsi="宋体" w:eastAsia="宋体" w:cs="Times New Roman"/>
          <w:b w:val="0"/>
          <w:bCs w:val="0"/>
          <w:color w:val="auto"/>
          <w:kern w:val="2"/>
          <w:sz w:val="24"/>
          <w:szCs w:val="24"/>
          <w:highlight w:val="none"/>
          <w:u w:val="single"/>
          <w:lang w:val="en-US" w:eastAsia="zh-CN" w:bidi="ar-SA"/>
        </w:rPr>
      </w:pPr>
      <w:r>
        <w:rPr>
          <w:rFonts w:ascii="宋体" w:hAnsi="宋体"/>
          <w:color w:val="auto"/>
          <w:sz w:val="24"/>
          <w:szCs w:val="24"/>
          <w:highlight w:val="none"/>
        </w:rPr>
        <w:t xml:space="preserve">1.2.2 </w:t>
      </w:r>
      <w:r>
        <w:rPr>
          <w:rFonts w:hint="eastAsia" w:ascii="宋体" w:hAnsi="宋体"/>
          <w:color w:val="auto"/>
          <w:sz w:val="24"/>
          <w:szCs w:val="24"/>
          <w:highlight w:val="none"/>
        </w:rPr>
        <w:t>服务标准</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eastAsia="宋体" w:cs="Times New Roman"/>
          <w:b w:val="0"/>
          <w:bCs w:val="0"/>
          <w:color w:val="auto"/>
          <w:kern w:val="2"/>
          <w:sz w:val="24"/>
          <w:szCs w:val="24"/>
          <w:highlight w:val="none"/>
          <w:u w:val="single"/>
          <w:lang w:val="en-US" w:eastAsia="zh-CN" w:bidi="ar-SA"/>
        </w:rPr>
        <w:t>。</w:t>
      </w:r>
    </w:p>
    <w:p w14:paraId="1D1CDED8">
      <w:pPr>
        <w:shd w:val="clea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 xml:space="preserve"> 服务人员组成：</w:t>
      </w:r>
      <w:r>
        <w:rPr>
          <w:rFonts w:hint="eastAsia" w:ascii="宋体" w:hAnsi="宋体"/>
          <w:color w:val="auto"/>
          <w:sz w:val="24"/>
          <w:szCs w:val="24"/>
          <w:highlight w:val="none"/>
          <w:u w:val="single"/>
          <w:lang w:val="en-US" w:eastAsia="zh-CN"/>
        </w:rPr>
        <w:t>项目负责人：         ；身份证号码：      联系方式：</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1A49617">
      <w:pPr>
        <w:shd w:val="clear"/>
        <w:spacing w:line="360" w:lineRule="auto"/>
        <w:ind w:firstLine="480" w:firstLineChars="200"/>
        <w:jc w:val="left"/>
        <w:rPr>
          <w:rFonts w:hint="eastAsia" w:ascii="宋体" w:hAnsi="宋体"/>
          <w:color w:val="auto"/>
          <w:sz w:val="24"/>
          <w:szCs w:val="24"/>
          <w:highlight w:val="none"/>
          <w:lang w:eastAsia="zh-CN"/>
        </w:rPr>
      </w:pPr>
      <w:r>
        <w:rPr>
          <w:rFonts w:hint="eastAsia" w:ascii="宋体" w:hAnsi="宋体" w:eastAsia="宋体" w:cs="宋体"/>
          <w:color w:val="auto"/>
          <w:sz w:val="24"/>
          <w:szCs w:val="24"/>
          <w:highlight w:val="none"/>
          <w:lang w:eastAsia="zh-CN"/>
        </w:rPr>
        <w:t>……</w:t>
      </w:r>
    </w:p>
    <w:p w14:paraId="5FB9A479">
      <w:pPr>
        <w:shd w:val="clear"/>
        <w:spacing w:line="360" w:lineRule="auto"/>
        <w:ind w:firstLine="480" w:firstLineChars="200"/>
        <w:jc w:val="left"/>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1.2.</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合同</w:t>
      </w:r>
      <w:r>
        <w:rPr>
          <w:rFonts w:hint="eastAsia" w:ascii="宋体" w:hAnsi="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（是/否）涉及货物。</w:t>
      </w:r>
      <w:bookmarkStart w:id="65" w:name="_Toc4929"/>
      <w:bookmarkStart w:id="66" w:name="_Toc1386"/>
      <w:bookmarkStart w:id="67" w:name="_Toc13918"/>
      <w:bookmarkStart w:id="68" w:name="_Toc21124"/>
      <w:bookmarkStart w:id="69" w:name="_Toc5635"/>
    </w:p>
    <w:p w14:paraId="4D9C4241">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1.3 价款</w:t>
      </w:r>
      <w:bookmarkEnd w:id="65"/>
      <w:bookmarkEnd w:id="66"/>
      <w:bookmarkEnd w:id="67"/>
      <w:bookmarkEnd w:id="68"/>
      <w:bookmarkEnd w:id="69"/>
    </w:p>
    <w:p w14:paraId="3DFD5F3C">
      <w:pPr>
        <w:shd w:val="clear"/>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rPr>
        <w:t>本项目采用以下第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1.3.1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条款规定的计价方式计价。</w:t>
      </w:r>
    </w:p>
    <w:p w14:paraId="53D68324">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1.3.1总价合同，</w:t>
      </w:r>
      <w:r>
        <w:rPr>
          <w:rFonts w:ascii="宋体" w:hAnsi="宋体"/>
          <w:color w:val="auto"/>
          <w:sz w:val="24"/>
          <w:szCs w:val="24"/>
          <w:highlight w:val="none"/>
        </w:rPr>
        <w:t>本合同总价</w:t>
      </w:r>
      <w:r>
        <w:rPr>
          <w:rFonts w:hint="eastAsia" w:ascii="宋体" w:hAnsi="宋体"/>
          <w:color w:val="auto"/>
          <w:sz w:val="24"/>
          <w:szCs w:val="24"/>
          <w:highlight w:val="none"/>
        </w:rPr>
        <w:t>（含税）</w:t>
      </w:r>
      <w:r>
        <w:rPr>
          <w:rFonts w:ascii="宋体" w:hAnsi="宋体"/>
          <w:color w:val="auto"/>
          <w:sz w:val="24"/>
          <w:szCs w:val="24"/>
          <w:highlight w:val="none"/>
        </w:rPr>
        <w:t>为</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hint="eastAsia" w:ascii="宋体" w:hAnsi="宋体"/>
          <w:color w:val="auto"/>
          <w:sz w:val="24"/>
          <w:szCs w:val="24"/>
          <w:highlight w:val="none"/>
        </w:rPr>
        <w:t>（大写：</w:t>
      </w:r>
      <w:r>
        <w:rPr>
          <w:rFonts w:ascii="宋体" w:hAnsi="宋体"/>
          <w:color w:val="auto"/>
          <w:sz w:val="24"/>
          <w:szCs w:val="24"/>
          <w:highlight w:val="none"/>
          <w:u w:val="single"/>
        </w:rPr>
        <w:t xml:space="preserve">                 </w:t>
      </w:r>
      <w:r>
        <w:rPr>
          <w:rFonts w:hint="eastAsia" w:ascii="宋体" w:hAnsi="宋体"/>
          <w:color w:val="auto"/>
          <w:sz w:val="24"/>
          <w:szCs w:val="24"/>
          <w:highlight w:val="none"/>
        </w:rPr>
        <w:t>元人民币）</w:t>
      </w:r>
      <w:r>
        <w:rPr>
          <w:rFonts w:ascii="宋体" w:hAnsi="宋体"/>
          <w:color w:val="auto"/>
          <w:sz w:val="24"/>
          <w:szCs w:val="24"/>
          <w:highlight w:val="none"/>
        </w:rPr>
        <w:t>。</w:t>
      </w:r>
    </w:p>
    <w:p w14:paraId="6E7E2253">
      <w:pPr>
        <w:shd w:val="clea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分项价格：</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B2A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0AE39C3">
            <w:pPr>
              <w:pStyle w:val="623"/>
              <w:keepNext w:val="0"/>
              <w:keepLines w:val="0"/>
              <w:suppressLineNumbers w:val="0"/>
              <w:shd w:val="clear"/>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序号</w:t>
            </w:r>
          </w:p>
        </w:tc>
        <w:tc>
          <w:tcPr>
            <w:tcW w:w="3402" w:type="dxa"/>
            <w:noWrap w:val="0"/>
            <w:vAlign w:val="center"/>
          </w:tcPr>
          <w:p w14:paraId="27872A75">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分项名称</w:t>
            </w:r>
          </w:p>
        </w:tc>
        <w:tc>
          <w:tcPr>
            <w:tcW w:w="2552" w:type="dxa"/>
            <w:noWrap w:val="0"/>
            <w:vAlign w:val="center"/>
          </w:tcPr>
          <w:p w14:paraId="2BB82512">
            <w:pPr>
              <w:pStyle w:val="623"/>
              <w:keepNext w:val="0"/>
              <w:keepLines w:val="0"/>
              <w:suppressLineNumbers w:val="0"/>
              <w:shd w:val="clear"/>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分项价格</w:t>
            </w:r>
          </w:p>
        </w:tc>
      </w:tr>
      <w:tr w14:paraId="6120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DEF2C1F">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2344021B">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3390BA05">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1CD9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6CC244E">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201A180">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60CC3D01">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4A9E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192250A">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3414CB2D">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533C51EB">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79A3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25E9746">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90D93C2">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714821C2">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25F7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446023DF">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总价</w:t>
            </w:r>
          </w:p>
        </w:tc>
        <w:tc>
          <w:tcPr>
            <w:tcW w:w="2552" w:type="dxa"/>
            <w:noWrap w:val="0"/>
            <w:vAlign w:val="center"/>
          </w:tcPr>
          <w:p w14:paraId="56A6FBB4">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bl>
    <w:p w14:paraId="30EC00B2">
      <w:pPr>
        <w:shd w:val="clear"/>
        <w:spacing w:line="360" w:lineRule="auto"/>
        <w:ind w:firstLine="480" w:firstLineChars="200"/>
        <w:rPr>
          <w:rFonts w:ascii="宋体" w:hAnsi="宋体"/>
          <w:color w:val="auto"/>
          <w:sz w:val="24"/>
          <w:szCs w:val="24"/>
          <w:highlight w:val="none"/>
        </w:rPr>
      </w:pPr>
      <w:bookmarkStart w:id="70" w:name="_Toc14993"/>
      <w:bookmarkStart w:id="71" w:name="_Toc30158"/>
      <w:bookmarkStart w:id="72" w:name="_Toc26916"/>
      <w:bookmarkStart w:id="73" w:name="_Toc3654"/>
      <w:bookmarkStart w:id="74" w:name="_Toc30506"/>
      <w:r>
        <w:rPr>
          <w:rFonts w:hint="eastAsia" w:ascii="宋体" w:hAnsi="宋体"/>
          <w:bCs/>
          <w:color w:val="auto"/>
          <w:sz w:val="24"/>
          <w:szCs w:val="24"/>
          <w:highlight w:val="none"/>
        </w:rPr>
        <w:t>1.3.2单价合同，本合同单价（含税）标准为：</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u w:val="single"/>
          <w:lang w:val="en-US" w:eastAsia="zh-CN"/>
        </w:rPr>
        <w:t xml:space="preserve">   </w:t>
      </w:r>
      <w:r>
        <w:rPr>
          <w:rFonts w:ascii="宋体" w:hAnsi="宋体"/>
          <w:color w:val="auto"/>
          <w:sz w:val="24"/>
          <w:szCs w:val="24"/>
          <w:highlight w:val="none"/>
        </w:rPr>
        <w:t>。</w:t>
      </w:r>
      <w:r>
        <w:rPr>
          <w:rFonts w:hint="eastAsia" w:ascii="宋体" w:hAnsi="宋体"/>
          <w:color w:val="auto"/>
          <w:sz w:val="24"/>
          <w:szCs w:val="24"/>
          <w:highlight w:val="none"/>
        </w:rPr>
        <w:t>服务工作量的计量方式为：</w:t>
      </w:r>
      <w:r>
        <w:rPr>
          <w:rFonts w:hint="eastAsia" w:ascii="宋体" w:hAnsi="宋体"/>
          <w:bCs/>
          <w:color w:val="auto"/>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bCs/>
          <w:color w:val="auto"/>
          <w:sz w:val="24"/>
          <w:szCs w:val="24"/>
          <w:highlight w:val="none"/>
          <w:u w:val="single"/>
        </w:rPr>
        <w:t xml:space="preserve">  </w:t>
      </w:r>
      <w:r>
        <w:rPr>
          <w:rFonts w:ascii="宋体" w:hAnsi="宋体"/>
          <w:color w:val="auto"/>
          <w:sz w:val="24"/>
          <w:szCs w:val="24"/>
          <w:highlight w:val="none"/>
        </w:rPr>
        <w:t>。</w:t>
      </w:r>
    </w:p>
    <w:p w14:paraId="436DC59C">
      <w:pPr>
        <w:pStyle w:val="633"/>
        <w:shd w:val="clear"/>
        <w:rPr>
          <w:color w:val="auto"/>
          <w:sz w:val="24"/>
          <w:szCs w:val="24"/>
          <w:highlight w:val="none"/>
        </w:rPr>
      </w:pPr>
      <w:r>
        <w:rPr>
          <w:rFonts w:hint="eastAsia"/>
          <w:color w:val="auto"/>
          <w:sz w:val="24"/>
          <w:szCs w:val="24"/>
          <w:highlight w:val="none"/>
        </w:rPr>
        <w:t>1.3.3其他计价方式：</w:t>
      </w:r>
      <w:r>
        <w:rPr>
          <w:rFonts w:hint="eastAsia"/>
          <w:color w:val="auto"/>
          <w:sz w:val="24"/>
          <w:szCs w:val="24"/>
          <w:highlight w:val="none"/>
          <w:u w:val="single"/>
        </w:rPr>
        <w:t xml:space="preserve">                   </w:t>
      </w:r>
      <w:r>
        <w:rPr>
          <w:rFonts w:hint="eastAsia"/>
          <w:color w:val="auto"/>
          <w:sz w:val="24"/>
          <w:szCs w:val="24"/>
          <w:highlight w:val="none"/>
        </w:rPr>
        <w:t>。</w:t>
      </w:r>
    </w:p>
    <w:bookmarkEnd w:id="70"/>
    <w:bookmarkEnd w:id="71"/>
    <w:bookmarkEnd w:id="72"/>
    <w:bookmarkEnd w:id="73"/>
    <w:bookmarkEnd w:id="74"/>
    <w:p w14:paraId="15AAE660">
      <w:pPr>
        <w:pStyle w:val="631"/>
        <w:shd w:val="clear"/>
        <w:spacing w:before="0" w:beforeAutospacing="0" w:after="0" w:afterAutospacing="0" w:line="360" w:lineRule="auto"/>
        <w:ind w:firstLine="480"/>
        <w:rPr>
          <w:b/>
          <w:color w:val="auto"/>
          <w:sz w:val="24"/>
          <w:szCs w:val="24"/>
          <w:highlight w:val="none"/>
        </w:rPr>
      </w:pPr>
      <w:bookmarkStart w:id="75" w:name="_Toc10340"/>
      <w:bookmarkStart w:id="76" w:name="_Toc22618"/>
      <w:bookmarkStart w:id="77" w:name="_Toc1814"/>
      <w:bookmarkStart w:id="78" w:name="_Toc31421"/>
      <w:bookmarkStart w:id="79" w:name="_Toc8772"/>
      <w:bookmarkStart w:id="80" w:name="_Toc4760"/>
      <w:bookmarkStart w:id="81" w:name="_Toc3625"/>
      <w:bookmarkStart w:id="82" w:name="_Toc11108"/>
      <w:r>
        <w:rPr>
          <w:rFonts w:hint="eastAsia"/>
          <w:b/>
          <w:color w:val="auto"/>
          <w:sz w:val="24"/>
          <w:szCs w:val="24"/>
          <w:highlight w:val="none"/>
        </w:rPr>
        <w:t>1.4履约保证金</w:t>
      </w:r>
    </w:p>
    <w:p w14:paraId="76C80FD0">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1.4.1履约保证金的比例为合同金额的</w:t>
      </w:r>
      <w:r>
        <w:rPr>
          <w:rFonts w:hint="eastAsia"/>
          <w:color w:val="auto"/>
          <w:sz w:val="24"/>
          <w:szCs w:val="24"/>
          <w:highlight w:val="none"/>
          <w:u w:val="single"/>
          <w:lang w:val="en-US" w:eastAsia="zh-CN"/>
        </w:rPr>
        <w:t xml:space="preserve"> / </w:t>
      </w:r>
      <w:r>
        <w:rPr>
          <w:rFonts w:hint="eastAsia"/>
          <w:color w:val="auto"/>
          <w:sz w:val="24"/>
          <w:szCs w:val="24"/>
          <w:highlight w:val="none"/>
        </w:rPr>
        <w:t>%:</w:t>
      </w:r>
    </w:p>
    <w:p w14:paraId="261270E6">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乙方</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否</w:t>
      </w:r>
      <w:r>
        <w:rPr>
          <w:rFonts w:hint="eastAsia"/>
          <w:color w:val="auto"/>
          <w:sz w:val="24"/>
          <w:szCs w:val="24"/>
          <w:highlight w:val="none"/>
          <w:u w:val="single"/>
          <w:lang w:val="en-US" w:eastAsia="zh-CN"/>
        </w:rPr>
        <w:t xml:space="preserve"> </w:t>
      </w:r>
      <w:r>
        <w:rPr>
          <w:rFonts w:hint="eastAsia"/>
          <w:color w:val="auto"/>
          <w:sz w:val="24"/>
          <w:szCs w:val="24"/>
          <w:highlight w:val="none"/>
        </w:rPr>
        <w:t>(是/否)需要支付履约保证金。若需要支付履约保证金的，则:</w:t>
      </w:r>
    </w:p>
    <w:p w14:paraId="56FC19EC">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1.4.2履约保证金支付方式详见 合同专用条款:</w:t>
      </w:r>
    </w:p>
    <w:p w14:paraId="08D29EA6">
      <w:pPr>
        <w:pStyle w:val="631"/>
        <w:shd w:val="clear"/>
        <w:spacing w:before="0" w:beforeAutospacing="0" w:after="0" w:afterAutospacing="0" w:line="360" w:lineRule="auto"/>
        <w:ind w:firstLine="480"/>
        <w:rPr>
          <w:rFonts w:hint="default" w:eastAsia="宋体"/>
          <w:color w:val="auto"/>
          <w:sz w:val="24"/>
          <w:szCs w:val="24"/>
          <w:highlight w:val="none"/>
          <w:lang w:val="en-US" w:eastAsia="zh-CN"/>
        </w:rPr>
      </w:pPr>
      <w:r>
        <w:rPr>
          <w:rFonts w:hint="eastAsia"/>
          <w:color w:val="auto"/>
          <w:sz w:val="24"/>
          <w:szCs w:val="24"/>
          <w:highlight w:val="none"/>
        </w:rPr>
        <w:t>1.4.3如果乙方不履行合同，履约保证金不予退还:如果乙方未能按合同约定全面履行义务，那么甲方有权从履约保证金中取得补偿或赔偿，同时不影响甲方要求乙方承</w:t>
      </w:r>
      <w:r>
        <w:rPr>
          <w:rFonts w:hint="eastAsia"/>
          <w:color w:val="auto"/>
          <w:sz w:val="24"/>
          <w:szCs w:val="24"/>
          <w:highlight w:val="none"/>
          <w:lang w:val="en-US" w:eastAsia="zh-CN"/>
        </w:rPr>
        <w:t>担合同约定的超过履约保证金的违约责任的权利；</w:t>
      </w:r>
    </w:p>
    <w:p w14:paraId="7E4536A7">
      <w:pPr>
        <w:shd w:val="clear"/>
        <w:spacing w:line="360" w:lineRule="auto"/>
        <w:ind w:firstLine="480" w:firstLineChars="200"/>
        <w:rPr>
          <w:rFonts w:hint="eastAsia" w:ascii="宋体" w:hAnsi="宋体" w:cs="宋体"/>
          <w:b/>
          <w:color w:val="auto"/>
          <w:sz w:val="24"/>
          <w:szCs w:val="24"/>
          <w:highlight w:val="none"/>
        </w:rPr>
      </w:pPr>
      <w:r>
        <w:rPr>
          <w:rFonts w:hint="eastAsia"/>
          <w:color w:val="auto"/>
          <w:sz w:val="24"/>
          <w:szCs w:val="24"/>
          <w:highlight w:val="none"/>
        </w:rPr>
        <w:t>1.4.4甲方在项目验收结束后及时退还履约保证金。甲方在项目通过验收之日起个工作日内将履约保证金无息退还乙方，逾期退还的，乙方可要求甲方支付违约金，违约金按每迟延退还一日的应退还而未退还金额的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rPr>
        <w:t xml:space="preserve">%计算，最高限额为本合同履约保证金的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lang w:val="en-US" w:eastAsia="zh-CN"/>
        </w:rPr>
        <w:t>%。</w:t>
      </w:r>
    </w:p>
    <w:p w14:paraId="37683D72">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1.5</w:t>
      </w:r>
      <w:bookmarkEnd w:id="75"/>
      <w:bookmarkEnd w:id="76"/>
      <w:bookmarkEnd w:id="77"/>
      <w:r>
        <w:rPr>
          <w:rFonts w:hint="eastAsia" w:ascii="宋体" w:hAnsi="宋体" w:cs="宋体"/>
          <w:b/>
          <w:color w:val="auto"/>
          <w:sz w:val="24"/>
          <w:szCs w:val="24"/>
          <w:highlight w:val="none"/>
        </w:rPr>
        <w:t>预付款</w:t>
      </w:r>
    </w:p>
    <w:p w14:paraId="2CFDE6B9">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甲方</w:t>
      </w:r>
      <w:r>
        <w:rPr>
          <w:rFonts w:hint="eastAsia"/>
          <w:color w:val="auto"/>
          <w:sz w:val="24"/>
          <w:szCs w:val="24"/>
          <w:highlight w:val="none"/>
          <w:u w:val="single"/>
          <w:lang w:val="en-US" w:eastAsia="zh-CN"/>
        </w:rPr>
        <w:t xml:space="preserve"> 是 </w:t>
      </w:r>
      <w:r>
        <w:rPr>
          <w:rFonts w:hint="eastAsia"/>
          <w:color w:val="auto"/>
          <w:sz w:val="24"/>
          <w:szCs w:val="24"/>
          <w:highlight w:val="none"/>
        </w:rPr>
        <w:t>（是</w:t>
      </w:r>
      <w:r>
        <w:rPr>
          <w:rFonts w:hint="eastAsia" w:ascii="仿宋" w:hAnsi="仿宋" w:eastAsia="仿宋" w:cs="仿宋"/>
          <w:color w:val="auto"/>
          <w:sz w:val="24"/>
          <w:szCs w:val="24"/>
          <w:highlight w:val="none"/>
        </w:rPr>
        <w:t>/</w:t>
      </w:r>
      <w:r>
        <w:rPr>
          <w:rFonts w:hint="eastAsia"/>
          <w:color w:val="auto"/>
          <w:sz w:val="24"/>
          <w:szCs w:val="24"/>
          <w:highlight w:val="none"/>
        </w:rPr>
        <w:t>否）需要支付预付款。若需要支付预付款的，则：</w:t>
      </w:r>
    </w:p>
    <w:p w14:paraId="54A3DEF9">
      <w:pPr>
        <w:shd w:val="clea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1.5.1预付款比例、支付方式、时间详见</w:t>
      </w:r>
      <w:r>
        <w:rPr>
          <w:rFonts w:hint="eastAsia" w:ascii="宋体" w:hAnsi="宋体" w:cs="宋体"/>
          <w:color w:val="auto"/>
          <w:kern w:val="0"/>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181789B6">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1.5.2预付款的扣回方式详见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6B363B9F">
      <w:pPr>
        <w:pStyle w:val="631"/>
        <w:shd w:val="clear"/>
        <w:spacing w:before="0" w:beforeAutospacing="0" w:after="0" w:afterAutospacing="0" w:line="360" w:lineRule="auto"/>
        <w:ind w:firstLine="480"/>
        <w:rPr>
          <w:color w:val="auto"/>
          <w:sz w:val="24"/>
          <w:szCs w:val="24"/>
          <w:highlight w:val="none"/>
          <w:u w:val="single"/>
        </w:rPr>
      </w:pPr>
      <w:r>
        <w:rPr>
          <w:rFonts w:hint="eastAsia"/>
          <w:color w:val="auto"/>
          <w:sz w:val="24"/>
          <w:szCs w:val="24"/>
          <w:highlight w:val="none"/>
        </w:rPr>
        <w:t>1.5.3预付款的担保措施详见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08112BA2">
      <w:pPr>
        <w:pStyle w:val="631"/>
        <w:shd w:val="clear"/>
        <w:spacing w:before="0" w:beforeAutospacing="0" w:after="0" w:afterAutospacing="0" w:line="360" w:lineRule="auto"/>
        <w:ind w:firstLine="480"/>
        <w:rPr>
          <w:b/>
          <w:bCs/>
          <w:color w:val="auto"/>
          <w:sz w:val="24"/>
          <w:szCs w:val="24"/>
          <w:highlight w:val="none"/>
        </w:rPr>
      </w:pPr>
      <w:r>
        <w:rPr>
          <w:rFonts w:hint="eastAsia"/>
          <w:b/>
          <w:bCs/>
          <w:color w:val="auto"/>
          <w:sz w:val="24"/>
          <w:szCs w:val="24"/>
          <w:highlight w:val="none"/>
        </w:rPr>
        <w:t>1.6资金支付</w:t>
      </w:r>
    </w:p>
    <w:p w14:paraId="644208E6">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4BAC2CC7">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1.6.2资金支付的方式、时间和条件详见</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w:t>
      </w:r>
    </w:p>
    <w:p w14:paraId="5FD60FA5">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w:t>
      </w:r>
      <w:r>
        <w:rPr>
          <w:rFonts w:hint="eastAsia" w:ascii="宋体" w:hAnsi="宋体"/>
          <w:b/>
          <w:color w:val="auto"/>
          <w:sz w:val="24"/>
          <w:szCs w:val="24"/>
          <w:highlight w:val="none"/>
        </w:rPr>
        <w:t>7</w:t>
      </w:r>
      <w:r>
        <w:rPr>
          <w:rFonts w:ascii="宋体" w:hAnsi="宋体"/>
          <w:b/>
          <w:color w:val="auto"/>
          <w:sz w:val="24"/>
          <w:szCs w:val="24"/>
          <w:highlight w:val="none"/>
        </w:rPr>
        <w:t xml:space="preserve"> 履行期限</w:t>
      </w:r>
      <w:r>
        <w:rPr>
          <w:rFonts w:hint="eastAsia" w:ascii="宋体" w:hAnsi="宋体"/>
          <w:b/>
          <w:color w:val="auto"/>
          <w:sz w:val="24"/>
          <w:szCs w:val="24"/>
          <w:highlight w:val="none"/>
        </w:rPr>
        <w:t>、地点和方式</w:t>
      </w:r>
      <w:bookmarkEnd w:id="78"/>
      <w:bookmarkEnd w:id="79"/>
      <w:bookmarkEnd w:id="80"/>
      <w:bookmarkEnd w:id="81"/>
      <w:bookmarkEnd w:id="82"/>
    </w:p>
    <w:p w14:paraId="0E24FAF1">
      <w:pPr>
        <w:shd w:val="clea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.1 </w:t>
      </w:r>
      <w:r>
        <w:rPr>
          <w:rFonts w:hint="eastAsia" w:ascii="宋体" w:hAnsi="宋体"/>
          <w:color w:val="auto"/>
          <w:sz w:val="24"/>
          <w:szCs w:val="24"/>
          <w:highlight w:val="none"/>
        </w:rPr>
        <w:t>服务交付（实施）的时间（期限）</w:t>
      </w:r>
      <w:r>
        <w:rPr>
          <w:rFonts w:ascii="宋体" w:hAnsi="宋体"/>
          <w:color w:val="auto"/>
          <w:sz w:val="24"/>
          <w:szCs w:val="24"/>
          <w:highlight w:val="none"/>
        </w:rPr>
        <w:t>：</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3C3DCD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.2 </w:t>
      </w:r>
      <w:r>
        <w:rPr>
          <w:rFonts w:hint="eastAsia" w:ascii="宋体" w:hAnsi="宋体"/>
          <w:color w:val="auto"/>
          <w:sz w:val="24"/>
          <w:szCs w:val="24"/>
          <w:highlight w:val="none"/>
        </w:rPr>
        <w:t>服</w:t>
      </w:r>
      <w:r>
        <w:rPr>
          <w:rFonts w:hint="eastAsia" w:ascii="宋体" w:hAnsi="宋体" w:cs="宋体"/>
          <w:color w:val="auto"/>
          <w:sz w:val="24"/>
          <w:szCs w:val="24"/>
          <w:highlight w:val="none"/>
        </w:rPr>
        <w:t>务交付（实施）的地点（地域范围）：</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637D60C1">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.3 </w:t>
      </w:r>
      <w:r>
        <w:rPr>
          <w:rFonts w:hint="eastAsia" w:ascii="宋体" w:hAnsi="宋体"/>
          <w:color w:val="auto"/>
          <w:sz w:val="24"/>
          <w:szCs w:val="24"/>
          <w:highlight w:val="none"/>
        </w:rPr>
        <w:t>服务交付（实施）的方式：</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54BDDCC0">
      <w:pPr>
        <w:shd w:val="clear"/>
        <w:spacing w:line="360" w:lineRule="auto"/>
        <w:ind w:firstLine="482" w:firstLineChars="200"/>
        <w:rPr>
          <w:rFonts w:ascii="宋体" w:hAnsi="宋体"/>
          <w:color w:val="auto"/>
          <w:sz w:val="24"/>
          <w:szCs w:val="24"/>
          <w:highlight w:val="none"/>
          <w:u w:val="single"/>
        </w:rPr>
      </w:pPr>
      <w:bookmarkStart w:id="83" w:name="_Toc3079"/>
      <w:bookmarkStart w:id="84" w:name="_Toc8586"/>
      <w:bookmarkStart w:id="85" w:name="_Toc2375"/>
      <w:bookmarkStart w:id="86" w:name="_Toc5698"/>
      <w:bookmarkStart w:id="87" w:name="_Toc24662"/>
      <w:r>
        <w:rPr>
          <w:rFonts w:ascii="宋体" w:hAnsi="宋体"/>
          <w:b/>
          <w:color w:val="auto"/>
          <w:sz w:val="24"/>
          <w:szCs w:val="24"/>
          <w:highlight w:val="none"/>
        </w:rPr>
        <w:t>1.</w:t>
      </w:r>
      <w:r>
        <w:rPr>
          <w:rFonts w:hint="eastAsia" w:ascii="宋体" w:hAnsi="宋体"/>
          <w:b/>
          <w:color w:val="auto"/>
          <w:sz w:val="24"/>
          <w:szCs w:val="24"/>
          <w:highlight w:val="none"/>
        </w:rPr>
        <w:t>8违约责任</w:t>
      </w:r>
      <w:bookmarkEnd w:id="83"/>
      <w:bookmarkEnd w:id="84"/>
      <w:bookmarkEnd w:id="85"/>
      <w:bookmarkEnd w:id="86"/>
      <w:bookmarkEnd w:id="87"/>
    </w:p>
    <w:p w14:paraId="5E49671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.1 除不可抗力外，如果乙方没有按照本合同约定的期限</w:t>
      </w:r>
      <w:r>
        <w:rPr>
          <w:rFonts w:hint="eastAsia" w:ascii="宋体" w:hAnsi="宋体"/>
          <w:color w:val="auto"/>
          <w:sz w:val="24"/>
          <w:szCs w:val="24"/>
          <w:highlight w:val="none"/>
        </w:rPr>
        <w:t>、</w:t>
      </w:r>
      <w:r>
        <w:rPr>
          <w:rFonts w:ascii="宋体" w:hAnsi="宋体"/>
          <w:color w:val="auto"/>
          <w:sz w:val="24"/>
          <w:szCs w:val="24"/>
          <w:highlight w:val="none"/>
        </w:rPr>
        <w:t>地点和方式</w:t>
      </w:r>
      <w:r>
        <w:rPr>
          <w:rFonts w:hint="eastAsia" w:ascii="宋体" w:hAnsi="宋体"/>
          <w:color w:val="auto"/>
          <w:sz w:val="24"/>
          <w:szCs w:val="24"/>
          <w:highlight w:val="none"/>
        </w:rPr>
        <w:t>交付服务成果或者实施服务</w:t>
      </w:r>
      <w:r>
        <w:rPr>
          <w:rFonts w:ascii="宋体" w:hAnsi="宋体"/>
          <w:color w:val="auto"/>
          <w:sz w:val="24"/>
          <w:szCs w:val="24"/>
          <w:highlight w:val="none"/>
        </w:rPr>
        <w:t>，那么甲方可要求乙方支付违约金</w:t>
      </w:r>
      <w:r>
        <w:rPr>
          <w:rFonts w:hint="eastAsia" w:ascii="宋体" w:hAnsi="宋体"/>
          <w:color w:val="auto"/>
          <w:sz w:val="24"/>
          <w:szCs w:val="24"/>
          <w:highlight w:val="none"/>
        </w:rPr>
        <w:t>，迟延履行</w:t>
      </w:r>
      <w:r>
        <w:rPr>
          <w:rFonts w:ascii="宋体" w:hAnsi="宋体"/>
          <w:color w:val="auto"/>
          <w:sz w:val="24"/>
          <w:szCs w:val="24"/>
          <w:highlight w:val="none"/>
        </w:rPr>
        <w:t>违约金按每迟延</w:t>
      </w:r>
      <w:r>
        <w:rPr>
          <w:rFonts w:hint="eastAsia" w:ascii="宋体" w:hAnsi="宋体"/>
          <w:color w:val="auto"/>
          <w:sz w:val="24"/>
          <w:szCs w:val="24"/>
          <w:highlight w:val="none"/>
        </w:rPr>
        <w:t>履行</w:t>
      </w:r>
      <w:r>
        <w:rPr>
          <w:rFonts w:ascii="宋体" w:hAnsi="宋体"/>
          <w:color w:val="auto"/>
          <w:sz w:val="24"/>
          <w:szCs w:val="24"/>
          <w:highlight w:val="none"/>
        </w:rPr>
        <w:t>一日的应提供而未</w:t>
      </w:r>
      <w:r>
        <w:rPr>
          <w:rFonts w:hint="eastAsia" w:ascii="宋体" w:hAnsi="宋体"/>
          <w:color w:val="auto"/>
          <w:sz w:val="24"/>
          <w:szCs w:val="24"/>
          <w:highlight w:val="none"/>
        </w:rPr>
        <w:t>提供</w:t>
      </w:r>
      <w:r>
        <w:rPr>
          <w:rFonts w:ascii="宋体" w:hAnsi="宋体"/>
          <w:color w:val="auto"/>
          <w:sz w:val="24"/>
          <w:szCs w:val="24"/>
          <w:highlight w:val="none"/>
        </w:rPr>
        <w:t>服务价格的</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0.05</w:t>
      </w:r>
      <w:r>
        <w:rPr>
          <w:rFonts w:ascii="宋体" w:hAnsi="宋体"/>
          <w:color w:val="auto"/>
          <w:sz w:val="24"/>
          <w:szCs w:val="24"/>
          <w:highlight w:val="none"/>
          <w:u w:val="single"/>
        </w:rPr>
        <w:t xml:space="preserve"> </w:t>
      </w:r>
      <w:r>
        <w:rPr>
          <w:rFonts w:ascii="宋体" w:hAnsi="宋体"/>
          <w:color w:val="auto"/>
          <w:sz w:val="24"/>
          <w:szCs w:val="24"/>
          <w:highlight w:val="none"/>
        </w:rPr>
        <w:t>%计算</w:t>
      </w:r>
      <w:r>
        <w:rPr>
          <w:rFonts w:hint="eastAsia" w:ascii="宋体" w:hAnsi="宋体"/>
          <w:color w:val="auto"/>
          <w:sz w:val="24"/>
          <w:szCs w:val="24"/>
          <w:highlight w:val="none"/>
        </w:rPr>
        <w:t>，</w:t>
      </w:r>
      <w:r>
        <w:rPr>
          <w:rFonts w:ascii="宋体" w:hAnsi="宋体"/>
          <w:color w:val="auto"/>
          <w:sz w:val="24"/>
          <w:szCs w:val="24"/>
          <w:highlight w:val="none"/>
        </w:rPr>
        <w:t>最高限额为</w:t>
      </w:r>
      <w:r>
        <w:rPr>
          <w:rFonts w:hint="eastAsia" w:ascii="宋体" w:hAnsi="宋体"/>
          <w:color w:val="auto"/>
          <w:sz w:val="24"/>
          <w:szCs w:val="24"/>
          <w:highlight w:val="none"/>
        </w:rPr>
        <w:t>本</w:t>
      </w:r>
      <w:r>
        <w:rPr>
          <w:rFonts w:ascii="宋体" w:hAnsi="宋体"/>
          <w:color w:val="auto"/>
          <w:sz w:val="24"/>
          <w:szCs w:val="24"/>
          <w:highlight w:val="none"/>
        </w:rPr>
        <w:t>合同总价的</w:t>
      </w:r>
      <w:r>
        <w:rPr>
          <w:rFonts w:ascii="宋体" w:hAnsi="宋体"/>
          <w:color w:val="auto"/>
          <w:sz w:val="24"/>
          <w:szCs w:val="24"/>
          <w:highlight w:val="none"/>
          <w:u w:val="single"/>
        </w:rPr>
        <w:t xml:space="preserve">  20   </w:t>
      </w:r>
      <w:r>
        <w:rPr>
          <w:rFonts w:ascii="宋体" w:hAnsi="宋体"/>
          <w:color w:val="auto"/>
          <w:sz w:val="24"/>
          <w:szCs w:val="24"/>
          <w:highlight w:val="none"/>
        </w:rPr>
        <w:t>%</w:t>
      </w:r>
      <w:r>
        <w:rPr>
          <w:rFonts w:hint="eastAsia" w:ascii="宋体" w:hAnsi="宋体"/>
          <w:color w:val="auto"/>
          <w:sz w:val="24"/>
          <w:szCs w:val="24"/>
          <w:highlight w:val="none"/>
        </w:rPr>
        <w:t>；</w:t>
      </w:r>
      <w:r>
        <w:rPr>
          <w:rFonts w:ascii="宋体" w:hAnsi="宋体"/>
          <w:color w:val="auto"/>
          <w:sz w:val="24"/>
          <w:szCs w:val="24"/>
          <w:highlight w:val="none"/>
        </w:rPr>
        <w:t>迟延</w:t>
      </w:r>
      <w:r>
        <w:rPr>
          <w:rFonts w:hint="eastAsia" w:ascii="宋体" w:hAnsi="宋体"/>
          <w:color w:val="auto"/>
          <w:sz w:val="24"/>
          <w:szCs w:val="24"/>
          <w:highlight w:val="none"/>
        </w:rPr>
        <w:t>履行</w:t>
      </w:r>
      <w:r>
        <w:rPr>
          <w:rFonts w:ascii="宋体" w:hAnsi="宋体"/>
          <w:color w:val="auto"/>
          <w:sz w:val="24"/>
          <w:szCs w:val="24"/>
          <w:highlight w:val="none"/>
        </w:rPr>
        <w:t>的违约金计算数额达到前述最高限额之日起</w:t>
      </w:r>
      <w:r>
        <w:rPr>
          <w:rFonts w:hint="eastAsia" w:ascii="宋体" w:hAnsi="宋体"/>
          <w:color w:val="auto"/>
          <w:sz w:val="24"/>
          <w:szCs w:val="24"/>
          <w:highlight w:val="none"/>
        </w:rPr>
        <w:t>，</w:t>
      </w:r>
      <w:r>
        <w:rPr>
          <w:rFonts w:ascii="宋体" w:hAnsi="宋体"/>
          <w:color w:val="auto"/>
          <w:sz w:val="24"/>
          <w:szCs w:val="24"/>
          <w:highlight w:val="none"/>
        </w:rPr>
        <w:t>甲方有权在要求乙方支付违约金的同时</w:t>
      </w:r>
      <w:r>
        <w:rPr>
          <w:rFonts w:hint="eastAsia" w:ascii="宋体" w:hAnsi="宋体"/>
          <w:color w:val="auto"/>
          <w:sz w:val="24"/>
          <w:szCs w:val="24"/>
          <w:highlight w:val="none"/>
        </w:rPr>
        <w:t>，书面通知乙方</w:t>
      </w:r>
      <w:r>
        <w:rPr>
          <w:rFonts w:ascii="宋体" w:hAnsi="宋体"/>
          <w:color w:val="auto"/>
          <w:sz w:val="24"/>
          <w:szCs w:val="24"/>
          <w:highlight w:val="none"/>
        </w:rPr>
        <w:t>解除本合同</w:t>
      </w:r>
      <w:r>
        <w:rPr>
          <w:rFonts w:hint="eastAsia" w:ascii="宋体" w:hAnsi="宋体"/>
          <w:color w:val="auto"/>
          <w:sz w:val="24"/>
          <w:szCs w:val="24"/>
          <w:highlight w:val="none"/>
        </w:rPr>
        <w:t>；</w:t>
      </w:r>
    </w:p>
    <w:p w14:paraId="6AF7413D">
      <w:pPr>
        <w:pStyle w:val="633"/>
        <w:shd w:val="clear"/>
        <w:rPr>
          <w:rFonts w:hint="eastAsia" w:eastAsia="宋体"/>
          <w:b/>
          <w:bCs/>
          <w:color w:val="auto"/>
          <w:sz w:val="24"/>
          <w:szCs w:val="24"/>
          <w:highlight w:val="none"/>
          <w:lang w:val="en-US" w:eastAsia="zh-CN"/>
        </w:rPr>
      </w:pPr>
      <w:bookmarkStart w:id="88" w:name="OLE_LINK2"/>
      <w:bookmarkStart w:id="89" w:name="_Toc26807"/>
      <w:bookmarkStart w:id="90" w:name="_Toc9497"/>
      <w:bookmarkStart w:id="91" w:name="_Toc18683"/>
      <w:bookmarkStart w:id="92" w:name="_Toc32454"/>
      <w:bookmarkStart w:id="93" w:name="_Toc30329"/>
      <w:r>
        <w:rPr>
          <w:rFonts w:hint="eastAsia"/>
          <w:color w:val="auto"/>
          <w:sz w:val="24"/>
          <w:szCs w:val="24"/>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sz w:val="24"/>
          <w:szCs w:val="24"/>
          <w:highlight w:val="none"/>
          <w:u w:val="single"/>
        </w:rPr>
        <w:t xml:space="preserve">  0.0</w:t>
      </w:r>
      <w:r>
        <w:rPr>
          <w:rFonts w:hint="eastAsia"/>
          <w:color w:val="auto"/>
          <w:sz w:val="24"/>
          <w:szCs w:val="24"/>
          <w:highlight w:val="none"/>
          <w:u w:val="single"/>
          <w:lang w:val="en-US" w:eastAsia="zh-CN"/>
        </w:rPr>
        <w:t xml:space="preserve">2 </w:t>
      </w:r>
      <w:r>
        <w:rPr>
          <w:rFonts w:hint="eastAsia"/>
          <w:color w:val="auto"/>
          <w:sz w:val="24"/>
          <w:szCs w:val="24"/>
          <w:highlight w:val="none"/>
          <w:u w:val="single"/>
        </w:rPr>
        <w:t xml:space="preserve">  </w:t>
      </w:r>
      <w:r>
        <w:rPr>
          <w:rFonts w:hint="eastAsia"/>
          <w:color w:val="auto"/>
          <w:sz w:val="24"/>
          <w:szCs w:val="24"/>
          <w:highlight w:val="none"/>
        </w:rPr>
        <w:t>%计算，最高限额为本合同总价的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5</w:t>
      </w:r>
      <w:r>
        <w:rPr>
          <w:rFonts w:hint="eastAsia"/>
          <w:color w:val="auto"/>
          <w:sz w:val="24"/>
          <w:szCs w:val="24"/>
          <w:highlight w:val="none"/>
          <w:u w:val="single"/>
        </w:rPr>
        <w:t xml:space="preserve">  </w:t>
      </w:r>
      <w:r>
        <w:rPr>
          <w:rFonts w:hint="eastAsia"/>
          <w:color w:val="auto"/>
          <w:sz w:val="24"/>
          <w:szCs w:val="24"/>
          <w:highlight w:val="none"/>
        </w:rPr>
        <w:t>%；迟延交付货物的违约金计算数额达到前述最高限额之日起，甲方有权在要求乙方支付违约金的同时，书面通知乙方解除本合同</w:t>
      </w:r>
      <w:r>
        <w:rPr>
          <w:rFonts w:hint="eastAsia"/>
          <w:color w:val="auto"/>
          <w:sz w:val="24"/>
          <w:szCs w:val="24"/>
          <w:highlight w:val="none"/>
          <w:lang w:eastAsia="zh-CN"/>
        </w:rPr>
        <w:t>，</w:t>
      </w:r>
      <w:r>
        <w:rPr>
          <w:rFonts w:ascii="宋体" w:hAnsi="宋体" w:eastAsia="宋体" w:cs="宋体"/>
          <w:color w:val="auto"/>
          <w:sz w:val="24"/>
          <w:szCs w:val="24"/>
          <w:highlight w:val="none"/>
        </w:rPr>
        <w:t>乙方应赔偿甲方全部经济损失（包括但不限于律师费、诉讼费、保全费等维权产生的费用）</w:t>
      </w:r>
      <w:r>
        <w:rPr>
          <w:rFonts w:hint="eastAsia" w:ascii="宋体" w:hAnsi="宋体"/>
          <w:color w:val="auto"/>
          <w:sz w:val="24"/>
          <w:szCs w:val="24"/>
          <w:highlight w:val="none"/>
        </w:rPr>
        <w:t>；</w:t>
      </w:r>
    </w:p>
    <w:bookmarkEnd w:id="88"/>
    <w:p w14:paraId="47C6996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w:t>
      </w:r>
      <w:r>
        <w:rPr>
          <w:rFonts w:hint="eastAsia" w:ascii="宋体" w:hAnsi="宋体"/>
          <w:color w:val="auto"/>
          <w:sz w:val="24"/>
          <w:szCs w:val="24"/>
          <w:highlight w:val="none"/>
        </w:rPr>
        <w:t>3</w:t>
      </w:r>
      <w:r>
        <w:rPr>
          <w:rFonts w:hint="eastAsia" w:ascii="宋体" w:hAnsi="宋体" w:cs="宋体"/>
          <w:color w:val="auto"/>
          <w:sz w:val="24"/>
          <w:szCs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szCs w:val="24"/>
          <w:highlight w:val="none"/>
          <w:u w:val="single"/>
        </w:rPr>
        <w:t xml:space="preserve">   0.0</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%计算，最高限额为本合同总价的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5</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%；迟延付款的违约金计算数额达到前述最高限额之日起，乙方有权在要求甲方支付违约金的同时，书面通知甲方解除本合同</w:t>
      </w:r>
      <w:r>
        <w:rPr>
          <w:rFonts w:hint="eastAsia" w:ascii="宋体" w:hAnsi="宋体"/>
          <w:color w:val="auto"/>
          <w:sz w:val="24"/>
          <w:szCs w:val="24"/>
          <w:highlight w:val="none"/>
        </w:rPr>
        <w:t>；</w:t>
      </w:r>
    </w:p>
    <w:p w14:paraId="68388283">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6DEB743">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7665C6B">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675FAED4">
      <w:pPr>
        <w:shd w:val="clear"/>
        <w:spacing w:line="360" w:lineRule="auto"/>
        <w:ind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1.8.7违约责任</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另有约定的，从其约定。</w:t>
      </w:r>
    </w:p>
    <w:bookmarkEnd w:id="89"/>
    <w:bookmarkEnd w:id="90"/>
    <w:bookmarkEnd w:id="91"/>
    <w:bookmarkEnd w:id="92"/>
    <w:bookmarkEnd w:id="93"/>
    <w:p w14:paraId="6A3F6068">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1.9合同争议的解决</w:t>
      </w:r>
    </w:p>
    <w:p w14:paraId="48FB5019">
      <w:pPr>
        <w:shd w:val="clear"/>
        <w:spacing w:line="360" w:lineRule="auto"/>
        <w:ind w:left="-61" w:leftChars="-29" w:right="-420" w:rightChars="-200"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szCs w:val="24"/>
          <w:highlight w:val="none"/>
          <w:u w:val="single"/>
        </w:rPr>
        <w:t xml:space="preserve"> </w:t>
      </w:r>
      <w:r>
        <w:rPr>
          <w:rFonts w:hint="eastAsia" w:ascii="宋体" w:hAnsi="宋体" w:cs="宋体"/>
          <w:b/>
          <w:color w:val="auto"/>
          <w:sz w:val="24"/>
          <w:szCs w:val="24"/>
          <w:highlight w:val="none"/>
          <w:u w:val="single"/>
          <w:lang w:val="en-US" w:eastAsia="zh-CN"/>
        </w:rPr>
        <w:t>1.9.2</w:t>
      </w:r>
      <w:r>
        <w:rPr>
          <w:rFonts w:hint="eastAsia" w:ascii="宋体" w:hAnsi="宋体" w:cs="宋体"/>
          <w:b/>
          <w:color w:val="auto"/>
          <w:sz w:val="24"/>
          <w:szCs w:val="24"/>
          <w:highlight w:val="none"/>
          <w:u w:val="single"/>
        </w:rPr>
        <w:t xml:space="preserve"> </w:t>
      </w:r>
      <w:r>
        <w:rPr>
          <w:rFonts w:hint="eastAsia" w:ascii="宋体" w:hAnsi="宋体" w:cs="宋体"/>
          <w:color w:val="auto"/>
          <w:sz w:val="24"/>
          <w:szCs w:val="24"/>
          <w:highlight w:val="none"/>
        </w:rPr>
        <w:t>条款规定的方式解决：</w:t>
      </w:r>
    </w:p>
    <w:p w14:paraId="54301D18">
      <w:pPr>
        <w:shd w:val="clea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1.9.1 将争议提交</w:t>
      </w:r>
      <w:r>
        <w:rPr>
          <w:rFonts w:hint="eastAsia" w:ascii="宋体" w:hAnsi="宋体" w:cs="宋体"/>
          <w:b/>
          <w:color w:val="auto"/>
          <w:sz w:val="24"/>
          <w:szCs w:val="24"/>
          <w:highlight w:val="none"/>
          <w:u w:val="single"/>
          <w:lang w:val="en-US" w:eastAsia="zh-CN"/>
        </w:rPr>
        <w:t>北海</w:t>
      </w:r>
      <w:r>
        <w:rPr>
          <w:rFonts w:hint="eastAsia" w:ascii="宋体" w:hAnsi="宋体" w:cs="宋体"/>
          <w:color w:val="auto"/>
          <w:sz w:val="24"/>
          <w:szCs w:val="24"/>
          <w:highlight w:val="none"/>
        </w:rPr>
        <w:t>仲裁委员会依申请仲裁时其现行有效的仲裁规则裁决；</w:t>
      </w:r>
    </w:p>
    <w:p w14:paraId="08AFA0DB">
      <w:pPr>
        <w:shd w:val="clea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1.9.2 向</w:t>
      </w:r>
      <w:r>
        <w:rPr>
          <w:rFonts w:hint="eastAsia" w:ascii="宋体" w:hAnsi="宋体" w:cs="宋体"/>
          <w:b/>
          <w:color w:val="auto"/>
          <w:sz w:val="24"/>
          <w:szCs w:val="24"/>
          <w:highlight w:val="none"/>
          <w:u w:val="single"/>
          <w:lang w:val="en-US" w:eastAsia="zh-CN"/>
        </w:rPr>
        <w:t>甲方所在地</w:t>
      </w:r>
      <w:r>
        <w:rPr>
          <w:rFonts w:hint="eastAsia" w:ascii="宋体" w:hAnsi="宋体" w:cs="宋体"/>
          <w:color w:val="auto"/>
          <w:sz w:val="24"/>
          <w:szCs w:val="24"/>
          <w:highlight w:val="none"/>
        </w:rPr>
        <w:t>人民法院起诉。</w:t>
      </w:r>
    </w:p>
    <w:p w14:paraId="121DFBE8">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2.0 合同生效</w:t>
      </w:r>
    </w:p>
    <w:p w14:paraId="327FAFAB">
      <w:pPr>
        <w:shd w:val="clea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本合同自双方当事人盖章签字时生效。</w:t>
      </w:r>
    </w:p>
    <w:p w14:paraId="556D8AED">
      <w:pPr>
        <w:shd w:val="clear"/>
        <w:autoSpaceDE w:val="0"/>
        <w:autoSpaceDN w:val="0"/>
        <w:spacing w:line="360" w:lineRule="auto"/>
        <w:rPr>
          <w:rFonts w:ascii="宋体" w:hAnsi="宋体"/>
          <w:color w:val="auto"/>
          <w:sz w:val="24"/>
          <w:szCs w:val="24"/>
          <w:highlight w:val="none"/>
          <w:lang w:val="zh-CN"/>
        </w:rPr>
      </w:pPr>
    </w:p>
    <w:tbl>
      <w:tblPr>
        <w:tblStyle w:val="6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9"/>
        <w:gridCol w:w="2156"/>
        <w:gridCol w:w="2307"/>
      </w:tblGrid>
      <w:tr w14:paraId="3B1647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noWrap w:val="0"/>
            <w:vAlign w:val="center"/>
          </w:tcPr>
          <w:p w14:paraId="0474244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甲方（采购人</w:t>
            </w:r>
            <w:r>
              <w:rPr>
                <w:rFonts w:hint="eastAsia" w:ascii="宋体" w:hAnsi="宋体"/>
                <w:color w:val="auto"/>
                <w:sz w:val="24"/>
                <w:szCs w:val="24"/>
                <w:highlight w:val="none"/>
              </w:rPr>
              <w:t>、受采购人委托签订合同的单位或</w:t>
            </w:r>
            <w:r>
              <w:rPr>
                <w:rFonts w:hint="eastAsia" w:ascii="Calibri" w:hAnsi="Calibri"/>
                <w:color w:val="auto"/>
                <w:sz w:val="24"/>
                <w:szCs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noWrap w:val="0"/>
            <w:vAlign w:val="center"/>
          </w:tcPr>
          <w:p w14:paraId="635DDB6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乙方（供应商）</w:t>
            </w:r>
          </w:p>
        </w:tc>
      </w:tr>
      <w:tr w14:paraId="514C5B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6AC2DF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EF78C7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8412D6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2F0EC26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4A96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noWrap w:val="0"/>
            <w:vAlign w:val="center"/>
          </w:tcPr>
          <w:p w14:paraId="731F807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09429DA9">
            <w:pPr>
              <w:keepNext w:val="0"/>
              <w:keepLines w:val="0"/>
              <w:suppressLineNumbers w:val="0"/>
              <w:shd w:val="clear"/>
              <w:snapToGrid w:val="0"/>
              <w:spacing w:before="0" w:beforeAutospacing="0" w:after="0" w:afterAutospacing="0" w:line="360" w:lineRule="auto"/>
              <w:ind w:left="0" w:right="0" w:firstLine="115" w:firstLineChars="48"/>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noWrap w:val="0"/>
            <w:vAlign w:val="center"/>
          </w:tcPr>
          <w:p w14:paraId="48AFD1D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A018BF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508DF96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B23066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r>
      <w:tr w14:paraId="5BD578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noWrap w:val="0"/>
            <w:vAlign w:val="center"/>
          </w:tcPr>
          <w:p w14:paraId="76D35BFB">
            <w:pPr>
              <w:keepNext w:val="0"/>
              <w:keepLines w:val="0"/>
              <w:widowControl/>
              <w:suppressLineNumbers w:val="0"/>
              <w:shd w:val="clear"/>
              <w:adjustRightInd/>
              <w:spacing w:before="0" w:beforeAutospacing="0" w:after="0" w:afterAutospacing="0" w:line="360" w:lineRule="auto"/>
              <w:ind w:left="0" w:right="0"/>
              <w:jc w:val="left"/>
              <w:rPr>
                <w:rFonts w:hint="default" w:ascii="Calibri" w:hAnsi="Calibri"/>
                <w:color w:val="auto"/>
                <w:sz w:val="24"/>
                <w:szCs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noWrap w:val="0"/>
            <w:vAlign w:val="center"/>
          </w:tcPr>
          <w:p w14:paraId="35E18ABD">
            <w:pPr>
              <w:keepNext w:val="0"/>
              <w:keepLines w:val="0"/>
              <w:widowControl/>
              <w:suppressLineNumbers w:val="0"/>
              <w:shd w:val="clear"/>
              <w:adjustRightInd/>
              <w:spacing w:before="0" w:beforeAutospacing="0" w:after="0" w:afterAutospacing="0" w:line="360" w:lineRule="auto"/>
              <w:ind w:left="0" w:right="0"/>
              <w:jc w:val="left"/>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411F34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0667C4D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254592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319B8DD2">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453C6A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08DB1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771E31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5D65A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880060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749123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EA3D64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A14EA74">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FAC42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1FAE21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B8566E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C2389A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16F306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E93BE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B8F3E3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E53BF8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221D78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3A34DB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6E3AB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24963E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3990B0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BF7A3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6E224A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B3FCF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593AA3B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6490F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2BA0A9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EE13EF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B469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069B7AC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BF39D9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8D3C20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3AFE84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F570C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3D6CB8E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3CC7CF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F8C6BF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6D251AC9">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187F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6A7B661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D4FF7E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B3F67B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C74062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396ABE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004FA39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BA7D84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EDE034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365B43E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68569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noWrap w:val="0"/>
            <w:vAlign w:val="center"/>
          </w:tcPr>
          <w:p w14:paraId="339ABF11">
            <w:pPr>
              <w:keepNext w:val="0"/>
              <w:keepLines w:val="0"/>
              <w:suppressLineNumbers w:val="0"/>
              <w:shd w:val="clear"/>
              <w:snapToGrid w:val="0"/>
              <w:spacing w:before="0" w:beforeAutospacing="0" w:after="0" w:afterAutospacing="0" w:line="360" w:lineRule="auto"/>
              <w:ind w:left="0" w:right="0"/>
              <w:jc w:val="left"/>
              <w:rPr>
                <w:rFonts w:hint="default" w:ascii="Calibri" w:hAnsi="Calibri"/>
                <w:color w:val="auto"/>
                <w:spacing w:val="20"/>
                <w:sz w:val="24"/>
                <w:szCs w:val="24"/>
                <w:highlight w:val="none"/>
              </w:rPr>
            </w:pPr>
            <w:r>
              <w:rPr>
                <w:rFonts w:hint="eastAsia" w:ascii="宋体" w:hAnsi="宋体"/>
                <w:color w:val="auto"/>
                <w:sz w:val="24"/>
                <w:szCs w:val="24"/>
                <w:highlight w:val="none"/>
              </w:rPr>
              <w:t>注：涉及联合体或其他合同主体的信息应按上表格式加列。</w:t>
            </w:r>
          </w:p>
        </w:tc>
      </w:tr>
    </w:tbl>
    <w:p w14:paraId="3D14005E">
      <w:pPr>
        <w:widowControl/>
        <w:shd w:val="clear"/>
        <w:spacing w:line="360" w:lineRule="auto"/>
        <w:jc w:val="left"/>
        <w:rPr>
          <w:rFonts w:ascii="宋体" w:hAnsi="宋体"/>
          <w:b/>
          <w:color w:val="auto"/>
          <w:sz w:val="24"/>
          <w:szCs w:val="24"/>
          <w:highlight w:val="none"/>
        </w:rPr>
      </w:pPr>
    </w:p>
    <w:p w14:paraId="2EF89367">
      <w:pPr>
        <w:pStyle w:val="282"/>
        <w:shd w:val="clear"/>
        <w:spacing w:after="0"/>
        <w:ind w:firstLine="482"/>
        <w:jc w:val="center"/>
        <w:outlineLvl w:val="1"/>
        <w:rPr>
          <w:rFonts w:ascii="宋体" w:hAnsi="宋体"/>
          <w:b/>
          <w:color w:val="auto"/>
          <w:sz w:val="24"/>
          <w:szCs w:val="24"/>
          <w:highlight w:val="none"/>
        </w:rPr>
      </w:pPr>
      <w:r>
        <w:rPr>
          <w:rFonts w:hint="eastAsia" w:ascii="宋体" w:hAnsi="宋体"/>
          <w:b/>
          <w:color w:val="auto"/>
          <w:sz w:val="24"/>
          <w:szCs w:val="24"/>
          <w:highlight w:val="none"/>
        </w:rPr>
        <w:br w:type="page"/>
      </w:r>
      <w:r>
        <w:rPr>
          <w:rFonts w:hint="eastAsia" w:ascii="宋体" w:hAnsi="宋体"/>
          <w:b/>
          <w:color w:val="auto"/>
          <w:sz w:val="24"/>
          <w:szCs w:val="24"/>
          <w:highlight w:val="none"/>
        </w:rPr>
        <w:t>第二节</w:t>
      </w:r>
      <w:r>
        <w:rPr>
          <w:rFonts w:ascii="宋体" w:hAnsi="宋体"/>
          <w:b/>
          <w:color w:val="auto"/>
          <w:sz w:val="24"/>
          <w:szCs w:val="24"/>
          <w:highlight w:val="none"/>
        </w:rPr>
        <w:t xml:space="preserve"> </w:t>
      </w:r>
      <w:r>
        <w:rPr>
          <w:rFonts w:hint="eastAsia" w:ascii="宋体" w:hAnsi="宋体"/>
          <w:b/>
          <w:color w:val="auto"/>
          <w:sz w:val="24"/>
          <w:szCs w:val="24"/>
          <w:highlight w:val="none"/>
        </w:rPr>
        <w:t>合同一般条款</w:t>
      </w:r>
    </w:p>
    <w:p w14:paraId="1082D4BC">
      <w:pPr>
        <w:shd w:val="clear"/>
        <w:spacing w:line="360" w:lineRule="auto"/>
        <w:ind w:firstLine="482" w:firstLineChars="200"/>
        <w:rPr>
          <w:rFonts w:ascii="宋体" w:hAnsi="宋体"/>
          <w:b/>
          <w:color w:val="auto"/>
          <w:sz w:val="24"/>
          <w:szCs w:val="24"/>
          <w:highlight w:val="none"/>
        </w:rPr>
      </w:pPr>
      <w:bookmarkStart w:id="94" w:name="_Toc14021"/>
      <w:bookmarkStart w:id="95" w:name="_Toc31297"/>
      <w:bookmarkStart w:id="96" w:name="_Toc25079"/>
      <w:bookmarkStart w:id="97" w:name="_Toc5228"/>
      <w:bookmarkStart w:id="98" w:name="_Toc19680"/>
      <w:r>
        <w:rPr>
          <w:rFonts w:ascii="宋体" w:hAnsi="宋体"/>
          <w:b/>
          <w:color w:val="auto"/>
          <w:sz w:val="24"/>
          <w:szCs w:val="24"/>
          <w:highlight w:val="none"/>
        </w:rPr>
        <w:t>2.1 定义</w:t>
      </w:r>
      <w:bookmarkEnd w:id="94"/>
      <w:bookmarkEnd w:id="95"/>
      <w:bookmarkEnd w:id="96"/>
      <w:bookmarkEnd w:id="97"/>
      <w:bookmarkEnd w:id="98"/>
    </w:p>
    <w:p w14:paraId="004E9EB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本合同中的下列</w:t>
      </w:r>
      <w:r>
        <w:rPr>
          <w:rFonts w:hint="eastAsia" w:ascii="宋体" w:hAnsi="宋体"/>
          <w:color w:val="auto"/>
          <w:sz w:val="24"/>
          <w:szCs w:val="24"/>
          <w:highlight w:val="none"/>
        </w:rPr>
        <w:t>词</w:t>
      </w:r>
      <w:r>
        <w:rPr>
          <w:rFonts w:ascii="宋体" w:hAnsi="宋体"/>
          <w:color w:val="auto"/>
          <w:sz w:val="24"/>
          <w:szCs w:val="24"/>
          <w:highlight w:val="none"/>
        </w:rPr>
        <w:t>语应</w:t>
      </w:r>
      <w:r>
        <w:rPr>
          <w:rFonts w:hint="eastAsia" w:ascii="宋体" w:hAnsi="宋体"/>
          <w:color w:val="auto"/>
          <w:sz w:val="24"/>
          <w:szCs w:val="24"/>
          <w:highlight w:val="none"/>
        </w:rPr>
        <w:t>按以下内容进行</w:t>
      </w:r>
      <w:r>
        <w:rPr>
          <w:rFonts w:ascii="宋体" w:hAnsi="宋体"/>
          <w:color w:val="auto"/>
          <w:sz w:val="24"/>
          <w:szCs w:val="24"/>
          <w:highlight w:val="none"/>
        </w:rPr>
        <w:t>解释：</w:t>
      </w:r>
    </w:p>
    <w:p w14:paraId="12E44BF4">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 “合同”系指采购人和</w:t>
      </w:r>
      <w:r>
        <w:rPr>
          <w:rFonts w:hint="eastAsia" w:ascii="宋体" w:hAnsi="宋体" w:cs="宋体"/>
          <w:color w:val="auto"/>
          <w:sz w:val="24"/>
          <w:szCs w:val="24"/>
          <w:highlight w:val="none"/>
        </w:rPr>
        <w:t>成交</w:t>
      </w:r>
      <w:r>
        <w:rPr>
          <w:rFonts w:ascii="宋体" w:hAnsi="宋体"/>
          <w:color w:val="auto"/>
          <w:sz w:val="24"/>
          <w:szCs w:val="24"/>
          <w:highlight w:val="none"/>
        </w:rPr>
        <w:t>供应商签订的载明双方当事人所达成的协议，并包括所有的附件、附录和构成合同的其他文件。</w:t>
      </w:r>
    </w:p>
    <w:p w14:paraId="4E72FA9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2.1.2 “合同价”系指根据合同约定，</w:t>
      </w:r>
      <w:r>
        <w:rPr>
          <w:rFonts w:hint="eastAsia" w:ascii="宋体" w:hAnsi="宋体" w:cs="宋体"/>
          <w:color w:val="auto"/>
          <w:sz w:val="24"/>
          <w:szCs w:val="24"/>
          <w:highlight w:val="none"/>
        </w:rPr>
        <w:t>中标或成交</w:t>
      </w:r>
      <w:r>
        <w:rPr>
          <w:rFonts w:ascii="宋体" w:hAnsi="宋体"/>
          <w:color w:val="auto"/>
          <w:sz w:val="24"/>
          <w:szCs w:val="24"/>
          <w:highlight w:val="none"/>
        </w:rPr>
        <w:t>供应商在完全履行合同义务后</w:t>
      </w:r>
      <w:r>
        <w:rPr>
          <w:rFonts w:hint="eastAsia" w:ascii="宋体" w:hAnsi="宋体"/>
          <w:color w:val="auto"/>
          <w:sz w:val="24"/>
          <w:szCs w:val="24"/>
          <w:highlight w:val="none"/>
        </w:rPr>
        <w:t>，</w:t>
      </w:r>
      <w:r>
        <w:rPr>
          <w:rFonts w:ascii="宋体" w:hAnsi="宋体"/>
          <w:color w:val="auto"/>
          <w:sz w:val="24"/>
          <w:szCs w:val="24"/>
          <w:highlight w:val="none"/>
        </w:rPr>
        <w:t>采购人应支付给</w:t>
      </w:r>
      <w:r>
        <w:rPr>
          <w:rFonts w:hint="eastAsia" w:ascii="宋体" w:hAnsi="宋体" w:cs="宋体"/>
          <w:color w:val="auto"/>
          <w:sz w:val="24"/>
          <w:szCs w:val="24"/>
          <w:highlight w:val="none"/>
        </w:rPr>
        <w:t>中标或成交</w:t>
      </w:r>
      <w:r>
        <w:rPr>
          <w:rFonts w:ascii="宋体" w:hAnsi="宋体"/>
          <w:color w:val="auto"/>
          <w:sz w:val="24"/>
          <w:szCs w:val="24"/>
          <w:highlight w:val="none"/>
        </w:rPr>
        <w:t>供应商的价格。</w:t>
      </w:r>
    </w:p>
    <w:p w14:paraId="5C1A05A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2.1.3 “</w:t>
      </w:r>
      <w:r>
        <w:rPr>
          <w:rFonts w:hint="eastAsia" w:ascii="宋体" w:hAnsi="宋体"/>
          <w:color w:val="auto"/>
          <w:sz w:val="24"/>
          <w:szCs w:val="24"/>
          <w:highlight w:val="none"/>
        </w:rPr>
        <w:t>服务</w:t>
      </w:r>
      <w:r>
        <w:rPr>
          <w:rFonts w:ascii="宋体" w:hAnsi="宋体"/>
          <w:color w:val="auto"/>
          <w:sz w:val="24"/>
          <w:szCs w:val="24"/>
          <w:highlight w:val="none"/>
        </w:rPr>
        <w:t>”系指</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根据合同约定应向采购人</w:t>
      </w:r>
      <w:r>
        <w:rPr>
          <w:rFonts w:hint="eastAsia" w:ascii="宋体" w:hAnsi="宋体"/>
          <w:color w:val="auto"/>
          <w:sz w:val="24"/>
          <w:szCs w:val="24"/>
          <w:highlight w:val="none"/>
        </w:rPr>
        <w:t>履行</w:t>
      </w:r>
      <w:r>
        <w:rPr>
          <w:rFonts w:ascii="宋体" w:hAnsi="宋体"/>
          <w:color w:val="auto"/>
          <w:sz w:val="24"/>
          <w:szCs w:val="24"/>
          <w:highlight w:val="none"/>
        </w:rPr>
        <w:t>的</w:t>
      </w:r>
      <w:r>
        <w:rPr>
          <w:rFonts w:hint="eastAsia" w:ascii="宋体" w:hAnsi="宋体"/>
          <w:color w:val="auto"/>
          <w:sz w:val="24"/>
          <w:szCs w:val="24"/>
          <w:highlight w:val="none"/>
        </w:rPr>
        <w:t>除货物和工程以外的其他政府采购对象，包括采购人自身需要的服务和向社会公众提供的公共服务。</w:t>
      </w:r>
    </w:p>
    <w:p w14:paraId="0E2F4C3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 “</w:t>
      </w:r>
      <w:r>
        <w:rPr>
          <w:rFonts w:hint="eastAsia" w:ascii="宋体" w:hAnsi="宋体"/>
          <w:color w:val="auto"/>
          <w:sz w:val="24"/>
          <w:szCs w:val="24"/>
          <w:highlight w:val="none"/>
        </w:rPr>
        <w:t>甲方</w:t>
      </w:r>
      <w:r>
        <w:rPr>
          <w:rFonts w:ascii="宋体" w:hAnsi="宋体"/>
          <w:color w:val="auto"/>
          <w:sz w:val="24"/>
          <w:szCs w:val="24"/>
          <w:highlight w:val="none"/>
        </w:rPr>
        <w:t>”系指与</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签署合同的采购人</w:t>
      </w:r>
      <w:r>
        <w:rPr>
          <w:rFonts w:hint="eastAsia" w:ascii="宋体" w:hAnsi="宋体"/>
          <w:color w:val="auto"/>
          <w:sz w:val="24"/>
          <w:szCs w:val="24"/>
          <w:highlight w:val="none"/>
        </w:rPr>
        <w:t>；采购人委托采购代理机构代表其与乙方签订合同的，采购人的授权委托书作为合同附件。</w:t>
      </w:r>
    </w:p>
    <w:p w14:paraId="305CEA0C">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2.1.5 “乙方”系指根据合同约定提供服务的</w:t>
      </w:r>
      <w:r>
        <w:rPr>
          <w:rFonts w:hint="eastAsia" w:ascii="宋体" w:hAnsi="宋体" w:cs="宋体"/>
          <w:color w:val="auto"/>
          <w:sz w:val="24"/>
          <w:szCs w:val="24"/>
          <w:highlight w:val="none"/>
        </w:rPr>
        <w:t>中标或成交</w:t>
      </w:r>
      <w:r>
        <w:rPr>
          <w:rFonts w:ascii="宋体" w:hAnsi="宋体"/>
          <w:color w:val="auto"/>
          <w:sz w:val="24"/>
          <w:szCs w:val="24"/>
          <w:highlight w:val="none"/>
        </w:rPr>
        <w:t>供应商</w:t>
      </w:r>
      <w:r>
        <w:rPr>
          <w:rFonts w:hint="eastAsia" w:ascii="宋体" w:hAnsi="宋体"/>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E421E7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2.1.6 “现场”系指合同约定提供服务的地点。</w:t>
      </w:r>
    </w:p>
    <w:p w14:paraId="14EB90A1">
      <w:pPr>
        <w:shd w:val="clear"/>
        <w:spacing w:line="360" w:lineRule="auto"/>
        <w:ind w:firstLine="482" w:firstLineChars="200"/>
        <w:rPr>
          <w:rFonts w:ascii="宋体" w:hAnsi="宋体"/>
          <w:b/>
          <w:color w:val="auto"/>
          <w:sz w:val="24"/>
          <w:szCs w:val="24"/>
          <w:highlight w:val="none"/>
        </w:rPr>
      </w:pPr>
      <w:bookmarkStart w:id="99" w:name="_Toc16752"/>
      <w:bookmarkStart w:id="100" w:name="_Toc23289"/>
      <w:bookmarkStart w:id="101" w:name="_Toc3769"/>
      <w:bookmarkStart w:id="102" w:name="_Toc19539"/>
      <w:bookmarkStart w:id="103" w:name="_Toc31402"/>
      <w:r>
        <w:rPr>
          <w:rFonts w:ascii="宋体" w:hAnsi="宋体"/>
          <w:b/>
          <w:color w:val="auto"/>
          <w:sz w:val="24"/>
          <w:szCs w:val="24"/>
          <w:highlight w:val="none"/>
        </w:rPr>
        <w:t>2.2 技术规范</w:t>
      </w:r>
      <w:bookmarkEnd w:id="99"/>
      <w:bookmarkEnd w:id="100"/>
      <w:bookmarkEnd w:id="101"/>
      <w:bookmarkEnd w:id="102"/>
      <w:bookmarkEnd w:id="103"/>
    </w:p>
    <w:p w14:paraId="752412AC">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服务</w:t>
      </w:r>
      <w:r>
        <w:rPr>
          <w:rFonts w:ascii="宋体" w:hAnsi="宋体"/>
          <w:color w:val="auto"/>
          <w:sz w:val="24"/>
          <w:szCs w:val="24"/>
          <w:highlight w:val="none"/>
        </w:rPr>
        <w:t>所应遵守的技术规范应与采购文件规定的技术规范和技术规范附件(如果有的话)及其技术规范偏差表(如果被甲方接受的话)相一致</w:t>
      </w:r>
      <w:r>
        <w:rPr>
          <w:rFonts w:hint="eastAsia" w:ascii="宋体" w:hAnsi="宋体"/>
          <w:color w:val="auto"/>
          <w:sz w:val="24"/>
          <w:szCs w:val="24"/>
          <w:highlight w:val="none"/>
        </w:rPr>
        <w:t>；</w:t>
      </w:r>
      <w:r>
        <w:rPr>
          <w:rFonts w:ascii="宋体" w:hAnsi="宋体"/>
          <w:color w:val="auto"/>
          <w:sz w:val="24"/>
          <w:szCs w:val="24"/>
          <w:highlight w:val="none"/>
        </w:rPr>
        <w:t>如果采购文件中没有技术规范的相应说明，那么应以国家有关部门最新颁布的相应标准</w:t>
      </w:r>
      <w:r>
        <w:rPr>
          <w:rFonts w:hint="eastAsia" w:ascii="宋体" w:hAnsi="宋体"/>
          <w:color w:val="auto"/>
          <w:sz w:val="24"/>
          <w:szCs w:val="24"/>
          <w:highlight w:val="none"/>
        </w:rPr>
        <w:t>和</w:t>
      </w:r>
      <w:r>
        <w:rPr>
          <w:rFonts w:ascii="宋体" w:hAnsi="宋体"/>
          <w:color w:val="auto"/>
          <w:sz w:val="24"/>
          <w:szCs w:val="24"/>
          <w:highlight w:val="none"/>
        </w:rPr>
        <w:t>规范为准。</w:t>
      </w:r>
    </w:p>
    <w:p w14:paraId="0C1E46CB">
      <w:pPr>
        <w:shd w:val="clear"/>
        <w:spacing w:line="360" w:lineRule="auto"/>
        <w:ind w:firstLine="482" w:firstLineChars="200"/>
        <w:rPr>
          <w:rFonts w:ascii="宋体" w:hAnsi="宋体"/>
          <w:b/>
          <w:color w:val="auto"/>
          <w:sz w:val="24"/>
          <w:szCs w:val="24"/>
          <w:highlight w:val="none"/>
        </w:rPr>
      </w:pPr>
      <w:bookmarkStart w:id="104" w:name="_Toc9161"/>
      <w:bookmarkStart w:id="105" w:name="_Toc12412"/>
      <w:bookmarkStart w:id="106" w:name="_Toc13673"/>
      <w:bookmarkStart w:id="107" w:name="_Toc4133"/>
      <w:bookmarkStart w:id="108" w:name="_Toc27945"/>
      <w:r>
        <w:rPr>
          <w:rFonts w:ascii="宋体" w:hAnsi="宋体"/>
          <w:b/>
          <w:color w:val="auto"/>
          <w:sz w:val="24"/>
          <w:szCs w:val="24"/>
          <w:highlight w:val="none"/>
        </w:rPr>
        <w:t>2.3 知识产权</w:t>
      </w:r>
      <w:bookmarkEnd w:id="104"/>
      <w:bookmarkEnd w:id="105"/>
      <w:bookmarkEnd w:id="106"/>
      <w:bookmarkEnd w:id="107"/>
      <w:bookmarkEnd w:id="108"/>
    </w:p>
    <w:p w14:paraId="681C311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2.3.1 </w:t>
      </w:r>
      <w:r>
        <w:rPr>
          <w:rFonts w:hint="eastAsia" w:ascii="宋体" w:hAnsi="宋体"/>
          <w:color w:val="auto"/>
          <w:sz w:val="24"/>
          <w:szCs w:val="24"/>
          <w:highlight w:val="none"/>
        </w:rPr>
        <w:t>乙</w:t>
      </w:r>
      <w:r>
        <w:rPr>
          <w:rFonts w:ascii="宋体" w:hAnsi="宋体"/>
          <w:color w:val="auto"/>
          <w:sz w:val="24"/>
          <w:szCs w:val="24"/>
          <w:highlight w:val="none"/>
        </w:rPr>
        <w:t>方应保证</w:t>
      </w:r>
      <w:r>
        <w:rPr>
          <w:rFonts w:hint="eastAsia" w:ascii="宋体" w:hAnsi="宋体"/>
          <w:color w:val="auto"/>
          <w:sz w:val="24"/>
          <w:szCs w:val="24"/>
          <w:highlight w:val="none"/>
        </w:rPr>
        <w:t>其提供的服务</w:t>
      </w:r>
      <w:r>
        <w:rPr>
          <w:rFonts w:ascii="宋体" w:hAnsi="宋体"/>
          <w:color w:val="auto"/>
          <w:sz w:val="24"/>
          <w:szCs w:val="24"/>
          <w:highlight w:val="none"/>
        </w:rPr>
        <w:t>不受任何第三方提出的侵犯其著作权、商标权、专利权等知识产权方面的起诉</w:t>
      </w:r>
      <w:r>
        <w:rPr>
          <w:rFonts w:hint="eastAsia" w:ascii="宋体" w:hAnsi="宋体"/>
          <w:color w:val="auto"/>
          <w:sz w:val="24"/>
          <w:szCs w:val="24"/>
          <w:highlight w:val="none"/>
        </w:rPr>
        <w:t>；</w:t>
      </w:r>
      <w:r>
        <w:rPr>
          <w:rFonts w:ascii="宋体" w:hAnsi="宋体"/>
          <w:color w:val="auto"/>
          <w:sz w:val="24"/>
          <w:szCs w:val="24"/>
          <w:highlight w:val="none"/>
        </w:rPr>
        <w:t>如果任何第三方提出侵权</w:t>
      </w:r>
      <w:r>
        <w:rPr>
          <w:rFonts w:hint="eastAsia" w:ascii="宋体" w:hAnsi="宋体"/>
          <w:color w:val="auto"/>
          <w:sz w:val="24"/>
          <w:szCs w:val="24"/>
          <w:highlight w:val="none"/>
        </w:rPr>
        <w:t>指控</w:t>
      </w:r>
      <w:r>
        <w:rPr>
          <w:rFonts w:ascii="宋体" w:hAnsi="宋体"/>
          <w:color w:val="auto"/>
          <w:sz w:val="24"/>
          <w:szCs w:val="24"/>
          <w:highlight w:val="none"/>
        </w:rPr>
        <w:t>，那么乙方须与该第三方交涉并承担由此发生的一切责任、费用和赔偿</w:t>
      </w:r>
      <w:r>
        <w:rPr>
          <w:rFonts w:hint="eastAsia" w:ascii="宋体" w:hAnsi="宋体"/>
          <w:color w:val="auto"/>
          <w:sz w:val="24"/>
          <w:szCs w:val="24"/>
          <w:highlight w:val="none"/>
        </w:rPr>
        <w:t>，乙方还应及时澄清相关信息，使甲方声誉免受损害，甲方保留追责的权利。</w:t>
      </w:r>
    </w:p>
    <w:p w14:paraId="3CBCDD43">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2.3.2 </w:t>
      </w:r>
      <w:r>
        <w:rPr>
          <w:rFonts w:hint="eastAsia" w:ascii="宋体" w:hAnsi="宋体"/>
          <w:color w:val="auto"/>
          <w:sz w:val="24"/>
          <w:szCs w:val="24"/>
          <w:highlight w:val="none"/>
        </w:rPr>
        <w:t>合同涉及技术成果的归属和收益的分成办法的，</w:t>
      </w: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00F8D7C5">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 xml:space="preserve">2.4 </w:t>
      </w:r>
      <w:r>
        <w:rPr>
          <w:rFonts w:hint="eastAsia" w:ascii="宋体" w:hAnsi="宋体"/>
          <w:b/>
          <w:color w:val="auto"/>
          <w:sz w:val="24"/>
          <w:szCs w:val="24"/>
          <w:highlight w:val="none"/>
        </w:rPr>
        <w:t>履约检查和问题反馈</w:t>
      </w:r>
    </w:p>
    <w:p w14:paraId="48B1CDC6">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2.4.1甲方</w:t>
      </w:r>
      <w:r>
        <w:rPr>
          <w:rFonts w:hint="eastAsia" w:ascii="宋体" w:hAnsi="宋体"/>
          <w:color w:val="auto"/>
          <w:sz w:val="24"/>
          <w:szCs w:val="24"/>
          <w:highlight w:val="none"/>
        </w:rPr>
        <w:t>有权</w:t>
      </w:r>
      <w:r>
        <w:rPr>
          <w:rFonts w:ascii="宋体" w:hAnsi="宋体"/>
          <w:color w:val="auto"/>
          <w:sz w:val="24"/>
          <w:szCs w:val="24"/>
          <w:highlight w:val="none"/>
        </w:rPr>
        <w:t>在其认为必要时</w:t>
      </w:r>
      <w:r>
        <w:rPr>
          <w:rFonts w:hint="eastAsia" w:ascii="宋体" w:hAnsi="宋体"/>
          <w:color w:val="auto"/>
          <w:sz w:val="24"/>
          <w:szCs w:val="24"/>
          <w:highlight w:val="none"/>
        </w:rPr>
        <w:t>，对乙方是否能够按照合同约定提供服务进行履约检查，以确保乙方所提供的服务能够依约满足甲方之项目需求，但不得因履约检查妨碍乙方的正常工作，乙方应予积极配合；</w:t>
      </w:r>
    </w:p>
    <w:p w14:paraId="0021FAE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2.4.2 </w:t>
      </w:r>
      <w:r>
        <w:rPr>
          <w:rFonts w:hint="eastAsia" w:ascii="宋体" w:hAnsi="宋体"/>
          <w:color w:val="auto"/>
          <w:sz w:val="24"/>
          <w:szCs w:val="24"/>
          <w:highlight w:val="none"/>
        </w:rPr>
        <w:t>合同履行期间，甲方有权将履行过程中出现的问题反馈给乙方，双方当事人应以书面形式约定需要完善和改进的内容。</w:t>
      </w:r>
    </w:p>
    <w:p w14:paraId="5E27A1D6">
      <w:pPr>
        <w:shd w:val="clear"/>
        <w:spacing w:line="360" w:lineRule="auto"/>
        <w:ind w:firstLine="482" w:firstLineChars="200"/>
        <w:rPr>
          <w:rFonts w:ascii="宋体" w:hAnsi="宋体"/>
          <w:b/>
          <w:color w:val="auto"/>
          <w:sz w:val="24"/>
          <w:szCs w:val="24"/>
          <w:highlight w:val="none"/>
        </w:rPr>
      </w:pPr>
      <w:bookmarkStart w:id="109" w:name="_Toc31233"/>
      <w:bookmarkStart w:id="110" w:name="_Toc26555"/>
      <w:bookmarkStart w:id="111" w:name="_Toc32670"/>
      <w:bookmarkStart w:id="112" w:name="_Toc22011"/>
      <w:bookmarkStart w:id="113" w:name="_Toc15447"/>
      <w:r>
        <w:rPr>
          <w:rFonts w:ascii="宋体" w:hAnsi="宋体"/>
          <w:b/>
          <w:color w:val="auto"/>
          <w:sz w:val="24"/>
          <w:szCs w:val="24"/>
          <w:highlight w:val="none"/>
        </w:rPr>
        <w:t>2.5 结算方式和付款条件</w:t>
      </w:r>
      <w:bookmarkEnd w:id="109"/>
      <w:bookmarkEnd w:id="110"/>
      <w:bookmarkEnd w:id="111"/>
      <w:bookmarkEnd w:id="112"/>
      <w:bookmarkEnd w:id="113"/>
    </w:p>
    <w:p w14:paraId="58F6B34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66673063">
      <w:pPr>
        <w:shd w:val="clear"/>
        <w:spacing w:line="360" w:lineRule="auto"/>
        <w:ind w:firstLine="482" w:firstLineChars="200"/>
        <w:rPr>
          <w:rFonts w:ascii="宋体" w:hAnsi="宋体"/>
          <w:b/>
          <w:color w:val="auto"/>
          <w:sz w:val="24"/>
          <w:szCs w:val="24"/>
          <w:highlight w:val="none"/>
        </w:rPr>
      </w:pPr>
      <w:bookmarkStart w:id="114" w:name="_Toc13467"/>
      <w:bookmarkStart w:id="115" w:name="_Toc13154"/>
      <w:bookmarkStart w:id="116" w:name="_Toc16163"/>
      <w:bookmarkStart w:id="117" w:name="_Toc30507"/>
      <w:bookmarkStart w:id="118" w:name="_Toc18990"/>
      <w:r>
        <w:rPr>
          <w:rFonts w:ascii="宋体" w:hAnsi="宋体"/>
          <w:b/>
          <w:color w:val="auto"/>
          <w:sz w:val="24"/>
          <w:szCs w:val="24"/>
          <w:highlight w:val="none"/>
        </w:rPr>
        <w:t>2.6 技术资料和保密义务</w:t>
      </w:r>
      <w:bookmarkEnd w:id="114"/>
      <w:bookmarkEnd w:id="115"/>
      <w:bookmarkEnd w:id="116"/>
      <w:bookmarkEnd w:id="117"/>
      <w:bookmarkEnd w:id="118"/>
    </w:p>
    <w:p w14:paraId="2B4F8CA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2.6.1 乙方有权依据合同约定和项目需要，向甲方了解有关情况，调阅有关资料等，甲方应予积极配合；</w:t>
      </w:r>
    </w:p>
    <w:p w14:paraId="1F95F88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2.6.2 </w:t>
      </w:r>
      <w:r>
        <w:rPr>
          <w:rFonts w:hint="eastAsia" w:ascii="宋体" w:hAnsi="宋体"/>
          <w:color w:val="auto"/>
          <w:sz w:val="24"/>
          <w:szCs w:val="24"/>
          <w:highlight w:val="none"/>
        </w:rPr>
        <w:t>乙方有义务妥善保管和保护由甲方提供的前款信息和资料等；</w:t>
      </w:r>
    </w:p>
    <w:p w14:paraId="4F504A95">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2.6.3 </w:t>
      </w:r>
      <w:r>
        <w:rPr>
          <w:rFonts w:hint="eastAsia" w:ascii="宋体" w:hAnsi="宋体"/>
          <w:color w:val="auto"/>
          <w:sz w:val="24"/>
          <w:szCs w:val="24"/>
          <w:highlight w:val="none"/>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szCs w:val="24"/>
          <w:highlight w:val="none"/>
        </w:rPr>
        <w:t>技术情报</w:t>
      </w:r>
      <w:r>
        <w:rPr>
          <w:rFonts w:hint="eastAsia" w:ascii="宋体" w:hAnsi="宋体"/>
          <w:color w:val="auto"/>
          <w:sz w:val="24"/>
          <w:szCs w:val="24"/>
          <w:highlight w:val="none"/>
        </w:rPr>
        <w:t>、</w:t>
      </w:r>
      <w:r>
        <w:rPr>
          <w:rFonts w:ascii="宋体" w:hAnsi="宋体"/>
          <w:color w:val="auto"/>
          <w:sz w:val="24"/>
          <w:szCs w:val="24"/>
          <w:highlight w:val="none"/>
        </w:rPr>
        <w:t>技术资料</w:t>
      </w:r>
      <w:r>
        <w:rPr>
          <w:rFonts w:hint="eastAsia" w:ascii="宋体" w:hAnsi="宋体"/>
          <w:color w:val="auto"/>
          <w:sz w:val="24"/>
          <w:szCs w:val="24"/>
          <w:highlight w:val="none"/>
        </w:rPr>
        <w:t>、商业秘密和商业信息等，并采取一切合理和必要措施和方式防止任何第三方接触到对方当事人的上述保密信息和资料。</w:t>
      </w:r>
    </w:p>
    <w:p w14:paraId="4FF2395F">
      <w:pPr>
        <w:shd w:val="clear"/>
        <w:spacing w:line="360" w:lineRule="auto"/>
        <w:ind w:firstLine="482" w:firstLineChars="200"/>
        <w:rPr>
          <w:rFonts w:ascii="宋体" w:hAnsi="宋体"/>
          <w:b/>
          <w:color w:val="auto"/>
          <w:sz w:val="24"/>
          <w:szCs w:val="24"/>
          <w:highlight w:val="none"/>
        </w:rPr>
      </w:pPr>
      <w:bookmarkStart w:id="119" w:name="_Toc19069"/>
      <w:r>
        <w:rPr>
          <w:rFonts w:ascii="宋体" w:hAnsi="宋体"/>
          <w:b/>
          <w:color w:val="auto"/>
          <w:sz w:val="24"/>
          <w:szCs w:val="24"/>
          <w:highlight w:val="none"/>
        </w:rPr>
        <w:t xml:space="preserve">2.7 </w:t>
      </w:r>
      <w:r>
        <w:rPr>
          <w:rFonts w:hint="eastAsia" w:ascii="宋体" w:hAnsi="宋体"/>
          <w:b/>
          <w:color w:val="auto"/>
          <w:sz w:val="24"/>
          <w:szCs w:val="24"/>
          <w:highlight w:val="none"/>
        </w:rPr>
        <w:t>质量保证</w:t>
      </w:r>
      <w:bookmarkEnd w:id="119"/>
    </w:p>
    <w:p w14:paraId="47761108">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2.7.1 </w:t>
      </w:r>
      <w:r>
        <w:rPr>
          <w:rFonts w:hint="eastAsia" w:ascii="宋体" w:hAnsi="宋体"/>
          <w:color w:val="auto"/>
          <w:sz w:val="24"/>
          <w:szCs w:val="24"/>
          <w:highlight w:val="none"/>
        </w:rPr>
        <w:t>乙方应建立和完善履行合同的内部质量保证体系，并提供相关内部规章制度给甲方，以便甲方进行监督检查；</w:t>
      </w:r>
    </w:p>
    <w:p w14:paraId="61DD7B69">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2.7.2 </w:t>
      </w:r>
      <w:r>
        <w:rPr>
          <w:rFonts w:hint="eastAsia" w:ascii="宋体" w:hAnsi="宋体"/>
          <w:color w:val="auto"/>
          <w:sz w:val="24"/>
          <w:szCs w:val="24"/>
          <w:highlight w:val="none"/>
        </w:rPr>
        <w:t>乙方应保证履行合同的人员数量和素质、软件和硬件设备的配置、场地、环境和设施等满足全面履行合同的要求，并应接受甲方的监督检查。</w:t>
      </w:r>
    </w:p>
    <w:p w14:paraId="5B95CA4F">
      <w:pPr>
        <w:shd w:val="clear"/>
        <w:spacing w:line="360" w:lineRule="auto"/>
        <w:ind w:firstLine="482" w:firstLineChars="200"/>
        <w:rPr>
          <w:rFonts w:ascii="宋体" w:hAnsi="宋体"/>
          <w:b/>
          <w:color w:val="auto"/>
          <w:sz w:val="24"/>
          <w:szCs w:val="24"/>
          <w:highlight w:val="none"/>
        </w:rPr>
      </w:pPr>
      <w:bookmarkStart w:id="120" w:name="_Toc22267"/>
      <w:r>
        <w:rPr>
          <w:rFonts w:ascii="宋体" w:hAnsi="宋体"/>
          <w:b/>
          <w:color w:val="auto"/>
          <w:sz w:val="24"/>
          <w:szCs w:val="24"/>
          <w:highlight w:val="none"/>
        </w:rPr>
        <w:t xml:space="preserve">2.8 </w:t>
      </w:r>
      <w:r>
        <w:rPr>
          <w:rFonts w:hint="eastAsia" w:ascii="宋体" w:hAnsi="宋体"/>
          <w:b/>
          <w:color w:val="auto"/>
          <w:sz w:val="24"/>
          <w:szCs w:val="24"/>
          <w:highlight w:val="none"/>
        </w:rPr>
        <w:t>延迟履行</w:t>
      </w:r>
      <w:bookmarkEnd w:id="120"/>
    </w:p>
    <w:p w14:paraId="67EB48C2">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甲乙双方签订合同后，乙方应按照合同约定履行合同义务，除不可抗力外，乙方不得延迟履行。</w:t>
      </w:r>
      <w:r>
        <w:rPr>
          <w:rFonts w:ascii="宋体" w:hAnsi="宋体"/>
          <w:color w:val="auto"/>
          <w:sz w:val="24"/>
          <w:szCs w:val="24"/>
          <w:highlight w:val="none"/>
        </w:rPr>
        <w:t>在合同履行过程中，如果</w:t>
      </w:r>
      <w:r>
        <w:rPr>
          <w:rFonts w:hint="eastAsia" w:ascii="宋体" w:hAnsi="宋体"/>
          <w:color w:val="auto"/>
          <w:sz w:val="24"/>
          <w:szCs w:val="24"/>
          <w:highlight w:val="none"/>
        </w:rPr>
        <w:t>因不可抗力，</w:t>
      </w:r>
      <w:r>
        <w:rPr>
          <w:rFonts w:ascii="宋体" w:hAnsi="宋体"/>
          <w:color w:val="auto"/>
          <w:sz w:val="24"/>
          <w:szCs w:val="24"/>
          <w:highlight w:val="none"/>
        </w:rPr>
        <w:t>乙方遇到不能按时</w:t>
      </w:r>
      <w:r>
        <w:rPr>
          <w:rFonts w:hint="eastAsia" w:ascii="宋体" w:hAnsi="宋体"/>
          <w:color w:val="auto"/>
          <w:sz w:val="24"/>
          <w:szCs w:val="24"/>
          <w:highlight w:val="none"/>
        </w:rPr>
        <w:t>提供服务</w:t>
      </w:r>
      <w:r>
        <w:rPr>
          <w:rFonts w:ascii="宋体" w:hAnsi="宋体"/>
          <w:color w:val="auto"/>
          <w:sz w:val="24"/>
          <w:szCs w:val="24"/>
          <w:highlight w:val="none"/>
        </w:rPr>
        <w:t>的情况，应及时以书面形式将不能按时</w:t>
      </w:r>
      <w:r>
        <w:rPr>
          <w:rFonts w:hint="eastAsia" w:ascii="宋体" w:hAnsi="宋体"/>
          <w:color w:val="auto"/>
          <w:sz w:val="24"/>
          <w:szCs w:val="24"/>
          <w:highlight w:val="none"/>
        </w:rPr>
        <w:t>提供服务</w:t>
      </w:r>
      <w:r>
        <w:rPr>
          <w:rFonts w:ascii="宋体" w:hAnsi="宋体"/>
          <w:color w:val="auto"/>
          <w:sz w:val="24"/>
          <w:szCs w:val="24"/>
          <w:highlight w:val="none"/>
        </w:rPr>
        <w:t>的理由、预期延误时间通知甲方</w:t>
      </w:r>
      <w:r>
        <w:rPr>
          <w:rFonts w:hint="eastAsia" w:ascii="宋体" w:hAnsi="宋体"/>
          <w:color w:val="auto"/>
          <w:sz w:val="24"/>
          <w:szCs w:val="24"/>
          <w:highlight w:val="none"/>
        </w:rPr>
        <w:t>；甲</w:t>
      </w:r>
      <w:r>
        <w:rPr>
          <w:rFonts w:ascii="宋体" w:hAnsi="宋体"/>
          <w:color w:val="auto"/>
          <w:sz w:val="24"/>
          <w:szCs w:val="24"/>
          <w:highlight w:val="none"/>
        </w:rPr>
        <w:t>方收到乙方通知后，认为其理由正当的，可以书面形式酌情同意乙方可以延长</w:t>
      </w:r>
      <w:r>
        <w:rPr>
          <w:rFonts w:hint="eastAsia" w:ascii="宋体" w:hAnsi="宋体"/>
          <w:color w:val="auto"/>
          <w:sz w:val="24"/>
          <w:szCs w:val="24"/>
          <w:highlight w:val="none"/>
        </w:rPr>
        <w:t>履行</w:t>
      </w:r>
      <w:r>
        <w:rPr>
          <w:rFonts w:ascii="宋体" w:hAnsi="宋体"/>
          <w:color w:val="auto"/>
          <w:sz w:val="24"/>
          <w:szCs w:val="24"/>
          <w:highlight w:val="none"/>
        </w:rPr>
        <w:t>的具体时间。</w:t>
      </w:r>
    </w:p>
    <w:p w14:paraId="241DF1C5">
      <w:pPr>
        <w:shd w:val="clear"/>
        <w:spacing w:line="360" w:lineRule="auto"/>
        <w:ind w:firstLine="482" w:firstLineChars="200"/>
        <w:rPr>
          <w:rFonts w:ascii="宋体" w:hAnsi="宋体"/>
          <w:b/>
          <w:color w:val="auto"/>
          <w:sz w:val="24"/>
          <w:szCs w:val="24"/>
          <w:highlight w:val="none"/>
        </w:rPr>
      </w:pPr>
      <w:bookmarkStart w:id="121" w:name="_Toc10611"/>
      <w:r>
        <w:rPr>
          <w:rFonts w:ascii="宋体" w:hAnsi="宋体"/>
          <w:b/>
          <w:color w:val="auto"/>
          <w:sz w:val="24"/>
          <w:szCs w:val="24"/>
          <w:highlight w:val="none"/>
        </w:rPr>
        <w:t xml:space="preserve">2.9 </w:t>
      </w:r>
      <w:r>
        <w:rPr>
          <w:rFonts w:hint="eastAsia" w:ascii="宋体" w:hAnsi="宋体"/>
          <w:b/>
          <w:color w:val="auto"/>
          <w:sz w:val="24"/>
          <w:szCs w:val="24"/>
          <w:highlight w:val="none"/>
        </w:rPr>
        <w:t>合同变更</w:t>
      </w:r>
      <w:bookmarkEnd w:id="121"/>
    </w:p>
    <w:p w14:paraId="6EF22BFF">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合同继续履行将损害国家利益和社会公共利益的，双方当事人应当以书面形式变更合同。有过错的一方应当承担赔偿责任，双方当事人都有过错的，各自承担相应的责任。</w:t>
      </w:r>
    </w:p>
    <w:p w14:paraId="272EB0F5">
      <w:pPr>
        <w:shd w:val="clear"/>
        <w:spacing w:line="360" w:lineRule="auto"/>
        <w:ind w:firstLine="482" w:firstLineChars="200"/>
        <w:rPr>
          <w:rFonts w:ascii="宋体" w:hAnsi="宋体"/>
          <w:b/>
          <w:color w:val="auto"/>
          <w:sz w:val="24"/>
          <w:szCs w:val="24"/>
          <w:highlight w:val="none"/>
        </w:rPr>
      </w:pPr>
      <w:bookmarkStart w:id="122" w:name="_Toc10663"/>
      <w:bookmarkStart w:id="123" w:name="_Toc21830"/>
      <w:bookmarkStart w:id="124" w:name="_Toc42"/>
      <w:bookmarkStart w:id="125" w:name="_Toc26689"/>
      <w:r>
        <w:rPr>
          <w:rFonts w:ascii="宋体" w:hAnsi="宋体"/>
          <w:b/>
          <w:color w:val="auto"/>
          <w:sz w:val="24"/>
          <w:szCs w:val="24"/>
          <w:highlight w:val="none"/>
        </w:rPr>
        <w:t>2.10 合同转让和分包</w:t>
      </w:r>
      <w:bookmarkEnd w:id="122"/>
      <w:bookmarkEnd w:id="123"/>
      <w:bookmarkEnd w:id="124"/>
      <w:bookmarkEnd w:id="125"/>
    </w:p>
    <w:p w14:paraId="49E4DD9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合同的权利义务依法不</w:t>
      </w:r>
      <w:r>
        <w:rPr>
          <w:rFonts w:hint="eastAsia" w:ascii="宋体" w:hAnsi="宋体"/>
          <w:color w:val="auto"/>
          <w:sz w:val="24"/>
          <w:szCs w:val="24"/>
          <w:highlight w:val="none"/>
        </w:rPr>
        <w:t>得</w:t>
      </w:r>
      <w:r>
        <w:rPr>
          <w:rFonts w:ascii="宋体" w:hAnsi="宋体"/>
          <w:color w:val="auto"/>
          <w:sz w:val="24"/>
          <w:szCs w:val="24"/>
          <w:highlight w:val="none"/>
        </w:rPr>
        <w:t>转让</w:t>
      </w:r>
      <w:r>
        <w:rPr>
          <w:rFonts w:hint="eastAsia" w:ascii="宋体" w:hAnsi="宋体"/>
          <w:color w:val="auto"/>
          <w:sz w:val="24"/>
          <w:szCs w:val="24"/>
          <w:highlight w:val="none"/>
        </w:rPr>
        <w:t>，</w:t>
      </w:r>
      <w:r>
        <w:rPr>
          <w:rFonts w:ascii="宋体" w:hAnsi="宋体"/>
          <w:color w:val="auto"/>
          <w:sz w:val="24"/>
          <w:szCs w:val="24"/>
          <w:highlight w:val="none"/>
        </w:rPr>
        <w:t>但经甲方</w:t>
      </w:r>
      <w:r>
        <w:rPr>
          <w:rFonts w:hint="eastAsia" w:ascii="宋体" w:hAnsi="宋体"/>
          <w:color w:val="auto"/>
          <w:sz w:val="24"/>
          <w:szCs w:val="24"/>
          <w:highlight w:val="none"/>
        </w:rPr>
        <w:t>同意，乙方可以依法采取分包方式履行合同，即：依法可以</w:t>
      </w:r>
      <w:r>
        <w:rPr>
          <w:rFonts w:ascii="宋体" w:hAnsi="宋体"/>
          <w:color w:val="auto"/>
          <w:sz w:val="24"/>
          <w:szCs w:val="24"/>
          <w:highlight w:val="none"/>
        </w:rPr>
        <w:t>将合同项下的部分非主体、非关键性工作分包给他人完成</w:t>
      </w:r>
      <w:r>
        <w:rPr>
          <w:rFonts w:hint="eastAsia" w:ascii="宋体" w:hAnsi="宋体"/>
          <w:color w:val="auto"/>
          <w:sz w:val="24"/>
          <w:szCs w:val="24"/>
          <w:highlight w:val="none"/>
        </w:rPr>
        <w:t>，</w:t>
      </w:r>
      <w:r>
        <w:rPr>
          <w:rFonts w:ascii="宋体" w:hAnsi="宋体"/>
          <w:color w:val="auto"/>
          <w:sz w:val="24"/>
          <w:szCs w:val="24"/>
          <w:highlight w:val="none"/>
        </w:rPr>
        <w:t>接受分包的人应当具备相应的资格条件，并不得再次分包</w:t>
      </w:r>
      <w:r>
        <w:rPr>
          <w:rFonts w:hint="eastAsia" w:ascii="宋体" w:hAnsi="宋体"/>
          <w:color w:val="auto"/>
          <w:sz w:val="24"/>
          <w:szCs w:val="24"/>
          <w:highlight w:val="none"/>
        </w:rPr>
        <w:t>，</w:t>
      </w:r>
      <w:r>
        <w:rPr>
          <w:rFonts w:ascii="宋体" w:hAnsi="宋体"/>
          <w:color w:val="auto"/>
          <w:sz w:val="24"/>
          <w:szCs w:val="24"/>
          <w:highlight w:val="none"/>
        </w:rPr>
        <w:t>且乙方应就分包项目向甲方负责</w:t>
      </w:r>
      <w:r>
        <w:rPr>
          <w:rFonts w:hint="eastAsia" w:ascii="宋体" w:hAnsi="宋体"/>
          <w:color w:val="auto"/>
          <w:sz w:val="24"/>
          <w:szCs w:val="24"/>
          <w:highlight w:val="none"/>
        </w:rPr>
        <w:t>，</w:t>
      </w:r>
      <w:r>
        <w:rPr>
          <w:rFonts w:ascii="宋体" w:hAnsi="宋体"/>
          <w:color w:val="auto"/>
          <w:sz w:val="24"/>
          <w:szCs w:val="24"/>
          <w:highlight w:val="none"/>
        </w:rPr>
        <w:t>并</w:t>
      </w:r>
      <w:r>
        <w:rPr>
          <w:rFonts w:hint="eastAsia" w:ascii="宋体" w:hAnsi="宋体"/>
          <w:color w:val="auto"/>
          <w:sz w:val="24"/>
          <w:szCs w:val="24"/>
          <w:highlight w:val="none"/>
        </w:rPr>
        <w:t>与分包供应商就分包项目向甲方承担连带责任。</w:t>
      </w:r>
    </w:p>
    <w:p w14:paraId="45D630C0">
      <w:pPr>
        <w:shd w:val="clear"/>
        <w:spacing w:line="360" w:lineRule="auto"/>
        <w:ind w:firstLine="482" w:firstLineChars="200"/>
        <w:rPr>
          <w:rFonts w:ascii="宋体" w:hAnsi="宋体"/>
          <w:b/>
          <w:color w:val="auto"/>
          <w:sz w:val="24"/>
          <w:szCs w:val="24"/>
          <w:highlight w:val="none"/>
        </w:rPr>
      </w:pPr>
      <w:bookmarkStart w:id="126" w:name="_Toc14371"/>
      <w:bookmarkStart w:id="127" w:name="_Toc4720"/>
      <w:bookmarkStart w:id="128" w:name="_Toc25571"/>
      <w:bookmarkStart w:id="129" w:name="_Toc32494"/>
      <w:bookmarkStart w:id="130" w:name="_Toc26633"/>
      <w:r>
        <w:rPr>
          <w:rFonts w:ascii="宋体" w:hAnsi="宋体"/>
          <w:b/>
          <w:color w:val="auto"/>
          <w:sz w:val="24"/>
          <w:szCs w:val="24"/>
          <w:highlight w:val="none"/>
        </w:rPr>
        <w:t>2.11 不可抗力</w:t>
      </w:r>
      <w:bookmarkEnd w:id="126"/>
      <w:bookmarkEnd w:id="127"/>
      <w:bookmarkEnd w:id="128"/>
      <w:bookmarkEnd w:id="129"/>
      <w:bookmarkEnd w:id="130"/>
    </w:p>
    <w:p w14:paraId="4A08A23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2.11.1如果任何一方遭遇法律规定的不可抗力，致使合同履行受阻时，履行合同的期限应予延长，延长的期限应相当于不可抗力所影响的时间</w:t>
      </w:r>
      <w:r>
        <w:rPr>
          <w:rFonts w:hint="eastAsia" w:ascii="宋体" w:hAnsi="宋体"/>
          <w:color w:val="auto"/>
          <w:sz w:val="24"/>
          <w:szCs w:val="24"/>
          <w:highlight w:val="none"/>
        </w:rPr>
        <w:t>；</w:t>
      </w:r>
    </w:p>
    <w:p w14:paraId="02732A66">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2.11.2 </w:t>
      </w:r>
      <w:r>
        <w:rPr>
          <w:rFonts w:hint="eastAsia" w:ascii="宋体" w:hAnsi="宋体"/>
          <w:color w:val="auto"/>
          <w:sz w:val="24"/>
          <w:szCs w:val="24"/>
          <w:highlight w:val="none"/>
        </w:rPr>
        <w:t>因不可抗力致使不能实现合同目的的，当事人可以解除合同；</w:t>
      </w:r>
    </w:p>
    <w:p w14:paraId="5C6AF901">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2.11.3 </w:t>
      </w:r>
      <w:r>
        <w:rPr>
          <w:rFonts w:hint="eastAsia" w:ascii="宋体" w:hAnsi="宋体"/>
          <w:color w:val="auto"/>
          <w:sz w:val="24"/>
          <w:szCs w:val="24"/>
          <w:highlight w:val="none"/>
        </w:rPr>
        <w:t>因</w:t>
      </w:r>
      <w:r>
        <w:rPr>
          <w:rFonts w:ascii="宋体" w:hAnsi="宋体"/>
          <w:color w:val="auto"/>
          <w:sz w:val="24"/>
          <w:szCs w:val="24"/>
          <w:highlight w:val="none"/>
        </w:rPr>
        <w:t>不可抗力致使合同有变更必要的，双方当事人应在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约定时间内以书面形式变更合同</w:t>
      </w:r>
      <w:r>
        <w:rPr>
          <w:rFonts w:hint="eastAsia" w:ascii="宋体" w:hAnsi="宋体"/>
          <w:color w:val="auto"/>
          <w:sz w:val="24"/>
          <w:szCs w:val="24"/>
          <w:highlight w:val="none"/>
        </w:rPr>
        <w:t>；</w:t>
      </w:r>
    </w:p>
    <w:p w14:paraId="149C4D9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2.11.4受</w:t>
      </w:r>
      <w:r>
        <w:rPr>
          <w:rFonts w:hint="eastAsia" w:ascii="宋体" w:hAnsi="宋体"/>
          <w:color w:val="auto"/>
          <w:sz w:val="24"/>
          <w:szCs w:val="24"/>
          <w:highlight w:val="none"/>
        </w:rPr>
        <w:t>不可抗力</w:t>
      </w:r>
      <w:r>
        <w:rPr>
          <w:rFonts w:ascii="宋体" w:hAnsi="宋体"/>
          <w:color w:val="auto"/>
          <w:sz w:val="24"/>
          <w:szCs w:val="24"/>
          <w:highlight w:val="none"/>
        </w:rPr>
        <w:t>影响的一方在不可抗力发生后</w:t>
      </w:r>
      <w:r>
        <w:rPr>
          <w:rFonts w:hint="eastAsia" w:ascii="宋体" w:hAnsi="宋体"/>
          <w:color w:val="auto"/>
          <w:sz w:val="24"/>
          <w:szCs w:val="24"/>
          <w:highlight w:val="none"/>
        </w:rPr>
        <w:t>，</w:t>
      </w:r>
      <w:r>
        <w:rPr>
          <w:rFonts w:ascii="宋体" w:hAnsi="宋体"/>
          <w:color w:val="auto"/>
          <w:sz w:val="24"/>
          <w:szCs w:val="24"/>
          <w:highlight w:val="none"/>
        </w:rPr>
        <w:t>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约定时间内以书面形式通知</w:t>
      </w:r>
      <w:r>
        <w:rPr>
          <w:rFonts w:hint="eastAsia" w:ascii="宋体" w:hAnsi="宋体"/>
          <w:color w:val="auto"/>
          <w:sz w:val="24"/>
          <w:szCs w:val="24"/>
          <w:highlight w:val="none"/>
        </w:rPr>
        <w:t>对</w:t>
      </w:r>
      <w:r>
        <w:rPr>
          <w:rFonts w:ascii="宋体" w:hAnsi="宋体"/>
          <w:color w:val="auto"/>
          <w:sz w:val="24"/>
          <w:szCs w:val="24"/>
          <w:highlight w:val="none"/>
        </w:rPr>
        <w:t>方当事人，并在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约定时间内，将有关部门出具的证明文件送达</w:t>
      </w:r>
      <w:r>
        <w:rPr>
          <w:rFonts w:hint="eastAsia" w:ascii="宋体" w:hAnsi="宋体"/>
          <w:color w:val="auto"/>
          <w:sz w:val="24"/>
          <w:szCs w:val="24"/>
          <w:highlight w:val="none"/>
        </w:rPr>
        <w:t>对方当事人</w:t>
      </w:r>
      <w:r>
        <w:rPr>
          <w:rFonts w:ascii="宋体" w:hAnsi="宋体"/>
          <w:color w:val="auto"/>
          <w:sz w:val="24"/>
          <w:szCs w:val="24"/>
          <w:highlight w:val="none"/>
        </w:rPr>
        <w:t>。</w:t>
      </w:r>
    </w:p>
    <w:p w14:paraId="2FDD42A7">
      <w:pPr>
        <w:shd w:val="clear"/>
        <w:spacing w:line="360" w:lineRule="auto"/>
        <w:ind w:firstLine="482" w:firstLineChars="200"/>
        <w:rPr>
          <w:rFonts w:ascii="宋体" w:hAnsi="宋体"/>
          <w:b/>
          <w:color w:val="auto"/>
          <w:sz w:val="24"/>
          <w:szCs w:val="24"/>
          <w:highlight w:val="none"/>
        </w:rPr>
      </w:pPr>
      <w:bookmarkStart w:id="131" w:name="_Toc23854"/>
      <w:bookmarkStart w:id="132" w:name="_Toc3638"/>
      <w:bookmarkStart w:id="133" w:name="_Toc24465"/>
      <w:bookmarkStart w:id="134" w:name="_Toc25783"/>
      <w:bookmarkStart w:id="135" w:name="_Toc14115"/>
      <w:r>
        <w:rPr>
          <w:rFonts w:ascii="宋体" w:hAnsi="宋体"/>
          <w:b/>
          <w:color w:val="auto"/>
          <w:sz w:val="24"/>
          <w:szCs w:val="24"/>
          <w:highlight w:val="none"/>
        </w:rPr>
        <w:t>2.12 税费</w:t>
      </w:r>
      <w:bookmarkEnd w:id="131"/>
      <w:bookmarkEnd w:id="132"/>
      <w:bookmarkEnd w:id="133"/>
      <w:bookmarkEnd w:id="134"/>
      <w:bookmarkEnd w:id="135"/>
    </w:p>
    <w:p w14:paraId="6429A99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与合同有关的一切税费</w:t>
      </w:r>
      <w:r>
        <w:rPr>
          <w:rFonts w:hint="eastAsia" w:ascii="宋体" w:hAnsi="宋体"/>
          <w:color w:val="auto"/>
          <w:sz w:val="24"/>
          <w:szCs w:val="24"/>
          <w:highlight w:val="none"/>
        </w:rPr>
        <w:t>，</w:t>
      </w:r>
      <w:r>
        <w:rPr>
          <w:rFonts w:ascii="宋体" w:hAnsi="宋体"/>
          <w:color w:val="auto"/>
          <w:sz w:val="24"/>
          <w:szCs w:val="24"/>
          <w:highlight w:val="none"/>
        </w:rPr>
        <w:t>均按照中华人民共和国法律的相关规定缴纳。</w:t>
      </w:r>
    </w:p>
    <w:p w14:paraId="63F8A2F2">
      <w:pPr>
        <w:shd w:val="clear"/>
        <w:spacing w:line="360" w:lineRule="auto"/>
        <w:ind w:firstLine="482" w:firstLineChars="200"/>
        <w:rPr>
          <w:rFonts w:ascii="宋体" w:hAnsi="宋体"/>
          <w:b/>
          <w:color w:val="auto"/>
          <w:sz w:val="24"/>
          <w:szCs w:val="24"/>
          <w:highlight w:val="none"/>
        </w:rPr>
      </w:pPr>
      <w:bookmarkStart w:id="136" w:name="_Toc25525"/>
      <w:bookmarkStart w:id="137" w:name="_Toc30105"/>
      <w:bookmarkStart w:id="138" w:name="_Toc7315"/>
      <w:bookmarkStart w:id="139" w:name="_Toc14814"/>
      <w:bookmarkStart w:id="140" w:name="_Toc26883"/>
      <w:r>
        <w:rPr>
          <w:rFonts w:ascii="宋体" w:hAnsi="宋体"/>
          <w:b/>
          <w:color w:val="auto"/>
          <w:sz w:val="24"/>
          <w:szCs w:val="24"/>
          <w:highlight w:val="none"/>
        </w:rPr>
        <w:t>2.13 乙方破产</w:t>
      </w:r>
      <w:bookmarkEnd w:id="136"/>
      <w:bookmarkEnd w:id="137"/>
      <w:bookmarkEnd w:id="138"/>
      <w:bookmarkEnd w:id="139"/>
      <w:bookmarkEnd w:id="140"/>
    </w:p>
    <w:p w14:paraId="4C2856DC">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如果乙方破产导致合同无法履行时，甲方可以书面形式通知乙方终止合同且不给予乙方任何补偿和赔偿</w:t>
      </w:r>
      <w:r>
        <w:rPr>
          <w:rFonts w:hint="eastAsia" w:ascii="宋体" w:hAnsi="宋体"/>
          <w:color w:val="auto"/>
          <w:sz w:val="24"/>
          <w:szCs w:val="24"/>
          <w:highlight w:val="none"/>
        </w:rPr>
        <w:t>，但合同的</w:t>
      </w:r>
      <w:r>
        <w:rPr>
          <w:rFonts w:ascii="宋体" w:hAnsi="宋体"/>
          <w:color w:val="auto"/>
          <w:sz w:val="24"/>
          <w:szCs w:val="24"/>
          <w:highlight w:val="none"/>
        </w:rPr>
        <w:t>终止不损害或不影响甲方已经采取或将要采取的任何要求乙方支付违约金</w:t>
      </w:r>
      <w:r>
        <w:rPr>
          <w:rFonts w:hint="eastAsia" w:ascii="宋体" w:hAnsi="宋体"/>
          <w:color w:val="auto"/>
          <w:sz w:val="24"/>
          <w:szCs w:val="24"/>
          <w:highlight w:val="none"/>
        </w:rPr>
        <w:t>、</w:t>
      </w:r>
      <w:r>
        <w:rPr>
          <w:rFonts w:ascii="宋体" w:hAnsi="宋体"/>
          <w:color w:val="auto"/>
          <w:sz w:val="24"/>
          <w:szCs w:val="24"/>
          <w:highlight w:val="none"/>
        </w:rPr>
        <w:t>赔偿损失等的行动或补救措施的权利</w:t>
      </w:r>
      <w:r>
        <w:rPr>
          <w:rFonts w:hint="eastAsia" w:ascii="宋体" w:hAnsi="宋体"/>
          <w:color w:val="auto"/>
          <w:sz w:val="24"/>
          <w:szCs w:val="24"/>
          <w:highlight w:val="none"/>
        </w:rPr>
        <w:t>。</w:t>
      </w:r>
    </w:p>
    <w:p w14:paraId="340A5BF2">
      <w:pPr>
        <w:shd w:val="clear"/>
        <w:spacing w:line="360" w:lineRule="auto"/>
        <w:ind w:firstLine="482" w:firstLineChars="200"/>
        <w:rPr>
          <w:rFonts w:ascii="宋体" w:hAnsi="宋体"/>
          <w:b/>
          <w:color w:val="auto"/>
          <w:sz w:val="24"/>
          <w:szCs w:val="24"/>
          <w:highlight w:val="none"/>
        </w:rPr>
      </w:pPr>
      <w:bookmarkStart w:id="141" w:name="_Toc2016"/>
      <w:bookmarkStart w:id="142" w:name="_Toc1123"/>
      <w:bookmarkStart w:id="143" w:name="_Toc23323"/>
      <w:r>
        <w:rPr>
          <w:rFonts w:ascii="宋体" w:hAnsi="宋体"/>
          <w:b/>
          <w:color w:val="auto"/>
          <w:sz w:val="24"/>
          <w:szCs w:val="24"/>
          <w:highlight w:val="none"/>
        </w:rPr>
        <w:t>2.14 合同中止、终止</w:t>
      </w:r>
      <w:bookmarkEnd w:id="141"/>
      <w:bookmarkEnd w:id="142"/>
      <w:bookmarkEnd w:id="143"/>
    </w:p>
    <w:p w14:paraId="7EAC72E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2.14.1 </w:t>
      </w:r>
      <w:r>
        <w:rPr>
          <w:rFonts w:hint="eastAsia" w:ascii="宋体" w:hAnsi="宋体"/>
          <w:color w:val="auto"/>
          <w:sz w:val="24"/>
          <w:szCs w:val="24"/>
          <w:highlight w:val="none"/>
        </w:rPr>
        <w:t>双方当事人不得擅自中止或者终止合同；</w:t>
      </w:r>
    </w:p>
    <w:p w14:paraId="018D2813">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071323C1">
      <w:pPr>
        <w:shd w:val="clear"/>
        <w:spacing w:line="360" w:lineRule="auto"/>
        <w:ind w:firstLine="482" w:firstLineChars="200"/>
        <w:rPr>
          <w:rFonts w:ascii="宋体" w:hAnsi="宋体"/>
          <w:b/>
          <w:color w:val="auto"/>
          <w:sz w:val="24"/>
          <w:szCs w:val="24"/>
          <w:highlight w:val="none"/>
        </w:rPr>
      </w:pPr>
      <w:bookmarkStart w:id="144" w:name="_Toc14525"/>
      <w:bookmarkStart w:id="145" w:name="_Toc17363"/>
      <w:bookmarkStart w:id="146" w:name="_Toc1969"/>
      <w:r>
        <w:rPr>
          <w:rFonts w:ascii="宋体" w:hAnsi="宋体"/>
          <w:b/>
          <w:color w:val="auto"/>
          <w:sz w:val="24"/>
          <w:szCs w:val="24"/>
          <w:highlight w:val="none"/>
        </w:rPr>
        <w:t>2.15 检验和验收</w:t>
      </w:r>
      <w:bookmarkEnd w:id="144"/>
      <w:bookmarkEnd w:id="145"/>
      <w:bookmarkEnd w:id="146"/>
    </w:p>
    <w:p w14:paraId="162C8131">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2.15.1 </w:t>
      </w:r>
      <w:r>
        <w:rPr>
          <w:rFonts w:hint="eastAsia" w:ascii="宋体" w:hAnsi="宋体"/>
          <w:color w:val="auto"/>
          <w:sz w:val="24"/>
          <w:szCs w:val="24"/>
          <w:highlight w:val="none"/>
        </w:rPr>
        <w:t>乙方按照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w:t>
      </w:r>
      <w:r>
        <w:rPr>
          <w:rFonts w:hint="eastAsia" w:ascii="宋体" w:hAnsi="宋体"/>
          <w:color w:val="auto"/>
          <w:sz w:val="24"/>
          <w:szCs w:val="24"/>
          <w:highlight w:val="none"/>
        </w:rPr>
        <w:t>，</w:t>
      </w:r>
      <w:r>
        <w:rPr>
          <w:rFonts w:ascii="宋体" w:hAnsi="宋体"/>
          <w:color w:val="auto"/>
          <w:sz w:val="24"/>
          <w:szCs w:val="24"/>
          <w:highlight w:val="none"/>
        </w:rPr>
        <w:t>定期提交服务报告</w:t>
      </w:r>
      <w:r>
        <w:rPr>
          <w:rFonts w:hint="eastAsia" w:ascii="宋体" w:hAnsi="宋体"/>
          <w:color w:val="auto"/>
          <w:sz w:val="24"/>
          <w:szCs w:val="24"/>
          <w:highlight w:val="none"/>
        </w:rPr>
        <w:t>，甲方按照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的约定进行定期验收</w:t>
      </w:r>
      <w:r>
        <w:rPr>
          <w:rFonts w:hint="eastAsia" w:ascii="宋体" w:hAnsi="宋体"/>
          <w:color w:val="auto"/>
          <w:sz w:val="24"/>
          <w:szCs w:val="24"/>
          <w:highlight w:val="none"/>
        </w:rPr>
        <w:t>；</w:t>
      </w:r>
    </w:p>
    <w:p w14:paraId="2E58B205">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2.15.2 </w:t>
      </w:r>
      <w:r>
        <w:rPr>
          <w:rFonts w:hint="eastAsia" w:ascii="宋体" w:hAnsi="宋体"/>
          <w:color w:val="auto"/>
          <w:sz w:val="24"/>
          <w:szCs w:val="24"/>
          <w:highlight w:val="none"/>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30D7FD97">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2.15.3 </w:t>
      </w:r>
      <w:r>
        <w:rPr>
          <w:rFonts w:hint="eastAsia" w:ascii="宋体" w:hAnsi="宋体"/>
          <w:color w:val="auto"/>
          <w:sz w:val="24"/>
          <w:szCs w:val="24"/>
          <w:highlight w:val="none"/>
        </w:rPr>
        <w:t>检验和验收标准、程序等具体内容以及前述验收书的效力详见</w:t>
      </w:r>
      <w:r>
        <w:rPr>
          <w:rFonts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9C7CAFD">
      <w:pPr>
        <w:shd w:val="clear"/>
        <w:spacing w:line="360" w:lineRule="auto"/>
        <w:ind w:firstLine="482" w:firstLineChars="200"/>
        <w:rPr>
          <w:rFonts w:ascii="宋体" w:hAnsi="宋体"/>
          <w:b/>
          <w:color w:val="auto"/>
          <w:sz w:val="24"/>
          <w:szCs w:val="24"/>
          <w:highlight w:val="none"/>
        </w:rPr>
      </w:pPr>
      <w:bookmarkStart w:id="147" w:name="_Toc31892"/>
      <w:bookmarkStart w:id="148" w:name="_Toc9808"/>
      <w:bookmarkStart w:id="149" w:name="_Toc12666"/>
      <w:bookmarkStart w:id="150" w:name="_Toc25198"/>
      <w:bookmarkStart w:id="151" w:name="_Toc2308"/>
      <w:r>
        <w:rPr>
          <w:rFonts w:ascii="宋体" w:hAnsi="宋体"/>
          <w:b/>
          <w:color w:val="auto"/>
          <w:sz w:val="24"/>
          <w:szCs w:val="24"/>
          <w:highlight w:val="none"/>
        </w:rPr>
        <w:t>2.16 通知和送达</w:t>
      </w:r>
      <w:bookmarkEnd w:id="147"/>
      <w:bookmarkEnd w:id="148"/>
      <w:bookmarkEnd w:id="149"/>
      <w:bookmarkEnd w:id="150"/>
      <w:bookmarkEnd w:id="151"/>
    </w:p>
    <w:p w14:paraId="0EFE709E">
      <w:pPr>
        <w:shd w:val="clear"/>
        <w:spacing w:line="360" w:lineRule="auto"/>
        <w:ind w:firstLine="480" w:firstLineChars="200"/>
        <w:rPr>
          <w:rFonts w:ascii="宋体" w:hAnsi="宋体"/>
          <w:color w:val="auto"/>
          <w:sz w:val="24"/>
          <w:szCs w:val="24"/>
          <w:highlight w:val="none"/>
        </w:rPr>
      </w:pPr>
      <w:bookmarkStart w:id="152" w:name="_Toc27674"/>
      <w:bookmarkStart w:id="153" w:name="_Toc18401"/>
      <w:r>
        <w:rPr>
          <w:rFonts w:ascii="宋体" w:hAnsi="宋体"/>
          <w:color w:val="auto"/>
          <w:sz w:val="24"/>
          <w:szCs w:val="24"/>
          <w:highlight w:val="none"/>
        </w:rPr>
        <w:t>2.1</w:t>
      </w:r>
      <w:r>
        <w:rPr>
          <w:rFonts w:hint="eastAsia" w:ascii="宋体" w:hAnsi="宋体"/>
          <w:color w:val="auto"/>
          <w:sz w:val="24"/>
          <w:szCs w:val="24"/>
          <w:highlight w:val="none"/>
          <w:lang w:val="en-US" w:eastAsia="zh-CN"/>
        </w:rPr>
        <w:t>6</w:t>
      </w:r>
      <w:r>
        <w:rPr>
          <w:rFonts w:ascii="宋体" w:hAnsi="宋体"/>
          <w:color w:val="auto"/>
          <w:sz w:val="24"/>
          <w:szCs w:val="24"/>
          <w:highlight w:val="none"/>
        </w:rPr>
        <w:t>.1</w:t>
      </w:r>
      <w:r>
        <w:rPr>
          <w:rFonts w:hint="eastAsia" w:ascii="宋体" w:hAnsi="宋体"/>
          <w:color w:val="auto"/>
          <w:sz w:val="24"/>
          <w:szCs w:val="24"/>
          <w:highlight w:val="none"/>
        </w:rPr>
        <w:t>任何一方因履行合同而以合同第一部分尾部所列明的传真或电子邮件</w:t>
      </w:r>
      <w:r>
        <w:rPr>
          <w:rFonts w:ascii="宋体" w:hAnsi="宋体"/>
          <w:color w:val="auto"/>
          <w:sz w:val="24"/>
          <w:szCs w:val="24"/>
          <w:highlight w:val="non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发出的所有通知、文件、材料，均视为已向对方当事人送达；任何一方变更上述送达方式或者地址的，应于</w:t>
      </w:r>
      <w:r>
        <w:rPr>
          <w:rFonts w:ascii="宋体" w:hAnsi="宋体"/>
          <w:color w:val="auto"/>
          <w:sz w:val="24"/>
          <w:szCs w:val="24"/>
          <w:highlight w:val="none"/>
          <w:u w:val="single"/>
        </w:rPr>
        <w:t>3</w:t>
      </w:r>
      <w:r>
        <w:rPr>
          <w:rFonts w:hint="eastAsia" w:ascii="宋体" w:hAnsi="宋体"/>
          <w:color w:val="auto"/>
          <w:sz w:val="24"/>
          <w:szCs w:val="24"/>
          <w:highlight w:val="none"/>
        </w:rPr>
        <w:t>个工作日内书面通知对方当事人，在对方当事人收到有关变更通知之前，变更前的约定送达方式或者地址仍视为有效。</w:t>
      </w:r>
    </w:p>
    <w:p w14:paraId="3D5E57B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w:t>
      </w:r>
      <w:r>
        <w:rPr>
          <w:rFonts w:hint="eastAsia" w:ascii="宋体" w:hAnsi="宋体"/>
          <w:color w:val="auto"/>
          <w:sz w:val="24"/>
          <w:szCs w:val="24"/>
          <w:highlight w:val="none"/>
          <w:lang w:val="en-US" w:eastAsia="zh-CN"/>
        </w:rPr>
        <w:t>6</w:t>
      </w:r>
      <w:r>
        <w:rPr>
          <w:rFonts w:ascii="宋体" w:hAnsi="宋体"/>
          <w:color w:val="auto"/>
          <w:sz w:val="24"/>
          <w:szCs w:val="24"/>
          <w:highlight w:val="none"/>
        </w:rPr>
        <w:t>.2以当面交付方式送达的，交付之时视为送达；以电子邮件方式送达的，发出电子邮件之时视为送达；以传真方式送达的，发出传真之时视为送达；以邮寄方式送达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szCs w:val="24"/>
          <w:highlight w:val="none"/>
        </w:rPr>
        <w:t>的，邮件挂号寄出或者交邮之日之次日视为送达。</w:t>
      </w:r>
      <w:bookmarkEnd w:id="152"/>
      <w:bookmarkEnd w:id="153"/>
    </w:p>
    <w:p w14:paraId="31479B60">
      <w:pPr>
        <w:shd w:val="clear"/>
        <w:spacing w:line="360" w:lineRule="auto"/>
        <w:ind w:firstLine="482" w:firstLineChars="200"/>
        <w:rPr>
          <w:rFonts w:ascii="宋体" w:hAnsi="宋体"/>
          <w:b/>
          <w:color w:val="auto"/>
          <w:sz w:val="24"/>
          <w:szCs w:val="24"/>
          <w:highlight w:val="none"/>
        </w:rPr>
      </w:pPr>
      <w:bookmarkStart w:id="154" w:name="_Toc27644"/>
      <w:bookmarkStart w:id="155" w:name="_Toc12254"/>
      <w:bookmarkStart w:id="156" w:name="_Toc28906"/>
      <w:bookmarkStart w:id="157" w:name="_Toc5063"/>
      <w:bookmarkStart w:id="158" w:name="_Toc20808"/>
      <w:r>
        <w:rPr>
          <w:rFonts w:ascii="宋体" w:hAnsi="宋体"/>
          <w:b/>
          <w:color w:val="auto"/>
          <w:sz w:val="24"/>
          <w:szCs w:val="24"/>
          <w:highlight w:val="none"/>
        </w:rPr>
        <w:t xml:space="preserve">2.17 </w:t>
      </w:r>
      <w:r>
        <w:rPr>
          <w:rFonts w:hint="eastAsia" w:ascii="宋体" w:hAnsi="宋体"/>
          <w:b/>
          <w:color w:val="auto"/>
          <w:sz w:val="24"/>
          <w:szCs w:val="24"/>
          <w:highlight w:val="none"/>
        </w:rPr>
        <w:t>合同使用的文字和</w:t>
      </w:r>
      <w:r>
        <w:rPr>
          <w:rFonts w:ascii="宋体" w:hAnsi="宋体"/>
          <w:b/>
          <w:color w:val="auto"/>
          <w:sz w:val="24"/>
          <w:szCs w:val="24"/>
          <w:highlight w:val="none"/>
        </w:rPr>
        <w:t>适用的法律</w:t>
      </w:r>
      <w:bookmarkEnd w:id="154"/>
      <w:bookmarkEnd w:id="155"/>
      <w:bookmarkEnd w:id="156"/>
      <w:bookmarkEnd w:id="157"/>
      <w:bookmarkEnd w:id="158"/>
    </w:p>
    <w:p w14:paraId="5DACA4E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2.17.1 合同使用汉语书就</w:t>
      </w:r>
      <w:r>
        <w:rPr>
          <w:rFonts w:hint="eastAsia" w:ascii="宋体" w:hAnsi="宋体"/>
          <w:color w:val="auto"/>
          <w:sz w:val="24"/>
          <w:szCs w:val="24"/>
          <w:highlight w:val="none"/>
        </w:rPr>
        <w:t>、</w:t>
      </w:r>
      <w:r>
        <w:rPr>
          <w:rFonts w:ascii="宋体" w:hAnsi="宋体"/>
          <w:color w:val="auto"/>
          <w:sz w:val="24"/>
          <w:szCs w:val="24"/>
          <w:highlight w:val="none"/>
        </w:rPr>
        <w:t>变更和解释</w:t>
      </w:r>
      <w:r>
        <w:rPr>
          <w:rFonts w:hint="eastAsia" w:ascii="宋体" w:hAnsi="宋体"/>
          <w:color w:val="auto"/>
          <w:sz w:val="24"/>
          <w:szCs w:val="24"/>
          <w:highlight w:val="none"/>
        </w:rPr>
        <w:t>；</w:t>
      </w:r>
    </w:p>
    <w:p w14:paraId="4A9E4899">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2.17.2 </w:t>
      </w:r>
      <w:r>
        <w:rPr>
          <w:rFonts w:hint="eastAsia" w:ascii="宋体" w:hAnsi="宋体"/>
          <w:color w:val="auto"/>
          <w:sz w:val="24"/>
          <w:szCs w:val="24"/>
          <w:highlight w:val="none"/>
        </w:rPr>
        <w:t>合同适用</w:t>
      </w:r>
      <w:r>
        <w:rPr>
          <w:rFonts w:ascii="宋体" w:hAnsi="宋体"/>
          <w:color w:val="auto"/>
          <w:sz w:val="24"/>
          <w:szCs w:val="24"/>
          <w:highlight w:val="none"/>
        </w:rPr>
        <w:t>中华人民共和国法律。</w:t>
      </w:r>
    </w:p>
    <w:p w14:paraId="6C8A2637">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2.18 计量单位</w:t>
      </w:r>
    </w:p>
    <w:p w14:paraId="71C527E0">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除技术规范中另有规定外,合同的计量单位均使用国家法定计量单位。</w:t>
      </w:r>
    </w:p>
    <w:p w14:paraId="009BF31E">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2.</w:t>
      </w:r>
      <w:r>
        <w:rPr>
          <w:rFonts w:hint="eastAsia" w:ascii="宋体" w:hAnsi="宋体"/>
          <w:b/>
          <w:color w:val="auto"/>
          <w:sz w:val="24"/>
          <w:szCs w:val="24"/>
          <w:highlight w:val="none"/>
        </w:rPr>
        <w:t>19</w:t>
      </w:r>
      <w:r>
        <w:rPr>
          <w:rFonts w:ascii="宋体" w:hAnsi="宋体"/>
          <w:b/>
          <w:color w:val="auto"/>
          <w:sz w:val="24"/>
          <w:szCs w:val="24"/>
          <w:highlight w:val="none"/>
        </w:rPr>
        <w:t>合同份数</w:t>
      </w:r>
    </w:p>
    <w:p w14:paraId="2D13771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合同份数按</w:t>
      </w:r>
      <w:r>
        <w:rPr>
          <w:rFonts w:ascii="宋体" w:hAnsi="宋体"/>
          <w:b/>
          <w:color w:val="auto"/>
          <w:sz w:val="24"/>
          <w:szCs w:val="24"/>
          <w:highlight w:val="none"/>
          <w:u w:val="single"/>
        </w:rPr>
        <w:t>合同专用条款</w:t>
      </w:r>
      <w:r>
        <w:rPr>
          <w:rFonts w:ascii="宋体" w:hAnsi="宋体"/>
          <w:color w:val="auto"/>
          <w:sz w:val="24"/>
          <w:szCs w:val="24"/>
          <w:highlight w:val="none"/>
        </w:rPr>
        <w:t>规定</w:t>
      </w:r>
      <w:r>
        <w:rPr>
          <w:rFonts w:hint="eastAsia" w:ascii="宋体" w:hAnsi="宋体"/>
          <w:color w:val="auto"/>
          <w:sz w:val="24"/>
          <w:szCs w:val="24"/>
          <w:highlight w:val="none"/>
        </w:rPr>
        <w:t>，</w:t>
      </w:r>
      <w:r>
        <w:rPr>
          <w:rFonts w:ascii="宋体" w:hAnsi="宋体"/>
          <w:color w:val="auto"/>
          <w:sz w:val="24"/>
          <w:szCs w:val="24"/>
          <w:highlight w:val="none"/>
        </w:rPr>
        <w:t>每份均具有同等法律效力</w:t>
      </w:r>
      <w:r>
        <w:rPr>
          <w:rFonts w:hint="eastAsia" w:ascii="宋体" w:hAnsi="宋体"/>
          <w:color w:val="auto"/>
          <w:sz w:val="24"/>
          <w:szCs w:val="24"/>
          <w:highlight w:val="none"/>
        </w:rPr>
        <w:t>。</w:t>
      </w:r>
    </w:p>
    <w:p w14:paraId="1898FD03">
      <w:pPr>
        <w:shd w:val="clear"/>
        <w:spacing w:line="360" w:lineRule="auto"/>
        <w:jc w:val="center"/>
        <w:outlineLvl w:val="1"/>
        <w:rPr>
          <w:rFonts w:ascii="宋体" w:hAnsi="宋体" w:cs="宋体"/>
          <w:b/>
          <w:color w:val="auto"/>
          <w:sz w:val="24"/>
          <w:szCs w:val="24"/>
          <w:highlight w:val="none"/>
        </w:rPr>
      </w:pPr>
      <w:r>
        <w:rPr>
          <w:rFonts w:hint="eastAsia" w:ascii="宋体" w:hAnsi="宋体" w:cs="宋体"/>
          <w:color w:val="auto"/>
          <w:kern w:val="0"/>
          <w:sz w:val="24"/>
          <w:szCs w:val="24"/>
          <w:highlight w:val="none"/>
        </w:rPr>
        <w:br w:type="page"/>
      </w:r>
      <w:r>
        <w:rPr>
          <w:rFonts w:hint="eastAsia" w:ascii="宋体" w:hAnsi="宋体" w:cs="宋体"/>
          <w:b/>
          <w:color w:val="auto"/>
          <w:sz w:val="24"/>
          <w:szCs w:val="24"/>
          <w:highlight w:val="none"/>
        </w:rPr>
        <w:t>第三节 合同专用条款</w:t>
      </w:r>
    </w:p>
    <w:p w14:paraId="2C2953D4">
      <w:pPr>
        <w:shd w:val="clear"/>
        <w:spacing w:line="360" w:lineRule="auto"/>
        <w:ind w:left="-420" w:leftChars="-200"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1"/>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52"/>
      </w:tblGrid>
      <w:tr w14:paraId="2C6C4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535" w:type="pct"/>
            <w:tcBorders>
              <w:left w:val="single" w:color="auto" w:sz="4" w:space="0"/>
            </w:tcBorders>
            <w:noWrap w:val="0"/>
            <w:vAlign w:val="center"/>
          </w:tcPr>
          <w:p w14:paraId="30E04F3D">
            <w:pPr>
              <w:keepNext w:val="0"/>
              <w:keepLines w:val="0"/>
              <w:suppressLineNumbers w:val="0"/>
              <w:shd w:val="clear"/>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条款号</w:t>
            </w:r>
          </w:p>
        </w:tc>
        <w:tc>
          <w:tcPr>
            <w:tcW w:w="4464" w:type="pct"/>
            <w:noWrap w:val="0"/>
            <w:vAlign w:val="center"/>
          </w:tcPr>
          <w:p w14:paraId="21ACCA10">
            <w:pPr>
              <w:keepNext w:val="0"/>
              <w:keepLines w:val="0"/>
              <w:suppressLineNumbers w:val="0"/>
              <w:shd w:val="clear"/>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约定内容</w:t>
            </w:r>
          </w:p>
        </w:tc>
      </w:tr>
      <w:tr w14:paraId="6C01DF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A0E6FBF">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1.5.1 </w:t>
            </w:r>
          </w:p>
        </w:tc>
        <w:tc>
          <w:tcPr>
            <w:tcW w:w="4464" w:type="pct"/>
            <w:noWrap w:val="0"/>
            <w:vAlign w:val="center"/>
          </w:tcPr>
          <w:p w14:paraId="1C85DDBD">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签订合同后，五个工作日内支付合同金额的30%</w:t>
            </w:r>
          </w:p>
        </w:tc>
      </w:tr>
      <w:tr w14:paraId="5C266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63AD6B6">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1.6.2</w:t>
            </w:r>
          </w:p>
        </w:tc>
        <w:tc>
          <w:tcPr>
            <w:tcW w:w="4464" w:type="pct"/>
            <w:noWrap w:val="0"/>
            <w:vAlign w:val="center"/>
          </w:tcPr>
          <w:p w14:paraId="6E7A2F7B">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签订合同后，五个工作日内支付合同金额的30%，履约完成并通过验收，支付合同余款。本项目使用财政资金，所有资金的支付以财政资金拨付到位为准。</w:t>
            </w:r>
          </w:p>
        </w:tc>
      </w:tr>
      <w:tr w14:paraId="240AC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24" w:hRule="atLeast"/>
          <w:jc w:val="center"/>
        </w:trPr>
        <w:tc>
          <w:tcPr>
            <w:tcW w:w="535" w:type="pct"/>
            <w:tcBorders>
              <w:left w:val="single" w:color="auto" w:sz="4" w:space="0"/>
            </w:tcBorders>
            <w:noWrap w:val="0"/>
            <w:vAlign w:val="center"/>
          </w:tcPr>
          <w:p w14:paraId="5C479377">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1.7.1</w:t>
            </w:r>
          </w:p>
        </w:tc>
        <w:tc>
          <w:tcPr>
            <w:tcW w:w="4464" w:type="pct"/>
            <w:noWrap w:val="0"/>
            <w:vAlign w:val="center"/>
          </w:tcPr>
          <w:p w14:paraId="1F72FCB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rPr>
              <w:t>服务期限：</w:t>
            </w:r>
            <w:r>
              <w:rPr>
                <w:rFonts w:hint="eastAsia" w:cs="Times New Roman"/>
                <w:b w:val="0"/>
                <w:bCs w:val="0"/>
                <w:color w:val="auto"/>
                <w:sz w:val="24"/>
                <w:szCs w:val="24"/>
                <w:highlight w:val="none"/>
                <w:lang w:val="en-US" w:eastAsia="zh-CN"/>
              </w:rPr>
              <w:t>服务周期全面覆盖赛事筹备、赛事开展、赛后归档全阶段，</w:t>
            </w:r>
            <w:r>
              <w:rPr>
                <w:rFonts w:hint="eastAsia" w:ascii="宋体" w:hAnsi="宋体" w:eastAsia="宋体" w:cs="宋体"/>
                <w:sz w:val="24"/>
                <w:szCs w:val="24"/>
              </w:rPr>
              <w:t>自采购合同签订之日起，至武术散打赛事全部结束后3个工作日内完成场地复原、器材回收、资料归档、费用结算等全部收尾工作并验收合格之日止。</w:t>
            </w:r>
          </w:p>
          <w:p w14:paraId="2843927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1.  赛前沟通协调阶段（签订合同后3个工作日内）：对接组委会及赛事场地运营单位，细化赛事服务细则、人员配置、器材清单、场地搭建、水电保障、运维预案、应急方案，完成全部服务方案</w:t>
            </w:r>
            <w:r>
              <w:rPr>
                <w:rFonts w:hint="default" w:ascii="宋体" w:hAnsi="宋体" w:cs="宋体"/>
                <w:color w:val="auto"/>
                <w:sz w:val="24"/>
                <w:szCs w:val="24"/>
                <w:highlight w:val="none"/>
                <w:lang w:val="en-US" w:eastAsia="zh-CN"/>
              </w:rPr>
              <w:t>报</w:t>
            </w:r>
            <w:r>
              <w:rPr>
                <w:rFonts w:hint="eastAsia" w:ascii="宋体" w:hAnsi="宋体" w:cs="宋体"/>
                <w:color w:val="auto"/>
                <w:sz w:val="24"/>
                <w:szCs w:val="24"/>
                <w:highlight w:val="none"/>
                <w:lang w:val="en-US" w:eastAsia="zh-CN"/>
              </w:rPr>
              <w:t>甲方</w:t>
            </w:r>
            <w:r>
              <w:rPr>
                <w:rFonts w:hint="default" w:ascii="宋体" w:hAnsi="宋体" w:cs="宋体"/>
                <w:color w:val="auto"/>
                <w:sz w:val="24"/>
                <w:szCs w:val="24"/>
                <w:highlight w:val="none"/>
                <w:lang w:val="en-US"/>
              </w:rPr>
              <w:t>审核确认。</w:t>
            </w:r>
          </w:p>
          <w:p w14:paraId="438B041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eastAsia="zh-CN"/>
              </w:rPr>
              <w:t>2</w:t>
            </w:r>
            <w:r>
              <w:rPr>
                <w:rFonts w:hint="default" w:ascii="宋体" w:hAnsi="宋体" w:cs="宋体"/>
                <w:color w:val="auto"/>
                <w:sz w:val="24"/>
                <w:szCs w:val="24"/>
                <w:highlight w:val="none"/>
                <w:lang w:val="en-US"/>
              </w:rPr>
              <w:t>. 赛前筹备阶段（赛事开赛3日前）：完成赛场氛围搭建、器材及计时计分设备进场安装调试、设备全面检测、人员岗前培训、物资配齐到位，开展赛前全流程模拟演练，排查各类服务及安全隐患，落实场地租赁、水电对接工作。</w:t>
            </w:r>
          </w:p>
          <w:p w14:paraId="2A4DBAB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eastAsia="zh-CN"/>
              </w:rPr>
              <w:t>3</w:t>
            </w:r>
            <w:r>
              <w:rPr>
                <w:rFonts w:hint="default" w:ascii="宋体" w:hAnsi="宋体" w:cs="宋体"/>
                <w:color w:val="auto"/>
                <w:sz w:val="24"/>
                <w:szCs w:val="24"/>
                <w:highlight w:val="none"/>
                <w:lang w:val="en-US"/>
              </w:rPr>
              <w:t>. 赛事执行阶段（赛事全程）：9月20日—23日全程保障赛事有序开展，同步覆盖赛前2天场地适应训练保障，落实赛事运营、技术支撑、场地运维、后勤保障、志愿服务、成绩统计、医疗安保应急处置等全部服务工作。</w:t>
            </w:r>
          </w:p>
          <w:p w14:paraId="4387F6B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eastAsia="zh-CN"/>
              </w:rPr>
              <w:t>4</w:t>
            </w:r>
            <w:r>
              <w:rPr>
                <w:rFonts w:hint="default" w:ascii="宋体" w:hAnsi="宋体" w:cs="宋体"/>
                <w:color w:val="auto"/>
                <w:sz w:val="24"/>
                <w:szCs w:val="24"/>
                <w:highlight w:val="none"/>
                <w:lang w:val="en-US"/>
              </w:rPr>
              <w:t>. 赛后收尾阶段（赛事结束后3个工作日内）：完成场地复原、器材拆卸运回、物资清点、数据归档、台账整理、费用结算、工作总结等收尾工作。</w:t>
            </w:r>
          </w:p>
        </w:tc>
      </w:tr>
      <w:tr w14:paraId="0729F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1A2BC65">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1.7.2</w:t>
            </w:r>
          </w:p>
        </w:tc>
        <w:tc>
          <w:tcPr>
            <w:tcW w:w="4464" w:type="pct"/>
            <w:noWrap w:val="0"/>
            <w:vAlign w:val="center"/>
          </w:tcPr>
          <w:p w14:paraId="769D7A4B">
            <w:pPr>
              <w:keepNext w:val="0"/>
              <w:keepLines w:val="0"/>
              <w:pageBreakBefore w:val="0"/>
              <w:suppressLineNumbers w:val="0"/>
              <w:shd w:val="clear"/>
              <w:kinsoku/>
              <w:wordWrap/>
              <w:overflowPunct/>
              <w:topLinePunct w:val="0"/>
              <w:bidi w:val="0"/>
              <w:spacing w:before="0" w:beforeAutospacing="0" w:after="0" w:afterAutospacing="0" w:line="440" w:lineRule="exact"/>
              <w:ind w:left="0" w:leftChars="0" w:right="0"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北海市文化宫</w:t>
            </w:r>
          </w:p>
        </w:tc>
      </w:tr>
      <w:tr w14:paraId="5A339E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912" w:hRule="atLeast"/>
          <w:jc w:val="center"/>
        </w:trPr>
        <w:tc>
          <w:tcPr>
            <w:tcW w:w="535" w:type="pct"/>
            <w:tcBorders>
              <w:left w:val="single" w:color="auto" w:sz="4" w:space="0"/>
            </w:tcBorders>
            <w:noWrap w:val="0"/>
            <w:vAlign w:val="center"/>
          </w:tcPr>
          <w:p w14:paraId="02749368">
            <w:pPr>
              <w:keepNext w:val="0"/>
              <w:keepLines w:val="0"/>
              <w:suppressLineNumbers w:val="0"/>
              <w:shd w:val="clear"/>
              <w:spacing w:before="0" w:beforeAutospacing="0" w:after="0" w:afterAutospacing="0" w:line="360" w:lineRule="auto"/>
              <w:ind w:left="0" w:right="0"/>
              <w:rPr>
                <w:rFonts w:hint="eastAsia" w:ascii="宋体" w:hAnsi="宋体" w:cs="宋体"/>
                <w:color w:val="auto"/>
                <w:sz w:val="24"/>
                <w:szCs w:val="24"/>
                <w:highlight w:val="none"/>
              </w:rPr>
            </w:pPr>
            <w:r>
              <w:rPr>
                <w:rFonts w:hint="default" w:ascii="宋体" w:hAnsi="宋体" w:eastAsia="宋体" w:cs="宋体"/>
                <w:color w:val="auto"/>
                <w:sz w:val="24"/>
                <w:szCs w:val="24"/>
                <w:highlight w:val="none"/>
              </w:rPr>
              <w:t>1.8.1</w:t>
            </w:r>
          </w:p>
        </w:tc>
        <w:tc>
          <w:tcPr>
            <w:tcW w:w="4464" w:type="pct"/>
            <w:noWrap w:val="0"/>
            <w:vAlign w:val="center"/>
          </w:tcPr>
          <w:p w14:paraId="3A9AECD7">
            <w:pPr>
              <w:keepNext w:val="0"/>
              <w:keepLines w:val="0"/>
              <w:pageBreakBefore w:val="0"/>
              <w:widowControl w:val="0"/>
              <w:numPr>
                <w:ilvl w:val="0"/>
                <w:numId w:val="7"/>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highlight w:val="none"/>
              </w:rPr>
              <w:t xml:space="preserve">乙方未按合同约定时限完成赛前筹备、赛事执行或赛后收尾（含场地复原、资料归档移交）的，每迟延一日按合同总价的 </w:t>
            </w:r>
            <w:r>
              <w:rPr>
                <w:rStyle w:val="64"/>
                <w:rFonts w:hint="default" w:ascii="宋体" w:hAnsi="宋体" w:eastAsia="宋体" w:cs="宋体"/>
                <w:b w:val="0"/>
                <w:bCs w:val="0"/>
                <w:color w:val="auto"/>
                <w:sz w:val="24"/>
                <w:szCs w:val="24"/>
                <w:highlight w:val="none"/>
              </w:rPr>
              <w:t>0.3%</w:t>
            </w:r>
            <w:r>
              <w:rPr>
                <w:rFonts w:hint="default" w:ascii="宋体" w:hAnsi="宋体" w:eastAsia="宋体" w:cs="宋体"/>
                <w:b w:val="0"/>
                <w:bCs w:val="0"/>
                <w:color w:val="auto"/>
                <w:sz w:val="24"/>
                <w:szCs w:val="24"/>
                <w:highlight w:val="none"/>
              </w:rPr>
              <w:t xml:space="preserve"> 支付违约金；因乙方原因导致赛事延误或当日赛程无法完成的，按该单项赛事分项预算的 </w:t>
            </w:r>
            <w:r>
              <w:rPr>
                <w:rStyle w:val="64"/>
                <w:rFonts w:hint="eastAsia" w:ascii="宋体" w:hAnsi="宋体" w:eastAsia="宋体" w:cs="宋体"/>
                <w:b w:val="0"/>
                <w:bCs w:val="0"/>
                <w:color w:val="auto"/>
                <w:sz w:val="24"/>
                <w:szCs w:val="24"/>
                <w:highlight w:val="none"/>
                <w:lang w:val="en-US" w:eastAsia="zh-CN"/>
              </w:rPr>
              <w:t>1</w:t>
            </w:r>
            <w:r>
              <w:rPr>
                <w:rStyle w:val="64"/>
                <w:rFonts w:hint="default" w:ascii="宋体" w:hAnsi="宋体" w:eastAsia="宋体" w:cs="宋体"/>
                <w:b w:val="0"/>
                <w:bCs w:val="0"/>
                <w:color w:val="auto"/>
                <w:sz w:val="24"/>
                <w:szCs w:val="24"/>
                <w:highlight w:val="none"/>
              </w:rPr>
              <w:t>%—</w:t>
            </w:r>
            <w:r>
              <w:rPr>
                <w:rStyle w:val="64"/>
                <w:rFonts w:hint="eastAsia" w:ascii="宋体" w:hAnsi="宋体" w:eastAsia="宋体" w:cs="宋体"/>
                <w:b w:val="0"/>
                <w:bCs w:val="0"/>
                <w:color w:val="auto"/>
                <w:sz w:val="24"/>
                <w:szCs w:val="24"/>
                <w:highlight w:val="none"/>
                <w:lang w:val="en-US" w:eastAsia="zh-CN"/>
              </w:rPr>
              <w:t>3</w:t>
            </w:r>
            <w:r>
              <w:rPr>
                <w:rStyle w:val="64"/>
                <w:rFonts w:hint="default" w:ascii="宋体" w:hAnsi="宋体" w:eastAsia="宋体" w:cs="宋体"/>
                <w:b w:val="0"/>
                <w:bCs w:val="0"/>
                <w:color w:val="auto"/>
                <w:sz w:val="24"/>
                <w:szCs w:val="24"/>
                <w:highlight w:val="none"/>
              </w:rPr>
              <w:t>%</w:t>
            </w:r>
            <w:r>
              <w:rPr>
                <w:rFonts w:hint="default" w:ascii="宋体" w:hAnsi="宋体" w:eastAsia="宋体" w:cs="宋体"/>
                <w:b w:val="0"/>
                <w:bCs w:val="0"/>
                <w:color w:val="auto"/>
                <w:sz w:val="24"/>
                <w:szCs w:val="24"/>
                <w:highlight w:val="none"/>
              </w:rPr>
              <w:t xml:space="preserve"> 支付违约金，并承担由此产生的全部追加费用。</w:t>
            </w:r>
          </w:p>
          <w:p w14:paraId="17DB9389">
            <w:pPr>
              <w:keepNext w:val="0"/>
              <w:keepLines w:val="0"/>
              <w:pageBreakBefore w:val="0"/>
              <w:widowControl w:val="0"/>
              <w:numPr>
                <w:ilvl w:val="0"/>
                <w:numId w:val="7"/>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因乙方安全管理不到位导致人员受伤、财产损失或赛事中断的，乙方承担全部赔偿费用；未落实医疗保障、提供餐饮不符合食品安全标准</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违反兴奋剂管理规定</w:t>
            </w:r>
            <w:r>
              <w:rPr>
                <w:rFonts w:hint="default" w:ascii="宋体" w:hAnsi="宋体" w:eastAsia="宋体" w:cs="宋体"/>
                <w:b w:val="0"/>
                <w:bCs w:val="0"/>
                <w:color w:val="auto"/>
                <w:sz w:val="24"/>
                <w:szCs w:val="24"/>
                <w:highlight w:val="none"/>
              </w:rPr>
              <w:t>的，每次按合同总价的</w:t>
            </w:r>
            <w:r>
              <w:rPr>
                <w:rStyle w:val="64"/>
                <w:rFonts w:hint="default" w:ascii="宋体" w:hAnsi="宋体" w:eastAsia="宋体" w:cs="宋体"/>
                <w:b w:val="0"/>
                <w:bCs w:val="0"/>
                <w:color w:val="auto"/>
                <w:sz w:val="24"/>
                <w:szCs w:val="24"/>
                <w:highlight w:val="none"/>
              </w:rPr>
              <w:t>1%</w:t>
            </w:r>
            <w:r>
              <w:rPr>
                <w:rFonts w:hint="default" w:ascii="宋体" w:hAnsi="宋体" w:eastAsia="宋体" w:cs="宋体"/>
                <w:b w:val="0"/>
                <w:bCs w:val="0"/>
                <w:color w:val="auto"/>
                <w:sz w:val="24"/>
                <w:szCs w:val="24"/>
                <w:highlight w:val="none"/>
              </w:rPr>
              <w:t>支付违约金并承担全部责任。发生重大安全事故的，甲方有权解除合同。</w:t>
            </w:r>
          </w:p>
          <w:p w14:paraId="3F12CDA8">
            <w:pPr>
              <w:keepNext w:val="0"/>
              <w:keepLines w:val="0"/>
              <w:pageBreakBefore w:val="0"/>
              <w:widowControl w:val="0"/>
              <w:numPr>
                <w:ilvl w:val="0"/>
                <w:numId w:val="7"/>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乙方出现下列情形之一的，甲方有权解除合同，</w:t>
            </w:r>
            <w:r>
              <w:rPr>
                <w:rFonts w:hint="eastAsia" w:ascii="宋体" w:hAnsi="宋体" w:eastAsia="宋体" w:cs="宋体"/>
                <w:b w:val="0"/>
                <w:bCs w:val="0"/>
                <w:color w:val="auto"/>
                <w:sz w:val="24"/>
                <w:szCs w:val="24"/>
                <w:highlight w:val="none"/>
                <w:lang w:val="en-US" w:eastAsia="zh-CN"/>
              </w:rPr>
              <w:t>造成甲方或者第三方损失的需</w:t>
            </w:r>
            <w:r>
              <w:rPr>
                <w:rFonts w:hint="default" w:ascii="宋体" w:hAnsi="宋体" w:eastAsia="宋体" w:cs="宋体"/>
                <w:b w:val="0"/>
                <w:bCs w:val="0"/>
                <w:color w:val="auto"/>
                <w:sz w:val="24"/>
                <w:szCs w:val="24"/>
                <w:highlight w:val="none"/>
              </w:rPr>
              <w:t>赔偿全部损失：</w:t>
            </w:r>
          </w:p>
          <w:p w14:paraId="762AA6E2">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①</w:t>
            </w:r>
            <w:r>
              <w:rPr>
                <w:rFonts w:hint="default" w:ascii="宋体" w:hAnsi="宋体" w:eastAsia="宋体" w:cs="宋体"/>
                <w:b w:val="0"/>
                <w:bCs w:val="0"/>
                <w:color w:val="auto"/>
                <w:sz w:val="24"/>
                <w:szCs w:val="24"/>
                <w:highlight w:val="none"/>
              </w:rPr>
              <w:t>发生重大安全事故或赛事责任事故的</w:t>
            </w:r>
            <w:r>
              <w:rPr>
                <w:rFonts w:hint="eastAsia" w:ascii="宋体" w:hAnsi="宋体" w:eastAsia="宋体" w:cs="宋体"/>
                <w:b w:val="0"/>
                <w:bCs w:val="0"/>
                <w:color w:val="auto"/>
                <w:sz w:val="24"/>
                <w:szCs w:val="24"/>
                <w:highlight w:val="none"/>
                <w:lang w:eastAsia="zh-CN"/>
              </w:rPr>
              <w:t>；</w:t>
            </w:r>
          </w:p>
          <w:p w14:paraId="0443BF17">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w:t>
            </w:r>
            <w:r>
              <w:rPr>
                <w:rFonts w:hint="default" w:ascii="宋体" w:hAnsi="宋体" w:eastAsia="宋体" w:cs="宋体"/>
                <w:b w:val="0"/>
                <w:bCs w:val="0"/>
                <w:color w:val="auto"/>
                <w:sz w:val="24"/>
                <w:szCs w:val="24"/>
                <w:highlight w:val="none"/>
              </w:rPr>
              <w:t>其他严重违约致使合同目的无法实现的</w:t>
            </w:r>
            <w:r>
              <w:rPr>
                <w:rFonts w:hint="eastAsia" w:ascii="宋体" w:hAnsi="宋体" w:eastAsia="宋体" w:cs="宋体"/>
                <w:b w:val="0"/>
                <w:bCs w:val="0"/>
                <w:color w:val="auto"/>
                <w:sz w:val="24"/>
                <w:szCs w:val="24"/>
                <w:highlight w:val="none"/>
                <w:lang w:eastAsia="zh-CN"/>
              </w:rPr>
              <w:t>。</w:t>
            </w:r>
          </w:p>
        </w:tc>
      </w:tr>
      <w:tr w14:paraId="7072A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9F23EBA">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2.5</w:t>
            </w:r>
          </w:p>
        </w:tc>
        <w:tc>
          <w:tcPr>
            <w:tcW w:w="4464" w:type="pct"/>
            <w:shd w:val="clear" w:color="auto" w:fill="auto"/>
            <w:noWrap w:val="0"/>
            <w:vAlign w:val="center"/>
          </w:tcPr>
          <w:p w14:paraId="6FE5CDB3">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签订合同后，五个工作日内支付合同金额的30%，履约完成并通过验收，支付合同余款。本项目使用财政资金，所有资金的支付以财政资金拨付到位为准。</w:t>
            </w:r>
          </w:p>
        </w:tc>
      </w:tr>
      <w:tr w14:paraId="68FA0E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BC8C82">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2.11.3</w:t>
            </w:r>
          </w:p>
        </w:tc>
        <w:tc>
          <w:tcPr>
            <w:tcW w:w="4464" w:type="pct"/>
            <w:noWrap w:val="0"/>
            <w:vAlign w:val="center"/>
          </w:tcPr>
          <w:p w14:paraId="7E64EC0D">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7天</w:t>
            </w:r>
          </w:p>
        </w:tc>
      </w:tr>
      <w:tr w14:paraId="4FE42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A96AD99">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2.11.4</w:t>
            </w:r>
          </w:p>
        </w:tc>
        <w:tc>
          <w:tcPr>
            <w:tcW w:w="4464" w:type="pct"/>
            <w:noWrap w:val="0"/>
            <w:vAlign w:val="center"/>
          </w:tcPr>
          <w:p w14:paraId="24062D74">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7天</w:t>
            </w:r>
          </w:p>
        </w:tc>
      </w:tr>
      <w:tr w14:paraId="36B8A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55E9F31">
            <w:pPr>
              <w:keepNext w:val="0"/>
              <w:keepLines w:val="0"/>
              <w:suppressLineNumbers w:val="0"/>
              <w:shd w:val="clear"/>
              <w:spacing w:before="0" w:beforeAutospacing="0" w:after="0" w:afterAutospacing="0" w:line="360" w:lineRule="auto"/>
              <w:ind w:left="0" w:right="0"/>
              <w:rPr>
                <w:rFonts w:hint="eastAsia" w:ascii="宋体" w:hAnsi="宋体" w:eastAsia="宋体" w:cs="宋体"/>
                <w:color w:val="auto"/>
                <w:sz w:val="24"/>
                <w:szCs w:val="24"/>
                <w:highlight w:val="none"/>
                <w:lang w:val="en-US" w:eastAsia="zh-CN"/>
              </w:rPr>
            </w:pPr>
            <w:r>
              <w:rPr>
                <w:rFonts w:hint="default" w:ascii="宋体" w:hAnsi="宋体"/>
                <w:color w:val="auto"/>
                <w:sz w:val="24"/>
                <w:szCs w:val="24"/>
                <w:highlight w:val="none"/>
              </w:rPr>
              <w:t>2.15.3</w:t>
            </w:r>
          </w:p>
        </w:tc>
        <w:tc>
          <w:tcPr>
            <w:tcW w:w="4464" w:type="pct"/>
            <w:noWrap w:val="0"/>
            <w:vAlign w:val="center"/>
          </w:tcPr>
          <w:p w14:paraId="0D7BF154">
            <w:pPr>
              <w:keepNext w:val="0"/>
              <w:keepLines w:val="0"/>
              <w:suppressLineNumbers w:val="0"/>
              <w:shd w:val="clear"/>
              <w:spacing w:before="21" w:beforeAutospacing="0" w:after="0" w:afterAutospacing="0" w:line="360" w:lineRule="auto"/>
              <w:ind w:left="0" w:right="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1.过程抽检考核：建立常态化每日抽检机制，对场地运维、人员服务、设备运行、安全管控、后勤保障、志愿服务进行抽查考核，发现问题立即督促整改。</w:t>
            </w:r>
          </w:p>
          <w:p w14:paraId="57F3DF62">
            <w:pPr>
              <w:keepNext w:val="0"/>
              <w:keepLines w:val="0"/>
              <w:suppressLineNumbers w:val="0"/>
              <w:shd w:val="clear"/>
              <w:spacing w:before="21" w:beforeAutospacing="0" w:after="0" w:afterAutospacing="0" w:line="360" w:lineRule="auto"/>
              <w:ind w:left="0" w:right="0" w:firstLine="480" w:firstLineChars="200"/>
              <w:rPr>
                <w:rFonts w:hint="default" w:ascii="宋体" w:hAnsi="宋体" w:cs="宋体"/>
                <w:color w:val="auto"/>
                <w:sz w:val="24"/>
                <w:szCs w:val="24"/>
                <w:highlight w:val="none"/>
                <w:lang w:val="en-US"/>
              </w:rPr>
            </w:pPr>
            <w:r>
              <w:rPr>
                <w:rFonts w:hint="eastAsia" w:ascii="宋体" w:hAnsi="宋体" w:eastAsia="宋体" w:cs="宋体"/>
                <w:b w:val="0"/>
                <w:bCs/>
                <w:color w:val="auto"/>
                <w:kern w:val="0"/>
                <w:sz w:val="24"/>
                <w:szCs w:val="24"/>
                <w:highlight w:val="none"/>
                <w:lang w:val="en-US" w:eastAsia="zh-CN" w:bidi="ar"/>
              </w:rPr>
              <w:t>2. 闭环验收标准：</w:t>
            </w:r>
            <w:r>
              <w:rPr>
                <w:rFonts w:hint="eastAsia" w:ascii="宋体" w:hAnsi="宋体" w:cs="宋体"/>
                <w:b w:val="0"/>
                <w:bCs/>
                <w:color w:val="auto"/>
                <w:kern w:val="0"/>
                <w:sz w:val="24"/>
                <w:szCs w:val="24"/>
                <w:highlight w:val="none"/>
                <w:lang w:val="en-US" w:eastAsia="zh-CN" w:bidi="ar"/>
              </w:rPr>
              <w:t>赛事</w:t>
            </w:r>
            <w:r>
              <w:rPr>
                <w:rFonts w:hint="eastAsia" w:ascii="宋体" w:hAnsi="宋体" w:eastAsia="宋体" w:cs="宋体"/>
                <w:b w:val="0"/>
                <w:bCs/>
                <w:color w:val="auto"/>
                <w:kern w:val="0"/>
                <w:sz w:val="24"/>
                <w:szCs w:val="24"/>
                <w:highlight w:val="none"/>
                <w:lang w:val="en-US" w:eastAsia="zh-CN" w:bidi="ar"/>
              </w:rPr>
              <w:t>全部结束后统一验收，满足服务全覆盖、质量全达标、资料全归档、场地全复原、无安全事故、无重大履约问题，方可验收合格、办理结算；验收不合格的，限期整改，整改仍不达标不予结算并追究违约责任。</w:t>
            </w:r>
          </w:p>
        </w:tc>
      </w:tr>
      <w:tr w14:paraId="5ED51B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4B2D86D6">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2.19</w:t>
            </w:r>
          </w:p>
        </w:tc>
        <w:tc>
          <w:tcPr>
            <w:tcW w:w="4464" w:type="pct"/>
            <w:noWrap w:val="0"/>
            <w:vAlign w:val="center"/>
          </w:tcPr>
          <w:p w14:paraId="7200BDA1">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lang w:val="en-US"/>
              </w:rPr>
            </w:pPr>
            <w:r>
              <w:rPr>
                <w:rFonts w:hint="default" w:ascii="宋体" w:hAnsi="宋体" w:eastAsia="宋体" w:cs="宋体"/>
                <w:color w:val="auto"/>
                <w:sz w:val="24"/>
                <w:szCs w:val="24"/>
                <w:highlight w:val="none"/>
              </w:rPr>
              <w:t>合同份数：一正五副，每份具有同等法律效力</w:t>
            </w:r>
          </w:p>
        </w:tc>
      </w:tr>
    </w:tbl>
    <w:p w14:paraId="3135143C">
      <w:pPr>
        <w:shd w:val="clear"/>
        <w:rPr>
          <w:rFonts w:ascii="宋体" w:hAnsi="宋体" w:cs="宋体"/>
          <w:color w:val="auto"/>
          <w:highlight w:val="none"/>
        </w:rPr>
      </w:pPr>
      <w:r>
        <w:rPr>
          <w:color w:val="auto"/>
          <w:spacing w:val="9"/>
          <w:sz w:val="43"/>
          <w:szCs w:val="43"/>
          <w:highlight w:val="none"/>
          <w14:textOutline w14:w="7972" w14:cap="sq" w14:cmpd="sng">
            <w14:solidFill>
              <w14:srgbClr w14:val="000000"/>
            </w14:solidFill>
            <w14:prstDash w14:val="solid"/>
            <w14:bevel/>
          </w14:textOutline>
        </w:rPr>
        <w:br w:type="page"/>
      </w:r>
      <w:r>
        <w:rPr>
          <w:rFonts w:hint="eastAsia" w:hAnsi="宋体"/>
          <w:b/>
          <w:color w:val="auto"/>
          <w:sz w:val="24"/>
          <w:szCs w:val="24"/>
          <w:highlight w:val="none"/>
          <w:lang w:val="en-US" w:eastAsia="zh-CN"/>
        </w:rPr>
        <w:t xml:space="preserve">                 </w:t>
      </w:r>
    </w:p>
    <w:p w14:paraId="438C16C0">
      <w:pPr>
        <w:shd w:val="clear"/>
        <w:snapToGrid w:val="0"/>
        <w:spacing w:line="360" w:lineRule="auto"/>
        <w:jc w:val="center"/>
        <w:outlineLvl w:val="0"/>
        <w:rPr>
          <w:rFonts w:hint="eastAsia" w:cs="仿宋_GB2312" w:asciiTheme="minorEastAsia" w:hAnsiTheme="minorEastAsia" w:eastAsiaTheme="minorEastAsia"/>
          <w:b/>
          <w:color w:val="auto"/>
          <w:sz w:val="36"/>
          <w:szCs w:val="20"/>
          <w:highlight w:val="none"/>
        </w:rPr>
      </w:pPr>
      <w:bookmarkStart w:id="159" w:name="_Toc802"/>
      <w:r>
        <w:rPr>
          <w:rFonts w:hint="eastAsia" w:cs="仿宋_GB2312" w:asciiTheme="minorEastAsia" w:hAnsiTheme="minorEastAsia" w:eastAsiaTheme="minorEastAsia"/>
          <w:b/>
          <w:color w:val="auto"/>
          <w:sz w:val="36"/>
          <w:szCs w:val="20"/>
          <w:highlight w:val="none"/>
        </w:rPr>
        <w:t>第七部分</w:t>
      </w:r>
      <w:bookmarkEnd w:id="52"/>
      <w:r>
        <w:rPr>
          <w:rFonts w:hint="eastAsia" w:cs="仿宋_GB2312" w:asciiTheme="minorEastAsia" w:hAnsiTheme="minorEastAsia" w:eastAsiaTheme="minorEastAsia"/>
          <w:b/>
          <w:color w:val="auto"/>
          <w:sz w:val="36"/>
          <w:szCs w:val="20"/>
          <w:highlight w:val="none"/>
        </w:rPr>
        <w:t xml:space="preserve">  </w:t>
      </w:r>
      <w:bookmarkEnd w:id="53"/>
      <w:r>
        <w:rPr>
          <w:rFonts w:hint="eastAsia" w:cs="仿宋_GB2312" w:asciiTheme="minorEastAsia" w:hAnsiTheme="minorEastAsia" w:eastAsiaTheme="minorEastAsia"/>
          <w:b/>
          <w:color w:val="auto"/>
          <w:sz w:val="36"/>
          <w:szCs w:val="20"/>
          <w:highlight w:val="none"/>
        </w:rPr>
        <w:t>应提交的有关格式范例</w:t>
      </w:r>
      <w:bookmarkEnd w:id="159"/>
    </w:p>
    <w:p w14:paraId="6AB0FF84">
      <w:pPr>
        <w:shd w:val="clear"/>
        <w:spacing w:line="520" w:lineRule="exact"/>
        <w:rPr>
          <w:rFonts w:ascii="宋体" w:hAnsi="宋体" w:eastAsia="宋体" w:cs="宋体"/>
          <w:b/>
          <w:color w:val="auto"/>
          <w:kern w:val="1"/>
          <w:sz w:val="36"/>
          <w:szCs w:val="36"/>
          <w:highlight w:val="none"/>
        </w:rPr>
      </w:pPr>
      <w:r>
        <w:rPr>
          <w:rFonts w:ascii="宋体" w:hAnsi="宋体" w:cs="宋体"/>
          <w:b/>
          <w:color w:val="auto"/>
          <w:kern w:val="1"/>
          <w:sz w:val="36"/>
          <w:szCs w:val="36"/>
          <w:highlight w:val="none"/>
        </w:rPr>
        <w:t>一、</w:t>
      </w:r>
      <w:r>
        <w:rPr>
          <w:rFonts w:hint="default" w:ascii="宋体" w:hAnsi="宋体" w:eastAsia="宋体" w:cs="宋体"/>
          <w:b/>
          <w:bCs w:val="0"/>
          <w:color w:val="auto"/>
          <w:kern w:val="1"/>
          <w:sz w:val="36"/>
          <w:szCs w:val="36"/>
          <w:highlight w:val="none"/>
          <w:lang w:val="en-US" w:eastAsia="zh-CN" w:bidi="ar"/>
        </w:rPr>
        <w:t xml:space="preserve">资格证明文件格式 </w:t>
      </w:r>
    </w:p>
    <w:p w14:paraId="2B566A1E">
      <w:pPr>
        <w:shd w:val="clear"/>
        <w:spacing w:before="120" w:after="50" w:line="360" w:lineRule="exact"/>
        <w:rPr>
          <w:rFonts w:ascii="宋体" w:hAnsi="宋体" w:cs="宋体"/>
          <w:b/>
          <w:color w:val="auto"/>
          <w:kern w:val="1"/>
          <w:szCs w:val="21"/>
          <w:highlight w:val="none"/>
        </w:rPr>
      </w:pPr>
    </w:p>
    <w:p w14:paraId="732EBA70">
      <w:pPr>
        <w:keepNext w:val="0"/>
        <w:keepLines w:val="0"/>
        <w:widowControl/>
        <w:suppressLineNumbers w:val="0"/>
        <w:shd w:val="clear"/>
        <w:jc w:val="left"/>
        <w:rPr>
          <w:color w:val="auto"/>
          <w:highlight w:val="none"/>
        </w:rPr>
      </w:pPr>
      <w:r>
        <w:rPr>
          <w:rFonts w:hint="eastAsia" w:ascii="宋体" w:hAnsi="宋体" w:eastAsia="宋体" w:cs="宋体"/>
          <w:b/>
          <w:bCs/>
          <w:color w:val="auto"/>
          <w:kern w:val="0"/>
          <w:sz w:val="24"/>
          <w:szCs w:val="24"/>
          <w:highlight w:val="none"/>
          <w:lang w:val="en-US" w:eastAsia="zh-CN" w:bidi="ar"/>
        </w:rPr>
        <w:t xml:space="preserve"> </w:t>
      </w:r>
      <w:r>
        <w:rPr>
          <w:rFonts w:hint="eastAsia" w:ascii="宋体" w:hAnsi="宋体" w:eastAsia="宋体" w:cs="宋体"/>
          <w:b/>
          <w:bCs/>
          <w:color w:val="auto"/>
          <w:kern w:val="0"/>
          <w:sz w:val="30"/>
          <w:szCs w:val="30"/>
          <w:highlight w:val="none"/>
          <w:lang w:val="en-US" w:eastAsia="zh-CN" w:bidi="ar"/>
        </w:rPr>
        <w:t xml:space="preserve">1.资格证明文件封面格式： </w:t>
      </w:r>
    </w:p>
    <w:p w14:paraId="59F9F40B">
      <w:pPr>
        <w:keepNext w:val="0"/>
        <w:keepLines w:val="0"/>
        <w:widowControl/>
        <w:suppressLineNumbers w:val="0"/>
        <w:shd w:val="clear"/>
        <w:jc w:val="left"/>
        <w:rPr>
          <w:color w:val="auto"/>
          <w:highlight w:val="none"/>
        </w:rPr>
      </w:pPr>
    </w:p>
    <w:p w14:paraId="186FF433">
      <w:pPr>
        <w:keepNext w:val="0"/>
        <w:keepLines w:val="0"/>
        <w:widowControl/>
        <w:suppressLineNumbers w:val="0"/>
        <w:shd w:val="clear"/>
        <w:ind w:firstLine="3010" w:firstLineChars="700"/>
        <w:jc w:val="left"/>
        <w:rPr>
          <w:rFonts w:hint="eastAsia" w:ascii="宋体" w:hAnsi="宋体" w:eastAsia="宋体" w:cs="宋体"/>
          <w:color w:val="auto"/>
          <w:kern w:val="0"/>
          <w:sz w:val="43"/>
          <w:szCs w:val="43"/>
          <w:highlight w:val="none"/>
          <w:lang w:val="en-US" w:eastAsia="zh-CN" w:bidi="ar"/>
        </w:rPr>
      </w:pPr>
    </w:p>
    <w:p w14:paraId="4456CF8C">
      <w:pPr>
        <w:shd w:val="clea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5F3839FC">
      <w:pPr>
        <w:shd w:val="clear"/>
        <w:snapToGrid w:val="0"/>
        <w:spacing w:before="156" w:beforeLines="50" w:after="50"/>
        <w:rPr>
          <w:rFonts w:ascii="宋体" w:hAnsi="宋体"/>
          <w:color w:val="auto"/>
          <w:sz w:val="24"/>
          <w:szCs w:val="20"/>
          <w:highlight w:val="none"/>
        </w:rPr>
      </w:pPr>
    </w:p>
    <w:p w14:paraId="1C2301A0">
      <w:pPr>
        <w:shd w:val="clea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3BA20B19">
      <w:pPr>
        <w:shd w:val="clear"/>
        <w:snapToGrid w:val="0"/>
        <w:spacing w:before="156" w:beforeLines="50" w:after="50"/>
        <w:rPr>
          <w:rFonts w:ascii="宋体" w:hAnsi="宋体"/>
          <w:bCs/>
          <w:color w:val="auto"/>
          <w:sz w:val="24"/>
          <w:szCs w:val="20"/>
          <w:highlight w:val="none"/>
        </w:rPr>
      </w:pPr>
    </w:p>
    <w:p w14:paraId="1F59EF32">
      <w:pPr>
        <w:shd w:val="clear"/>
        <w:snapToGrid w:val="0"/>
        <w:spacing w:before="156" w:beforeLines="50" w:after="50"/>
        <w:rPr>
          <w:rFonts w:ascii="宋体" w:hAnsi="宋体"/>
          <w:bCs/>
          <w:color w:val="auto"/>
          <w:sz w:val="24"/>
          <w:szCs w:val="20"/>
          <w:highlight w:val="none"/>
        </w:rPr>
      </w:pPr>
    </w:p>
    <w:p w14:paraId="4B2914BD">
      <w:pPr>
        <w:shd w:val="clear"/>
        <w:snapToGrid w:val="0"/>
        <w:spacing w:before="156" w:beforeLines="50" w:after="50"/>
        <w:rPr>
          <w:rFonts w:ascii="宋体" w:hAnsi="宋体"/>
          <w:bCs/>
          <w:color w:val="auto"/>
          <w:sz w:val="24"/>
          <w:szCs w:val="20"/>
          <w:highlight w:val="none"/>
        </w:rPr>
      </w:pPr>
    </w:p>
    <w:p w14:paraId="4D9338E2">
      <w:pPr>
        <w:shd w:val="clear"/>
        <w:snapToGrid w:val="0"/>
        <w:spacing w:before="156" w:beforeLines="50" w:after="50"/>
        <w:rPr>
          <w:rFonts w:ascii="宋体" w:hAnsi="宋体"/>
          <w:bCs/>
          <w:color w:val="auto"/>
          <w:sz w:val="24"/>
          <w:szCs w:val="20"/>
          <w:highlight w:val="none"/>
        </w:rPr>
      </w:pPr>
    </w:p>
    <w:p w14:paraId="6A7ADB4B">
      <w:pPr>
        <w:shd w:val="clear"/>
        <w:snapToGrid w:val="0"/>
        <w:spacing w:before="156" w:beforeLines="50" w:after="50"/>
        <w:rPr>
          <w:rFonts w:ascii="宋体" w:hAnsi="宋体"/>
          <w:bCs/>
          <w:color w:val="auto"/>
          <w:sz w:val="24"/>
          <w:szCs w:val="20"/>
          <w:highlight w:val="none"/>
        </w:rPr>
      </w:pPr>
    </w:p>
    <w:p w14:paraId="1B1E133E">
      <w:pPr>
        <w:shd w:val="clea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CF536AF">
      <w:pPr>
        <w:shd w:val="clear"/>
        <w:snapToGrid w:val="0"/>
        <w:spacing w:before="156" w:beforeLines="50" w:after="50"/>
        <w:ind w:firstLine="720" w:firstLineChars="225"/>
        <w:rPr>
          <w:rFonts w:ascii="宋体" w:hAnsi="宋体" w:cs="仿宋_GB2312"/>
          <w:bCs/>
          <w:color w:val="auto"/>
          <w:sz w:val="32"/>
          <w:szCs w:val="32"/>
          <w:highlight w:val="none"/>
        </w:rPr>
      </w:pPr>
    </w:p>
    <w:p w14:paraId="526B5A3A">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048683F">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9612F22">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8D1ADF4">
      <w:pPr>
        <w:shd w:val="clear"/>
        <w:snapToGrid w:val="0"/>
        <w:spacing w:before="156" w:beforeLines="50" w:after="50"/>
        <w:ind w:firstLine="720" w:firstLineChars="225"/>
        <w:rPr>
          <w:rFonts w:ascii="宋体" w:hAnsi="宋体" w:cs="仿宋_GB2312"/>
          <w:bCs/>
          <w:color w:val="auto"/>
          <w:sz w:val="32"/>
          <w:szCs w:val="32"/>
          <w:highlight w:val="none"/>
        </w:rPr>
      </w:pPr>
    </w:p>
    <w:p w14:paraId="52094AA7">
      <w:pPr>
        <w:pStyle w:val="16"/>
        <w:shd w:val="clear"/>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59ADBCF">
      <w:pPr>
        <w:shd w:val="clear"/>
        <w:snapToGrid w:val="0"/>
        <w:spacing w:before="156" w:beforeLines="50" w:after="50"/>
        <w:ind w:firstLine="640" w:firstLineChars="200"/>
        <w:rPr>
          <w:rFonts w:ascii="宋体" w:hAnsi="宋体" w:cs="仿宋_GB2312"/>
          <w:bCs/>
          <w:color w:val="auto"/>
          <w:sz w:val="32"/>
          <w:szCs w:val="32"/>
          <w:highlight w:val="none"/>
        </w:rPr>
      </w:pPr>
    </w:p>
    <w:p w14:paraId="352C49D5">
      <w:pPr>
        <w:pStyle w:val="16"/>
        <w:shd w:val="clear"/>
        <w:snapToGrid w:val="0"/>
        <w:spacing w:before="50" w:after="50"/>
        <w:ind w:firstLine="720" w:firstLineChars="225"/>
        <w:rPr>
          <w:rFonts w:ascii="宋体" w:hAnsi="宋体" w:cs="仿宋_GB2312"/>
          <w:bCs/>
          <w:color w:val="auto"/>
          <w:sz w:val="32"/>
          <w:szCs w:val="32"/>
          <w:highlight w:val="none"/>
        </w:rPr>
      </w:pPr>
    </w:p>
    <w:p w14:paraId="7E0550AF">
      <w:pPr>
        <w:pStyle w:val="16"/>
        <w:shd w:val="clear"/>
        <w:snapToGrid w:val="0"/>
        <w:spacing w:before="50" w:after="50"/>
        <w:ind w:firstLine="720" w:firstLineChars="225"/>
        <w:rPr>
          <w:rFonts w:ascii="宋体" w:hAnsi="宋体" w:cs="仿宋_GB2312"/>
          <w:bCs/>
          <w:color w:val="auto"/>
          <w:sz w:val="32"/>
          <w:szCs w:val="32"/>
          <w:highlight w:val="none"/>
        </w:rPr>
      </w:pPr>
    </w:p>
    <w:p w14:paraId="724C2920">
      <w:pPr>
        <w:pStyle w:val="16"/>
        <w:shd w:val="clear"/>
        <w:snapToGrid w:val="0"/>
        <w:spacing w:before="50" w:after="50"/>
        <w:ind w:firstLine="1280" w:firstLineChars="400"/>
        <w:rPr>
          <w:rFonts w:ascii="宋体" w:hAnsi="宋体" w:cs="仿宋_GB2312"/>
          <w:bCs/>
          <w:color w:val="auto"/>
          <w:sz w:val="32"/>
          <w:szCs w:val="32"/>
          <w:highlight w:val="none"/>
        </w:rPr>
      </w:pPr>
    </w:p>
    <w:p w14:paraId="4B9AA373">
      <w:pPr>
        <w:shd w:val="clear"/>
        <w:snapToGrid w:val="0"/>
        <w:spacing w:before="156" w:beforeLines="50" w:after="50"/>
        <w:jc w:val="center"/>
        <w:rPr>
          <w:rFonts w:ascii="宋体" w:hAnsi="宋体"/>
          <w:color w:val="auto"/>
          <w:szCs w:val="21"/>
          <w:highlight w:val="none"/>
        </w:rPr>
      </w:pPr>
      <w:r>
        <w:rPr>
          <w:rFonts w:hint="eastAsia" w:ascii="宋体" w:hAnsi="宋体" w:cs="仿宋_GB2312"/>
          <w:color w:val="auto"/>
          <w:sz w:val="32"/>
          <w:szCs w:val="32"/>
          <w:highlight w:val="none"/>
        </w:rPr>
        <w:t>年    月    日</w:t>
      </w:r>
    </w:p>
    <w:p w14:paraId="7D05B98D">
      <w:pPr>
        <w:shd w:val="clear"/>
        <w:spacing w:line="380" w:lineRule="exact"/>
        <w:ind w:left="142"/>
        <w:rPr>
          <w:rFonts w:ascii="宋体" w:hAnsi="宋体"/>
          <w:b/>
          <w:bCs/>
          <w:color w:val="auto"/>
          <w:sz w:val="24"/>
          <w:highlight w:val="none"/>
        </w:rPr>
      </w:pPr>
    </w:p>
    <w:p w14:paraId="64EEDFCA">
      <w:pPr>
        <w:shd w:val="clear"/>
        <w:spacing w:line="380" w:lineRule="exact"/>
        <w:jc w:val="center"/>
        <w:rPr>
          <w:rFonts w:hint="default" w:eastAsia="宋体"/>
          <w:b/>
          <w:bCs/>
          <w:color w:val="auto"/>
          <w:kern w:val="0"/>
          <w:sz w:val="32"/>
          <w:szCs w:val="32"/>
          <w:highlight w:val="none"/>
          <w:lang w:val="en-US" w:eastAsia="zh-CN"/>
        </w:rPr>
      </w:pPr>
      <w:r>
        <w:rPr>
          <w:rFonts w:hint="eastAsia"/>
          <w:b/>
          <w:bCs/>
          <w:color w:val="auto"/>
          <w:kern w:val="0"/>
          <w:sz w:val="32"/>
          <w:szCs w:val="32"/>
          <w:highlight w:val="none"/>
        </w:rPr>
        <w:t>北海市政府采购供应商信用承诺函</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2B6760CF">
      <w:pPr>
        <w:shd w:val="clear"/>
        <w:spacing w:line="380" w:lineRule="exact"/>
        <w:jc w:val="center"/>
        <w:rPr>
          <w:b/>
          <w:bCs/>
          <w:color w:val="auto"/>
          <w:kern w:val="0"/>
          <w:sz w:val="32"/>
          <w:szCs w:val="32"/>
          <w:highlight w:val="none"/>
        </w:rPr>
      </w:pPr>
    </w:p>
    <w:p w14:paraId="78B16481">
      <w:pPr>
        <w:shd w:val="clear"/>
        <w:wordWrap w:val="0"/>
        <w:spacing w:line="360" w:lineRule="auto"/>
        <w:rPr>
          <w:color w:val="auto"/>
          <w:kern w:val="0"/>
          <w:sz w:val="24"/>
          <w:highlight w:val="none"/>
        </w:rPr>
      </w:pPr>
      <w:r>
        <w:rPr>
          <w:rFonts w:hint="eastAsia"/>
          <w:color w:val="auto"/>
          <w:kern w:val="0"/>
          <w:sz w:val="24"/>
          <w:highlight w:val="none"/>
        </w:rPr>
        <w:t>致（采购人或采购代理机构）：</w:t>
      </w:r>
    </w:p>
    <w:p w14:paraId="0F4292A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41B87EB9">
      <w:pPr>
        <w:pStyle w:val="59"/>
        <w:shd w:val="clear"/>
        <w:ind w:firstLine="210"/>
        <w:rPr>
          <w:color w:val="auto"/>
          <w:highlight w:val="none"/>
        </w:rPr>
      </w:pPr>
    </w:p>
    <w:p w14:paraId="2484A05A">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204D844D">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0A53850F">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99231C6">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28ED79F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4F305664">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36D74A9A">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69E06779">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15DD3A68">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若我单位承诺不实，自愿承担提供虚假材料谋取中标、成交的法律责任。</w:t>
      </w:r>
    </w:p>
    <w:p w14:paraId="320A9A58">
      <w:pPr>
        <w:shd w:val="clear"/>
        <w:snapToGrid w:val="0"/>
        <w:spacing w:line="360" w:lineRule="auto"/>
        <w:jc w:val="left"/>
        <w:rPr>
          <w:rFonts w:ascii="宋体" w:hAnsi="宋体"/>
          <w:color w:val="auto"/>
          <w:sz w:val="24"/>
          <w:highlight w:val="none"/>
        </w:rPr>
      </w:pPr>
    </w:p>
    <w:p w14:paraId="5173CF6A">
      <w:pPr>
        <w:shd w:val="clear"/>
        <w:snapToGrid w:val="0"/>
        <w:spacing w:line="360" w:lineRule="auto"/>
        <w:ind w:left="-2" w:leftChars="-1" w:right="-817" w:rightChars="-389"/>
        <w:rPr>
          <w:rFonts w:ascii="宋体" w:hAnsi="宋体" w:cs="宋体"/>
          <w:color w:val="auto"/>
          <w:kern w:val="0"/>
          <w:sz w:val="24"/>
          <w:highlight w:val="none"/>
        </w:rPr>
      </w:pPr>
      <w:r>
        <w:rPr>
          <w:rFonts w:hint="eastAsia" w:ascii="宋体" w:hAnsi="宋体"/>
          <w:color w:val="auto"/>
          <w:sz w:val="24"/>
          <w:highlight w:val="none"/>
        </w:rPr>
        <w:t xml:space="preserve">                        </w:t>
      </w:r>
      <w:r>
        <w:rPr>
          <w:rFonts w:hint="eastAsia" w:ascii="宋体" w:hAnsi="宋体" w:cs="宋体"/>
          <w:color w:val="auto"/>
          <w:kern w:val="0"/>
          <w:sz w:val="24"/>
          <w:highlight w:val="none"/>
        </w:rPr>
        <w:t xml:space="preserve">   法定代表人或者委托代理人（</w:t>
      </w:r>
      <w:r>
        <w:rPr>
          <w:rFonts w:hint="eastAsia" w:ascii="宋体" w:hAnsi="宋体" w:cs="宋体"/>
          <w:color w:val="auto"/>
          <w:kern w:val="0"/>
          <w:sz w:val="24"/>
          <w:highlight w:val="none"/>
          <w:lang w:eastAsia="zh-CN"/>
        </w:rPr>
        <w:t>签字或者盖章或者电子签名</w:t>
      </w:r>
      <w:r>
        <w:rPr>
          <w:rFonts w:hint="eastAsia" w:ascii="宋体" w:hAnsi="宋体" w:cs="宋体"/>
          <w:color w:val="auto"/>
          <w:kern w:val="0"/>
          <w:sz w:val="24"/>
          <w:highlight w:val="none"/>
        </w:rPr>
        <w:t xml:space="preserve">）： </w:t>
      </w:r>
    </w:p>
    <w:p w14:paraId="6BE9C4F5">
      <w:pPr>
        <w:shd w:val="clear"/>
        <w:snapToGrid w:val="0"/>
        <w:spacing w:line="360" w:lineRule="auto"/>
        <w:ind w:left="-3" w:leftChars="-15" w:right="-817" w:rightChars="-389" w:hanging="28" w:hangingChars="12"/>
        <w:rPr>
          <w:rFonts w:ascii="宋体" w:hAnsi="宋体" w:cs="宋体"/>
          <w:color w:val="auto"/>
          <w:kern w:val="0"/>
          <w:sz w:val="24"/>
          <w:highlight w:val="none"/>
        </w:rPr>
      </w:pPr>
      <w:r>
        <w:rPr>
          <w:rFonts w:hint="eastAsia" w:ascii="宋体" w:hAnsi="宋体" w:cs="宋体"/>
          <w:color w:val="auto"/>
          <w:kern w:val="0"/>
          <w:sz w:val="24"/>
          <w:highlight w:val="none"/>
        </w:rPr>
        <w:t xml:space="preserve">                                    供应商名称（电子签章）：</w:t>
      </w:r>
    </w:p>
    <w:p w14:paraId="0351ADA9">
      <w:pPr>
        <w:shd w:val="clear"/>
        <w:wordWrap w:val="0"/>
        <w:spacing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日 期： 年 月 日</w:t>
      </w:r>
    </w:p>
    <w:p w14:paraId="399EFD9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注：1.供应商须在响应文件中按此模板提供承诺函，未提供视为未实质性响应招标（采购）文件要求，按无效磋商处理。</w:t>
      </w:r>
    </w:p>
    <w:p w14:paraId="33C28979">
      <w:pPr>
        <w:shd w:val="clear"/>
        <w:spacing w:line="320" w:lineRule="exact"/>
        <w:jc w:val="left"/>
        <w:rPr>
          <w:rFonts w:ascii="宋体" w:hAnsi="宋体"/>
          <w:color w:val="auto"/>
          <w:szCs w:val="21"/>
          <w:highlight w:val="none"/>
        </w:rPr>
      </w:pPr>
      <w:r>
        <w:rPr>
          <w:rFonts w:hint="eastAsia" w:ascii="宋体" w:hAnsi="宋体" w:cs="宋体"/>
          <w:color w:val="auto"/>
          <w:kern w:val="0"/>
          <w:sz w:val="24"/>
          <w:highlight w:val="none"/>
        </w:rPr>
        <w:t>2.供应商的法定代表人（其他组织的为负责人）或者委托代理人的签名或盖章应真实、有效，如委托代理人签名或盖章的，应提供“法定代表人授权委托书”。</w:t>
      </w:r>
    </w:p>
    <w:p w14:paraId="6755C130">
      <w:pPr>
        <w:shd w:val="clear"/>
        <w:spacing w:line="300" w:lineRule="auto"/>
        <w:rPr>
          <w:rFonts w:ascii="宋体" w:hAnsi="宋体"/>
          <w:color w:val="auto"/>
          <w:szCs w:val="21"/>
          <w:highlight w:val="none"/>
        </w:rPr>
      </w:pPr>
    </w:p>
    <w:p w14:paraId="5AA0AE52">
      <w:pPr>
        <w:shd w:val="clear"/>
        <w:spacing w:line="300" w:lineRule="auto"/>
        <w:rPr>
          <w:rFonts w:ascii="宋体" w:hAnsi="宋体"/>
          <w:color w:val="auto"/>
          <w:szCs w:val="21"/>
          <w:highlight w:val="none"/>
        </w:rPr>
      </w:pPr>
    </w:p>
    <w:p w14:paraId="603E6EA8">
      <w:pPr>
        <w:shd w:val="clear"/>
        <w:spacing w:line="300" w:lineRule="auto"/>
        <w:rPr>
          <w:rFonts w:ascii="宋体" w:hAnsi="宋体"/>
          <w:color w:val="auto"/>
          <w:szCs w:val="21"/>
          <w:highlight w:val="none"/>
        </w:rPr>
      </w:pPr>
    </w:p>
    <w:p w14:paraId="137D5D60">
      <w:pPr>
        <w:shd w:val="clear"/>
        <w:spacing w:line="300" w:lineRule="auto"/>
        <w:rPr>
          <w:rFonts w:ascii="宋体" w:hAnsi="宋体"/>
          <w:color w:val="auto"/>
          <w:szCs w:val="21"/>
          <w:highlight w:val="none"/>
        </w:rPr>
      </w:pPr>
    </w:p>
    <w:p w14:paraId="444BB259">
      <w:pPr>
        <w:shd w:val="clear"/>
        <w:spacing w:line="320" w:lineRule="exact"/>
        <w:jc w:val="left"/>
        <w:rPr>
          <w:rFonts w:ascii="宋体" w:hAnsi="宋体"/>
          <w:b/>
          <w:color w:val="auto"/>
          <w:sz w:val="24"/>
          <w:highlight w:val="none"/>
        </w:rPr>
      </w:pPr>
      <w:r>
        <w:rPr>
          <w:rFonts w:ascii="宋体" w:hAnsi="宋体"/>
          <w:color w:val="auto"/>
          <w:szCs w:val="21"/>
          <w:highlight w:val="none"/>
        </w:rPr>
        <w:br w:type="page"/>
      </w:r>
    </w:p>
    <w:p w14:paraId="0C1130DA">
      <w:pPr>
        <w:shd w:val="clear"/>
        <w:snapToGrid w:val="0"/>
        <w:spacing w:before="50" w:after="156" w:afterLines="50"/>
        <w:jc w:val="center"/>
        <w:rPr>
          <w:rFonts w:ascii="宋体" w:hAnsi="宋体"/>
          <w:b/>
          <w:color w:val="auto"/>
          <w:sz w:val="28"/>
          <w:szCs w:val="28"/>
          <w:highlight w:val="none"/>
        </w:rPr>
      </w:pPr>
    </w:p>
    <w:p w14:paraId="02A64393">
      <w:pPr>
        <w:shd w:val="clear"/>
        <w:snapToGrid w:val="0"/>
        <w:spacing w:before="50" w:after="156" w:afterLines="50" w:line="360" w:lineRule="auto"/>
        <w:jc w:val="center"/>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供应商直接控股股东信息表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9476" w:type="dxa"/>
        <w:tblInd w:w="0" w:type="dxa"/>
        <w:shd w:val="clear" w:color="auto" w:fill="FBFBFB"/>
        <w:tblLayout w:type="fixed"/>
        <w:tblCellMar>
          <w:top w:w="0" w:type="dxa"/>
          <w:left w:w="0" w:type="dxa"/>
          <w:bottom w:w="0" w:type="dxa"/>
          <w:right w:w="0" w:type="dxa"/>
        </w:tblCellMar>
      </w:tblPr>
      <w:tblGrid>
        <w:gridCol w:w="828"/>
        <w:gridCol w:w="2269"/>
        <w:gridCol w:w="1657"/>
        <w:gridCol w:w="3304"/>
        <w:gridCol w:w="1418"/>
      </w:tblGrid>
      <w:tr w14:paraId="770D9118">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AAF7DB">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00E0BE">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6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32A71B">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30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9A861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FC909C">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3DC517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16CA5D">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4B55FC">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B85ADE">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73C3F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45C7F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22B386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7BFF9D">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BAB72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D5BB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A1A4F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CAEF5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B6AA35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C6491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2AF6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4E273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03E2D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A5C47">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C1DC96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9F469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79EB7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ECB1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F9CB99">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A95B1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225C67D4">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051BBFF7">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4FD86DE">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40F3E0FA">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46170BB6">
      <w:pPr>
        <w:shd w:val="clear"/>
        <w:snapToGrid w:val="0"/>
        <w:spacing w:line="360" w:lineRule="auto"/>
        <w:jc w:val="left"/>
        <w:rPr>
          <w:rFonts w:ascii="宋体" w:hAnsi="宋体"/>
          <w:color w:val="auto"/>
          <w:sz w:val="24"/>
          <w:highlight w:val="none"/>
        </w:rPr>
      </w:pPr>
    </w:p>
    <w:p w14:paraId="5ACE4554">
      <w:pPr>
        <w:shd w:val="clear"/>
        <w:snapToGrid w:val="0"/>
        <w:spacing w:line="360" w:lineRule="auto"/>
        <w:jc w:val="left"/>
        <w:rPr>
          <w:rFonts w:ascii="宋体" w:hAnsi="宋体"/>
          <w:color w:val="auto"/>
          <w:sz w:val="24"/>
          <w:highlight w:val="none"/>
        </w:rPr>
      </w:pPr>
    </w:p>
    <w:p w14:paraId="3391C136">
      <w:pPr>
        <w:shd w:val="clear"/>
        <w:snapToGrid w:val="0"/>
        <w:spacing w:line="360" w:lineRule="auto"/>
        <w:jc w:val="left"/>
        <w:rPr>
          <w:rFonts w:ascii="宋体" w:hAnsi="宋体"/>
          <w:color w:val="auto"/>
          <w:sz w:val="24"/>
          <w:highlight w:val="none"/>
        </w:rPr>
      </w:pPr>
    </w:p>
    <w:p w14:paraId="3CB5F19D">
      <w:pPr>
        <w:shd w:val="clea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3E168B4C">
      <w:pPr>
        <w:shd w:val="clea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31AC9E90">
      <w:pPr>
        <w:shd w:val="clear"/>
        <w:snapToGrid w:val="0"/>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781BEC6C">
      <w:pPr>
        <w:shd w:val="clear"/>
        <w:snapToGrid w:val="0"/>
        <w:jc w:val="center"/>
        <w:rPr>
          <w:rFonts w:ascii="宋体" w:hAnsi="宋体"/>
          <w:b/>
          <w:color w:val="auto"/>
          <w:sz w:val="28"/>
          <w:szCs w:val="28"/>
          <w:highlight w:val="none"/>
        </w:rPr>
      </w:pPr>
    </w:p>
    <w:p w14:paraId="11454CBD">
      <w:pPr>
        <w:shd w:val="clear"/>
        <w:snapToGrid w:val="0"/>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r>
    </w:p>
    <w:p w14:paraId="06BDE697">
      <w:pPr>
        <w:shd w:val="clear"/>
        <w:snapToGrid w:val="0"/>
        <w:spacing w:line="360" w:lineRule="auto"/>
        <w:jc w:val="center"/>
        <w:rPr>
          <w:rFonts w:hint="eastAsia" w:ascii="宋体" w:hAnsi="宋体"/>
          <w:b/>
          <w:color w:val="auto"/>
          <w:sz w:val="32"/>
          <w:szCs w:val="32"/>
          <w:highlight w:val="none"/>
        </w:rPr>
      </w:pPr>
    </w:p>
    <w:p w14:paraId="3C1E77DA">
      <w:pPr>
        <w:shd w:val="clear"/>
        <w:snapToGrid w:val="0"/>
        <w:spacing w:line="360" w:lineRule="auto"/>
        <w:jc w:val="center"/>
        <w:rPr>
          <w:rFonts w:hint="default" w:ascii="宋体" w:hAnsi="宋体" w:eastAsia="宋体"/>
          <w:color w:val="auto"/>
          <w:sz w:val="32"/>
          <w:szCs w:val="32"/>
          <w:highlight w:val="none"/>
          <w:lang w:val="en-US" w:eastAsia="zh-CN"/>
        </w:rPr>
      </w:pPr>
      <w:r>
        <w:rPr>
          <w:rFonts w:hint="eastAsia" w:ascii="宋体" w:hAnsi="宋体"/>
          <w:b/>
          <w:color w:val="auto"/>
          <w:sz w:val="32"/>
          <w:szCs w:val="32"/>
          <w:highlight w:val="none"/>
        </w:rPr>
        <w:t>供应商直接管理关系信息表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D171072">
        <w:tblPrEx>
          <w:shd w:val="clear" w:color="auto" w:fill="FBFBFB"/>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46D27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281560">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B3D7C8">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6BD9D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5A71D7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C1C3A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DE833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1D082">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3FA7C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B94E11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30B03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6B9A8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2E784C">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9687AE">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08FBD8F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3533A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BAA65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5541A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3B11B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604B98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D81B13">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0D9A62">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77E59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2BF469">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520C26DD">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36622225">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3C7889EA">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D750723">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77F69D58">
      <w:pPr>
        <w:shd w:val="clear"/>
        <w:snapToGrid w:val="0"/>
        <w:spacing w:line="360" w:lineRule="auto"/>
        <w:jc w:val="left"/>
        <w:rPr>
          <w:rFonts w:ascii="宋体" w:hAnsi="宋体"/>
          <w:color w:val="auto"/>
          <w:sz w:val="24"/>
          <w:highlight w:val="none"/>
        </w:rPr>
      </w:pPr>
    </w:p>
    <w:p w14:paraId="4E5D5079">
      <w:pPr>
        <w:shd w:val="clear"/>
        <w:snapToGrid w:val="0"/>
        <w:spacing w:line="360" w:lineRule="auto"/>
        <w:jc w:val="left"/>
        <w:rPr>
          <w:rFonts w:ascii="宋体" w:hAnsi="宋体"/>
          <w:color w:val="auto"/>
          <w:sz w:val="24"/>
          <w:highlight w:val="none"/>
        </w:rPr>
      </w:pPr>
    </w:p>
    <w:p w14:paraId="55D4FEBD">
      <w:pPr>
        <w:shd w:val="clear"/>
        <w:snapToGrid w:val="0"/>
        <w:spacing w:line="360" w:lineRule="auto"/>
        <w:jc w:val="left"/>
        <w:rPr>
          <w:rFonts w:ascii="宋体" w:hAnsi="宋体"/>
          <w:color w:val="auto"/>
          <w:sz w:val="24"/>
          <w:highlight w:val="none"/>
        </w:rPr>
      </w:pPr>
    </w:p>
    <w:p w14:paraId="57BDCACE">
      <w:pPr>
        <w:shd w:val="clear"/>
        <w:snapToGrid w:val="0"/>
        <w:spacing w:line="360" w:lineRule="auto"/>
        <w:jc w:val="left"/>
        <w:rPr>
          <w:color w:val="auto"/>
          <w:sz w:val="24"/>
          <w:highlight w:val="none"/>
        </w:rPr>
      </w:pPr>
    </w:p>
    <w:p w14:paraId="22ECC1B0">
      <w:pPr>
        <w:shd w:val="clea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42D42367">
      <w:pPr>
        <w:shd w:val="clea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75DCFF5D">
      <w:pPr>
        <w:shd w:val="clea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5DC2A213">
      <w:pPr>
        <w:shd w:val="clear"/>
        <w:snapToGrid w:val="0"/>
        <w:spacing w:before="156" w:beforeLines="50" w:after="50"/>
        <w:jc w:val="left"/>
        <w:rPr>
          <w:rFonts w:ascii="宋体" w:hAnsi="宋体"/>
          <w:color w:val="auto"/>
          <w:sz w:val="24"/>
          <w:highlight w:val="none"/>
        </w:rPr>
      </w:pPr>
    </w:p>
    <w:p w14:paraId="7F075DA1">
      <w:pPr>
        <w:shd w:val="clear"/>
        <w:rPr>
          <w:rFonts w:ascii="宋体" w:hAnsi="宋体"/>
          <w:b/>
          <w:color w:val="auto"/>
          <w:sz w:val="28"/>
          <w:szCs w:val="28"/>
          <w:highlight w:val="none"/>
        </w:rPr>
      </w:pPr>
      <w:r>
        <w:rPr>
          <w:rFonts w:ascii="宋体" w:hAnsi="宋体"/>
          <w:b/>
          <w:color w:val="auto"/>
          <w:sz w:val="28"/>
          <w:szCs w:val="28"/>
          <w:highlight w:val="none"/>
        </w:rPr>
        <w:br w:type="page"/>
      </w:r>
    </w:p>
    <w:p w14:paraId="17518E11">
      <w:pPr>
        <w:shd w:val="clear"/>
        <w:spacing w:line="320" w:lineRule="exact"/>
        <w:jc w:val="center"/>
        <w:rPr>
          <w:rFonts w:ascii="宋体" w:hAnsi="宋体"/>
          <w:b/>
          <w:color w:val="auto"/>
          <w:sz w:val="32"/>
          <w:szCs w:val="32"/>
          <w:highlight w:val="none"/>
        </w:rPr>
      </w:pPr>
    </w:p>
    <w:p w14:paraId="18A7C03E">
      <w:pPr>
        <w:shd w:val="clear"/>
        <w:spacing w:line="380" w:lineRule="exact"/>
        <w:jc w:val="center"/>
        <w:rPr>
          <w:rFonts w:hint="default"/>
          <w:b/>
          <w:bCs/>
          <w:color w:val="auto"/>
          <w:kern w:val="0"/>
          <w:sz w:val="32"/>
          <w:szCs w:val="32"/>
          <w:highlight w:val="none"/>
          <w:lang w:val="en-US" w:eastAsia="zh-CN"/>
        </w:rPr>
      </w:pPr>
      <w:r>
        <w:rPr>
          <w:rFonts w:hint="eastAsia"/>
          <w:b/>
          <w:bCs/>
          <w:color w:val="auto"/>
          <w:kern w:val="0"/>
          <w:sz w:val="32"/>
          <w:szCs w:val="32"/>
          <w:highlight w:val="none"/>
        </w:rPr>
        <w:t>竞标声明</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5114D55D">
      <w:pPr>
        <w:shd w:val="clear"/>
        <w:spacing w:line="320" w:lineRule="exact"/>
        <w:jc w:val="center"/>
        <w:rPr>
          <w:rFonts w:ascii="宋体" w:hAnsi="宋体"/>
          <w:color w:val="auto"/>
          <w:sz w:val="24"/>
          <w:szCs w:val="20"/>
          <w:highlight w:val="none"/>
        </w:rPr>
      </w:pPr>
    </w:p>
    <w:p w14:paraId="059EC9FA">
      <w:pPr>
        <w:shd w:val="clea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4FE6796">
      <w:pPr>
        <w:shd w:val="clear"/>
        <w:wordWrap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2927404">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8CE064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75DDBE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60F1496F">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D1AAD5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20D1DE8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6963EE8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5CD5C2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4607448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9EC6A4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7AC8A45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043CD1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D376BB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EDF75A5">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F7DF74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269E314">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4807BF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5905E8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3EC116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723C2B7">
      <w:pPr>
        <w:pStyle w:val="32"/>
        <w:shd w:val="clear"/>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1418233">
      <w:pPr>
        <w:pStyle w:val="32"/>
        <w:shd w:val="clear"/>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2511806B">
      <w:pPr>
        <w:pStyle w:val="26"/>
        <w:shd w:val="clear"/>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1BC3D06">
      <w:pPr>
        <w:pStyle w:val="26"/>
        <w:shd w:val="clear"/>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22A88123">
      <w:pPr>
        <w:pStyle w:val="26"/>
        <w:shd w:val="clear"/>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3EB65FA7">
      <w:pPr>
        <w:shd w:val="clear"/>
        <w:spacing w:line="360" w:lineRule="auto"/>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cs="宋体"/>
          <w:color w:val="auto"/>
          <w:sz w:val="24"/>
          <w:highlight w:val="none"/>
        </w:rPr>
        <w:t>：</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47BA16AA">
      <w:pPr>
        <w:shd w:val="clear"/>
        <w:spacing w:line="360" w:lineRule="auto"/>
        <w:contextualSpacing/>
        <w:jc w:val="left"/>
        <w:rPr>
          <w:rFonts w:ascii="宋体" w:hAnsi="宋体" w:cs="宋体"/>
          <w:color w:val="auto"/>
          <w:szCs w:val="21"/>
          <w:highlight w:val="none"/>
        </w:rPr>
      </w:pPr>
    </w:p>
    <w:p w14:paraId="3CD91042">
      <w:pPr>
        <w:shd w:val="clear"/>
        <w:spacing w:line="360" w:lineRule="auto"/>
        <w:ind w:firstLine="1800" w:firstLineChars="750"/>
        <w:contextualSpacing/>
        <w:rPr>
          <w:color w:val="auto"/>
          <w:highlight w:val="none"/>
        </w:rPr>
      </w:pPr>
      <w:r>
        <w:rPr>
          <w:rFonts w:hint="eastAsia" w:ascii="宋体" w:hAnsi="宋体"/>
          <w:color w:val="auto"/>
          <w:sz w:val="24"/>
          <w:highlight w:val="none"/>
        </w:rPr>
        <w:t>法定代表人（签字或者盖章或者电子签名）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3427E887">
      <w:pPr>
        <w:shd w:val="clear"/>
        <w:spacing w:line="360" w:lineRule="auto"/>
        <w:ind w:firstLine="4320" w:firstLineChars="1800"/>
        <w:contextualSpacing/>
        <w:rPr>
          <w:rFonts w:ascii="宋体" w:hAnsi="宋体" w:cs="宋体"/>
          <w:color w:val="auto"/>
          <w:szCs w:val="21"/>
          <w:highlight w:val="none"/>
          <w:u w:val="single"/>
        </w:rPr>
      </w:pPr>
      <w:r>
        <w:rPr>
          <w:rFonts w:hint="eastAsia" w:ascii="宋体" w:hAnsi="宋体"/>
          <w:color w:val="auto"/>
          <w:sz w:val="24"/>
          <w:highlight w:val="none"/>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24B07A9">
      <w:pPr>
        <w:pStyle w:val="26"/>
        <w:shd w:val="clear"/>
        <w:tabs>
          <w:tab w:val="left" w:pos="939"/>
        </w:tabs>
        <w:spacing w:line="360" w:lineRule="auto"/>
        <w:ind w:left="0" w:leftChars="0" w:firstLine="420" w:firstLineChars="200"/>
        <w:rPr>
          <w:color w:val="auto"/>
          <w:sz w:val="24"/>
          <w:highlight w:val="none"/>
        </w:rPr>
      </w:pPr>
      <w:r>
        <w:rPr>
          <w:rFonts w:hint="eastAsia" w:ascii="宋体" w:hAnsi="宋体" w:cs="宋体"/>
          <w:color w:val="auto"/>
          <w:szCs w:val="21"/>
          <w:highlight w:val="none"/>
        </w:rPr>
        <w:t xml:space="preserve">                                                        </w:t>
      </w:r>
      <w:r>
        <w:rPr>
          <w:rFonts w:hint="eastAsia"/>
          <w:color w:val="auto"/>
          <w:sz w:val="24"/>
          <w:highlight w:val="none"/>
        </w:rPr>
        <w:t xml:space="preserve"> 年    月    日</w:t>
      </w:r>
    </w:p>
    <w:p w14:paraId="3F68BFE8">
      <w:pPr>
        <w:shd w:val="clear"/>
        <w:rPr>
          <w:rFonts w:ascii="宋体" w:hAnsi="宋体" w:eastAsia="宋体" w:cs="宋体"/>
          <w:color w:val="auto"/>
          <w:sz w:val="21"/>
          <w:szCs w:val="21"/>
          <w:highlight w:val="none"/>
        </w:rPr>
      </w:pPr>
      <w:r>
        <w:rPr>
          <w:rFonts w:ascii="宋体" w:hAnsi="宋体" w:eastAsia="宋体" w:cs="宋体"/>
          <w:color w:val="auto"/>
          <w:sz w:val="21"/>
          <w:szCs w:val="21"/>
          <w:highlight w:val="none"/>
        </w:rPr>
        <w:br w:type="page"/>
      </w:r>
    </w:p>
    <w:p w14:paraId="11652EDA">
      <w:pPr>
        <w:shd w:val="clear"/>
        <w:spacing w:before="0" w:line="520" w:lineRule="exact"/>
        <w:rPr>
          <w:rFonts w:ascii="宋体" w:hAnsi="宋体" w:eastAsia="宋体" w:cs="宋体"/>
          <w:b/>
          <w:color w:val="auto"/>
          <w:kern w:val="1"/>
          <w:sz w:val="36"/>
          <w:szCs w:val="36"/>
          <w:highlight w:val="none"/>
        </w:rPr>
      </w:pPr>
      <w:r>
        <w:rPr>
          <w:rFonts w:ascii="宋体" w:hAnsi="宋体" w:eastAsia="宋体" w:cs="宋体"/>
          <w:b/>
          <w:color w:val="auto"/>
          <w:spacing w:val="0"/>
          <w:kern w:val="1"/>
          <w:sz w:val="36"/>
          <w:szCs w:val="36"/>
          <w:highlight w:val="none"/>
        </w:rPr>
        <w:t>二、报价文件格式</w:t>
      </w:r>
    </w:p>
    <w:p w14:paraId="1D7CC71B">
      <w:pPr>
        <w:shd w:val="clear"/>
        <w:spacing w:before="300" w:line="224" w:lineRule="auto"/>
        <w:ind w:left="18"/>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1.报价文件封面格式</w:t>
      </w:r>
    </w:p>
    <w:p w14:paraId="2417535E">
      <w:pPr>
        <w:shd w:val="clear"/>
        <w:spacing w:line="281" w:lineRule="auto"/>
        <w:rPr>
          <w:rFonts w:ascii="Arial"/>
          <w:color w:val="auto"/>
          <w:sz w:val="21"/>
          <w:highlight w:val="none"/>
        </w:rPr>
      </w:pPr>
    </w:p>
    <w:p w14:paraId="6E8B6ADF">
      <w:pPr>
        <w:shd w:val="clear"/>
        <w:spacing w:line="281" w:lineRule="auto"/>
        <w:rPr>
          <w:rFonts w:ascii="Arial"/>
          <w:color w:val="auto"/>
          <w:sz w:val="21"/>
          <w:highlight w:val="none"/>
        </w:rPr>
      </w:pPr>
    </w:p>
    <w:p w14:paraId="1F1EA72C">
      <w:pPr>
        <w:shd w:val="clear"/>
        <w:spacing w:line="282" w:lineRule="auto"/>
        <w:rPr>
          <w:rFonts w:ascii="Arial"/>
          <w:color w:val="auto"/>
          <w:sz w:val="21"/>
          <w:highlight w:val="none"/>
        </w:rPr>
      </w:pPr>
    </w:p>
    <w:p w14:paraId="2AFAB344">
      <w:pPr>
        <w:shd w:val="clear"/>
        <w:spacing w:before="140" w:line="224" w:lineRule="auto"/>
        <w:ind w:left="0" w:firstLine="2730" w:firstLineChars="700"/>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4934CA72">
      <w:pPr>
        <w:shd w:val="clear"/>
        <w:spacing w:line="264" w:lineRule="auto"/>
        <w:rPr>
          <w:rFonts w:ascii="Arial"/>
          <w:color w:val="auto"/>
          <w:sz w:val="21"/>
          <w:highlight w:val="none"/>
        </w:rPr>
      </w:pPr>
    </w:p>
    <w:p w14:paraId="335E3979">
      <w:pPr>
        <w:shd w:val="clear"/>
        <w:spacing w:line="265" w:lineRule="auto"/>
        <w:rPr>
          <w:rFonts w:ascii="Arial"/>
          <w:color w:val="auto"/>
          <w:sz w:val="21"/>
          <w:highlight w:val="none"/>
        </w:rPr>
      </w:pPr>
    </w:p>
    <w:p w14:paraId="46FDD3E4">
      <w:pPr>
        <w:shd w:val="clear"/>
        <w:spacing w:line="265" w:lineRule="auto"/>
        <w:rPr>
          <w:rFonts w:ascii="Arial"/>
          <w:color w:val="auto"/>
          <w:sz w:val="21"/>
          <w:highlight w:val="none"/>
        </w:rPr>
      </w:pPr>
    </w:p>
    <w:p w14:paraId="4DD91BB1">
      <w:pPr>
        <w:shd w:val="clear"/>
        <w:spacing w:line="265" w:lineRule="auto"/>
        <w:rPr>
          <w:rFonts w:ascii="Arial"/>
          <w:color w:val="auto"/>
          <w:sz w:val="21"/>
          <w:highlight w:val="none"/>
        </w:rPr>
      </w:pPr>
    </w:p>
    <w:p w14:paraId="03948C22">
      <w:pPr>
        <w:shd w:val="clear"/>
        <w:spacing w:before="188" w:line="186" w:lineRule="auto"/>
        <w:ind w:left="0" w:firstLine="2508" w:firstLineChars="60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6"/>
          <w:sz w:val="43"/>
          <w:szCs w:val="43"/>
          <w:highlight w:val="none"/>
        </w:rPr>
        <w:t>报</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价    文</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件</w:t>
      </w:r>
    </w:p>
    <w:p w14:paraId="48D25060">
      <w:pPr>
        <w:shd w:val="clear"/>
        <w:spacing w:line="242" w:lineRule="auto"/>
        <w:rPr>
          <w:rFonts w:ascii="Arial"/>
          <w:color w:val="auto"/>
          <w:sz w:val="21"/>
          <w:highlight w:val="none"/>
        </w:rPr>
      </w:pPr>
    </w:p>
    <w:p w14:paraId="4FA5BE2B">
      <w:pPr>
        <w:shd w:val="clear"/>
        <w:spacing w:line="243" w:lineRule="auto"/>
        <w:rPr>
          <w:rFonts w:ascii="Arial"/>
          <w:color w:val="auto"/>
          <w:sz w:val="21"/>
          <w:highlight w:val="none"/>
        </w:rPr>
      </w:pPr>
    </w:p>
    <w:p w14:paraId="12AACE55">
      <w:pPr>
        <w:shd w:val="clear"/>
        <w:spacing w:line="243" w:lineRule="auto"/>
        <w:rPr>
          <w:rFonts w:ascii="Arial"/>
          <w:color w:val="auto"/>
          <w:sz w:val="21"/>
          <w:highlight w:val="none"/>
        </w:rPr>
      </w:pPr>
    </w:p>
    <w:p w14:paraId="32182EF8">
      <w:pPr>
        <w:shd w:val="clear"/>
        <w:spacing w:line="243" w:lineRule="auto"/>
        <w:rPr>
          <w:rFonts w:ascii="Arial"/>
          <w:color w:val="auto"/>
          <w:sz w:val="21"/>
          <w:highlight w:val="none"/>
        </w:rPr>
      </w:pPr>
    </w:p>
    <w:p w14:paraId="585596DE">
      <w:pPr>
        <w:shd w:val="clear"/>
        <w:spacing w:line="243" w:lineRule="auto"/>
        <w:rPr>
          <w:rFonts w:ascii="Arial"/>
          <w:color w:val="auto"/>
          <w:sz w:val="21"/>
          <w:highlight w:val="none"/>
        </w:rPr>
      </w:pPr>
    </w:p>
    <w:p w14:paraId="7D4CE206">
      <w:pPr>
        <w:shd w:val="clear"/>
        <w:spacing w:line="243" w:lineRule="auto"/>
        <w:rPr>
          <w:rFonts w:ascii="Arial"/>
          <w:color w:val="auto"/>
          <w:sz w:val="21"/>
          <w:highlight w:val="none"/>
        </w:rPr>
      </w:pPr>
    </w:p>
    <w:p w14:paraId="0AEC7335">
      <w:pPr>
        <w:shd w:val="clear"/>
        <w:spacing w:line="243" w:lineRule="auto"/>
        <w:rPr>
          <w:rFonts w:ascii="Arial"/>
          <w:color w:val="auto"/>
          <w:sz w:val="21"/>
          <w:highlight w:val="none"/>
        </w:rPr>
      </w:pPr>
    </w:p>
    <w:p w14:paraId="7E250D0F">
      <w:pPr>
        <w:shd w:val="clear"/>
        <w:spacing w:line="243" w:lineRule="auto"/>
        <w:rPr>
          <w:rFonts w:ascii="Arial"/>
          <w:color w:val="auto"/>
          <w:sz w:val="21"/>
          <w:highlight w:val="none"/>
        </w:rPr>
      </w:pPr>
    </w:p>
    <w:p w14:paraId="40DBE0D2">
      <w:pPr>
        <w:shd w:val="clear"/>
        <w:spacing w:line="243" w:lineRule="auto"/>
        <w:rPr>
          <w:rFonts w:ascii="Arial"/>
          <w:color w:val="auto"/>
          <w:sz w:val="21"/>
          <w:highlight w:val="none"/>
        </w:rPr>
      </w:pPr>
    </w:p>
    <w:p w14:paraId="6A14F79E">
      <w:pPr>
        <w:shd w:val="clear"/>
        <w:spacing w:line="243" w:lineRule="auto"/>
        <w:rPr>
          <w:rFonts w:ascii="Arial"/>
          <w:color w:val="auto"/>
          <w:sz w:val="21"/>
          <w:highlight w:val="none"/>
        </w:rPr>
      </w:pPr>
    </w:p>
    <w:p w14:paraId="14597E29">
      <w:pPr>
        <w:shd w:val="clea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5523C7E6">
      <w:pPr>
        <w:shd w:val="clear"/>
        <w:spacing w:line="328" w:lineRule="auto"/>
        <w:rPr>
          <w:rFonts w:ascii="Arial"/>
          <w:color w:val="auto"/>
          <w:sz w:val="21"/>
          <w:highlight w:val="none"/>
        </w:rPr>
      </w:pPr>
    </w:p>
    <w:p w14:paraId="2E314441">
      <w:pPr>
        <w:shd w:val="clear"/>
        <w:spacing w:line="328" w:lineRule="auto"/>
        <w:rPr>
          <w:rFonts w:ascii="Arial"/>
          <w:color w:val="auto"/>
          <w:sz w:val="21"/>
          <w:highlight w:val="none"/>
        </w:rPr>
      </w:pPr>
    </w:p>
    <w:p w14:paraId="51BF4868">
      <w:pPr>
        <w:shd w:val="clea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4059EFEA">
      <w:pPr>
        <w:shd w:val="clear"/>
        <w:spacing w:line="328" w:lineRule="auto"/>
        <w:rPr>
          <w:rFonts w:ascii="Arial"/>
          <w:color w:val="auto"/>
          <w:sz w:val="21"/>
          <w:highlight w:val="none"/>
        </w:rPr>
      </w:pPr>
    </w:p>
    <w:p w14:paraId="0C85C7A8">
      <w:pPr>
        <w:shd w:val="clear"/>
        <w:spacing w:line="328" w:lineRule="auto"/>
        <w:rPr>
          <w:rFonts w:ascii="Arial"/>
          <w:color w:val="auto"/>
          <w:sz w:val="21"/>
          <w:highlight w:val="none"/>
        </w:rPr>
      </w:pPr>
    </w:p>
    <w:p w14:paraId="2665BB63">
      <w:pPr>
        <w:shd w:val="clear"/>
        <w:spacing w:before="101"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070EF4">
      <w:pPr>
        <w:shd w:val="clear"/>
        <w:spacing w:line="276" w:lineRule="auto"/>
        <w:rPr>
          <w:rFonts w:ascii="Arial"/>
          <w:color w:val="auto"/>
          <w:sz w:val="21"/>
          <w:highlight w:val="none"/>
        </w:rPr>
      </w:pPr>
    </w:p>
    <w:p w14:paraId="5D385587">
      <w:pPr>
        <w:shd w:val="clear"/>
        <w:spacing w:line="276" w:lineRule="auto"/>
        <w:rPr>
          <w:rFonts w:ascii="Arial"/>
          <w:color w:val="auto"/>
          <w:sz w:val="21"/>
          <w:highlight w:val="none"/>
        </w:rPr>
      </w:pPr>
    </w:p>
    <w:p w14:paraId="407F06C8">
      <w:pPr>
        <w:shd w:val="clear"/>
        <w:spacing w:before="101" w:line="225" w:lineRule="auto"/>
        <w:ind w:left="635"/>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2C45255A">
      <w:pPr>
        <w:shd w:val="clear"/>
        <w:spacing w:line="242" w:lineRule="auto"/>
        <w:rPr>
          <w:rFonts w:ascii="Arial"/>
          <w:color w:val="auto"/>
          <w:sz w:val="21"/>
          <w:highlight w:val="none"/>
        </w:rPr>
      </w:pPr>
    </w:p>
    <w:p w14:paraId="1EDDA899">
      <w:pPr>
        <w:shd w:val="clear"/>
        <w:spacing w:line="242" w:lineRule="auto"/>
        <w:rPr>
          <w:rFonts w:ascii="Arial"/>
          <w:color w:val="auto"/>
          <w:sz w:val="21"/>
          <w:highlight w:val="none"/>
        </w:rPr>
      </w:pPr>
    </w:p>
    <w:p w14:paraId="2F70FA5A">
      <w:pPr>
        <w:shd w:val="clear"/>
        <w:spacing w:line="242" w:lineRule="auto"/>
        <w:rPr>
          <w:rFonts w:ascii="Arial"/>
          <w:color w:val="auto"/>
          <w:sz w:val="21"/>
          <w:highlight w:val="none"/>
        </w:rPr>
      </w:pPr>
    </w:p>
    <w:p w14:paraId="4BA54688">
      <w:pPr>
        <w:shd w:val="clear"/>
        <w:spacing w:line="242" w:lineRule="auto"/>
        <w:rPr>
          <w:rFonts w:ascii="Arial"/>
          <w:color w:val="auto"/>
          <w:sz w:val="21"/>
          <w:highlight w:val="none"/>
        </w:rPr>
      </w:pPr>
    </w:p>
    <w:p w14:paraId="03B2B111">
      <w:pPr>
        <w:shd w:val="clear"/>
        <w:spacing w:line="243" w:lineRule="auto"/>
        <w:rPr>
          <w:rFonts w:ascii="Arial"/>
          <w:color w:val="auto"/>
          <w:sz w:val="21"/>
          <w:highlight w:val="none"/>
        </w:rPr>
      </w:pPr>
    </w:p>
    <w:p w14:paraId="19DB1880">
      <w:pPr>
        <w:shd w:val="clear"/>
        <w:spacing w:line="243" w:lineRule="auto"/>
        <w:rPr>
          <w:rFonts w:ascii="Arial"/>
          <w:color w:val="auto"/>
          <w:sz w:val="21"/>
          <w:highlight w:val="none"/>
        </w:rPr>
      </w:pPr>
    </w:p>
    <w:p w14:paraId="29E3DCFA">
      <w:pPr>
        <w:shd w:val="clear"/>
        <w:spacing w:line="243" w:lineRule="auto"/>
        <w:rPr>
          <w:rFonts w:ascii="Arial"/>
          <w:color w:val="auto"/>
          <w:sz w:val="21"/>
          <w:highlight w:val="none"/>
        </w:rPr>
      </w:pPr>
    </w:p>
    <w:p w14:paraId="23DD77E2">
      <w:pPr>
        <w:shd w:val="clear"/>
        <w:spacing w:line="243" w:lineRule="auto"/>
        <w:rPr>
          <w:rFonts w:ascii="Arial"/>
          <w:color w:val="auto"/>
          <w:sz w:val="21"/>
          <w:highlight w:val="none"/>
        </w:rPr>
      </w:pPr>
    </w:p>
    <w:p w14:paraId="5A229655">
      <w:pPr>
        <w:shd w:val="clear"/>
        <w:spacing w:before="102" w:line="226" w:lineRule="auto"/>
        <w:ind w:left="3601"/>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4A552CAE">
      <w:pPr>
        <w:shd w:val="clear"/>
        <w:spacing w:line="226" w:lineRule="auto"/>
        <w:rPr>
          <w:rFonts w:ascii="宋体" w:hAnsi="宋体" w:eastAsia="宋体" w:cs="宋体"/>
          <w:color w:val="auto"/>
          <w:sz w:val="31"/>
          <w:szCs w:val="31"/>
          <w:highlight w:val="none"/>
        </w:rPr>
        <w:sectPr>
          <w:headerReference r:id="rId6" w:type="default"/>
          <w:footerReference r:id="rId7" w:type="default"/>
          <w:pgSz w:w="11907" w:h="16839"/>
          <w:pgMar w:top="1417" w:right="1417" w:bottom="1417" w:left="1417" w:header="0" w:footer="856" w:gutter="0"/>
          <w:pgBorders>
            <w:top w:val="none" w:sz="0" w:space="0"/>
            <w:left w:val="none" w:sz="0" w:space="0"/>
            <w:bottom w:val="none" w:sz="0" w:space="0"/>
            <w:right w:val="none" w:sz="0" w:space="0"/>
          </w:pgBorders>
          <w:pgNumType w:fmt="decimal" w:start="1"/>
          <w:cols w:space="720" w:num="1"/>
          <w:rtlGutter w:val="0"/>
        </w:sectPr>
      </w:pPr>
    </w:p>
    <w:p w14:paraId="0FC0033D">
      <w:pPr>
        <w:keepNext w:val="0"/>
        <w:keepLines w:val="0"/>
        <w:widowControl/>
        <w:suppressLineNumbers w:val="0"/>
        <w:shd w:val="clear"/>
        <w:jc w:val="left"/>
        <w:rPr>
          <w:rFonts w:hint="eastAsia" w:ascii="宋体" w:hAnsi="宋体" w:eastAsia="宋体" w:cs="宋体"/>
          <w:b/>
          <w:bCs/>
          <w:color w:val="auto"/>
          <w:sz w:val="30"/>
          <w:szCs w:val="30"/>
          <w:highlight w:val="none"/>
          <w:lang w:bidi="ar"/>
        </w:rPr>
      </w:pPr>
      <w:r>
        <w:rPr>
          <w:rFonts w:ascii="宋体" w:hAnsi="宋体" w:eastAsia="宋体" w:cs="宋体"/>
          <w:color w:val="auto"/>
          <w:spacing w:val="2"/>
          <w:sz w:val="21"/>
          <w:szCs w:val="21"/>
          <w:highlight w:val="none"/>
          <w:u w:val="none"/>
        </w:rPr>
        <w:t xml:space="preserve">   </w:t>
      </w:r>
      <w:r>
        <w:rPr>
          <w:rFonts w:hint="eastAsia" w:ascii="宋体" w:hAnsi="宋体" w:eastAsia="宋体" w:cs="宋体"/>
          <w:b/>
          <w:bCs/>
          <w:color w:val="auto"/>
          <w:kern w:val="0"/>
          <w:sz w:val="30"/>
          <w:szCs w:val="30"/>
          <w:highlight w:val="none"/>
          <w:lang w:val="en-US" w:eastAsia="zh-CN" w:bidi="ar"/>
        </w:rPr>
        <w:t xml:space="preserve">2.报价文件目录 </w:t>
      </w:r>
    </w:p>
    <w:p w14:paraId="4B8DB747">
      <w:pPr>
        <w:keepNext w:val="0"/>
        <w:keepLines w:val="0"/>
        <w:widowControl/>
        <w:suppressLineNumbers w:val="0"/>
        <w:shd w:val="clear"/>
        <w:jc w:val="left"/>
        <w:rPr>
          <w:rFonts w:hint="eastAsia" w:ascii="宋体" w:hAnsi="宋体" w:eastAsia="宋体" w:cs="宋体"/>
          <w:color w:val="auto"/>
          <w:kern w:val="0"/>
          <w:sz w:val="31"/>
          <w:szCs w:val="31"/>
          <w:highlight w:val="none"/>
          <w:lang w:val="en-US" w:eastAsia="zh-CN" w:bidi="ar"/>
        </w:rPr>
      </w:pPr>
    </w:p>
    <w:p w14:paraId="5B77A45E">
      <w:pPr>
        <w:keepNext w:val="0"/>
        <w:keepLines w:val="0"/>
        <w:widowControl/>
        <w:suppressLineNumbers w:val="0"/>
        <w:shd w:val="clear"/>
        <w:jc w:val="left"/>
        <w:rPr>
          <w:rFonts w:hint="eastAsia" w:ascii="宋体" w:hAnsi="宋体" w:eastAsia="宋体" w:cs="宋体"/>
          <w:color w:val="auto"/>
          <w:kern w:val="0"/>
          <w:sz w:val="31"/>
          <w:szCs w:val="31"/>
          <w:highlight w:val="none"/>
          <w:lang w:val="en-US" w:eastAsia="zh-CN" w:bidi="ar"/>
        </w:rPr>
      </w:pPr>
    </w:p>
    <w:p w14:paraId="53440D17">
      <w:pPr>
        <w:keepNext w:val="0"/>
        <w:keepLines w:val="0"/>
        <w:widowControl/>
        <w:suppressLineNumbers w:val="0"/>
        <w:shd w:val="clear"/>
        <w:spacing w:line="360" w:lineRule="auto"/>
        <w:ind w:firstLine="0" w:firstLineChars="0"/>
        <w:jc w:val="left"/>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根据磋商文件规定及供应商提供的材料自行编写目录（部分格式后附）。</w:t>
      </w:r>
    </w:p>
    <w:p w14:paraId="3211D732">
      <w:pPr>
        <w:numPr>
          <w:ilvl w:val="0"/>
          <w:numId w:val="0"/>
        </w:numPr>
        <w:shd w:val="clear"/>
        <w:spacing w:before="183" w:line="360" w:lineRule="auto"/>
        <w:ind w:left="0" w:right="2" w:firstLine="0"/>
        <w:rPr>
          <w:rFonts w:ascii="宋体" w:hAnsi="宋体" w:eastAsia="宋体" w:cs="宋体"/>
          <w:color w:val="auto"/>
          <w:spacing w:val="2"/>
          <w:sz w:val="21"/>
          <w:szCs w:val="21"/>
          <w:highlight w:val="none"/>
        </w:rPr>
        <w:sectPr>
          <w:footerReference r:id="rId8" w:type="default"/>
          <w:pgSz w:w="11907" w:h="16839"/>
          <w:pgMar w:top="1417" w:right="1417" w:bottom="1417" w:left="1417" w:header="1134" w:footer="1134" w:gutter="0"/>
          <w:pgBorders>
            <w:top w:val="none" w:sz="0" w:space="0"/>
            <w:left w:val="none" w:sz="0" w:space="0"/>
            <w:bottom w:val="none" w:sz="0" w:space="0"/>
            <w:right w:val="none" w:sz="0" w:space="0"/>
          </w:pgBorders>
          <w:pgNumType w:fmt="decimal"/>
          <w:cols w:space="720" w:num="1"/>
          <w:rtlGutter w:val="0"/>
        </w:sectPr>
      </w:pPr>
    </w:p>
    <w:p w14:paraId="5BC2C67E">
      <w:pPr>
        <w:shd w:val="clear"/>
        <w:spacing w:line="292" w:lineRule="auto"/>
        <w:rPr>
          <w:rFonts w:ascii="Arial"/>
          <w:color w:val="auto"/>
          <w:sz w:val="21"/>
          <w:highlight w:val="none"/>
        </w:rPr>
      </w:pPr>
    </w:p>
    <w:p w14:paraId="463BF7D1">
      <w:pPr>
        <w:pStyle w:val="32"/>
        <w:shd w:val="clear"/>
        <w:jc w:val="both"/>
        <w:rPr>
          <w:b/>
          <w:color w:val="auto"/>
          <w:sz w:val="32"/>
          <w:highlight w:val="none"/>
        </w:rPr>
      </w:pPr>
      <w:r>
        <w:rPr>
          <w:rFonts w:hint="eastAsia" w:ascii="宋体" w:hAnsi="宋体" w:cs="宋体"/>
          <w:b/>
          <w:color w:val="auto"/>
          <w:sz w:val="24"/>
          <w:highlight w:val="none"/>
          <w:lang w:val="en-US" w:eastAsia="zh-CN"/>
        </w:rPr>
        <w:t xml:space="preserve">                            </w:t>
      </w:r>
      <w:r>
        <w:rPr>
          <w:rFonts w:hint="eastAsia" w:ascii="宋体" w:eastAsia="宋体" w:cs="Times New Roman"/>
          <w:b/>
          <w:color w:val="auto"/>
          <w:sz w:val="32"/>
          <w:highlight w:val="none"/>
          <w:lang w:val="en-US" w:eastAsia="zh-CN"/>
        </w:rPr>
        <w:t xml:space="preserve">竞 标 </w:t>
      </w:r>
      <w:r>
        <w:rPr>
          <w:rFonts w:ascii="宋体" w:eastAsia="宋体" w:cs="Times New Roman"/>
          <w:b/>
          <w:color w:val="auto"/>
          <w:sz w:val="32"/>
          <w:highlight w:val="none"/>
        </w:rPr>
        <w:t>报</w:t>
      </w:r>
      <w:r>
        <w:rPr>
          <w:rFonts w:hint="eastAsia" w:ascii="宋体" w:eastAsia="宋体" w:cs="Times New Roman"/>
          <w:b/>
          <w:color w:val="auto"/>
          <w:sz w:val="32"/>
          <w:highlight w:val="none"/>
          <w:lang w:val="en-US" w:eastAsia="zh-CN"/>
        </w:rPr>
        <w:t xml:space="preserve"> </w:t>
      </w:r>
      <w:r>
        <w:rPr>
          <w:b/>
          <w:color w:val="auto"/>
          <w:sz w:val="32"/>
          <w:highlight w:val="none"/>
        </w:rPr>
        <w:t>价</w:t>
      </w:r>
      <w:r>
        <w:rPr>
          <w:rFonts w:hint="eastAsia"/>
          <w:b/>
          <w:color w:val="auto"/>
          <w:sz w:val="32"/>
          <w:highlight w:val="none"/>
          <w:lang w:val="en-US" w:eastAsia="zh-CN"/>
        </w:rPr>
        <w:t xml:space="preserve"> </w:t>
      </w:r>
      <w:r>
        <w:rPr>
          <w:b/>
          <w:color w:val="auto"/>
          <w:sz w:val="32"/>
          <w:highlight w:val="none"/>
        </w:rPr>
        <w:t>表</w:t>
      </w:r>
      <w:r>
        <w:rPr>
          <w:rFonts w:ascii="宋体" w:hAnsi="宋体" w:cs="宋体"/>
          <w:b/>
          <w:color w:val="auto"/>
          <w:spacing w:val="5"/>
          <w:kern w:val="1"/>
          <w:sz w:val="32"/>
          <w:szCs w:val="32"/>
          <w:highlight w:val="none"/>
        </w:rPr>
        <w:t>（格式）</w:t>
      </w:r>
    </w:p>
    <w:p w14:paraId="067A8602">
      <w:pPr>
        <w:shd w:val="clear"/>
        <w:spacing w:line="500" w:lineRule="exact"/>
        <w:rPr>
          <w:rFonts w:ascii="宋体" w:hAnsi="宋体" w:cs="宋体"/>
          <w:color w:val="auto"/>
          <w:kern w:val="1"/>
          <w:sz w:val="24"/>
          <w:szCs w:val="24"/>
          <w:highlight w:val="none"/>
        </w:rPr>
      </w:pPr>
    </w:p>
    <w:p w14:paraId="1AC5DA70">
      <w:pPr>
        <w:shd w:val="clea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5F8E54B8">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224FFF7A">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p>
    <w:tbl>
      <w:tblPr>
        <w:tblStyle w:val="61"/>
        <w:tblW w:w="8934" w:type="dxa"/>
        <w:jc w:val="center"/>
        <w:tblLayout w:type="fixed"/>
        <w:tblCellMar>
          <w:top w:w="0" w:type="dxa"/>
          <w:left w:w="108" w:type="dxa"/>
          <w:bottom w:w="0" w:type="dxa"/>
          <w:right w:w="108" w:type="dxa"/>
        </w:tblCellMar>
      </w:tblPr>
      <w:tblGrid>
        <w:gridCol w:w="795"/>
        <w:gridCol w:w="2619"/>
        <w:gridCol w:w="1601"/>
        <w:gridCol w:w="1210"/>
        <w:gridCol w:w="1550"/>
        <w:gridCol w:w="1159"/>
      </w:tblGrid>
      <w:tr w14:paraId="6629FC88">
        <w:tblPrEx>
          <w:tblCellMar>
            <w:top w:w="0" w:type="dxa"/>
            <w:left w:w="108" w:type="dxa"/>
            <w:bottom w:w="0" w:type="dxa"/>
            <w:right w:w="108" w:type="dxa"/>
          </w:tblCellMar>
        </w:tblPrEx>
        <w:trPr>
          <w:trHeight w:val="1115"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5B5AA61D">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619" w:type="dxa"/>
            <w:tcBorders>
              <w:top w:val="single" w:color="000000" w:sz="8" w:space="0"/>
              <w:left w:val="nil"/>
              <w:bottom w:val="single" w:color="000000" w:sz="8" w:space="0"/>
              <w:right w:val="single" w:color="000000" w:sz="8" w:space="0"/>
            </w:tcBorders>
            <w:noWrap w:val="0"/>
            <w:vAlign w:val="center"/>
          </w:tcPr>
          <w:p w14:paraId="146F0D02">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5BA05CA8">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14D9BCE0">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53C1319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4F1EA3DB">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3C7DED88">
        <w:tblPrEx>
          <w:tblCellMar>
            <w:top w:w="0" w:type="dxa"/>
            <w:left w:w="108" w:type="dxa"/>
            <w:bottom w:w="0" w:type="dxa"/>
            <w:right w:w="108" w:type="dxa"/>
          </w:tblCellMar>
        </w:tblPrEx>
        <w:trPr>
          <w:trHeight w:val="724"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40DD6D18">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619" w:type="dxa"/>
            <w:tcBorders>
              <w:top w:val="single" w:color="000000" w:sz="8" w:space="0"/>
              <w:left w:val="nil"/>
              <w:bottom w:val="single" w:color="000000" w:sz="8" w:space="0"/>
              <w:right w:val="single" w:color="auto" w:sz="4" w:space="0"/>
            </w:tcBorders>
            <w:noWrap w:val="0"/>
            <w:vAlign w:val="center"/>
          </w:tcPr>
          <w:p w14:paraId="4939F64F">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B29D5CA">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1BD3CDE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4A438A6E">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74E608C1">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75CC9F73">
        <w:tblPrEx>
          <w:tblCellMar>
            <w:top w:w="0" w:type="dxa"/>
            <w:left w:w="108" w:type="dxa"/>
            <w:bottom w:w="0" w:type="dxa"/>
            <w:right w:w="108" w:type="dxa"/>
          </w:tblCellMar>
        </w:tblPrEx>
        <w:trPr>
          <w:trHeight w:val="859"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47F1336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7125DBE3">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02932650">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6FE2B751">
      <w:pPr>
        <w:shd w:val="clear"/>
        <w:spacing w:line="500" w:lineRule="exact"/>
        <w:rPr>
          <w:rFonts w:ascii="宋体" w:hAnsi="宋体" w:cs="宋体"/>
          <w:color w:val="auto"/>
          <w:kern w:val="1"/>
          <w:sz w:val="24"/>
          <w:szCs w:val="24"/>
          <w:highlight w:val="none"/>
        </w:rPr>
      </w:pPr>
    </w:p>
    <w:p w14:paraId="61C3DF95">
      <w:pPr>
        <w:pStyle w:val="23"/>
        <w:shd w:val="clear"/>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注：</w:t>
      </w:r>
    </w:p>
    <w:p w14:paraId="0169C056">
      <w:pPr>
        <w:pStyle w:val="23"/>
        <w:shd w:val="clear"/>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1.供应商的报价表必须加盖供应商公章并由法定代表人或者委托代理人签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7B4CFF7A">
      <w:pPr>
        <w:pStyle w:val="23"/>
        <w:shd w:val="clear"/>
        <w:ind w:firstLine="482" w:firstLineChars="200"/>
        <w:rPr>
          <w:rFonts w:hint="eastAsia" w:eastAsia="宋体"/>
          <w:color w:val="auto"/>
          <w:highlight w:val="none"/>
          <w:lang w:eastAsia="zh-CN"/>
        </w:rPr>
      </w:pPr>
      <w:r>
        <w:rPr>
          <w:rFonts w:hint="eastAsia" w:ascii="宋体" w:hAnsi="宋体" w:cs="宋体"/>
          <w:b/>
          <w:color w:val="auto"/>
          <w:kern w:val="1"/>
          <w:sz w:val="24"/>
          <w:szCs w:val="24"/>
          <w:highlight w:val="none"/>
        </w:rPr>
        <w:t>2.报价一经涂改，应在涂改处加盖供应商公章或者由法定代表人或者委托代理人签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07C96B2F">
      <w:pPr>
        <w:shd w:val="clear"/>
        <w:tabs>
          <w:tab w:val="left" w:pos="1418"/>
        </w:tabs>
        <w:spacing w:before="50" w:after="50" w:line="360" w:lineRule="exact"/>
        <w:ind w:firstLine="502"/>
        <w:jc w:val="left"/>
        <w:rPr>
          <w:rFonts w:ascii="宋体" w:hAnsi="宋体" w:cs="宋体"/>
          <w:b/>
          <w:color w:val="auto"/>
          <w:spacing w:val="17"/>
          <w:kern w:val="1"/>
          <w:sz w:val="24"/>
          <w:szCs w:val="24"/>
          <w:highlight w:val="none"/>
        </w:rPr>
      </w:pPr>
    </w:p>
    <w:p w14:paraId="61DAB910">
      <w:pPr>
        <w:shd w:val="clea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法定代表人（负责人）或委托代理人</w:t>
      </w:r>
      <w:r>
        <w:rPr>
          <w:rFonts w:hint="eastAsia" w:ascii="宋体" w:hAnsi="宋体"/>
          <w:b/>
          <w:bCs/>
          <w:color w:val="auto"/>
          <w:kern w:val="2"/>
          <w:sz w:val="24"/>
          <w:szCs w:val="24"/>
          <w:highlight w:val="none"/>
        </w:rPr>
        <w:t>（</w:t>
      </w:r>
      <w:r>
        <w:rPr>
          <w:rFonts w:hint="eastAsia" w:ascii="宋体" w:hAnsi="宋体"/>
          <w:color w:val="auto"/>
          <w:sz w:val="24"/>
          <w:highlight w:val="none"/>
        </w:rPr>
        <w:t>签字或者盖章或者电子签名</w:t>
      </w:r>
      <w:r>
        <w:rPr>
          <w:rFonts w:hint="eastAsia" w:ascii="宋体" w:hAnsi="宋体"/>
          <w:b/>
          <w:bCs/>
          <w:color w:val="auto"/>
          <w:kern w:val="2"/>
          <w:sz w:val="24"/>
          <w:szCs w:val="24"/>
          <w:highlight w:val="none"/>
        </w:rPr>
        <w:t>）</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1C89C5DF">
      <w:pPr>
        <w:shd w:val="clea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磋商供应商名称</w:t>
      </w:r>
      <w:r>
        <w:rPr>
          <w:rFonts w:ascii="宋体" w:hAnsi="宋体" w:cs="Courier New"/>
          <w:b w:val="0"/>
          <w:bCs w:val="0"/>
          <w:color w:val="auto"/>
          <w:kern w:val="1"/>
          <w:sz w:val="24"/>
          <w:szCs w:val="24"/>
          <w:highlight w:val="none"/>
        </w:rPr>
        <w:t>（</w:t>
      </w:r>
      <w:r>
        <w:rPr>
          <w:rFonts w:hint="eastAsia" w:ascii="宋体" w:hAnsi="宋体" w:cs="宋体"/>
          <w:b w:val="0"/>
          <w:bCs w:val="0"/>
          <w:color w:val="auto"/>
          <w:sz w:val="24"/>
          <w:szCs w:val="24"/>
          <w:highlight w:val="none"/>
          <w:lang w:eastAsia="zh-CN"/>
        </w:rPr>
        <w:t>盖公章</w:t>
      </w:r>
      <w:r>
        <w:rPr>
          <w:rFonts w:ascii="宋体" w:hAnsi="宋体" w:cs="Courier New"/>
          <w:b w:val="0"/>
          <w:bCs w:val="0"/>
          <w:color w:val="auto"/>
          <w:kern w:val="1"/>
          <w:sz w:val="24"/>
          <w:szCs w:val="24"/>
          <w:highlight w:val="none"/>
        </w:rPr>
        <w:t>）</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3CD48DE1">
      <w:pPr>
        <w:shd w:val="clear"/>
        <w:spacing w:line="500"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报价时间：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4BB7A3AF">
      <w:pPr>
        <w:rPr>
          <w:rFonts w:ascii="宋体" w:hAnsi="宋体" w:cs="宋体"/>
          <w:color w:val="auto"/>
          <w:kern w:val="1"/>
          <w:sz w:val="24"/>
          <w:szCs w:val="24"/>
          <w:highlight w:val="none"/>
        </w:rPr>
      </w:pPr>
      <w:r>
        <w:rPr>
          <w:rFonts w:ascii="宋体" w:hAnsi="宋体" w:cs="宋体"/>
          <w:color w:val="auto"/>
          <w:kern w:val="1"/>
          <w:sz w:val="24"/>
          <w:szCs w:val="24"/>
          <w:highlight w:val="none"/>
        </w:rPr>
        <w:br w:type="page"/>
      </w:r>
    </w:p>
    <w:p w14:paraId="1E53DB5C">
      <w:pPr>
        <w:widowControl/>
        <w:shd w:val="clear"/>
        <w:spacing w:after="262" w:line="380" w:lineRule="exact"/>
        <w:ind w:firstLine="562"/>
        <w:jc w:val="center"/>
        <w:rPr>
          <w:b/>
          <w:color w:val="auto"/>
          <w:kern w:val="1"/>
          <w:sz w:val="28"/>
          <w:szCs w:val="28"/>
          <w:highlight w:val="none"/>
        </w:rPr>
      </w:pPr>
      <w:r>
        <w:rPr>
          <w:rFonts w:hint="eastAsia"/>
          <w:b/>
          <w:color w:val="auto"/>
          <w:kern w:val="1"/>
          <w:sz w:val="28"/>
          <w:szCs w:val="28"/>
          <w:highlight w:val="none"/>
        </w:rPr>
        <w:t>中小企业声明函（服务）</w:t>
      </w:r>
    </w:p>
    <w:p w14:paraId="6E7B9782">
      <w:pPr>
        <w:widowControl/>
        <w:shd w:val="clea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本公司（联合体）郑重声明，根据《政府采购促进中小企业发展管理办法》(财库〔2020〕46号)的规定，本公司（联合体）参加</w:t>
      </w:r>
      <w:r>
        <w:rPr>
          <w:rFonts w:hint="eastAsia" w:ascii="宋体" w:hAnsi="宋体" w:cs="宋体"/>
          <w:color w:val="auto"/>
          <w:kern w:val="1"/>
          <w:sz w:val="24"/>
          <w:szCs w:val="24"/>
          <w:highlight w:val="none"/>
          <w:u w:val="single"/>
        </w:rPr>
        <w:t>（单位名称）</w:t>
      </w:r>
      <w:r>
        <w:rPr>
          <w:rFonts w:hint="eastAsia" w:ascii="宋体" w:hAnsi="宋体" w:cs="宋体"/>
          <w:color w:val="auto"/>
          <w:kern w:val="1"/>
          <w:sz w:val="24"/>
          <w:szCs w:val="24"/>
          <w:highlight w:val="none"/>
        </w:rPr>
        <w:t>的</w:t>
      </w:r>
      <w:r>
        <w:rPr>
          <w:rFonts w:hint="eastAsia" w:ascii="宋体" w:hAnsi="宋体" w:cs="宋体"/>
          <w:color w:val="auto"/>
          <w:kern w:val="1"/>
          <w:sz w:val="24"/>
          <w:szCs w:val="24"/>
          <w:highlight w:val="none"/>
          <w:u w:val="single"/>
        </w:rPr>
        <w:t>（项目名称）</w:t>
      </w:r>
      <w:r>
        <w:rPr>
          <w:rFonts w:hint="eastAsia" w:ascii="宋体" w:hAnsi="宋体" w:cs="宋体"/>
          <w:color w:val="auto"/>
          <w:kern w:val="1"/>
          <w:sz w:val="24"/>
          <w:szCs w:val="24"/>
          <w:highlight w:val="none"/>
        </w:rPr>
        <w:t>采购活动，服务全部由符合政策要求的中小企业承接。相关企业（含联合体中的中小企业、签订分包意向协议的中小企业）的具体情况如下：</w:t>
      </w:r>
    </w:p>
    <w:p w14:paraId="704611A3">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人，营业收入为_________万元，资产总额为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07EB6393">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2.</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i/>
          <w:color w:val="auto"/>
          <w:kern w:val="1"/>
          <w:sz w:val="24"/>
          <w:szCs w:val="24"/>
          <w:highlight w:val="none"/>
          <w:u w:val="single"/>
        </w:rPr>
        <w:t>(</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3195A77E">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w:t>
      </w:r>
    </w:p>
    <w:p w14:paraId="5CC077AF">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以上企业，不属于大企业的分支机构，不存在控股股东为大企业的情形，也不存在与大企业的负责人为同一人的情形。</w:t>
      </w:r>
    </w:p>
    <w:p w14:paraId="55CF6F3A">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本企业对上述声明内容的真实性负责。如有虚假，将依法承担相应责任。</w:t>
      </w:r>
    </w:p>
    <w:p w14:paraId="650C98A2">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r>
        <w:rPr>
          <w:rFonts w:ascii="宋体" w:hAnsi="宋体" w:eastAsia="宋体" w:cs="宋体"/>
          <w:color w:val="auto"/>
          <w:spacing w:val="-9"/>
          <w:sz w:val="24"/>
          <w:szCs w:val="24"/>
          <w:highlight w:val="none"/>
        </w:rPr>
        <w:t>供应商（</w:t>
      </w:r>
      <w:r>
        <w:rPr>
          <w:rFonts w:hint="eastAsia" w:ascii="宋体" w:hAnsi="宋体" w:eastAsia="宋体" w:cs="宋体"/>
          <w:color w:val="auto"/>
          <w:spacing w:val="-9"/>
          <w:sz w:val="24"/>
          <w:szCs w:val="24"/>
          <w:highlight w:val="none"/>
          <w:lang w:val="en-US" w:eastAsia="zh-CN"/>
        </w:rPr>
        <w:t>盖</w:t>
      </w:r>
      <w:r>
        <w:rPr>
          <w:rFonts w:hint="eastAsia" w:ascii="宋体" w:hAnsi="宋体" w:eastAsia="宋体" w:cs="宋体"/>
          <w:color w:val="auto"/>
          <w:spacing w:val="-9"/>
          <w:sz w:val="24"/>
          <w:szCs w:val="24"/>
          <w:highlight w:val="none"/>
        </w:rPr>
        <w:t>公章</w:t>
      </w:r>
      <w:r>
        <w:rPr>
          <w:rFonts w:ascii="宋体" w:hAnsi="宋体" w:eastAsia="宋体" w:cs="宋体"/>
          <w:color w:val="auto"/>
          <w:spacing w:val="-10"/>
          <w:sz w:val="24"/>
          <w:szCs w:val="24"/>
          <w:highlight w:val="none"/>
        </w:rPr>
        <w:t>）</w:t>
      </w:r>
      <w:r>
        <w:rPr>
          <w:rFonts w:ascii="宋体" w:hAnsi="宋体" w:eastAsia="宋体" w:cs="宋体"/>
          <w:color w:val="auto"/>
          <w:spacing w:val="-20"/>
          <w:sz w:val="24"/>
          <w:szCs w:val="24"/>
          <w:highlight w:val="none"/>
        </w:rPr>
        <w:t xml:space="preserve"> </w:t>
      </w:r>
      <w:r>
        <w:rPr>
          <w:rFonts w:ascii="宋体" w:hAnsi="宋体" w:cs="宋体"/>
          <w:color w:val="auto"/>
          <w:kern w:val="1"/>
          <w:sz w:val="24"/>
          <w:szCs w:val="24"/>
          <w:highlight w:val="none"/>
        </w:rPr>
        <w:t>：</w:t>
      </w:r>
    </w:p>
    <w:p w14:paraId="590A55BA">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7F7FD6BA">
      <w:pPr>
        <w:widowControl/>
        <w:shd w:val="clear"/>
        <w:spacing w:line="360" w:lineRule="auto"/>
        <w:ind w:firstLine="420"/>
        <w:rPr>
          <w:rFonts w:ascii="宋体" w:hAnsi="宋体" w:cs="宋体"/>
          <w:color w:val="auto"/>
          <w:kern w:val="1"/>
          <w:sz w:val="24"/>
          <w:szCs w:val="24"/>
          <w:highlight w:val="none"/>
        </w:rPr>
      </w:pPr>
    </w:p>
    <w:p w14:paraId="7CE04142">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填写注意事项：</w:t>
      </w:r>
    </w:p>
    <w:p w14:paraId="206E195F">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（1）从业人员、营业收入、资产总额填报上一年度数据，无上一年度数据的新成立企业可不填报。</w:t>
      </w:r>
    </w:p>
    <w:p w14:paraId="7C4FAC50">
      <w:pPr>
        <w:widowControl/>
        <w:shd w:val="clear"/>
        <w:spacing w:line="360" w:lineRule="auto"/>
        <w:ind w:firstLine="420"/>
        <w:rPr>
          <w:rFonts w:ascii="宋体" w:hAnsi="宋体" w:cs="宋体"/>
          <w:color w:val="auto"/>
          <w:kern w:val="1"/>
          <w:sz w:val="24"/>
          <w:szCs w:val="24"/>
          <w:highlight w:val="none"/>
          <w:shd w:val="clear" w:color="auto" w:fill="FFFFFF"/>
        </w:rPr>
      </w:pPr>
      <w:r>
        <w:rPr>
          <w:rFonts w:ascii="宋体" w:hAnsi="宋体" w:cs="宋体"/>
          <w:color w:val="auto"/>
          <w:kern w:val="1"/>
          <w:sz w:val="24"/>
          <w:szCs w:val="24"/>
          <w:highlight w:val="none"/>
          <w:shd w:val="clear" w:color="auto" w:fill="FFFFFF"/>
        </w:rPr>
        <w:t>（2）供应商按照本办法规定提供声明函内容不实的，属于提供虚假材料谋取中标、成交，依照《中华人民共和国政府采购法》等国家有关规定追究相应责任。</w:t>
      </w:r>
    </w:p>
    <w:p w14:paraId="0832A2D8">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shd w:val="clear" w:color="auto" w:fill="FFFFFF"/>
        </w:rPr>
        <w:t>（3）政府采购监督检查、投诉处理及政府采购行政处罚中对中小企业的认定，由货物制造商或者工程、服务供应商注册登记所在地的县级以上人民政府中小企业主管部门负责。</w:t>
      </w:r>
    </w:p>
    <w:p w14:paraId="17FF358A">
      <w:pPr>
        <w:shd w:val="clear"/>
        <w:spacing w:line="360" w:lineRule="exact"/>
        <w:ind w:firstLine="6720"/>
        <w:rPr>
          <w:rFonts w:ascii="宋体" w:hAnsi="宋体" w:cs="Courier New"/>
          <w:color w:val="auto"/>
          <w:kern w:val="1"/>
          <w:szCs w:val="21"/>
          <w:highlight w:val="none"/>
        </w:rPr>
      </w:pPr>
    </w:p>
    <w:p w14:paraId="1CCB719E">
      <w:pPr>
        <w:shd w:val="clear"/>
        <w:spacing w:line="360" w:lineRule="exact"/>
        <w:ind w:firstLine="6720"/>
        <w:rPr>
          <w:rFonts w:ascii="宋体" w:hAnsi="宋体" w:cs="Courier New"/>
          <w:color w:val="auto"/>
          <w:kern w:val="1"/>
          <w:szCs w:val="21"/>
          <w:highlight w:val="none"/>
        </w:rPr>
      </w:pPr>
    </w:p>
    <w:p w14:paraId="1A72856E">
      <w:pPr>
        <w:shd w:val="clear"/>
        <w:spacing w:line="360" w:lineRule="exact"/>
        <w:ind w:firstLine="6720"/>
        <w:rPr>
          <w:rFonts w:ascii="宋体" w:hAnsi="宋体" w:cs="Courier New"/>
          <w:color w:val="auto"/>
          <w:kern w:val="1"/>
          <w:szCs w:val="21"/>
          <w:highlight w:val="none"/>
        </w:rPr>
      </w:pPr>
    </w:p>
    <w:p w14:paraId="6AD03B06">
      <w:pPr>
        <w:shd w:val="clear"/>
        <w:spacing w:line="360" w:lineRule="exact"/>
        <w:ind w:firstLine="6720"/>
        <w:rPr>
          <w:rFonts w:ascii="宋体" w:hAnsi="宋体" w:cs="Courier New"/>
          <w:color w:val="auto"/>
          <w:kern w:val="1"/>
          <w:szCs w:val="21"/>
          <w:highlight w:val="none"/>
        </w:rPr>
      </w:pPr>
    </w:p>
    <w:p w14:paraId="6EF07BF3">
      <w:pPr>
        <w:shd w:val="clear"/>
        <w:spacing w:line="380" w:lineRule="exact"/>
        <w:jc w:val="center"/>
        <w:rPr>
          <w:rFonts w:hint="eastAsia"/>
          <w:b/>
          <w:bCs/>
          <w:color w:val="auto"/>
          <w:kern w:val="0"/>
          <w:sz w:val="32"/>
          <w:szCs w:val="32"/>
          <w:highlight w:val="none"/>
        </w:rPr>
      </w:pPr>
      <w:r>
        <w:rPr>
          <w:rFonts w:hint="eastAsia"/>
          <w:b/>
          <w:bCs/>
          <w:color w:val="auto"/>
          <w:kern w:val="0"/>
          <w:sz w:val="32"/>
          <w:szCs w:val="32"/>
          <w:highlight w:val="none"/>
        </w:rPr>
        <w:t>残疾人福利性单位声明函</w:t>
      </w:r>
    </w:p>
    <w:p w14:paraId="407D32C3">
      <w:pPr>
        <w:shd w:val="clear"/>
        <w:spacing w:line="588" w:lineRule="exact"/>
        <w:rPr>
          <w:rFonts w:ascii="宋体" w:hAnsi="宋体" w:cs="宋体"/>
          <w:color w:val="auto"/>
          <w:kern w:val="1"/>
          <w:szCs w:val="21"/>
          <w:highlight w:val="none"/>
        </w:rPr>
      </w:pPr>
    </w:p>
    <w:p w14:paraId="07FD3711">
      <w:pPr>
        <w:shd w:val="clea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5963E07">
      <w:pPr>
        <w:shd w:val="clea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本单位对上述声明的真实性负责。如有虚假，将依法承担相应责任。</w:t>
      </w:r>
    </w:p>
    <w:p w14:paraId="2D3295DB">
      <w:pPr>
        <w:shd w:val="clear"/>
        <w:spacing w:line="588" w:lineRule="exact"/>
        <w:ind w:firstLine="420"/>
        <w:rPr>
          <w:rFonts w:ascii="宋体" w:hAnsi="宋体" w:cs="宋体"/>
          <w:color w:val="auto"/>
          <w:kern w:val="1"/>
          <w:sz w:val="24"/>
          <w:szCs w:val="24"/>
          <w:highlight w:val="none"/>
        </w:rPr>
      </w:pPr>
    </w:p>
    <w:p w14:paraId="1693AF7B">
      <w:pPr>
        <w:shd w:val="clear"/>
        <w:spacing w:line="588" w:lineRule="exact"/>
        <w:ind w:firstLine="420"/>
        <w:rPr>
          <w:rFonts w:ascii="宋体" w:hAnsi="宋体" w:cs="宋体"/>
          <w:color w:val="auto"/>
          <w:kern w:val="1"/>
          <w:sz w:val="24"/>
          <w:szCs w:val="24"/>
          <w:highlight w:val="none"/>
        </w:rPr>
      </w:pPr>
    </w:p>
    <w:p w14:paraId="5F4849E2">
      <w:pPr>
        <w:shd w:val="clear"/>
        <w:tabs>
          <w:tab w:val="left" w:pos="4860"/>
        </w:tabs>
        <w:spacing w:line="588" w:lineRule="exact"/>
        <w:ind w:right="1560" w:firstLine="4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 xml:space="preserve">                                   </w:t>
      </w:r>
      <w:r>
        <w:rPr>
          <w:rFonts w:ascii="宋体" w:hAnsi="宋体" w:cs="宋体"/>
          <w:color w:val="auto"/>
          <w:kern w:val="1"/>
          <w:sz w:val="24"/>
          <w:szCs w:val="24"/>
          <w:highlight w:val="none"/>
        </w:rPr>
        <w:t xml:space="preserve">   单位名称（盖章）：</w:t>
      </w:r>
    </w:p>
    <w:p w14:paraId="6FB08BA7">
      <w:pPr>
        <w:widowControl/>
        <w:shd w:val="clear"/>
        <w:spacing w:before="100" w:beforeAutospacing="1" w:after="100" w:afterAutospacing="1" w:line="346" w:lineRule="atLeast"/>
        <w:jc w:val="lef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63ED4530">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说明：符合条件的残疾人福利性单位在参加政府采购活动时，应当提供本通知规定的《残疾人福利性单位声明函》，并对声明的真实性负责。</w:t>
      </w:r>
    </w:p>
    <w:p w14:paraId="3E977DE5">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成交供应商为残疾人福利性单位的，采购人或者其委托的采购代理机构应当随成交结果同时公告其《残疾人福利性单位声明函》，接受社会监督。</w:t>
      </w:r>
    </w:p>
    <w:p w14:paraId="5ABA9841">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供应商提供的《残疾人福利性单位声明函》与事实不符的，依照《政府采购法》第七十七条第一款的规定追究法律责任。</w:t>
      </w:r>
    </w:p>
    <w:p w14:paraId="187E573C">
      <w:pPr>
        <w:shd w:val="clear"/>
        <w:spacing w:line="320" w:lineRule="exact"/>
        <w:rPr>
          <w:rFonts w:ascii="宋体" w:hAnsi="宋体"/>
          <w:b/>
          <w:color w:val="auto"/>
          <w:sz w:val="24"/>
          <w:szCs w:val="24"/>
          <w:highlight w:val="none"/>
        </w:rPr>
      </w:pPr>
      <w:r>
        <w:rPr>
          <w:rFonts w:ascii="宋体" w:hAnsi="宋体"/>
          <w:b/>
          <w:color w:val="auto"/>
          <w:sz w:val="28"/>
          <w:szCs w:val="28"/>
          <w:highlight w:val="none"/>
        </w:rPr>
        <w:br w:type="page"/>
      </w:r>
    </w:p>
    <w:p w14:paraId="06B4D98B">
      <w:pPr>
        <w:shd w:val="clear"/>
        <w:spacing w:before="101" w:line="676" w:lineRule="exact"/>
        <w:ind w:left="0"/>
        <w:rPr>
          <w:rFonts w:ascii="宋体" w:hAnsi="宋体" w:eastAsia="宋体" w:cs="宋体"/>
          <w:color w:val="auto"/>
          <w:sz w:val="31"/>
          <w:szCs w:val="31"/>
          <w:highlight w:val="none"/>
        </w:rPr>
      </w:pPr>
      <w:r>
        <w:rPr>
          <w:rFonts w:ascii="宋体" w:hAnsi="宋体" w:eastAsia="宋体" w:cs="宋体"/>
          <w:color w:val="auto"/>
          <w:spacing w:val="9"/>
          <w:position w:val="27"/>
          <w:sz w:val="31"/>
          <w:szCs w:val="31"/>
          <w:highlight w:val="none"/>
        </w:rPr>
        <w:t>三、商务技术文件格式</w:t>
      </w:r>
    </w:p>
    <w:p w14:paraId="2266530E">
      <w:pPr>
        <w:shd w:val="clear"/>
        <w:spacing w:before="1" w:line="225" w:lineRule="auto"/>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1.商务技术文件封面格式</w:t>
      </w:r>
    </w:p>
    <w:p w14:paraId="0350C46D">
      <w:pPr>
        <w:shd w:val="clear"/>
        <w:spacing w:line="280" w:lineRule="auto"/>
        <w:rPr>
          <w:rFonts w:ascii="Arial"/>
          <w:color w:val="auto"/>
          <w:sz w:val="21"/>
          <w:highlight w:val="none"/>
        </w:rPr>
      </w:pPr>
    </w:p>
    <w:p w14:paraId="6B013B40">
      <w:pPr>
        <w:shd w:val="clear"/>
        <w:spacing w:line="281" w:lineRule="auto"/>
        <w:rPr>
          <w:rFonts w:ascii="Arial"/>
          <w:color w:val="auto"/>
          <w:sz w:val="21"/>
          <w:highlight w:val="none"/>
        </w:rPr>
      </w:pPr>
    </w:p>
    <w:p w14:paraId="167086D4">
      <w:pPr>
        <w:shd w:val="clear"/>
        <w:spacing w:line="281" w:lineRule="auto"/>
        <w:rPr>
          <w:rFonts w:ascii="Arial"/>
          <w:color w:val="auto"/>
          <w:sz w:val="21"/>
          <w:highlight w:val="none"/>
        </w:rPr>
      </w:pPr>
    </w:p>
    <w:p w14:paraId="17CE2F68">
      <w:pPr>
        <w:shd w:val="clear"/>
        <w:spacing w:before="139" w:line="224" w:lineRule="auto"/>
        <w:ind w:left="2888"/>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62344EB1">
      <w:pPr>
        <w:shd w:val="clear"/>
        <w:spacing w:line="265" w:lineRule="auto"/>
        <w:rPr>
          <w:rFonts w:ascii="Arial"/>
          <w:color w:val="auto"/>
          <w:sz w:val="21"/>
          <w:highlight w:val="none"/>
        </w:rPr>
      </w:pPr>
    </w:p>
    <w:p w14:paraId="623360FD">
      <w:pPr>
        <w:shd w:val="clear"/>
        <w:spacing w:line="265" w:lineRule="auto"/>
        <w:rPr>
          <w:rFonts w:ascii="Arial"/>
          <w:color w:val="auto"/>
          <w:sz w:val="21"/>
          <w:highlight w:val="none"/>
        </w:rPr>
      </w:pPr>
    </w:p>
    <w:p w14:paraId="656730B7">
      <w:pPr>
        <w:shd w:val="clear"/>
        <w:spacing w:line="266" w:lineRule="auto"/>
        <w:rPr>
          <w:rFonts w:ascii="Arial"/>
          <w:color w:val="auto"/>
          <w:sz w:val="21"/>
          <w:highlight w:val="none"/>
        </w:rPr>
      </w:pPr>
    </w:p>
    <w:p w14:paraId="6DE5B7DD">
      <w:pPr>
        <w:shd w:val="clear"/>
        <w:spacing w:line="266" w:lineRule="auto"/>
        <w:rPr>
          <w:rFonts w:ascii="Arial"/>
          <w:color w:val="auto"/>
          <w:sz w:val="21"/>
          <w:highlight w:val="none"/>
        </w:rPr>
      </w:pPr>
    </w:p>
    <w:p w14:paraId="57986B08">
      <w:pPr>
        <w:shd w:val="clear"/>
        <w:spacing w:before="188" w:line="185" w:lineRule="auto"/>
        <w:ind w:left="2294"/>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商</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务</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7"/>
          <w:sz w:val="43"/>
          <w:szCs w:val="43"/>
          <w:highlight w:val="none"/>
        </w:rPr>
        <w:t>技</w:t>
      </w:r>
      <w:r>
        <w:rPr>
          <w:rFonts w:ascii="Arial Unicode MS" w:hAnsi="Arial Unicode MS" w:eastAsia="Arial Unicode MS" w:cs="Arial Unicode MS"/>
          <w:color w:val="auto"/>
          <w:spacing w:val="32"/>
          <w:sz w:val="43"/>
          <w:szCs w:val="43"/>
          <w:highlight w:val="none"/>
        </w:rPr>
        <w:t xml:space="preserve">  </w:t>
      </w:r>
      <w:r>
        <w:rPr>
          <w:rFonts w:ascii="Arial Unicode MS" w:hAnsi="Arial Unicode MS" w:eastAsia="Arial Unicode MS" w:cs="Arial Unicode MS"/>
          <w:color w:val="auto"/>
          <w:spacing w:val="-7"/>
          <w:sz w:val="43"/>
          <w:szCs w:val="43"/>
          <w:highlight w:val="none"/>
        </w:rPr>
        <w:t>术   文</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件</w:t>
      </w:r>
    </w:p>
    <w:p w14:paraId="1E7458DF">
      <w:pPr>
        <w:shd w:val="clear"/>
        <w:spacing w:line="242" w:lineRule="auto"/>
        <w:rPr>
          <w:rFonts w:ascii="Arial"/>
          <w:color w:val="auto"/>
          <w:sz w:val="21"/>
          <w:highlight w:val="none"/>
        </w:rPr>
      </w:pPr>
    </w:p>
    <w:p w14:paraId="2E72B084">
      <w:pPr>
        <w:shd w:val="clear"/>
        <w:spacing w:line="243" w:lineRule="auto"/>
        <w:rPr>
          <w:rFonts w:ascii="Arial"/>
          <w:color w:val="auto"/>
          <w:sz w:val="21"/>
          <w:highlight w:val="none"/>
        </w:rPr>
      </w:pPr>
    </w:p>
    <w:p w14:paraId="3932725C">
      <w:pPr>
        <w:shd w:val="clear"/>
        <w:spacing w:line="243" w:lineRule="auto"/>
        <w:rPr>
          <w:rFonts w:ascii="Arial"/>
          <w:color w:val="auto"/>
          <w:sz w:val="21"/>
          <w:highlight w:val="none"/>
        </w:rPr>
      </w:pPr>
    </w:p>
    <w:p w14:paraId="2F99C4AF">
      <w:pPr>
        <w:shd w:val="clear"/>
        <w:spacing w:line="243" w:lineRule="auto"/>
        <w:rPr>
          <w:rFonts w:ascii="Arial"/>
          <w:color w:val="auto"/>
          <w:sz w:val="21"/>
          <w:highlight w:val="none"/>
        </w:rPr>
      </w:pPr>
    </w:p>
    <w:p w14:paraId="5807C1A5">
      <w:pPr>
        <w:shd w:val="clear"/>
        <w:spacing w:line="243" w:lineRule="auto"/>
        <w:rPr>
          <w:rFonts w:ascii="Arial"/>
          <w:color w:val="auto"/>
          <w:sz w:val="21"/>
          <w:highlight w:val="none"/>
        </w:rPr>
      </w:pPr>
    </w:p>
    <w:p w14:paraId="302275BC">
      <w:pPr>
        <w:shd w:val="clear"/>
        <w:spacing w:line="243" w:lineRule="auto"/>
        <w:rPr>
          <w:rFonts w:ascii="Arial"/>
          <w:color w:val="auto"/>
          <w:sz w:val="21"/>
          <w:highlight w:val="none"/>
        </w:rPr>
      </w:pPr>
    </w:p>
    <w:p w14:paraId="2BCAA46F">
      <w:pPr>
        <w:shd w:val="clear"/>
        <w:spacing w:line="243" w:lineRule="auto"/>
        <w:rPr>
          <w:rFonts w:ascii="Arial"/>
          <w:color w:val="auto"/>
          <w:sz w:val="21"/>
          <w:highlight w:val="none"/>
        </w:rPr>
      </w:pPr>
    </w:p>
    <w:p w14:paraId="5FBEBC38">
      <w:pPr>
        <w:shd w:val="clear"/>
        <w:spacing w:line="243" w:lineRule="auto"/>
        <w:rPr>
          <w:rFonts w:ascii="Arial"/>
          <w:color w:val="auto"/>
          <w:sz w:val="21"/>
          <w:highlight w:val="none"/>
        </w:rPr>
      </w:pPr>
    </w:p>
    <w:p w14:paraId="443FC182">
      <w:pPr>
        <w:shd w:val="clear"/>
        <w:spacing w:line="243" w:lineRule="auto"/>
        <w:rPr>
          <w:rFonts w:ascii="Arial"/>
          <w:color w:val="auto"/>
          <w:sz w:val="21"/>
          <w:highlight w:val="none"/>
        </w:rPr>
      </w:pPr>
    </w:p>
    <w:p w14:paraId="0FC8D923">
      <w:pPr>
        <w:shd w:val="clear"/>
        <w:spacing w:line="243" w:lineRule="auto"/>
        <w:rPr>
          <w:rFonts w:ascii="Arial"/>
          <w:color w:val="auto"/>
          <w:sz w:val="21"/>
          <w:highlight w:val="none"/>
        </w:rPr>
      </w:pPr>
    </w:p>
    <w:p w14:paraId="0E9F97C9">
      <w:pPr>
        <w:shd w:val="clea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1E4CFCCD">
      <w:pPr>
        <w:shd w:val="clear"/>
        <w:spacing w:line="328" w:lineRule="auto"/>
        <w:rPr>
          <w:rFonts w:ascii="Arial"/>
          <w:color w:val="auto"/>
          <w:sz w:val="21"/>
          <w:highlight w:val="none"/>
        </w:rPr>
      </w:pPr>
    </w:p>
    <w:p w14:paraId="76059816">
      <w:pPr>
        <w:shd w:val="clear"/>
        <w:spacing w:line="328" w:lineRule="auto"/>
        <w:rPr>
          <w:rFonts w:ascii="Arial"/>
          <w:color w:val="auto"/>
          <w:sz w:val="21"/>
          <w:highlight w:val="none"/>
        </w:rPr>
      </w:pPr>
    </w:p>
    <w:p w14:paraId="5891EBEF">
      <w:pPr>
        <w:shd w:val="clea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65C00F09">
      <w:pPr>
        <w:shd w:val="clear"/>
        <w:spacing w:line="328" w:lineRule="auto"/>
        <w:rPr>
          <w:rFonts w:ascii="Arial"/>
          <w:color w:val="auto"/>
          <w:sz w:val="21"/>
          <w:highlight w:val="none"/>
        </w:rPr>
      </w:pPr>
    </w:p>
    <w:p w14:paraId="02F640F2">
      <w:pPr>
        <w:shd w:val="clear"/>
        <w:spacing w:line="328" w:lineRule="auto"/>
        <w:rPr>
          <w:rFonts w:ascii="Arial"/>
          <w:color w:val="auto"/>
          <w:sz w:val="21"/>
          <w:highlight w:val="none"/>
        </w:rPr>
      </w:pPr>
    </w:p>
    <w:p w14:paraId="2BD4DC0B">
      <w:pPr>
        <w:shd w:val="clear"/>
        <w:spacing w:before="102"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DA1629">
      <w:pPr>
        <w:shd w:val="clear"/>
        <w:spacing w:line="276" w:lineRule="auto"/>
        <w:rPr>
          <w:rFonts w:ascii="Arial"/>
          <w:color w:val="auto"/>
          <w:sz w:val="21"/>
          <w:highlight w:val="none"/>
        </w:rPr>
      </w:pPr>
    </w:p>
    <w:p w14:paraId="2A7B9976">
      <w:pPr>
        <w:shd w:val="clear"/>
        <w:spacing w:line="276" w:lineRule="auto"/>
        <w:rPr>
          <w:rFonts w:ascii="Arial"/>
          <w:color w:val="auto"/>
          <w:sz w:val="21"/>
          <w:highlight w:val="none"/>
        </w:rPr>
      </w:pPr>
    </w:p>
    <w:p w14:paraId="46E39E1B">
      <w:pPr>
        <w:shd w:val="clear"/>
        <w:spacing w:before="101" w:line="225" w:lineRule="auto"/>
        <w:ind w:left="617"/>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08FB910C">
      <w:pPr>
        <w:shd w:val="clear"/>
        <w:spacing w:line="242" w:lineRule="auto"/>
        <w:rPr>
          <w:rFonts w:ascii="Arial"/>
          <w:color w:val="auto"/>
          <w:sz w:val="21"/>
          <w:highlight w:val="none"/>
        </w:rPr>
      </w:pPr>
    </w:p>
    <w:p w14:paraId="7212C342">
      <w:pPr>
        <w:shd w:val="clear"/>
        <w:spacing w:line="242" w:lineRule="auto"/>
        <w:rPr>
          <w:rFonts w:ascii="Arial"/>
          <w:color w:val="auto"/>
          <w:sz w:val="21"/>
          <w:highlight w:val="none"/>
        </w:rPr>
      </w:pPr>
    </w:p>
    <w:p w14:paraId="0B791AA1">
      <w:pPr>
        <w:shd w:val="clear"/>
        <w:spacing w:line="242" w:lineRule="auto"/>
        <w:rPr>
          <w:rFonts w:ascii="Arial"/>
          <w:color w:val="auto"/>
          <w:sz w:val="21"/>
          <w:highlight w:val="none"/>
        </w:rPr>
      </w:pPr>
    </w:p>
    <w:p w14:paraId="1AD2363E">
      <w:pPr>
        <w:shd w:val="clear"/>
        <w:spacing w:line="242" w:lineRule="auto"/>
        <w:rPr>
          <w:rFonts w:ascii="Arial"/>
          <w:color w:val="auto"/>
          <w:sz w:val="21"/>
          <w:highlight w:val="none"/>
        </w:rPr>
      </w:pPr>
    </w:p>
    <w:p w14:paraId="06929DF5">
      <w:pPr>
        <w:shd w:val="clear"/>
        <w:spacing w:line="243" w:lineRule="auto"/>
        <w:rPr>
          <w:rFonts w:ascii="Arial"/>
          <w:color w:val="auto"/>
          <w:sz w:val="21"/>
          <w:highlight w:val="none"/>
        </w:rPr>
      </w:pPr>
    </w:p>
    <w:p w14:paraId="5F0BB939">
      <w:pPr>
        <w:shd w:val="clear"/>
        <w:spacing w:line="243" w:lineRule="auto"/>
        <w:rPr>
          <w:rFonts w:ascii="Arial"/>
          <w:color w:val="auto"/>
          <w:sz w:val="21"/>
          <w:highlight w:val="none"/>
        </w:rPr>
      </w:pPr>
    </w:p>
    <w:p w14:paraId="22CB2731">
      <w:pPr>
        <w:shd w:val="clear"/>
        <w:spacing w:line="243" w:lineRule="auto"/>
        <w:rPr>
          <w:rFonts w:ascii="Arial"/>
          <w:color w:val="auto"/>
          <w:sz w:val="21"/>
          <w:highlight w:val="none"/>
        </w:rPr>
      </w:pPr>
    </w:p>
    <w:p w14:paraId="299E0A48">
      <w:pPr>
        <w:shd w:val="clear"/>
        <w:spacing w:line="243" w:lineRule="auto"/>
        <w:rPr>
          <w:rFonts w:ascii="Arial"/>
          <w:color w:val="auto"/>
          <w:sz w:val="21"/>
          <w:highlight w:val="none"/>
        </w:rPr>
      </w:pPr>
    </w:p>
    <w:p w14:paraId="0726CE5E">
      <w:pPr>
        <w:shd w:val="clear"/>
        <w:spacing w:before="101" w:line="226" w:lineRule="auto"/>
        <w:ind w:left="3582"/>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1B2024A3">
      <w:pPr>
        <w:shd w:val="clear"/>
        <w:spacing w:line="226" w:lineRule="auto"/>
        <w:rPr>
          <w:rFonts w:ascii="宋体" w:hAnsi="宋体" w:eastAsia="宋体" w:cs="宋体"/>
          <w:color w:val="auto"/>
          <w:sz w:val="31"/>
          <w:szCs w:val="31"/>
          <w:highlight w:val="none"/>
        </w:rPr>
        <w:sectPr>
          <w:footerReference r:id="rId9" w:type="default"/>
          <w:pgSz w:w="11907" w:h="16839"/>
          <w:pgMar w:top="1417" w:right="1417" w:bottom="1417" w:left="1417" w:header="1134" w:footer="1134" w:gutter="0"/>
          <w:pgBorders>
            <w:top w:val="none" w:sz="0" w:space="0"/>
            <w:left w:val="none" w:sz="0" w:space="0"/>
            <w:bottom w:val="none" w:sz="0" w:space="0"/>
            <w:right w:val="none" w:sz="0" w:space="0"/>
          </w:pgBorders>
          <w:pgNumType w:fmt="decimal"/>
          <w:cols w:space="720" w:num="1"/>
          <w:rtlGutter w:val="0"/>
        </w:sectPr>
      </w:pPr>
    </w:p>
    <w:p w14:paraId="5BD55C1C">
      <w:pPr>
        <w:shd w:val="clear"/>
        <w:spacing w:before="101" w:line="226" w:lineRule="auto"/>
        <w:ind w:left="241"/>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2.商务技术文件目录</w:t>
      </w:r>
    </w:p>
    <w:p w14:paraId="7A054958">
      <w:pPr>
        <w:shd w:val="clear"/>
        <w:spacing w:line="295" w:lineRule="auto"/>
        <w:rPr>
          <w:rFonts w:ascii="Arial"/>
          <w:color w:val="auto"/>
          <w:sz w:val="21"/>
          <w:highlight w:val="none"/>
        </w:rPr>
      </w:pPr>
    </w:p>
    <w:p w14:paraId="0D6DE343">
      <w:pPr>
        <w:shd w:val="clear"/>
        <w:spacing w:before="101" w:line="624" w:lineRule="exact"/>
        <w:jc w:val="right"/>
        <w:rPr>
          <w:rFonts w:ascii="宋体" w:hAnsi="宋体" w:eastAsia="宋体" w:cs="宋体"/>
          <w:color w:val="auto"/>
          <w:sz w:val="31"/>
          <w:szCs w:val="31"/>
          <w:highlight w:val="none"/>
        </w:rPr>
      </w:pPr>
      <w:r>
        <w:rPr>
          <w:rFonts w:ascii="宋体" w:hAnsi="宋体" w:eastAsia="宋体" w:cs="宋体"/>
          <w:color w:val="auto"/>
          <w:spacing w:val="4"/>
          <w:position w:val="23"/>
          <w:sz w:val="31"/>
          <w:szCs w:val="31"/>
          <w:highlight w:val="none"/>
        </w:rPr>
        <w:t>根据磋商文件规定及供应商提供的材料自行编写目录（部分格式</w:t>
      </w:r>
    </w:p>
    <w:p w14:paraId="407CB6FE">
      <w:pPr>
        <w:shd w:val="clear"/>
        <w:spacing w:line="225" w:lineRule="auto"/>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后附）。</w:t>
      </w:r>
    </w:p>
    <w:p w14:paraId="2D1FC291">
      <w:pPr>
        <w:shd w:val="clear"/>
        <w:spacing w:line="225" w:lineRule="auto"/>
        <w:rPr>
          <w:rFonts w:ascii="宋体" w:hAnsi="宋体" w:eastAsia="宋体" w:cs="宋体"/>
          <w:color w:val="auto"/>
          <w:sz w:val="31"/>
          <w:szCs w:val="31"/>
          <w:highlight w:val="none"/>
        </w:rPr>
        <w:sectPr>
          <w:footerReference r:id="rId10" w:type="default"/>
          <w:pgSz w:w="11907" w:h="16839"/>
          <w:pgMar w:top="1417" w:right="1417" w:bottom="1417" w:left="1417" w:header="0" w:footer="856" w:gutter="0"/>
          <w:pgBorders>
            <w:top w:val="none" w:sz="0" w:space="0"/>
            <w:left w:val="none" w:sz="0" w:space="0"/>
            <w:bottom w:val="none" w:sz="0" w:space="0"/>
            <w:right w:val="none" w:sz="0" w:space="0"/>
          </w:pgBorders>
          <w:pgNumType w:fmt="decimal"/>
          <w:cols w:space="720" w:num="1"/>
          <w:rtlGutter w:val="0"/>
        </w:sectPr>
      </w:pPr>
    </w:p>
    <w:p w14:paraId="25DF411C">
      <w:pPr>
        <w:shd w:val="clear"/>
        <w:spacing w:line="520" w:lineRule="exact"/>
        <w:jc w:val="center"/>
        <w:rPr>
          <w:rFonts w:ascii="宋体" w:hAnsi="宋体" w:cs="宋体"/>
          <w:b/>
          <w:color w:val="auto"/>
          <w:kern w:val="1"/>
          <w:sz w:val="32"/>
          <w:szCs w:val="32"/>
          <w:highlight w:val="none"/>
        </w:rPr>
      </w:pPr>
      <w:r>
        <w:rPr>
          <w:rFonts w:ascii="宋体" w:hAnsi="宋体" w:cs="宋体"/>
          <w:b/>
          <w:color w:val="auto"/>
          <w:kern w:val="1"/>
          <w:sz w:val="32"/>
          <w:szCs w:val="32"/>
          <w:highlight w:val="none"/>
        </w:rPr>
        <w:t>磋 商 书</w:t>
      </w:r>
      <w:r>
        <w:rPr>
          <w:rFonts w:ascii="宋体" w:hAnsi="宋体" w:cs="宋体"/>
          <w:b/>
          <w:color w:val="auto"/>
          <w:spacing w:val="5"/>
          <w:kern w:val="1"/>
          <w:sz w:val="32"/>
          <w:szCs w:val="32"/>
          <w:highlight w:val="none"/>
        </w:rPr>
        <w:t>（格式）</w:t>
      </w:r>
    </w:p>
    <w:p w14:paraId="5724BD47">
      <w:pPr>
        <w:shd w:val="clear"/>
        <w:spacing w:line="520" w:lineRule="exact"/>
        <w:jc w:val="center"/>
        <w:rPr>
          <w:rFonts w:ascii="宋体" w:hAnsi="宋体" w:cs="宋体"/>
          <w:b/>
          <w:color w:val="auto"/>
          <w:kern w:val="1"/>
          <w:szCs w:val="21"/>
          <w:highlight w:val="none"/>
        </w:rPr>
      </w:pPr>
    </w:p>
    <w:p w14:paraId="14457641">
      <w:pPr>
        <w:pStyle w:val="32"/>
        <w:shd w:val="clear"/>
        <w:spacing w:line="520" w:lineRule="exact"/>
        <w:rPr>
          <w:color w:val="auto"/>
          <w:sz w:val="24"/>
          <w:szCs w:val="24"/>
          <w:highlight w:val="none"/>
        </w:rPr>
      </w:pPr>
      <w:r>
        <w:rPr>
          <w:rFonts w:hint="eastAsia"/>
          <w:color w:val="auto"/>
          <w:sz w:val="24"/>
          <w:szCs w:val="24"/>
          <w:highlight w:val="none"/>
          <w:u w:val="single"/>
          <w:lang w:eastAsia="zh-CN"/>
        </w:rPr>
        <w:t>广西北部湾宏亚建设管理有限公司</w:t>
      </w:r>
      <w:r>
        <w:rPr>
          <w:color w:val="auto"/>
          <w:sz w:val="24"/>
          <w:szCs w:val="24"/>
          <w:highlight w:val="none"/>
        </w:rPr>
        <w:t>：</w:t>
      </w:r>
    </w:p>
    <w:p w14:paraId="76D37235">
      <w:pPr>
        <w:pStyle w:val="32"/>
        <w:shd w:val="clear"/>
        <w:spacing w:line="520" w:lineRule="exact"/>
        <w:ind w:firstLine="480"/>
        <w:rPr>
          <w:color w:val="auto"/>
          <w:sz w:val="24"/>
          <w:szCs w:val="24"/>
          <w:highlight w:val="none"/>
        </w:rPr>
      </w:pPr>
      <w:r>
        <w:rPr>
          <w:color w:val="auto"/>
          <w:sz w:val="24"/>
          <w:szCs w:val="24"/>
          <w:highlight w:val="none"/>
        </w:rPr>
        <w:t>依据贵方</w:t>
      </w:r>
      <w:r>
        <w:rPr>
          <w:color w:val="auto"/>
          <w:sz w:val="24"/>
          <w:szCs w:val="24"/>
          <w:highlight w:val="none"/>
          <w:u w:val="single"/>
        </w:rPr>
        <w:t>（项目名称/项目编号）</w:t>
      </w:r>
      <w:r>
        <w:rPr>
          <w:color w:val="auto"/>
          <w:sz w:val="24"/>
          <w:szCs w:val="24"/>
          <w:highlight w:val="none"/>
        </w:rPr>
        <w:t>项目政府采购的磋商邀请，我方</w:t>
      </w:r>
      <w:r>
        <w:rPr>
          <w:color w:val="auto"/>
          <w:sz w:val="24"/>
          <w:szCs w:val="24"/>
          <w:highlight w:val="none"/>
          <w:u w:val="single"/>
        </w:rPr>
        <w:t>（姓名和职务）</w:t>
      </w:r>
      <w:r>
        <w:rPr>
          <w:color w:val="auto"/>
          <w:sz w:val="24"/>
          <w:szCs w:val="24"/>
          <w:highlight w:val="none"/>
        </w:rPr>
        <w:t>经正式授权并代表本单位</w:t>
      </w:r>
      <w:r>
        <w:rPr>
          <w:color w:val="auto"/>
          <w:sz w:val="24"/>
          <w:szCs w:val="24"/>
          <w:highlight w:val="none"/>
          <w:u w:val="single"/>
        </w:rPr>
        <w:t>（供应商名称、地址）</w:t>
      </w:r>
      <w:r>
        <w:rPr>
          <w:color w:val="auto"/>
          <w:sz w:val="24"/>
          <w:szCs w:val="24"/>
          <w:highlight w:val="none"/>
        </w:rPr>
        <w:t>提交下述竞争性磋商响应文件</w:t>
      </w:r>
      <w:r>
        <w:rPr>
          <w:b/>
          <w:color w:val="auto"/>
          <w:sz w:val="24"/>
          <w:szCs w:val="24"/>
          <w:highlight w:val="none"/>
        </w:rPr>
        <w:t>（资格文件、价格文件、商务技术文件）</w:t>
      </w:r>
      <w:r>
        <w:rPr>
          <w:color w:val="auto"/>
          <w:sz w:val="24"/>
          <w:szCs w:val="24"/>
          <w:highlight w:val="none"/>
        </w:rPr>
        <w:t>。</w:t>
      </w:r>
    </w:p>
    <w:p w14:paraId="571BF3AD">
      <w:pPr>
        <w:pStyle w:val="32"/>
        <w:shd w:val="clear"/>
        <w:spacing w:line="520" w:lineRule="exact"/>
        <w:ind w:firstLine="480"/>
        <w:rPr>
          <w:color w:val="auto"/>
          <w:sz w:val="24"/>
          <w:szCs w:val="24"/>
          <w:highlight w:val="none"/>
        </w:rPr>
      </w:pPr>
      <w:r>
        <w:rPr>
          <w:color w:val="auto"/>
          <w:sz w:val="24"/>
          <w:szCs w:val="24"/>
          <w:highlight w:val="none"/>
        </w:rPr>
        <w:t>1. 报价表；</w:t>
      </w:r>
    </w:p>
    <w:p w14:paraId="62B9D31C">
      <w:pPr>
        <w:pStyle w:val="32"/>
        <w:shd w:val="clear"/>
        <w:spacing w:line="520" w:lineRule="exact"/>
        <w:ind w:firstLine="480"/>
        <w:rPr>
          <w:color w:val="auto"/>
          <w:sz w:val="24"/>
          <w:szCs w:val="24"/>
          <w:highlight w:val="none"/>
        </w:rPr>
      </w:pPr>
      <w:r>
        <w:rPr>
          <w:color w:val="auto"/>
          <w:sz w:val="24"/>
          <w:szCs w:val="24"/>
          <w:highlight w:val="none"/>
        </w:rPr>
        <w:t>2．服务方案(含服务承诺)；</w:t>
      </w:r>
    </w:p>
    <w:p w14:paraId="4AEA47E2">
      <w:pPr>
        <w:pStyle w:val="32"/>
        <w:shd w:val="clear"/>
        <w:spacing w:line="520" w:lineRule="exact"/>
        <w:ind w:firstLine="480"/>
        <w:rPr>
          <w:color w:val="auto"/>
          <w:sz w:val="24"/>
          <w:szCs w:val="24"/>
          <w:highlight w:val="none"/>
        </w:rPr>
      </w:pPr>
      <w:r>
        <w:rPr>
          <w:color w:val="auto"/>
          <w:sz w:val="24"/>
          <w:szCs w:val="24"/>
          <w:highlight w:val="none"/>
        </w:rPr>
        <w:t xml:space="preserve">3. 资格证明文件； </w:t>
      </w:r>
    </w:p>
    <w:p w14:paraId="69EB5935">
      <w:pPr>
        <w:pStyle w:val="32"/>
        <w:shd w:val="clear"/>
        <w:spacing w:line="520" w:lineRule="exact"/>
        <w:ind w:firstLine="480"/>
        <w:rPr>
          <w:color w:val="auto"/>
          <w:sz w:val="24"/>
          <w:szCs w:val="24"/>
          <w:highlight w:val="none"/>
        </w:rPr>
      </w:pPr>
      <w:r>
        <w:rPr>
          <w:color w:val="auto"/>
          <w:sz w:val="24"/>
          <w:szCs w:val="24"/>
          <w:highlight w:val="none"/>
        </w:rPr>
        <w:t>4. 按竞争性磋商文件供应商须知和采购需求提供的有关文件。</w:t>
      </w:r>
    </w:p>
    <w:p w14:paraId="1316D93B">
      <w:pPr>
        <w:pStyle w:val="32"/>
        <w:shd w:val="clear"/>
        <w:spacing w:line="520" w:lineRule="exact"/>
        <w:ind w:firstLine="315"/>
        <w:rPr>
          <w:color w:val="auto"/>
          <w:sz w:val="24"/>
          <w:szCs w:val="24"/>
          <w:highlight w:val="none"/>
        </w:rPr>
      </w:pPr>
      <w:r>
        <w:rPr>
          <w:color w:val="auto"/>
          <w:sz w:val="24"/>
          <w:szCs w:val="24"/>
          <w:highlight w:val="none"/>
        </w:rPr>
        <w:t>在此，授权代表宣布同意如下：</w:t>
      </w:r>
    </w:p>
    <w:p w14:paraId="78D23589">
      <w:pPr>
        <w:pStyle w:val="32"/>
        <w:shd w:val="clear"/>
        <w:spacing w:line="520" w:lineRule="exact"/>
        <w:ind w:firstLine="480" w:firstLineChars="200"/>
        <w:rPr>
          <w:color w:val="auto"/>
          <w:sz w:val="24"/>
          <w:szCs w:val="24"/>
          <w:highlight w:val="none"/>
        </w:rPr>
      </w:pPr>
      <w:r>
        <w:rPr>
          <w:color w:val="auto"/>
          <w:sz w:val="24"/>
          <w:szCs w:val="24"/>
          <w:highlight w:val="none"/>
        </w:rPr>
        <w:t>1. 将按竞争性磋商文件的约定履行合同责任和义务；</w:t>
      </w:r>
    </w:p>
    <w:p w14:paraId="0F4E3401">
      <w:pPr>
        <w:pStyle w:val="32"/>
        <w:shd w:val="clear"/>
        <w:spacing w:line="520" w:lineRule="exact"/>
        <w:ind w:firstLine="480" w:firstLineChars="200"/>
        <w:rPr>
          <w:color w:val="auto"/>
          <w:sz w:val="24"/>
          <w:szCs w:val="24"/>
          <w:highlight w:val="none"/>
        </w:rPr>
      </w:pPr>
      <w:r>
        <w:rPr>
          <w:color w:val="auto"/>
          <w:sz w:val="24"/>
          <w:szCs w:val="24"/>
          <w:highlight w:val="none"/>
        </w:rPr>
        <w:t>2. 已详细审查全部竞争性磋商文件，包括</w:t>
      </w:r>
      <w:r>
        <w:rPr>
          <w:color w:val="auto"/>
          <w:sz w:val="24"/>
          <w:szCs w:val="24"/>
          <w:highlight w:val="none"/>
          <w:u w:val="single"/>
        </w:rPr>
        <w:t>（补遗文件）（如果有的话）</w:t>
      </w:r>
      <w:r>
        <w:rPr>
          <w:color w:val="auto"/>
          <w:sz w:val="24"/>
          <w:szCs w:val="24"/>
          <w:highlight w:val="none"/>
        </w:rPr>
        <w:t>；</w:t>
      </w:r>
    </w:p>
    <w:p w14:paraId="39B59297">
      <w:pPr>
        <w:pStyle w:val="32"/>
        <w:shd w:val="clear"/>
        <w:spacing w:line="520" w:lineRule="exact"/>
        <w:ind w:firstLine="480" w:firstLineChars="200"/>
        <w:rPr>
          <w:color w:val="auto"/>
          <w:sz w:val="24"/>
          <w:szCs w:val="24"/>
          <w:highlight w:val="none"/>
        </w:rPr>
      </w:pPr>
      <w:r>
        <w:rPr>
          <w:color w:val="auto"/>
          <w:sz w:val="24"/>
          <w:szCs w:val="24"/>
          <w:highlight w:val="none"/>
        </w:rPr>
        <w:t>3. 同意提供按照贵方可能要求的与其磋商有关的一切数据或资料；</w:t>
      </w:r>
    </w:p>
    <w:p w14:paraId="61B32029">
      <w:pPr>
        <w:pStyle w:val="32"/>
        <w:shd w:val="clear"/>
        <w:spacing w:line="520" w:lineRule="exact"/>
        <w:ind w:firstLine="480" w:firstLineChars="200"/>
        <w:rPr>
          <w:color w:val="auto"/>
          <w:sz w:val="24"/>
          <w:szCs w:val="24"/>
          <w:highlight w:val="none"/>
          <w:u w:val="single"/>
        </w:rPr>
      </w:pPr>
      <w:r>
        <w:rPr>
          <w:color w:val="auto"/>
          <w:sz w:val="24"/>
          <w:szCs w:val="24"/>
          <w:highlight w:val="none"/>
        </w:rPr>
        <w:t>4. 与本磋商有关的一切正式往来信函请寄：</w:t>
      </w:r>
      <w:r>
        <w:rPr>
          <w:color w:val="auto"/>
          <w:sz w:val="24"/>
          <w:szCs w:val="24"/>
          <w:highlight w:val="none"/>
          <w:u w:val="single"/>
        </w:rPr>
        <w:t xml:space="preserve">                       </w:t>
      </w:r>
    </w:p>
    <w:p w14:paraId="4B61DE59">
      <w:pPr>
        <w:pStyle w:val="32"/>
        <w:shd w:val="clear"/>
        <w:spacing w:line="520" w:lineRule="exact"/>
        <w:ind w:firstLine="840"/>
        <w:rPr>
          <w:color w:val="auto"/>
          <w:sz w:val="24"/>
          <w:szCs w:val="24"/>
          <w:highlight w:val="none"/>
          <w:u w:val="single"/>
        </w:rPr>
      </w:pPr>
      <w:r>
        <w:rPr>
          <w:color w:val="auto"/>
          <w:sz w:val="24"/>
          <w:szCs w:val="24"/>
          <w:highlight w:val="none"/>
        </w:rPr>
        <w:t>开户银行：</w:t>
      </w:r>
      <w:r>
        <w:rPr>
          <w:color w:val="auto"/>
          <w:sz w:val="24"/>
          <w:szCs w:val="24"/>
          <w:highlight w:val="none"/>
          <w:u w:val="single"/>
        </w:rPr>
        <w:t xml:space="preserve">                         </w:t>
      </w:r>
      <w:r>
        <w:rPr>
          <w:color w:val="auto"/>
          <w:sz w:val="24"/>
          <w:szCs w:val="24"/>
          <w:highlight w:val="none"/>
        </w:rPr>
        <w:t xml:space="preserve">  帐号/行号：</w:t>
      </w:r>
      <w:r>
        <w:rPr>
          <w:color w:val="auto"/>
          <w:sz w:val="24"/>
          <w:szCs w:val="24"/>
          <w:highlight w:val="none"/>
          <w:u w:val="single"/>
        </w:rPr>
        <w:t xml:space="preserve">          </w:t>
      </w:r>
    </w:p>
    <w:p w14:paraId="3E440FBB">
      <w:pPr>
        <w:pStyle w:val="32"/>
        <w:shd w:val="clear"/>
        <w:spacing w:line="520" w:lineRule="exact"/>
        <w:ind w:firstLine="840"/>
        <w:rPr>
          <w:color w:val="auto"/>
          <w:sz w:val="24"/>
          <w:szCs w:val="24"/>
          <w:highlight w:val="none"/>
        </w:rPr>
      </w:pPr>
      <w:r>
        <w:rPr>
          <w:color w:val="auto"/>
          <w:sz w:val="24"/>
          <w:szCs w:val="24"/>
          <w:highlight w:val="none"/>
        </w:rPr>
        <w:t>电话/传真：</w:t>
      </w:r>
      <w:r>
        <w:rPr>
          <w:color w:val="auto"/>
          <w:sz w:val="24"/>
          <w:szCs w:val="24"/>
          <w:highlight w:val="none"/>
          <w:u w:val="single"/>
        </w:rPr>
        <w:t xml:space="preserve">                        </w:t>
      </w:r>
      <w:r>
        <w:rPr>
          <w:color w:val="auto"/>
          <w:sz w:val="24"/>
          <w:szCs w:val="24"/>
          <w:highlight w:val="none"/>
        </w:rPr>
        <w:t xml:space="preserve"> 电子函件：</w:t>
      </w:r>
      <w:r>
        <w:rPr>
          <w:color w:val="auto"/>
          <w:sz w:val="24"/>
          <w:szCs w:val="24"/>
          <w:highlight w:val="none"/>
          <w:u w:val="single"/>
        </w:rPr>
        <w:t xml:space="preserve">             </w:t>
      </w:r>
      <w:r>
        <w:rPr>
          <w:color w:val="auto"/>
          <w:sz w:val="24"/>
          <w:szCs w:val="24"/>
          <w:highlight w:val="none"/>
        </w:rPr>
        <w:t xml:space="preserve">              </w:t>
      </w:r>
    </w:p>
    <w:p w14:paraId="26BA7175">
      <w:pPr>
        <w:pStyle w:val="32"/>
        <w:shd w:val="clear"/>
        <w:spacing w:line="520" w:lineRule="exact"/>
        <w:ind w:firstLine="840"/>
        <w:rPr>
          <w:color w:val="auto"/>
          <w:sz w:val="24"/>
          <w:szCs w:val="24"/>
          <w:highlight w:val="none"/>
          <w:u w:val="single"/>
        </w:rPr>
      </w:pPr>
      <w:r>
        <w:rPr>
          <w:color w:val="auto"/>
          <w:sz w:val="24"/>
          <w:szCs w:val="24"/>
          <w:highlight w:val="none"/>
        </w:rPr>
        <w:t>日期：</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color w:val="auto"/>
          <w:sz w:val="24"/>
          <w:szCs w:val="24"/>
          <w:highlight w:val="none"/>
        </w:rPr>
        <w:t>日</w:t>
      </w:r>
    </w:p>
    <w:p w14:paraId="463C1CD5">
      <w:pPr>
        <w:pStyle w:val="32"/>
        <w:shd w:val="clear"/>
        <w:spacing w:line="520" w:lineRule="exact"/>
        <w:ind w:firstLine="840"/>
        <w:rPr>
          <w:color w:val="auto"/>
          <w:sz w:val="24"/>
          <w:szCs w:val="24"/>
          <w:highlight w:val="none"/>
          <w:u w:val="single"/>
        </w:rPr>
      </w:pPr>
      <w:r>
        <w:rPr>
          <w:color w:val="auto"/>
          <w:sz w:val="24"/>
          <w:szCs w:val="24"/>
          <w:highlight w:val="none"/>
        </w:rPr>
        <w:t>法定代表人（负责人）或委托代理人</w:t>
      </w:r>
      <w:r>
        <w:rPr>
          <w:rFonts w:hint="eastAsia"/>
          <w:b/>
          <w:bCs/>
          <w:color w:val="auto"/>
          <w:kern w:val="2"/>
          <w:sz w:val="24"/>
          <w:szCs w:val="24"/>
          <w:highlight w:val="none"/>
        </w:rPr>
        <w:t>（</w:t>
      </w:r>
      <w:r>
        <w:rPr>
          <w:rFonts w:hint="eastAsia"/>
          <w:b/>
          <w:bCs/>
          <w:color w:val="auto"/>
          <w:kern w:val="2"/>
          <w:sz w:val="24"/>
          <w:szCs w:val="24"/>
          <w:highlight w:val="none"/>
          <w:lang w:eastAsia="zh-CN"/>
        </w:rPr>
        <w:t>签字或者盖章或者电子签名</w:t>
      </w:r>
      <w:r>
        <w:rPr>
          <w:rFonts w:hint="eastAsia"/>
          <w:b/>
          <w:bCs/>
          <w:color w:val="auto"/>
          <w:kern w:val="2"/>
          <w:sz w:val="24"/>
          <w:szCs w:val="24"/>
          <w:highlight w:val="none"/>
        </w:rPr>
        <w:t>）</w:t>
      </w:r>
      <w:r>
        <w:rPr>
          <w:color w:val="auto"/>
          <w:sz w:val="24"/>
          <w:szCs w:val="24"/>
          <w:highlight w:val="none"/>
        </w:rPr>
        <w:t>：</w:t>
      </w:r>
      <w:r>
        <w:rPr>
          <w:color w:val="auto"/>
          <w:sz w:val="24"/>
          <w:szCs w:val="24"/>
          <w:highlight w:val="none"/>
          <w:u w:val="single"/>
        </w:rPr>
        <w:t xml:space="preserve">                        </w:t>
      </w:r>
    </w:p>
    <w:p w14:paraId="4BEE8925">
      <w:pPr>
        <w:pStyle w:val="32"/>
        <w:shd w:val="clear"/>
        <w:spacing w:line="520" w:lineRule="exact"/>
        <w:ind w:firstLine="840"/>
        <w:rPr>
          <w:color w:val="auto"/>
          <w:sz w:val="24"/>
          <w:szCs w:val="24"/>
          <w:highlight w:val="none"/>
        </w:rPr>
      </w:pPr>
      <w:r>
        <w:rPr>
          <w:color w:val="auto"/>
          <w:sz w:val="24"/>
          <w:szCs w:val="24"/>
          <w:highlight w:val="none"/>
        </w:rPr>
        <w:t>供应商名称（</w:t>
      </w:r>
      <w:r>
        <w:rPr>
          <w:rFonts w:hint="eastAsia" w:cs="宋体"/>
          <w:b/>
          <w:bCs/>
          <w:color w:val="auto"/>
          <w:sz w:val="24"/>
          <w:szCs w:val="24"/>
          <w:highlight w:val="none"/>
          <w:lang w:eastAsia="zh-CN"/>
        </w:rPr>
        <w:t>盖公章</w:t>
      </w:r>
      <w:r>
        <w:rPr>
          <w:color w:val="auto"/>
          <w:sz w:val="24"/>
          <w:szCs w:val="24"/>
          <w:highlight w:val="none"/>
        </w:rPr>
        <w:t>）：</w:t>
      </w:r>
      <w:r>
        <w:rPr>
          <w:color w:val="auto"/>
          <w:sz w:val="24"/>
          <w:szCs w:val="24"/>
          <w:highlight w:val="none"/>
          <w:u w:val="single"/>
        </w:rPr>
        <w:t xml:space="preserve">                                          </w:t>
      </w:r>
      <w:r>
        <w:rPr>
          <w:color w:val="auto"/>
          <w:sz w:val="24"/>
          <w:szCs w:val="24"/>
          <w:highlight w:val="none"/>
        </w:rPr>
        <w:t xml:space="preserve">       </w:t>
      </w:r>
    </w:p>
    <w:p w14:paraId="1E0A06B4">
      <w:pPr>
        <w:shd w:val="clear"/>
        <w:spacing w:line="500" w:lineRule="exact"/>
        <w:rPr>
          <w:rFonts w:ascii="宋体" w:hAnsi="宋体" w:cs="宋体"/>
          <w:color w:val="auto"/>
          <w:kern w:val="1"/>
          <w:szCs w:val="21"/>
          <w:highlight w:val="none"/>
        </w:rPr>
      </w:pPr>
    </w:p>
    <w:p w14:paraId="0C53FC77">
      <w:pPr>
        <w:shd w:val="clear"/>
        <w:spacing w:line="300" w:lineRule="auto"/>
        <w:jc w:val="center"/>
        <w:rPr>
          <w:rFonts w:ascii="黑体" w:hAnsi="黑体" w:eastAsia="黑体" w:cs="黑体"/>
          <w:color w:val="auto"/>
          <w:sz w:val="32"/>
          <w:szCs w:val="21"/>
          <w:highlight w:val="none"/>
        </w:rPr>
      </w:pPr>
      <w:r>
        <w:rPr>
          <w:color w:val="auto"/>
          <w:kern w:val="1"/>
          <w:highlight w:val="none"/>
        </w:rPr>
        <w:br w:type="page"/>
      </w:r>
      <w:r>
        <w:rPr>
          <w:rFonts w:ascii="宋体" w:hAnsi="宋体" w:cs="宋体"/>
          <w:b/>
          <w:color w:val="auto"/>
          <w:spacing w:val="5"/>
          <w:kern w:val="1"/>
          <w:sz w:val="32"/>
          <w:szCs w:val="32"/>
          <w:highlight w:val="none"/>
        </w:rPr>
        <w:t>承诺函（格式）</w:t>
      </w:r>
    </w:p>
    <w:p w14:paraId="3028E3CB">
      <w:pPr>
        <w:widowControl/>
        <w:shd w:val="clear"/>
        <w:ind w:firstLine="640"/>
        <w:jc w:val="left"/>
        <w:rPr>
          <w:rFonts w:ascii="仿宋_GB2312" w:hAnsi="仿宋_GB2312" w:eastAsia="仿宋" w:cs="仿宋_GB2312"/>
          <w:color w:val="auto"/>
          <w:sz w:val="32"/>
          <w:szCs w:val="21"/>
          <w:highlight w:val="none"/>
        </w:rPr>
      </w:pPr>
    </w:p>
    <w:p w14:paraId="2AE0D2F6">
      <w:pPr>
        <w:widowControl/>
        <w:shd w:val="clear"/>
        <w:spacing w:line="300" w:lineRule="auto"/>
        <w:jc w:val="left"/>
        <w:rPr>
          <w:rFonts w:ascii="宋体" w:hAnsi="宋体" w:cs="宋体"/>
          <w:color w:val="auto"/>
          <w:sz w:val="24"/>
          <w:szCs w:val="24"/>
          <w:highlight w:val="none"/>
        </w:rPr>
      </w:pPr>
      <w:r>
        <w:rPr>
          <w:rFonts w:hint="eastAsia" w:ascii="宋体" w:hAnsi="宋体" w:cs="Courier New"/>
          <w:color w:val="auto"/>
          <w:sz w:val="24"/>
          <w:szCs w:val="24"/>
          <w:highlight w:val="none"/>
          <w:u w:val="single"/>
          <w:lang w:eastAsia="zh-CN"/>
        </w:rPr>
        <w:t>广西北部湾宏亚建设管理有限公司</w:t>
      </w:r>
      <w:r>
        <w:rPr>
          <w:rFonts w:ascii="宋体" w:hAnsi="宋体" w:cs="宋体"/>
          <w:color w:val="auto"/>
          <w:sz w:val="24"/>
          <w:szCs w:val="24"/>
          <w:highlight w:val="none"/>
        </w:rPr>
        <w:t>：</w:t>
      </w:r>
    </w:p>
    <w:p w14:paraId="7B93FDEC">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我方作为本次采购项目的磋商供应商，根据磋商文件要求，现郑重承诺如下：</w:t>
      </w:r>
    </w:p>
    <w:p w14:paraId="228A2280">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63A4AC81">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二、参加本次采购活动，不存在与单位负责人为同一人或者存在直接控股、管理关系的其他供应商参与同一合同项下的政府采购活动的行为。</w:t>
      </w:r>
    </w:p>
    <w:p w14:paraId="5C1F4BE9">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三、为采购项目提供整体设计、规范编制或者项目管理、监理、检测等服务的供应商，不得再参加该采购项目的其他采购活动，我方承诺不属于此类禁止参加本项目的供应商。</w:t>
      </w:r>
    </w:p>
    <w:p w14:paraId="3990D70A">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四、参加本次采购活动，不存在和其他供应商在同一合同项下的采购项目中，同时委托同一个自然人、同一家庭的人员、同一单位的人员作为代理人的行为。</w:t>
      </w:r>
    </w:p>
    <w:p w14:paraId="29DA6BF2">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五、磋商文件中提供的能够给予我方带来优惠、好处的任何材料资料和技术、服务、商务、响应产品等响应承诺情况都是真实的、有效的、合法的。</w:t>
      </w:r>
    </w:p>
    <w:p w14:paraId="52AAE4C9">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六、参加本次采购活动，我方完全同意磋商文件第二章关于“成交费用”、 “履约保证金”的实质性要求，并承诺严格按照磋商文件要求履行。</w:t>
      </w:r>
    </w:p>
    <w:p w14:paraId="0D7FACEF">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20F95D8">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我方对上述承诺的内容事项真实性负责。如经查实上述承诺的内容事项存在虚假，我方愿意接受以提供虚假材料谋取成交追究法律责任。</w:t>
      </w:r>
    </w:p>
    <w:p w14:paraId="1D057C76">
      <w:pPr>
        <w:shd w:val="clear"/>
        <w:spacing w:line="300" w:lineRule="auto"/>
        <w:ind w:right="1470"/>
        <w:rPr>
          <w:rFonts w:ascii="宋体" w:hAnsi="宋体" w:cs="宋体"/>
          <w:color w:val="auto"/>
          <w:sz w:val="24"/>
          <w:szCs w:val="24"/>
          <w:highlight w:val="none"/>
        </w:rPr>
      </w:pPr>
    </w:p>
    <w:p w14:paraId="061DFFDC">
      <w:pPr>
        <w:shd w:val="clea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5EFCFA92">
      <w:pPr>
        <w:shd w:val="clea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77E1917">
      <w:pPr>
        <w:shd w:val="clea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签发日期：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5EBB305F">
      <w:pPr>
        <w:shd w:val="clear"/>
        <w:spacing w:line="300" w:lineRule="auto"/>
        <w:jc w:val="center"/>
        <w:rPr>
          <w:rFonts w:ascii="宋体" w:hAnsi="宋体" w:cs="宋体"/>
          <w:b/>
          <w:color w:val="auto"/>
          <w:spacing w:val="5"/>
          <w:kern w:val="1"/>
          <w:sz w:val="32"/>
          <w:szCs w:val="32"/>
          <w:highlight w:val="none"/>
        </w:rPr>
      </w:pPr>
      <w:r>
        <w:rPr>
          <w:rFonts w:ascii="宋体" w:hAnsi="宋体" w:cs="宋体"/>
          <w:b/>
          <w:color w:val="auto"/>
          <w:sz w:val="44"/>
          <w:szCs w:val="44"/>
          <w:highlight w:val="none"/>
        </w:rPr>
        <w:br w:type="page"/>
      </w:r>
      <w:r>
        <w:rPr>
          <w:rFonts w:ascii="宋体" w:hAnsi="宋体" w:cs="宋体"/>
          <w:b/>
          <w:color w:val="auto"/>
          <w:spacing w:val="5"/>
          <w:kern w:val="1"/>
          <w:sz w:val="32"/>
          <w:szCs w:val="32"/>
          <w:highlight w:val="none"/>
        </w:rPr>
        <w:t>商务、服务（技术）响应、偏离情况说明表</w:t>
      </w:r>
      <w:r>
        <w:rPr>
          <w:rFonts w:hint="eastAsia" w:ascii="宋体" w:hAnsi="宋体" w:eastAsia="宋体" w:cs="宋体"/>
          <w:b/>
          <w:bCs w:val="0"/>
          <w:color w:val="auto"/>
          <w:sz w:val="32"/>
          <w:szCs w:val="32"/>
          <w:highlight w:val="none"/>
        </w:rPr>
        <w:t>（格式）</w:t>
      </w:r>
    </w:p>
    <w:p w14:paraId="6B3C8F43">
      <w:pPr>
        <w:shd w:val="clear"/>
        <w:spacing w:line="300" w:lineRule="auto"/>
        <w:rPr>
          <w:rFonts w:ascii="宋体" w:hAnsi="宋体" w:cs="宋体"/>
          <w:color w:val="auto"/>
          <w:kern w:val="1"/>
          <w:szCs w:val="21"/>
          <w:highlight w:val="none"/>
        </w:rPr>
      </w:pPr>
    </w:p>
    <w:p w14:paraId="04C9EFB8">
      <w:pPr>
        <w:shd w:val="clea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49FE4935">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7D61796E">
      <w:pPr>
        <w:shd w:val="clear"/>
        <w:spacing w:line="500" w:lineRule="exact"/>
        <w:rPr>
          <w:rFonts w:ascii="宋体" w:hAnsi="宋体" w:cs="宋体"/>
          <w:color w:val="auto"/>
          <w:kern w:val="1"/>
          <w:sz w:val="24"/>
          <w:szCs w:val="24"/>
          <w:highlight w:val="none"/>
        </w:rPr>
      </w:pPr>
    </w:p>
    <w:tbl>
      <w:tblPr>
        <w:tblStyle w:val="61"/>
        <w:tblW w:w="0" w:type="auto"/>
        <w:tblInd w:w="0" w:type="dxa"/>
        <w:tblLayout w:type="fixed"/>
        <w:tblCellMar>
          <w:top w:w="0" w:type="dxa"/>
          <w:left w:w="108" w:type="dxa"/>
          <w:bottom w:w="0" w:type="dxa"/>
          <w:right w:w="108" w:type="dxa"/>
        </w:tblCellMar>
      </w:tblPr>
      <w:tblGrid>
        <w:gridCol w:w="606"/>
        <w:gridCol w:w="2809"/>
        <w:gridCol w:w="2945"/>
        <w:gridCol w:w="1464"/>
        <w:gridCol w:w="1361"/>
      </w:tblGrid>
      <w:tr w14:paraId="18F6CC0E">
        <w:tblPrEx>
          <w:tblCellMar>
            <w:top w:w="0" w:type="dxa"/>
            <w:left w:w="108" w:type="dxa"/>
            <w:bottom w:w="0" w:type="dxa"/>
            <w:right w:w="108" w:type="dxa"/>
          </w:tblCellMar>
        </w:tblPrEx>
        <w:trPr>
          <w:trHeight w:val="420" w:hRule="atLeast"/>
        </w:trPr>
        <w:tc>
          <w:tcPr>
            <w:tcW w:w="606" w:type="dxa"/>
            <w:tcBorders>
              <w:top w:val="single" w:color="000000" w:sz="4" w:space="0"/>
              <w:left w:val="single" w:color="000000" w:sz="4" w:space="0"/>
              <w:bottom w:val="single" w:color="000000" w:sz="6" w:space="0"/>
              <w:right w:val="single" w:color="000000" w:sz="6" w:space="0"/>
            </w:tcBorders>
            <w:noWrap w:val="0"/>
            <w:vAlign w:val="center"/>
          </w:tcPr>
          <w:p w14:paraId="74BFF38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 xml:space="preserve">                     序号</w:t>
            </w:r>
          </w:p>
        </w:tc>
        <w:tc>
          <w:tcPr>
            <w:tcW w:w="2809" w:type="dxa"/>
            <w:tcBorders>
              <w:top w:val="single" w:color="000000" w:sz="4" w:space="0"/>
              <w:left w:val="single" w:color="000000" w:sz="6" w:space="0"/>
              <w:bottom w:val="single" w:color="000000" w:sz="6" w:space="0"/>
              <w:right w:val="single" w:color="000000" w:sz="6" w:space="0"/>
            </w:tcBorders>
            <w:noWrap w:val="0"/>
            <w:vAlign w:val="center"/>
          </w:tcPr>
          <w:p w14:paraId="6FE2DC7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竞争性磋商文件要求</w:t>
            </w:r>
          </w:p>
        </w:tc>
        <w:tc>
          <w:tcPr>
            <w:tcW w:w="2945" w:type="dxa"/>
            <w:tcBorders>
              <w:top w:val="single" w:color="000000" w:sz="4" w:space="0"/>
              <w:left w:val="single" w:color="000000" w:sz="6" w:space="0"/>
              <w:bottom w:val="single" w:color="000000" w:sz="6" w:space="0"/>
              <w:right w:val="single" w:color="000000" w:sz="6" w:space="0"/>
            </w:tcBorders>
            <w:noWrap w:val="0"/>
            <w:vAlign w:val="center"/>
          </w:tcPr>
          <w:p w14:paraId="51DFCCE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竞争性磋商响应文件具体响应</w:t>
            </w:r>
          </w:p>
        </w:tc>
        <w:tc>
          <w:tcPr>
            <w:tcW w:w="1464" w:type="dxa"/>
            <w:tcBorders>
              <w:top w:val="single" w:color="000000" w:sz="4" w:space="0"/>
              <w:left w:val="single" w:color="000000" w:sz="6" w:space="0"/>
              <w:bottom w:val="single" w:color="000000" w:sz="6" w:space="0"/>
              <w:right w:val="single" w:color="000000" w:sz="6" w:space="0"/>
            </w:tcBorders>
            <w:noWrap w:val="0"/>
            <w:vAlign w:val="center"/>
          </w:tcPr>
          <w:p w14:paraId="2EB445B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响应/偏离</w:t>
            </w:r>
          </w:p>
        </w:tc>
        <w:tc>
          <w:tcPr>
            <w:tcW w:w="1361" w:type="dxa"/>
            <w:tcBorders>
              <w:top w:val="single" w:color="000000" w:sz="4" w:space="0"/>
              <w:left w:val="single" w:color="000000" w:sz="6" w:space="0"/>
              <w:bottom w:val="single" w:color="000000" w:sz="6" w:space="0"/>
              <w:right w:val="single" w:color="000000" w:sz="4" w:space="0"/>
            </w:tcBorders>
            <w:noWrap w:val="0"/>
            <w:vAlign w:val="center"/>
          </w:tcPr>
          <w:p w14:paraId="0B1E52F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说明</w:t>
            </w:r>
          </w:p>
        </w:tc>
      </w:tr>
      <w:tr w14:paraId="4E380F11">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5DD6AA1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商务部分</w:t>
            </w:r>
          </w:p>
        </w:tc>
      </w:tr>
      <w:tr w14:paraId="160C71BF">
        <w:tblPrEx>
          <w:tblCellMar>
            <w:top w:w="0" w:type="dxa"/>
            <w:left w:w="108" w:type="dxa"/>
            <w:bottom w:w="0" w:type="dxa"/>
            <w:right w:w="108" w:type="dxa"/>
          </w:tblCellMar>
        </w:tblPrEx>
        <w:trPr>
          <w:trHeight w:val="20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646F30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5A15937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24DDB41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3435B3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095E6661">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3CEEA24">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D9A3451">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FAF00F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E2102D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90BEB0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42CF126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4C1D4C6C">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BC6E91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10F6B388">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3D2E3AB5">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75323CA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5BD37A7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0C1E3CF8">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323873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66D6542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59B3F6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384AE1B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649E8BA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E70FCA0">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2648C9E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服务（技术）部分</w:t>
            </w:r>
          </w:p>
        </w:tc>
      </w:tr>
      <w:tr w14:paraId="35E5AFB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0DB803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DF8C58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0D9FD4B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3D3C65A">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2380AC6">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A445D5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47BA5E0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2393B0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4C56A4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488BC786">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26B64C1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2E61115F">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2BBF723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B19A21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326E75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F14F50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358F0E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7080AA73">
        <w:tblPrEx>
          <w:tblCellMar>
            <w:top w:w="0" w:type="dxa"/>
            <w:left w:w="108" w:type="dxa"/>
            <w:bottom w:w="0" w:type="dxa"/>
            <w:right w:w="108" w:type="dxa"/>
          </w:tblCellMar>
        </w:tblPrEx>
        <w:trPr>
          <w:trHeight w:val="190" w:hRule="atLeast"/>
        </w:trPr>
        <w:tc>
          <w:tcPr>
            <w:tcW w:w="606" w:type="dxa"/>
            <w:tcBorders>
              <w:top w:val="single" w:color="000000" w:sz="6" w:space="0"/>
              <w:left w:val="single" w:color="000000" w:sz="4" w:space="0"/>
              <w:bottom w:val="single" w:color="000000" w:sz="4" w:space="0"/>
              <w:right w:val="single" w:color="000000" w:sz="6" w:space="0"/>
            </w:tcBorders>
            <w:noWrap w:val="0"/>
            <w:vAlign w:val="center"/>
          </w:tcPr>
          <w:p w14:paraId="1AECAEA9">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4" w:space="0"/>
              <w:right w:val="single" w:color="000000" w:sz="6" w:space="0"/>
            </w:tcBorders>
            <w:noWrap w:val="0"/>
            <w:vAlign w:val="center"/>
          </w:tcPr>
          <w:p w14:paraId="2C40F4B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4" w:space="0"/>
              <w:right w:val="single" w:color="000000" w:sz="6" w:space="0"/>
            </w:tcBorders>
            <w:noWrap w:val="0"/>
            <w:vAlign w:val="center"/>
          </w:tcPr>
          <w:p w14:paraId="2633EF89">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4" w:space="0"/>
              <w:right w:val="single" w:color="000000" w:sz="4" w:space="0"/>
            </w:tcBorders>
            <w:noWrap w:val="0"/>
            <w:vAlign w:val="center"/>
          </w:tcPr>
          <w:p w14:paraId="0892CA6D">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4" w:space="0"/>
              <w:bottom w:val="single" w:color="000000" w:sz="4" w:space="0"/>
              <w:right w:val="single" w:color="000000" w:sz="4" w:space="0"/>
            </w:tcBorders>
            <w:noWrap w:val="0"/>
            <w:vAlign w:val="center"/>
          </w:tcPr>
          <w:p w14:paraId="5C416D15">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bl>
    <w:p w14:paraId="3711A693">
      <w:pPr>
        <w:shd w:val="clear"/>
        <w:spacing w:line="360" w:lineRule="exact"/>
        <w:rPr>
          <w:rFonts w:ascii="宋体" w:hAnsi="宋体" w:cs="宋体"/>
          <w:color w:val="auto"/>
          <w:kern w:val="1"/>
          <w:sz w:val="24"/>
          <w:szCs w:val="24"/>
          <w:highlight w:val="none"/>
        </w:rPr>
      </w:pPr>
      <w:r>
        <w:rPr>
          <w:rFonts w:ascii="宋体" w:hAnsi="宋体" w:cs="宋体"/>
          <w:color w:val="auto"/>
          <w:kern w:val="1"/>
          <w:sz w:val="24"/>
          <w:szCs w:val="24"/>
          <w:highlight w:val="none"/>
        </w:rPr>
        <w:t>说明：1.应写明竞争性磋商响应文件对商务与服务技术要求的响应和偏离情况</w:t>
      </w:r>
      <w:r>
        <w:rPr>
          <w:rFonts w:ascii="宋体" w:hAnsi="宋体" w:cs="宋体"/>
          <w:bCs/>
          <w:color w:val="auto"/>
          <w:kern w:val="1"/>
          <w:sz w:val="24"/>
          <w:szCs w:val="24"/>
          <w:highlight w:val="none"/>
        </w:rPr>
        <w:t>；</w:t>
      </w:r>
    </w:p>
    <w:p w14:paraId="56215F2F">
      <w:pPr>
        <w:shd w:val="clear"/>
        <w:spacing w:line="360" w:lineRule="exact"/>
        <w:ind w:firstLine="630"/>
        <w:rPr>
          <w:rFonts w:ascii="宋体" w:hAnsi="宋体" w:cs="宋体"/>
          <w:color w:val="auto"/>
          <w:kern w:val="1"/>
          <w:sz w:val="24"/>
          <w:szCs w:val="24"/>
          <w:highlight w:val="none"/>
        </w:rPr>
      </w:pPr>
      <w:r>
        <w:rPr>
          <w:rFonts w:ascii="宋体" w:hAnsi="宋体" w:cs="宋体"/>
          <w:color w:val="auto"/>
          <w:kern w:val="1"/>
          <w:sz w:val="24"/>
          <w:szCs w:val="24"/>
          <w:highlight w:val="none"/>
        </w:rPr>
        <w:t>2.应对照竞争性磋商文件“第</w:t>
      </w:r>
      <w:r>
        <w:rPr>
          <w:rFonts w:hint="eastAsia" w:ascii="宋体" w:hAnsi="宋体" w:cs="宋体"/>
          <w:color w:val="auto"/>
          <w:kern w:val="1"/>
          <w:sz w:val="24"/>
          <w:szCs w:val="24"/>
          <w:highlight w:val="none"/>
          <w:lang w:val="en-US" w:eastAsia="zh-CN"/>
        </w:rPr>
        <w:t>四部分</w:t>
      </w:r>
      <w:r>
        <w:rPr>
          <w:rFonts w:ascii="宋体" w:hAnsi="宋体" w:cs="宋体"/>
          <w:color w:val="auto"/>
          <w:kern w:val="1"/>
          <w:sz w:val="24"/>
          <w:szCs w:val="24"/>
          <w:highlight w:val="none"/>
        </w:rPr>
        <w:t xml:space="preserve">  </w:t>
      </w:r>
      <w:r>
        <w:rPr>
          <w:rFonts w:hint="eastAsia" w:ascii="宋体" w:hAnsi="宋体" w:cs="宋体"/>
          <w:color w:val="auto"/>
          <w:kern w:val="1"/>
          <w:sz w:val="24"/>
          <w:szCs w:val="24"/>
          <w:highlight w:val="none"/>
          <w:lang w:val="en-US" w:eastAsia="zh-CN"/>
        </w:rPr>
        <w:t>采购</w:t>
      </w:r>
      <w:r>
        <w:rPr>
          <w:rFonts w:ascii="宋体" w:hAnsi="宋体" w:cs="宋体"/>
          <w:color w:val="auto"/>
          <w:kern w:val="1"/>
          <w:sz w:val="24"/>
          <w:szCs w:val="24"/>
          <w:highlight w:val="none"/>
        </w:rPr>
        <w:t>需求”，逐条说明所提供服务已对竞争性磋商文件的商务、服务、技术要求做出了实质性的响应，并申明与采购项目要求的响应和偏离。特别对有具体商务、服务、技术要求的，磋商供应商必须提供对应的详细应答。如果仅注明“符合”、“满足”或简单复制竞争性磋商文件要求，将导致磋商被拒绝。</w:t>
      </w:r>
    </w:p>
    <w:p w14:paraId="15CD6F23">
      <w:pPr>
        <w:shd w:val="clear"/>
        <w:spacing w:line="360" w:lineRule="exact"/>
        <w:rPr>
          <w:rFonts w:ascii="宋体" w:hAnsi="宋体" w:cs="Courier New"/>
          <w:color w:val="auto"/>
          <w:kern w:val="1"/>
          <w:sz w:val="24"/>
          <w:szCs w:val="24"/>
          <w:highlight w:val="none"/>
        </w:rPr>
      </w:pPr>
    </w:p>
    <w:p w14:paraId="2CF7E5CF">
      <w:pPr>
        <w:shd w:val="clea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72CBE8B9">
      <w:pPr>
        <w:shd w:val="clea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12B8A72">
      <w:pPr>
        <w:shd w:val="clea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70A69242">
      <w:pPr>
        <w:shd w:val="clear"/>
        <w:spacing w:line="360" w:lineRule="exact"/>
        <w:ind w:firstLine="6720"/>
        <w:rPr>
          <w:rFonts w:ascii="宋体" w:hAnsi="宋体" w:cs="Courier New"/>
          <w:color w:val="auto"/>
          <w:kern w:val="1"/>
          <w:szCs w:val="21"/>
          <w:highlight w:val="none"/>
        </w:rPr>
      </w:pPr>
    </w:p>
    <w:p w14:paraId="746F4E2B">
      <w:pPr>
        <w:shd w:val="clear"/>
        <w:spacing w:line="300" w:lineRule="auto"/>
        <w:rPr>
          <w:color w:val="auto"/>
          <w:kern w:val="1"/>
          <w:highlight w:val="none"/>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720" w:num="1"/>
          <w:titlePg/>
          <w:rtlGutter w:val="0"/>
        </w:sectPr>
      </w:pPr>
    </w:p>
    <w:p w14:paraId="34A3783F">
      <w:pPr>
        <w:shd w:val="clear"/>
        <w:spacing w:line="520" w:lineRule="exact"/>
        <w:jc w:val="center"/>
        <w:rPr>
          <w:rFonts w:hint="default" w:ascii="仿宋_GB2312" w:hAnsi="仿宋_GB2312" w:eastAsia="宋体" w:cs="仿宋_GB2312"/>
          <w:color w:val="auto"/>
          <w:sz w:val="32"/>
          <w:szCs w:val="32"/>
          <w:highlight w:val="none"/>
          <w:lang w:val="en-US" w:eastAsia="zh-CN"/>
        </w:rPr>
      </w:pPr>
      <w:r>
        <w:rPr>
          <w:rFonts w:hint="eastAsia" w:ascii="宋体" w:hAnsi="宋体" w:eastAsia="宋体" w:cs="宋体"/>
          <w:b/>
          <w:bCs w:val="0"/>
          <w:color w:val="auto"/>
          <w:sz w:val="32"/>
          <w:szCs w:val="32"/>
          <w:highlight w:val="none"/>
        </w:rPr>
        <w:t>法定代表人证明书（格式）</w:t>
      </w:r>
    </w:p>
    <w:p w14:paraId="632E571F">
      <w:pPr>
        <w:shd w:val="clear"/>
        <w:spacing w:line="360" w:lineRule="auto"/>
        <w:ind w:left="540"/>
        <w:contextualSpacing/>
        <w:rPr>
          <w:rFonts w:ascii="仿宋_GB2312" w:hAnsi="仿宋_GB2312" w:eastAsia="仿宋_GB2312" w:cs="仿宋_GB2312"/>
          <w:color w:val="auto"/>
          <w:sz w:val="32"/>
          <w:szCs w:val="32"/>
          <w:highlight w:val="none"/>
        </w:rPr>
      </w:pPr>
    </w:p>
    <w:p w14:paraId="013EAEEB">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w:t>
      </w:r>
      <w:r>
        <w:rPr>
          <w:rFonts w:hint="eastAsia" w:ascii="宋体" w:hAnsi="宋体" w:eastAsia="宋体" w:cs="仿宋_GB2312"/>
          <w:color w:val="auto"/>
          <w:sz w:val="24"/>
          <w:highlight w:val="none"/>
          <w:u w:val="single"/>
        </w:rPr>
        <w:t xml:space="preserve">                                                        </w:t>
      </w:r>
    </w:p>
    <w:p w14:paraId="3F9D22B3">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地    址：</w:t>
      </w:r>
      <w:r>
        <w:rPr>
          <w:rFonts w:hint="eastAsia" w:ascii="宋体" w:hAnsi="宋体" w:eastAsia="宋体" w:cs="仿宋_GB2312"/>
          <w:color w:val="auto"/>
          <w:sz w:val="24"/>
          <w:highlight w:val="none"/>
          <w:u w:val="single"/>
        </w:rPr>
        <w:t xml:space="preserve">                                                        </w:t>
      </w:r>
    </w:p>
    <w:p w14:paraId="05130FFD">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姓    名：</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性     别：</w:t>
      </w:r>
      <w:r>
        <w:rPr>
          <w:rFonts w:hint="eastAsia" w:ascii="宋体" w:hAnsi="宋体" w:eastAsia="宋体" w:cs="仿宋_GB2312"/>
          <w:color w:val="auto"/>
          <w:sz w:val="24"/>
          <w:highlight w:val="none"/>
          <w:u w:val="single"/>
        </w:rPr>
        <w:t xml:space="preserve">                </w:t>
      </w:r>
    </w:p>
    <w:p w14:paraId="1BCFC89F">
      <w:pPr>
        <w:shd w:val="clear"/>
        <w:spacing w:line="360" w:lineRule="auto"/>
        <w:ind w:left="540"/>
        <w:contextualSpacing/>
        <w:rPr>
          <w:rFonts w:ascii="宋体" w:hAnsi="宋体" w:eastAsia="宋体" w:cs="仿宋_GB2312"/>
          <w:color w:val="auto"/>
          <w:sz w:val="24"/>
          <w:highlight w:val="none"/>
          <w:u w:val="single"/>
        </w:rPr>
      </w:pPr>
      <w:r>
        <w:rPr>
          <w:rFonts w:hint="eastAsia" w:ascii="宋体" w:hAnsi="宋体" w:eastAsia="宋体" w:cs="仿宋_GB2312"/>
          <w:color w:val="auto"/>
          <w:sz w:val="24"/>
          <w:highlight w:val="none"/>
        </w:rPr>
        <w:t>年    龄：</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职     务：</w:t>
      </w:r>
      <w:r>
        <w:rPr>
          <w:rFonts w:hint="eastAsia" w:ascii="宋体" w:hAnsi="宋体" w:eastAsia="宋体" w:cs="仿宋_GB2312"/>
          <w:color w:val="auto"/>
          <w:sz w:val="24"/>
          <w:highlight w:val="none"/>
          <w:u w:val="single"/>
        </w:rPr>
        <w:t xml:space="preserve">                </w:t>
      </w:r>
    </w:p>
    <w:p w14:paraId="132A8487">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身份证号码：</w:t>
      </w:r>
      <w:r>
        <w:rPr>
          <w:rFonts w:hint="eastAsia" w:ascii="宋体" w:hAnsi="宋体" w:eastAsia="宋体" w:cs="仿宋_GB2312"/>
          <w:color w:val="auto"/>
          <w:sz w:val="24"/>
          <w:highlight w:val="none"/>
          <w:u w:val="single"/>
        </w:rPr>
        <w:t xml:space="preserve">                                        </w:t>
      </w:r>
    </w:p>
    <w:p w14:paraId="7BD3DCD6">
      <w:pPr>
        <w:shd w:val="clear"/>
        <w:spacing w:line="360" w:lineRule="auto"/>
        <w:ind w:firstLine="480" w:firstLineChars="2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系</w:t>
      </w:r>
      <w:r>
        <w:rPr>
          <w:rFonts w:hint="eastAsia" w:ascii="宋体" w:hAnsi="宋体" w:eastAsia="宋体" w:cs="仿宋_GB2312"/>
          <w:color w:val="auto"/>
          <w:sz w:val="24"/>
          <w:highlight w:val="none"/>
          <w:u w:val="single"/>
        </w:rPr>
        <w:t>（供应商名称）</w:t>
      </w:r>
      <w:r>
        <w:rPr>
          <w:rFonts w:hint="eastAsia" w:ascii="宋体" w:hAnsi="宋体" w:eastAsia="宋体" w:cs="仿宋_GB2312"/>
          <w:color w:val="auto"/>
          <w:sz w:val="24"/>
          <w:highlight w:val="none"/>
        </w:rPr>
        <w:t>的法定代表人。</w:t>
      </w:r>
    </w:p>
    <w:p w14:paraId="6CE7A841">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特此证明。</w:t>
      </w:r>
    </w:p>
    <w:p w14:paraId="672AB88D">
      <w:pPr>
        <w:shd w:val="clear"/>
        <w:spacing w:line="360" w:lineRule="auto"/>
        <w:ind w:left="540"/>
        <w:contextualSpacing/>
        <w:rPr>
          <w:rFonts w:ascii="宋体" w:hAnsi="宋体" w:eastAsia="宋体" w:cs="仿宋_GB2312"/>
          <w:color w:val="auto"/>
          <w:sz w:val="24"/>
          <w:highlight w:val="none"/>
        </w:rPr>
      </w:pPr>
    </w:p>
    <w:p w14:paraId="00A85B72">
      <w:pPr>
        <w:shd w:val="clear"/>
        <w:spacing w:line="360" w:lineRule="auto"/>
        <w:ind w:left="540"/>
        <w:contextualSpacing/>
        <w:rPr>
          <w:rFonts w:ascii="宋体" w:hAnsi="宋体" w:eastAsia="宋体" w:cs="仿宋_GB2312"/>
          <w:color w:val="auto"/>
          <w:sz w:val="24"/>
          <w:highlight w:val="none"/>
        </w:rPr>
      </w:pPr>
    </w:p>
    <w:p w14:paraId="3BAA90E8">
      <w:pPr>
        <w:shd w:val="clear"/>
        <w:spacing w:line="360" w:lineRule="auto"/>
        <w:ind w:left="540"/>
        <w:contextualSpacing/>
        <w:rPr>
          <w:rFonts w:ascii="宋体" w:hAnsi="宋体" w:eastAsia="宋体" w:cs="仿宋_GB2312"/>
          <w:color w:val="auto"/>
          <w:sz w:val="24"/>
          <w:highlight w:val="none"/>
        </w:rPr>
      </w:pPr>
    </w:p>
    <w:p w14:paraId="393C44DA">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附件：法定代表人有效身份证正反面复印件</w:t>
      </w:r>
    </w:p>
    <w:p w14:paraId="2F901948">
      <w:pPr>
        <w:shd w:val="clear"/>
        <w:spacing w:line="360" w:lineRule="auto"/>
        <w:ind w:left="540"/>
        <w:contextualSpacing/>
        <w:rPr>
          <w:rFonts w:ascii="宋体" w:hAnsi="宋体" w:eastAsia="宋体" w:cs="仿宋_GB2312"/>
          <w:color w:val="auto"/>
          <w:sz w:val="24"/>
          <w:highlight w:val="none"/>
        </w:rPr>
      </w:pPr>
    </w:p>
    <w:p w14:paraId="7B44B548">
      <w:pPr>
        <w:shd w:val="clear"/>
        <w:spacing w:line="360" w:lineRule="auto"/>
        <w:ind w:left="540"/>
        <w:contextualSpacing/>
        <w:jc w:val="right"/>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供应商名称（电子签章）：</w:t>
      </w:r>
      <w:r>
        <w:rPr>
          <w:rFonts w:hint="eastAsia" w:ascii="宋体" w:hAnsi="宋体" w:eastAsia="宋体" w:cs="仿宋_GB2312"/>
          <w:color w:val="auto"/>
          <w:sz w:val="24"/>
          <w:highlight w:val="none"/>
          <w:u w:val="single"/>
        </w:rPr>
        <w:t xml:space="preserve">               </w:t>
      </w:r>
    </w:p>
    <w:p w14:paraId="314ED7A8">
      <w:pPr>
        <w:shd w:val="clear"/>
        <w:spacing w:line="360" w:lineRule="auto"/>
        <w:ind w:firstLine="4080" w:firstLineChars="17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年</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月</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日</w:t>
      </w:r>
    </w:p>
    <w:p w14:paraId="775DF090">
      <w:pPr>
        <w:shd w:val="clear"/>
        <w:spacing w:line="360" w:lineRule="auto"/>
        <w:contextualSpacing/>
        <w:jc w:val="center"/>
        <w:rPr>
          <w:rFonts w:ascii="宋体" w:hAnsi="宋体" w:eastAsia="宋体" w:cs="仿宋_GB2312"/>
          <w:b/>
          <w:color w:val="auto"/>
          <w:sz w:val="24"/>
          <w:highlight w:val="none"/>
        </w:rPr>
      </w:pPr>
    </w:p>
    <w:p w14:paraId="362D6D4C">
      <w:pPr>
        <w:shd w:val="clear"/>
        <w:spacing w:line="360" w:lineRule="auto"/>
        <w:contextualSpacing/>
        <w:jc w:val="left"/>
        <w:rPr>
          <w:rFonts w:ascii="宋体" w:hAnsi="宋体" w:eastAsia="宋体" w:cs="仿宋_GB2312"/>
          <w:color w:val="auto"/>
          <w:sz w:val="24"/>
          <w:highlight w:val="none"/>
        </w:rPr>
      </w:pPr>
    </w:p>
    <w:p w14:paraId="00128237">
      <w:pPr>
        <w:shd w:val="clear"/>
        <w:spacing w:line="360" w:lineRule="auto"/>
        <w:contextualSpacing/>
        <w:jc w:val="left"/>
        <w:rPr>
          <w:rFonts w:ascii="宋体" w:hAnsi="宋体" w:eastAsia="宋体" w:cs="仿宋_GB2312"/>
          <w:color w:val="auto"/>
          <w:sz w:val="24"/>
          <w:highlight w:val="none"/>
        </w:rPr>
      </w:pPr>
      <w:r>
        <w:rPr>
          <w:rFonts w:hint="eastAsia" w:ascii="宋体" w:hAnsi="宋体" w:eastAsia="宋体" w:cs="仿宋_GB2312"/>
          <w:color w:val="auto"/>
          <w:sz w:val="24"/>
          <w:highlight w:val="none"/>
        </w:rPr>
        <w:t>注：自然人竞标的无需提供，联合体竞标的只需牵头人出具。</w:t>
      </w:r>
    </w:p>
    <w:p w14:paraId="7BF7C750">
      <w:pPr>
        <w:shd w:val="clear"/>
        <w:adjustRightInd w:val="0"/>
        <w:snapToGrid w:val="0"/>
        <w:spacing w:line="300" w:lineRule="auto"/>
        <w:jc w:val="left"/>
        <w:rPr>
          <w:rFonts w:ascii="宋体" w:hAnsi="宋体" w:eastAsia="宋体" w:cs="Times New Roman"/>
          <w:b/>
          <w:color w:val="auto"/>
          <w:szCs w:val="21"/>
          <w:highlight w:val="none"/>
        </w:rPr>
      </w:pPr>
    </w:p>
    <w:p w14:paraId="429BBA7D">
      <w:pPr>
        <w:shd w:val="clea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749AFC90">
      <w:pPr>
        <w:shd w:val="clear"/>
        <w:snapToGrid w:val="0"/>
        <w:spacing w:line="360" w:lineRule="auto"/>
        <w:ind w:firstLine="2872" w:firstLineChars="894"/>
        <w:rPr>
          <w:rFonts w:ascii="宋体" w:hAnsi="宋体" w:cs="宋体"/>
          <w:color w:val="auto"/>
          <w:highlight w:val="none"/>
        </w:rPr>
      </w:pPr>
      <w:bookmarkStart w:id="160" w:name="_Hlk65853542"/>
      <w:r>
        <w:rPr>
          <w:rFonts w:hint="eastAsia" w:ascii="宋体" w:hAnsi="宋体" w:cs="宋体"/>
          <w:b/>
          <w:color w:val="auto"/>
          <w:kern w:val="0"/>
          <w:sz w:val="32"/>
          <w:szCs w:val="32"/>
          <w:highlight w:val="none"/>
          <w:lang w:val="zh-CN"/>
        </w:rPr>
        <w:t>授权委托书</w:t>
      </w:r>
      <w:r>
        <w:rPr>
          <w:rFonts w:hint="eastAsia" w:ascii="宋体" w:hAnsi="宋体" w:cs="宋体"/>
          <w:color w:val="auto"/>
          <w:highlight w:val="none"/>
        </w:rPr>
        <w:t xml:space="preserve">                              </w:t>
      </w:r>
    </w:p>
    <w:p w14:paraId="073BE341">
      <w:pPr>
        <w:shd w:val="clea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40B026DA">
      <w:pPr>
        <w:shd w:val="clea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政府采购磋商的一切事项，其法律后果由我方承担。</w:t>
      </w:r>
    </w:p>
    <w:p w14:paraId="100AB008">
      <w:pPr>
        <w:shd w:val="clea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294CF89F">
      <w:pPr>
        <w:shd w:val="clea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50E4725E">
      <w:pPr>
        <w:shd w:val="clea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磋商供应商名称（公章）：</w:t>
      </w:r>
    </w:p>
    <w:p w14:paraId="3E4A99F4">
      <w:pPr>
        <w:shd w:val="clea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14:paraId="5D08F050">
      <w:pPr>
        <w:shd w:val="clea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3DF6D335">
      <w:pPr>
        <w:shd w:val="clear"/>
        <w:adjustRightInd/>
        <w:spacing w:line="360" w:lineRule="auto"/>
        <w:rPr>
          <w:rFonts w:ascii="宋体" w:hAnsi="宋体"/>
          <w:color w:val="auto"/>
          <w:sz w:val="24"/>
          <w:szCs w:val="21"/>
          <w:highlight w:val="none"/>
        </w:rPr>
      </w:pPr>
    </w:p>
    <w:p w14:paraId="0D26181E">
      <w:pPr>
        <w:shd w:val="clea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85E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6C4E286">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29507249">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1E46A95A">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65DED08C">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0E6B4FD8">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3C4D20BE">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tc>
      </w:tr>
    </w:tbl>
    <w:p w14:paraId="7577A7BA">
      <w:pPr>
        <w:shd w:val="clear"/>
        <w:rPr>
          <w:rFonts w:ascii="宋体" w:hAnsi="宋体" w:eastAsia="宋体" w:cs="仿宋_GB2312"/>
          <w:color w:val="auto"/>
          <w:sz w:val="24"/>
          <w:highlight w:val="none"/>
        </w:rPr>
      </w:pPr>
    </w:p>
    <w:p w14:paraId="32E71A78">
      <w:pPr>
        <w:shd w:val="clear"/>
        <w:rPr>
          <w:rFonts w:hint="eastAsia" w:ascii="宋体" w:hAnsi="宋体" w:cs="宋体"/>
          <w:color w:val="auto"/>
          <w:kern w:val="0"/>
          <w:sz w:val="24"/>
          <w:highlight w:val="none"/>
        </w:rPr>
      </w:pPr>
      <w:r>
        <w:rPr>
          <w:rFonts w:hint="eastAsia" w:ascii="宋体" w:hAnsi="宋体" w:cs="宋体"/>
          <w:color w:val="auto"/>
          <w:kern w:val="0"/>
          <w:sz w:val="24"/>
          <w:highlight w:val="none"/>
        </w:rPr>
        <w:br w:type="page"/>
      </w:r>
    </w:p>
    <w:p w14:paraId="4C483700">
      <w:pPr>
        <w:shd w:val="clear"/>
        <w:spacing w:line="52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lang w:val="en-US" w:eastAsia="zh-CN"/>
        </w:rPr>
        <w:t>人员</w:t>
      </w:r>
      <w:r>
        <w:rPr>
          <w:rFonts w:hint="eastAsia" w:ascii="宋体" w:hAnsi="宋体" w:eastAsia="宋体" w:cs="宋体"/>
          <w:b/>
          <w:bCs w:val="0"/>
          <w:color w:val="auto"/>
          <w:sz w:val="32"/>
          <w:szCs w:val="32"/>
          <w:highlight w:val="none"/>
        </w:rPr>
        <w:t>配备情况表（格式）</w:t>
      </w:r>
    </w:p>
    <w:p w14:paraId="760DC690">
      <w:pPr>
        <w:widowControl w:val="0"/>
        <w:shd w:val="clear"/>
        <w:jc w:val="both"/>
        <w:rPr>
          <w:rFonts w:ascii="Times New Roman" w:hAnsi="Times New Roman" w:eastAsia="宋体" w:cs="Times New Roman"/>
          <w:color w:val="auto"/>
          <w:kern w:val="2"/>
          <w:sz w:val="21"/>
          <w:szCs w:val="24"/>
          <w:highlight w:val="none"/>
          <w:u w:val="single"/>
          <w:lang w:val="en-US" w:eastAsia="zh-CN" w:bidi="ar-SA"/>
        </w:rPr>
      </w:pPr>
    </w:p>
    <w:p w14:paraId="4806C90B">
      <w:pPr>
        <w:widowControl w:val="0"/>
        <w:shd w:val="clear"/>
        <w:jc w:val="both"/>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4"/>
          <w:highlight w:val="none"/>
          <w:u w:val="single"/>
          <w:lang w:val="en-US" w:eastAsia="zh-CN" w:bidi="ar-SA"/>
        </w:rPr>
        <w:t xml:space="preserve">       </w:t>
      </w:r>
      <w:r>
        <w:rPr>
          <w:rFonts w:hint="eastAsia" w:ascii="Times New Roman" w:hAnsi="Times New Roman" w:eastAsia="宋体" w:cs="Times New Roman"/>
          <w:color w:val="auto"/>
          <w:kern w:val="2"/>
          <w:sz w:val="21"/>
          <w:szCs w:val="24"/>
          <w:highlight w:val="none"/>
          <w:u w:val="single"/>
          <w:lang w:val="en-US" w:eastAsia="zh-CN" w:bidi="ar-SA"/>
        </w:rPr>
        <w:t>（项目名称）</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Times New Roman" w:eastAsia="宋体" w:cs="Times New Roman"/>
          <w:color w:val="auto"/>
          <w:kern w:val="2"/>
          <w:sz w:val="21"/>
          <w:szCs w:val="24"/>
          <w:highlight w:val="none"/>
          <w:lang w:val="en-US" w:eastAsia="zh-CN" w:bidi="ar-SA"/>
        </w:rPr>
        <w:t xml:space="preserve"> </w:t>
      </w:r>
    </w:p>
    <w:p w14:paraId="2D5465BE">
      <w:pPr>
        <w:widowControl w:val="0"/>
        <w:shd w:val="clear"/>
        <w:jc w:val="both"/>
        <w:rPr>
          <w:rFonts w:ascii="Times New Roman" w:hAnsi="Times New Roman" w:eastAsia="宋体" w:cs="Times New Roman"/>
          <w:color w:val="auto"/>
          <w:kern w:val="2"/>
          <w:sz w:val="21"/>
          <w:szCs w:val="24"/>
          <w:highlight w:val="none"/>
          <w:lang w:val="en-US" w:eastAsia="zh-CN" w:bidi="ar-SA"/>
        </w:rPr>
      </w:pPr>
    </w:p>
    <w:tbl>
      <w:tblPr>
        <w:tblStyle w:val="61"/>
        <w:tblW w:w="8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368"/>
        <w:gridCol w:w="1936"/>
        <w:gridCol w:w="2198"/>
      </w:tblGrid>
      <w:tr w14:paraId="20D3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blHeader/>
          <w:jc w:val="center"/>
        </w:trPr>
        <w:tc>
          <w:tcPr>
            <w:tcW w:w="2096" w:type="dxa"/>
            <w:vMerge w:val="restart"/>
            <w:noWrap w:val="0"/>
            <w:vAlign w:val="center"/>
          </w:tcPr>
          <w:p w14:paraId="64B03479">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岗位</w:t>
            </w:r>
          </w:p>
        </w:tc>
        <w:tc>
          <w:tcPr>
            <w:tcW w:w="2368" w:type="dxa"/>
            <w:vMerge w:val="restart"/>
            <w:noWrap w:val="0"/>
            <w:vAlign w:val="center"/>
          </w:tcPr>
          <w:p w14:paraId="6FE33F5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姓名</w:t>
            </w:r>
          </w:p>
        </w:tc>
        <w:tc>
          <w:tcPr>
            <w:tcW w:w="1936" w:type="dxa"/>
            <w:vMerge w:val="restart"/>
            <w:noWrap w:val="0"/>
            <w:vAlign w:val="center"/>
          </w:tcPr>
          <w:p w14:paraId="6939FC2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eastAsia" w:eastAsia="宋体"/>
                <w:b/>
                <w:color w:val="auto"/>
                <w:highlight w:val="none"/>
                <w:lang w:eastAsia="zh-CN"/>
              </w:rPr>
            </w:pPr>
            <w:r>
              <w:rPr>
                <w:rFonts w:hint="eastAsia"/>
                <w:b/>
                <w:color w:val="auto"/>
                <w:highlight w:val="none"/>
                <w:lang w:val="en-US" w:eastAsia="zh-CN"/>
              </w:rPr>
              <w:t>证书名称</w:t>
            </w:r>
          </w:p>
        </w:tc>
        <w:tc>
          <w:tcPr>
            <w:tcW w:w="2198" w:type="dxa"/>
            <w:vMerge w:val="restart"/>
            <w:noWrap w:val="0"/>
            <w:vAlign w:val="center"/>
          </w:tcPr>
          <w:p w14:paraId="2108B41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eastAsia="宋体"/>
                <w:b/>
                <w:color w:val="auto"/>
                <w:highlight w:val="none"/>
                <w:lang w:val="en-US" w:eastAsia="zh-CN"/>
              </w:rPr>
            </w:pPr>
            <w:r>
              <w:rPr>
                <w:rFonts w:hint="eastAsia" w:ascii="Times New Roman" w:eastAsia="宋体"/>
                <w:b/>
                <w:color w:val="auto"/>
                <w:highlight w:val="none"/>
                <w:lang w:val="en-US" w:eastAsia="zh-CN"/>
              </w:rPr>
              <w:t>从业年限</w:t>
            </w:r>
          </w:p>
        </w:tc>
      </w:tr>
      <w:tr w14:paraId="72D3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2096" w:type="dxa"/>
            <w:vMerge w:val="continue"/>
            <w:noWrap w:val="0"/>
            <w:vAlign w:val="center"/>
          </w:tcPr>
          <w:p w14:paraId="79DE3DD7">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368" w:type="dxa"/>
            <w:vMerge w:val="continue"/>
            <w:noWrap w:val="0"/>
            <w:vAlign w:val="center"/>
          </w:tcPr>
          <w:p w14:paraId="150E01E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1936" w:type="dxa"/>
            <w:vMerge w:val="continue"/>
            <w:noWrap w:val="0"/>
            <w:vAlign w:val="center"/>
          </w:tcPr>
          <w:p w14:paraId="20910E09">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198" w:type="dxa"/>
            <w:vMerge w:val="continue"/>
            <w:noWrap w:val="0"/>
            <w:vAlign w:val="center"/>
          </w:tcPr>
          <w:p w14:paraId="11BA50A7">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r>
      <w:tr w14:paraId="3555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22139886">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F5EDDD">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70D0F4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05F560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7706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4944E65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5108FAC0">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1DC92AA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461E8F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ED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66496296">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10F4166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DEE74C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29CAFC92">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AB1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14D9289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64887C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7A334B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CFAFE7A">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6C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5F9203A2">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0556F35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1748AE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85108A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546A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6942E4DE">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236EED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CEB1ACD">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5257E81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E34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096" w:type="dxa"/>
            <w:noWrap w:val="0"/>
            <w:vAlign w:val="center"/>
          </w:tcPr>
          <w:p w14:paraId="5A4D221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13DBC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5D17D9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4DF0F7FA">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bl>
    <w:p w14:paraId="0D2710A9">
      <w:pPr>
        <w:shd w:val="clear"/>
        <w:adjustRightInd/>
        <w:spacing w:line="360" w:lineRule="auto"/>
        <w:contextualSpacing/>
        <w:rPr>
          <w:rFonts w:ascii="宋体" w:hAnsi="宋体"/>
          <w:color w:val="auto"/>
          <w:sz w:val="24"/>
          <w:highlight w:val="none"/>
        </w:rPr>
      </w:pPr>
    </w:p>
    <w:p w14:paraId="68941B9F">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磋商供应商（公章）：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0FCA19B">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olor w:val="auto"/>
          <w:sz w:val="24"/>
          <w:highlight w:val="none"/>
        </w:rPr>
        <w:t>签字或者盖章或者电子签名</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43B8999">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ascii="宋体" w:hAnsi="宋体" w:cs="宋体"/>
          <w:color w:val="auto"/>
          <w:kern w:val="0"/>
          <w:sz w:val="24"/>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kern w:val="0"/>
          <w:sz w:val="24"/>
          <w:highlight w:val="none"/>
        </w:rPr>
        <w:t xml:space="preserve">         </w:t>
      </w:r>
    </w:p>
    <w:p w14:paraId="55A92BFC">
      <w:pPr>
        <w:shd w:val="clear"/>
        <w:snapToGrid w:val="0"/>
        <w:spacing w:line="360" w:lineRule="auto"/>
        <w:ind w:right="480"/>
        <w:rPr>
          <w:rFonts w:ascii="宋体" w:hAnsi="宋体" w:cs="宋体"/>
          <w:b/>
          <w:color w:val="auto"/>
          <w:kern w:val="0"/>
          <w:sz w:val="32"/>
          <w:szCs w:val="32"/>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bookmarkEnd w:id="160"/>
    <w:p w14:paraId="17F6F947">
      <w:pPr>
        <w:pStyle w:val="393"/>
        <w:shd w:val="clear"/>
        <w:ind w:firstLine="0" w:firstLineChars="0"/>
        <w:jc w:val="center"/>
        <w:outlineLvl w:val="0"/>
        <w:rPr>
          <w:rFonts w:hint="eastAsia" w:cs="仿宋_GB2312" w:asciiTheme="minorEastAsia" w:hAnsiTheme="minorEastAsia" w:eastAsiaTheme="minorEastAsia"/>
          <w:b/>
          <w:color w:val="auto"/>
          <w:sz w:val="36"/>
          <w:szCs w:val="36"/>
          <w:highlight w:val="none"/>
        </w:rPr>
      </w:pPr>
      <w:bookmarkStart w:id="161" w:name="_Toc6047"/>
      <w:r>
        <w:rPr>
          <w:rFonts w:hint="eastAsia" w:cs="仿宋_GB2312" w:asciiTheme="minorEastAsia" w:hAnsiTheme="minorEastAsia" w:eastAsiaTheme="minorEastAsia"/>
          <w:b/>
          <w:color w:val="auto"/>
          <w:sz w:val="36"/>
          <w:szCs w:val="36"/>
          <w:highlight w:val="none"/>
        </w:rPr>
        <w:t xml:space="preserve">第八部分  </w:t>
      </w:r>
      <w:r>
        <w:rPr>
          <w:rFonts w:hint="eastAsia" w:cs="仿宋_GB2312" w:asciiTheme="minorEastAsia" w:hAnsiTheme="minorEastAsia" w:eastAsiaTheme="minorEastAsia"/>
          <w:b/>
          <w:color w:val="auto"/>
          <w:sz w:val="36"/>
          <w:szCs w:val="36"/>
          <w:highlight w:val="none"/>
          <w:lang w:val="en-US" w:eastAsia="zh-CN"/>
        </w:rPr>
        <w:t>最后</w:t>
      </w:r>
      <w:r>
        <w:rPr>
          <w:rFonts w:hint="eastAsia" w:cs="仿宋_GB2312" w:asciiTheme="minorEastAsia" w:hAnsiTheme="minorEastAsia" w:eastAsiaTheme="minorEastAsia"/>
          <w:b/>
          <w:color w:val="auto"/>
          <w:sz w:val="36"/>
          <w:szCs w:val="36"/>
          <w:highlight w:val="none"/>
        </w:rPr>
        <w:t>报价格式</w:t>
      </w:r>
      <w:bookmarkEnd w:id="161"/>
    </w:p>
    <w:p w14:paraId="3EFE0EB6">
      <w:pPr>
        <w:pStyle w:val="633"/>
        <w:shd w:val="clear"/>
        <w:jc w:val="center"/>
        <w:rPr>
          <w:rFonts w:hint="eastAsia"/>
          <w:b/>
          <w:color w:val="auto"/>
          <w:sz w:val="32"/>
          <w:szCs w:val="32"/>
          <w:highlight w:val="none"/>
        </w:rPr>
      </w:pPr>
      <w:r>
        <w:rPr>
          <w:rFonts w:hint="eastAsia"/>
          <w:b/>
          <w:color w:val="auto"/>
          <w:sz w:val="32"/>
          <w:szCs w:val="32"/>
          <w:highlight w:val="none"/>
        </w:rPr>
        <w:t>（一）报价一览表</w:t>
      </w:r>
    </w:p>
    <w:p w14:paraId="238894F7">
      <w:pPr>
        <w:shd w:val="clear"/>
        <w:autoSpaceDE w:val="0"/>
        <w:autoSpaceDN w:val="0"/>
        <w:spacing w:line="360" w:lineRule="auto"/>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（采购人）、（采购代理机构）</w:t>
      </w:r>
      <w:r>
        <w:rPr>
          <w:rFonts w:hint="eastAsia" w:cs="仿宋_GB2312" w:asciiTheme="minorEastAsia" w:hAnsiTheme="minorEastAsia" w:eastAsiaTheme="minorEastAsia"/>
          <w:color w:val="auto"/>
          <w:kern w:val="0"/>
          <w:sz w:val="24"/>
          <w:highlight w:val="none"/>
          <w:lang w:val="zh-CN"/>
        </w:rPr>
        <w:t>：</w:t>
      </w:r>
    </w:p>
    <w:p w14:paraId="1007861D">
      <w:pPr>
        <w:shd w:val="clear"/>
        <w:spacing w:line="360" w:lineRule="auto"/>
        <w:ind w:firstLine="72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按你方磋商文件要求，</w:t>
      </w:r>
      <w:r>
        <w:rPr>
          <w:rFonts w:hint="eastAsia" w:cs="仿宋_GB2312" w:asciiTheme="minorEastAsia" w:hAnsiTheme="minorEastAsia" w:eastAsiaTheme="minorEastAsia"/>
          <w:color w:val="auto"/>
          <w:sz w:val="24"/>
          <w:highlight w:val="none"/>
        </w:rPr>
        <w:t>我们</w:t>
      </w:r>
      <w:r>
        <w:rPr>
          <w:rFonts w:hint="eastAsia" w:cs="仿宋_GB2312" w:asciiTheme="minorEastAsia" w:hAnsiTheme="minorEastAsia" w:eastAsiaTheme="minorEastAsia"/>
          <w:color w:val="auto"/>
          <w:sz w:val="24"/>
          <w:highlight w:val="none"/>
          <w:u w:val="single"/>
          <w:lang w:val="en-US" w:eastAsia="zh-CN"/>
        </w:rPr>
        <w:t xml:space="preserve">      </w:t>
      </w:r>
      <w:r>
        <w:rPr>
          <w:rFonts w:hint="eastAsia" w:cs="仿宋_GB2312" w:asciiTheme="minorEastAsia" w:hAnsiTheme="minorEastAsia" w:eastAsiaTheme="minorEastAsia"/>
          <w:color w:val="auto"/>
          <w:sz w:val="24"/>
          <w:highlight w:val="none"/>
        </w:rPr>
        <w:t>即</w:t>
      </w:r>
      <w:r>
        <w:rPr>
          <w:rFonts w:hint="eastAsia" w:cs="仿宋_GB2312" w:asciiTheme="minorEastAsia" w:hAnsiTheme="minorEastAsia" w:eastAsiaTheme="minorEastAsia"/>
          <w:color w:val="auto"/>
          <w:kern w:val="0"/>
          <w:sz w:val="24"/>
          <w:highlight w:val="none"/>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highlight w:val="none"/>
          <w:u w:val="single"/>
        </w:rPr>
        <w:t>（项目名称）【项目编号：（采购编号）】</w:t>
      </w:r>
      <w:r>
        <w:rPr>
          <w:rFonts w:hint="eastAsia" w:cs="仿宋_GB2312" w:asciiTheme="minorEastAsia" w:hAnsiTheme="minorEastAsia" w:eastAsiaTheme="minorEastAsia"/>
          <w:color w:val="auto"/>
          <w:kern w:val="0"/>
          <w:sz w:val="24"/>
          <w:highlight w:val="none"/>
          <w:lang w:val="zh-CN"/>
        </w:rPr>
        <w:t>的实施。</w:t>
      </w:r>
    </w:p>
    <w:p w14:paraId="7F4A4793">
      <w:pPr>
        <w:shd w:val="clear"/>
        <w:snapToGrid w:val="0"/>
        <w:spacing w:line="360" w:lineRule="auto"/>
        <w:ind w:left="480"/>
        <w:jc w:val="center"/>
        <w:rPr>
          <w:rFonts w:hint="eastAsia" w:cs="仿宋_GB2312" w:asciiTheme="minorEastAsia" w:hAnsiTheme="minorEastAsia" w:eastAsiaTheme="minorEastAsia"/>
          <w:b/>
          <w:color w:val="auto"/>
          <w:kern w:val="0"/>
          <w:sz w:val="24"/>
          <w:highlight w:val="none"/>
          <w:lang w:val="en-US" w:eastAsia="zh-CN"/>
        </w:rPr>
      </w:pPr>
      <w:r>
        <w:rPr>
          <w:rFonts w:hint="eastAsia" w:cs="仿宋_GB2312" w:asciiTheme="minorEastAsia" w:hAnsiTheme="minorEastAsia" w:eastAsiaTheme="minorEastAsia"/>
          <w:b/>
          <w:color w:val="auto"/>
          <w:kern w:val="0"/>
          <w:sz w:val="24"/>
          <w:highlight w:val="none"/>
          <w:lang w:val="zh-CN"/>
        </w:rPr>
        <w:t>报价一览</w:t>
      </w:r>
      <w:r>
        <w:rPr>
          <w:rFonts w:hint="eastAsia" w:cs="仿宋_GB2312" w:asciiTheme="minorEastAsia" w:hAnsiTheme="minorEastAsia" w:eastAsiaTheme="minorEastAsia"/>
          <w:b/>
          <w:color w:val="auto"/>
          <w:kern w:val="0"/>
          <w:sz w:val="24"/>
          <w:highlight w:val="none"/>
          <w:lang w:val="en-US" w:eastAsia="zh-CN"/>
        </w:rPr>
        <w:t>表</w:t>
      </w:r>
    </w:p>
    <w:tbl>
      <w:tblPr>
        <w:tblStyle w:val="61"/>
        <w:tblW w:w="8934" w:type="dxa"/>
        <w:jc w:val="center"/>
        <w:tblLayout w:type="fixed"/>
        <w:tblCellMar>
          <w:top w:w="0" w:type="dxa"/>
          <w:left w:w="108" w:type="dxa"/>
          <w:bottom w:w="0" w:type="dxa"/>
          <w:right w:w="108" w:type="dxa"/>
        </w:tblCellMar>
      </w:tblPr>
      <w:tblGrid>
        <w:gridCol w:w="795"/>
        <w:gridCol w:w="2619"/>
        <w:gridCol w:w="1601"/>
        <w:gridCol w:w="1210"/>
        <w:gridCol w:w="1550"/>
        <w:gridCol w:w="1159"/>
      </w:tblGrid>
      <w:tr w14:paraId="29E2AF91">
        <w:tblPrEx>
          <w:tblCellMar>
            <w:top w:w="0" w:type="dxa"/>
            <w:left w:w="108" w:type="dxa"/>
            <w:bottom w:w="0" w:type="dxa"/>
            <w:right w:w="108" w:type="dxa"/>
          </w:tblCellMar>
        </w:tblPrEx>
        <w:trPr>
          <w:trHeight w:val="1115"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56F4AC8F">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619" w:type="dxa"/>
            <w:tcBorders>
              <w:top w:val="single" w:color="000000" w:sz="8" w:space="0"/>
              <w:left w:val="nil"/>
              <w:bottom w:val="single" w:color="000000" w:sz="8" w:space="0"/>
              <w:right w:val="single" w:color="000000" w:sz="8" w:space="0"/>
            </w:tcBorders>
            <w:noWrap w:val="0"/>
            <w:vAlign w:val="center"/>
          </w:tcPr>
          <w:p w14:paraId="5E52D79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7BA8253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0A98288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6608203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227D504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7E32B096">
        <w:tblPrEx>
          <w:tblCellMar>
            <w:top w:w="0" w:type="dxa"/>
            <w:left w:w="108" w:type="dxa"/>
            <w:bottom w:w="0" w:type="dxa"/>
            <w:right w:w="108" w:type="dxa"/>
          </w:tblCellMar>
        </w:tblPrEx>
        <w:trPr>
          <w:trHeight w:val="724"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3E93B172">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619" w:type="dxa"/>
            <w:tcBorders>
              <w:top w:val="single" w:color="000000" w:sz="8" w:space="0"/>
              <w:left w:val="nil"/>
              <w:bottom w:val="single" w:color="000000" w:sz="8" w:space="0"/>
              <w:right w:val="single" w:color="auto" w:sz="4" w:space="0"/>
            </w:tcBorders>
            <w:noWrap w:val="0"/>
            <w:vAlign w:val="center"/>
          </w:tcPr>
          <w:p w14:paraId="1462CF2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0ED898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28BBBCC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0E6F9BBB">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27044119">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409F8009">
        <w:tblPrEx>
          <w:tblCellMar>
            <w:top w:w="0" w:type="dxa"/>
            <w:left w:w="108" w:type="dxa"/>
            <w:bottom w:w="0" w:type="dxa"/>
            <w:right w:w="108" w:type="dxa"/>
          </w:tblCellMar>
        </w:tblPrEx>
        <w:trPr>
          <w:trHeight w:val="922"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394C33C3">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7397696E">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F1D0826">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4883A24C">
      <w:pPr>
        <w:shd w:val="clear"/>
        <w:spacing w:line="360" w:lineRule="auto"/>
        <w:ind w:left="-2" w:leftChars="-1"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注：</w:t>
      </w:r>
      <w:r>
        <w:rPr>
          <w:rFonts w:hint="eastAsia" w:cs="仿宋_GB2312" w:asciiTheme="minorEastAsia" w:hAnsiTheme="minorEastAsia" w:eastAsiaTheme="minorEastAsia"/>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供应商需按本表格式填写</w:t>
      </w:r>
      <w:r>
        <w:rPr>
          <w:rFonts w:hint="eastAsia" w:cs="宋体" w:asciiTheme="minorEastAsia" w:hAnsiTheme="minorEastAsia" w:eastAsiaTheme="minorEastAsia"/>
          <w:b/>
          <w:color w:val="auto"/>
          <w:kern w:val="0"/>
          <w:sz w:val="24"/>
          <w:highlight w:val="none"/>
          <w:lang w:val="zh-CN"/>
        </w:rPr>
        <w:t>，</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响应文件含有采购人不能接受的附加条件，响应无效</w:t>
      </w:r>
      <w:r>
        <w:rPr>
          <w:rFonts w:hint="eastAsia" w:cs="仿宋_GB2312" w:asciiTheme="minorEastAsia" w:hAnsiTheme="minorEastAsia" w:eastAsiaTheme="minorEastAsia"/>
          <w:color w:val="auto"/>
          <w:kern w:val="0"/>
          <w:sz w:val="24"/>
          <w:highlight w:val="none"/>
          <w:lang w:val="zh-CN"/>
        </w:rPr>
        <w:t>。</w:t>
      </w:r>
    </w:p>
    <w:p w14:paraId="492CF96B">
      <w:pPr>
        <w:shd w:val="clea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2</w:t>
      </w:r>
      <w:r>
        <w:rPr>
          <w:rFonts w:cs="仿宋_GB2312"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kern w:val="0"/>
          <w:sz w:val="24"/>
          <w:highlight w:val="none"/>
          <w:lang w:val="zh-CN"/>
        </w:rPr>
        <w:t>有关本项目实施所涉及的一切费用均计入报价。</w:t>
      </w:r>
      <w:r>
        <w:rPr>
          <w:rFonts w:hint="eastAsia" w:cs="宋体" w:asciiTheme="minorEastAsia" w:hAnsiTheme="minorEastAsia" w:eastAsiaTheme="minorEastAsia"/>
          <w:b/>
          <w:color w:val="auto"/>
          <w:kern w:val="0"/>
          <w:sz w:val="24"/>
          <w:highlight w:val="none"/>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b/>
          <w:color w:val="auto"/>
          <w:kern w:val="0"/>
          <w:sz w:val="24"/>
          <w:highlight w:val="none"/>
          <w:lang w:val="zh-CN"/>
        </w:rPr>
        <w:t>不得出现“0元”“免费赠送”等形式的无偿报价，</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最后报价文件含有采购人不能接受的附加条件，响应无效</w:t>
      </w:r>
      <w:r>
        <w:rPr>
          <w:rFonts w:hint="eastAsia" w:cs="宋体" w:asciiTheme="minorEastAsia" w:hAnsiTheme="minorEastAsia" w:eastAsiaTheme="minorEastAsia"/>
          <w:b/>
          <w:color w:val="auto"/>
          <w:kern w:val="0"/>
          <w:sz w:val="24"/>
          <w:highlight w:val="none"/>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highlight w:val="none"/>
        </w:rPr>
        <w:t>视为</w:t>
      </w:r>
      <w:r>
        <w:rPr>
          <w:rFonts w:hint="eastAsia" w:cs="宋体" w:asciiTheme="minorEastAsia" w:hAnsiTheme="minorEastAsia" w:eastAsiaTheme="minorEastAsia"/>
          <w:b/>
          <w:color w:val="auto"/>
          <w:sz w:val="24"/>
          <w:highlight w:val="none"/>
        </w:rPr>
        <w:t>响应文件含有采购人不能接受的附加条件的，响应无效。</w:t>
      </w:r>
    </w:p>
    <w:p w14:paraId="51D8EF89">
      <w:pPr>
        <w:shd w:val="clea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highlight w:val="none"/>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highlight w:val="none"/>
          <w:lang w:val="zh-CN"/>
        </w:rPr>
        <w:t>。</w:t>
      </w:r>
    </w:p>
    <w:p w14:paraId="28CB7FCB">
      <w:pPr>
        <w:shd w:val="clear"/>
        <w:spacing w:line="360" w:lineRule="auto"/>
        <w:ind w:firstLine="480" w:firstLineChars="2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szCs w:val="22"/>
          <w:highlight w:val="none"/>
          <w:lang w:val="zh-CN"/>
        </w:rPr>
        <w:t>4</w:t>
      </w:r>
      <w:r>
        <w:rPr>
          <w:rFonts w:cs="仿宋_GB2312" w:asciiTheme="minorEastAsia" w:hAnsiTheme="minorEastAsia" w:eastAsiaTheme="minorEastAsia"/>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6345211E">
      <w:pPr>
        <w:shd w:val="clear"/>
        <w:autoSpaceDE w:val="0"/>
        <w:autoSpaceDN w:val="0"/>
        <w:spacing w:line="360" w:lineRule="auto"/>
        <w:ind w:firstLine="4536" w:firstLineChars="189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磋商供应商名称(公章)： </w:t>
      </w:r>
    </w:p>
    <w:p w14:paraId="62EFC9CC">
      <w:pPr>
        <w:shd w:val="clear"/>
        <w:autoSpaceDE w:val="0"/>
        <w:autoSpaceDN w:val="0"/>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法定代表人（负责人）或委托代理人(</w:t>
      </w:r>
      <w:r>
        <w:rPr>
          <w:rFonts w:hint="eastAsia" w:ascii="宋体" w:hAnsi="宋体"/>
          <w:color w:val="auto"/>
          <w:sz w:val="24"/>
          <w:highlight w:val="none"/>
        </w:rPr>
        <w:t>签字或者盖章或者电子签名</w:t>
      </w:r>
      <w:r>
        <w:rPr>
          <w:rFonts w:hint="eastAsia" w:cs="仿宋_GB2312" w:asciiTheme="minorEastAsia" w:hAnsiTheme="minorEastAsia" w:eastAsiaTheme="minorEastAsia"/>
          <w:color w:val="auto"/>
          <w:kern w:val="0"/>
          <w:sz w:val="24"/>
          <w:highlight w:val="none"/>
          <w:lang w:val="zh-CN"/>
        </w:rPr>
        <w:t xml:space="preserve">)：              </w:t>
      </w:r>
    </w:p>
    <w:p w14:paraId="1F1F159D">
      <w:pPr>
        <w:shd w:val="clear"/>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sectPr>
      <w:headerReference r:id="rId16" w:type="first"/>
      <w:footerReference r:id="rId18" w:type="first"/>
      <w:headerReference r:id="rId15" w:type="default"/>
      <w:footerReference r:id="rId17"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663C9CC-2A3F-4091-8583-37850EAD438B}"/>
  </w:font>
  <w:font w:name="Arial">
    <w:panose1 w:val="020B0604020202020204"/>
    <w:charset w:val="01"/>
    <w:family w:val="swiss"/>
    <w:pitch w:val="default"/>
    <w:sig w:usb0="E0002EFF" w:usb1="C000785B" w:usb2="00000009" w:usb3="00000000" w:csb0="400001FF" w:csb1="FFFF0000"/>
    <w:embedRegular r:id="rId2" w:fontKey="{191C229C-73DD-4260-98AB-FE6DD13B87A4}"/>
  </w:font>
  <w:font w:name="黑体">
    <w:panose1 w:val="02010609060101010101"/>
    <w:charset w:val="86"/>
    <w:family w:val="auto"/>
    <w:pitch w:val="default"/>
    <w:sig w:usb0="800002BF" w:usb1="38CF7CFA" w:usb2="00000016" w:usb3="00000000" w:csb0="00040001" w:csb1="00000000"/>
    <w:embedRegular r:id="rId3" w:fontKey="{11379B35-934D-4BF6-883A-0AB6E8DBB1E6}"/>
  </w:font>
  <w:font w:name="Courier New">
    <w:panose1 w:val="02070309020205020404"/>
    <w:charset w:val="01"/>
    <w:family w:val="modern"/>
    <w:pitch w:val="default"/>
    <w:sig w:usb0="E0002EFF" w:usb1="C0007843" w:usb2="00000009" w:usb3="00000000" w:csb0="400001FF" w:csb1="FFFF0000"/>
    <w:embedRegular r:id="rId4" w:fontKey="{16E7C13A-BD1B-4F44-B7E3-844E2E98A5D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B8D5C5EF-39F0-4490-A069-825CDA88376F}"/>
  </w:font>
  <w:font w:name="仿宋_GB2312">
    <w:panose1 w:val="02010609030101010101"/>
    <w:charset w:val="86"/>
    <w:family w:val="modern"/>
    <w:pitch w:val="default"/>
    <w:sig w:usb0="00000001" w:usb1="080E0000" w:usb2="00000000" w:usb3="00000000" w:csb0="00040000" w:csb1="00000000"/>
    <w:embedRegular r:id="rId6" w:fontKey="{A3C8F330-EB54-4FAA-96A6-63A30AF3095E}"/>
  </w:font>
  <w:font w:name="仿宋">
    <w:panose1 w:val="02010609060101010101"/>
    <w:charset w:val="86"/>
    <w:family w:val="modern"/>
    <w:pitch w:val="default"/>
    <w:sig w:usb0="800002BF" w:usb1="38CF7CFA" w:usb2="00000016" w:usb3="00000000" w:csb0="00040001" w:csb1="00000000"/>
    <w:embedRegular r:id="rId7" w:fontKey="{404E390F-C216-4158-AC05-3EE11664C013}"/>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8" w:fontKey="{0B70B814-2035-4560-BE1F-F7BC5F093027}"/>
  </w:font>
  <w:font w:name="隶书">
    <w:altName w:val="宋体"/>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504020202020204"/>
    <w:charset w:val="00"/>
    <w:family w:val="swiss"/>
    <w:pitch w:val="default"/>
    <w:sig w:usb0="00000000" w:usb1="00000000" w:usb2="00000000" w:usb3="00000000" w:csb0="00000001" w:csb1="00000000"/>
    <w:embedRegular r:id="rId9" w:fontKey="{751F9F08-3410-4DC4-A5CB-1646E87D1D08}"/>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DejaVu Math TeX Gyre"/>
    <w:panose1 w:val="00000000000000000000"/>
    <w:charset w:val="00"/>
    <w:family w:val="swiss"/>
    <w:pitch w:val="default"/>
    <w:sig w:usb0="00000000" w:usb1="00000000" w:usb2="00000000" w:usb3="00000000" w:csb0="00000011" w:csb1="00000000"/>
  </w:font>
  <w:font w:name="DejaVu Math TeX Gyre">
    <w:panose1 w:val="02000503000000000000"/>
    <w:charset w:val="00"/>
    <w:family w:val="auto"/>
    <w:pitch w:val="default"/>
    <w:sig w:usb0="A10000EF" w:usb1="4201F9EE" w:usb2="02000000" w:usb3="00000000" w:csb0="60000193" w:csb1="0DD4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auto"/>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utura Hv">
    <w:altName w:val="DejaVu Math TeX Gyre"/>
    <w:panose1 w:val="00000000000000000000"/>
    <w:charset w:val="00"/>
    <w:family w:val="swiss"/>
    <w:pitch w:val="default"/>
    <w:sig w:usb0="00000000" w:usb1="00000000" w:usb2="00000000" w:usb3="00000000" w:csb0="000001FB" w:csb1="00000000"/>
  </w:font>
  <w:font w:name="Cumberland">
    <w:altName w:val="宋体"/>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embedRegular r:id="rId10" w:fontKey="{A2CF90D8-BC04-4FE6-AEC2-9A370D96F5DA}"/>
  </w:font>
  <w:font w:name="幼圆">
    <w:altName w:val="宋体"/>
    <w:panose1 w:val="02010509060101010101"/>
    <w:charset w:val="86"/>
    <w:family w:val="modern"/>
    <w:pitch w:val="default"/>
    <w:sig w:usb0="00000000" w:usb1="00000000" w:usb2="00000000" w:usb3="00000000" w:csb0="00040000" w:csb1="00000000"/>
  </w:font>
  <w:font w:name="Aldine401 BT">
    <w:altName w:val="DejaVu Math TeX Gyre"/>
    <w:panose1 w:val="00000000000000000000"/>
    <w:charset w:val="00"/>
    <w:family w:val="roman"/>
    <w:pitch w:val="default"/>
    <w:sig w:usb0="00000000" w:usb1="00000000" w:usb2="00000000" w:usb3="00000000" w:csb0="0000001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ˎ̥">
    <w:altName w:val="宋体"/>
    <w:panose1 w:val="00000000000000000000"/>
    <w:charset w:val="00"/>
    <w:family w:val="roman"/>
    <w:pitch w:val="default"/>
    <w:sig w:usb0="00000000" w:usb1="00000000" w:usb2="00000000" w:usb3="00000000" w:csb0="00040001" w:csb1="00000000"/>
  </w:font>
  <w:font w:name="MS Sans Serif">
    <w:altName w:val="DejaVu Math TeX Gyre"/>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0000012" w:usb3="00000000" w:csb0="4002009F" w:csb1="DFD70000"/>
    <w:embedRegular r:id="rId11" w:fontKey="{E1ABC3CF-7E72-47B7-BA62-2B24CBF483BA}"/>
  </w:font>
  <w:font w:name="方正小标宋简体">
    <w:panose1 w:val="02000000000000000000"/>
    <w:charset w:val="86"/>
    <w:family w:val="auto"/>
    <w:pitch w:val="default"/>
    <w:sig w:usb0="00000001" w:usb1="08000000" w:usb2="00000000" w:usb3="00000000" w:csb0="00040000" w:csb1="00000000"/>
    <w:embedRegular r:id="rId12" w:fontKey="{DEFD6A11-2C43-4505-9707-E42E57243380}"/>
  </w:font>
  <w:font w:name="WPSEMBED3">
    <w:panose1 w:val="02000000000000000000"/>
    <w:charset w:val="86"/>
    <w:family w:val="auto"/>
    <w:pitch w:val="default"/>
    <w:sig w:usb0="00000001" w:usb1="08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565C7">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7A5FA">
    <w:pPr>
      <w:spacing w:line="174" w:lineRule="auto"/>
      <w:ind w:left="46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617B0">
                          <w:pPr>
                            <w:pStyle w:val="3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B1617B0">
                    <w:pPr>
                      <w:pStyle w:val="3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B0F7B">
    <w:pPr>
      <w:spacing w:line="174" w:lineRule="auto"/>
      <w:ind w:left="47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2030F">
                          <w:pPr>
                            <w:pStyle w:val="38"/>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12030F">
                    <w:pPr>
                      <w:pStyle w:val="3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131A8">
    <w:pPr>
      <w:spacing w:line="174" w:lineRule="auto"/>
      <w:ind w:left="46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89CBA">
                          <w:pPr>
                            <w:pStyle w:val="38"/>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089CBA">
                    <w:pPr>
                      <w:pStyle w:val="3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357D7">
    <w:pPr>
      <w:spacing w:line="174" w:lineRule="auto"/>
      <w:ind w:left="46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469D0">
                          <w:pPr>
                            <w:pStyle w:val="3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4469D0">
                    <w:pPr>
                      <w:pStyle w:val="3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4FDAA">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9396F">
                          <w:pPr>
                            <w:pStyle w:val="38"/>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919396F">
                    <w:pPr>
                      <w:pStyle w:val="38"/>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98B98">
    <w:pPr>
      <w:rPr>
        <w:rFonts w:ascii="仿宋_GB2312" w:eastAsia="仿宋_GB2312"/>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15402">
                          <w:pPr>
                            <w:pStyle w:val="38"/>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EF15402">
                    <w:pPr>
                      <w:pStyle w:val="3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ED80">
    <w:pPr>
      <w:pStyle w:val="3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C0CA6">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FAC0CA6">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3A23B">
    <w:pPr>
      <w:pStyle w:val="38"/>
      <w:jc w:val="center"/>
      <w:rPr>
        <w:rFonts w:ascii="仿宋_GB2312" w:eastAsia="仿宋_GB2312"/>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C18E4">
                          <w:pPr>
                            <w:pStyle w:val="38"/>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B7C18E4">
                    <w:pPr>
                      <w:pStyle w:val="3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3A764">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E3665">
    <w:pPr>
      <w:pStyle w:val="3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4F1B">
    <w:pPr>
      <w:pStyle w:val="3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4FC1">
    <w:pPr>
      <w:pStyle w:val="39"/>
      <w:pBdr>
        <w:bottom w:val="none" w:color="auto" w:sz="0" w:space="1"/>
      </w:pBdr>
      <w:spacing w:after="120"/>
      <w:jc w:val="right"/>
      <w:rPr>
        <w:rFonts w:ascii="仿宋_GB2312" w:eastAsia="仿宋_GB2312"/>
        <w:b/>
        <w:i/>
        <w:u w:val="single"/>
      </w:rPr>
    </w:pPr>
    <w:r>
      <w:t></w:t>
    </w: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87FC">
    <w:pPr>
      <w:pStyle w:val="39"/>
      <w:pBdr>
        <w:bottom w:val="none" w:color="auto" w:sz="0" w:space="1"/>
      </w:pBdr>
      <w:spacing w:after="120"/>
    </w:pPr>
    <w:r>
      <w:t></w:t>
    </w:r>
    <w:r>
      <w:rPr>
        <w:rFonts w:hint="eastAsia"/>
      </w:rPr>
      <w:t xml:space="preserve">         </w:t>
    </w:r>
  </w:p>
  <w:p w14:paraId="224C0E27">
    <w:pPr>
      <w:pStyle w:val="39"/>
      <w:pBdr>
        <w:bottom w:val="none" w:color="auto" w:sz="0" w:space="1"/>
      </w:pBdr>
      <w:spacing w:after="120"/>
      <w:rPr>
        <w:sz w:val="21"/>
        <w:szCs w:val="21"/>
      </w:rPr>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9E06">
    <w:pPr>
      <w:pStyle w:val="3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A010">
    <w:pPr>
      <w:pStyle w:val="3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2"/>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10"/>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4">
    <w:nsid w:val="23F163C2"/>
    <w:multiLevelType w:val="singleLevel"/>
    <w:tmpl w:val="23F163C2"/>
    <w:lvl w:ilvl="0" w:tentative="0">
      <w:start w:val="1"/>
      <w:numFmt w:val="decimal"/>
      <w:lvlText w:val="%1."/>
      <w:lvlJc w:val="left"/>
      <w:pPr>
        <w:tabs>
          <w:tab w:val="left" w:pos="312"/>
        </w:tabs>
      </w:pPr>
    </w:lvl>
  </w:abstractNum>
  <w:abstractNum w:abstractNumId="5">
    <w:nsid w:val="578B3BD2"/>
    <w:multiLevelType w:val="multilevel"/>
    <w:tmpl w:val="578B3BD2"/>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2"/>
  </w:num>
  <w:num w:numId="3">
    <w:abstractNumId w:val="0"/>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kR4oUu026uJ31+tFwv7njaduaYI=" w:salt="PHhHCFTzkhYu1QwW4b/2Mg=="/>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jZDdlZTgyNDM5MTU0YmM3NzA2Y2EwNTAxZDc0YmEifQ=="/>
  </w:docVars>
  <w:rsids>
    <w:rsidRoot w:val="00172A27"/>
    <w:rsid w:val="0000133D"/>
    <w:rsid w:val="00002C46"/>
    <w:rsid w:val="0000488B"/>
    <w:rsid w:val="00005CAC"/>
    <w:rsid w:val="00006109"/>
    <w:rsid w:val="00006725"/>
    <w:rsid w:val="0000675E"/>
    <w:rsid w:val="00007CAA"/>
    <w:rsid w:val="00010FE9"/>
    <w:rsid w:val="0001122F"/>
    <w:rsid w:val="00012BE8"/>
    <w:rsid w:val="00013F31"/>
    <w:rsid w:val="00015116"/>
    <w:rsid w:val="00015FD7"/>
    <w:rsid w:val="000170C8"/>
    <w:rsid w:val="000172A5"/>
    <w:rsid w:val="000173F4"/>
    <w:rsid w:val="000217DE"/>
    <w:rsid w:val="00022853"/>
    <w:rsid w:val="00025776"/>
    <w:rsid w:val="00025D90"/>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72A"/>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7784C"/>
    <w:rsid w:val="000802C0"/>
    <w:rsid w:val="00080970"/>
    <w:rsid w:val="00083DDA"/>
    <w:rsid w:val="0008580E"/>
    <w:rsid w:val="00085A0E"/>
    <w:rsid w:val="00086F8A"/>
    <w:rsid w:val="000904F6"/>
    <w:rsid w:val="00090ED8"/>
    <w:rsid w:val="0009145F"/>
    <w:rsid w:val="00091B4E"/>
    <w:rsid w:val="00091D89"/>
    <w:rsid w:val="00092FE9"/>
    <w:rsid w:val="00094342"/>
    <w:rsid w:val="000960BA"/>
    <w:rsid w:val="0009662A"/>
    <w:rsid w:val="000A1A52"/>
    <w:rsid w:val="000A1F98"/>
    <w:rsid w:val="000A23CE"/>
    <w:rsid w:val="000A2C30"/>
    <w:rsid w:val="000A4047"/>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3E9F"/>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35C0"/>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1EDD"/>
    <w:rsid w:val="00142BAD"/>
    <w:rsid w:val="001430C3"/>
    <w:rsid w:val="00144649"/>
    <w:rsid w:val="001451BB"/>
    <w:rsid w:val="00145662"/>
    <w:rsid w:val="00145C6D"/>
    <w:rsid w:val="00146151"/>
    <w:rsid w:val="0014792B"/>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2E9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3EC2"/>
    <w:rsid w:val="001C44BC"/>
    <w:rsid w:val="001C5885"/>
    <w:rsid w:val="001C6698"/>
    <w:rsid w:val="001C6700"/>
    <w:rsid w:val="001D1D55"/>
    <w:rsid w:val="001D21EF"/>
    <w:rsid w:val="001D31D0"/>
    <w:rsid w:val="001D330D"/>
    <w:rsid w:val="001D4AD3"/>
    <w:rsid w:val="001D5A94"/>
    <w:rsid w:val="001E1ABC"/>
    <w:rsid w:val="001E59FB"/>
    <w:rsid w:val="001E787E"/>
    <w:rsid w:val="001F087C"/>
    <w:rsid w:val="001F0DA4"/>
    <w:rsid w:val="001F0FD1"/>
    <w:rsid w:val="001F1F18"/>
    <w:rsid w:val="001F2F92"/>
    <w:rsid w:val="001F6095"/>
    <w:rsid w:val="001F7957"/>
    <w:rsid w:val="00200E37"/>
    <w:rsid w:val="00201EE3"/>
    <w:rsid w:val="00202D33"/>
    <w:rsid w:val="00202F99"/>
    <w:rsid w:val="00203C85"/>
    <w:rsid w:val="002049C6"/>
    <w:rsid w:val="00205298"/>
    <w:rsid w:val="002054F4"/>
    <w:rsid w:val="00210221"/>
    <w:rsid w:val="00210B9C"/>
    <w:rsid w:val="002119BD"/>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16E"/>
    <w:rsid w:val="00242510"/>
    <w:rsid w:val="00243F5D"/>
    <w:rsid w:val="0024415B"/>
    <w:rsid w:val="0024503F"/>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130D"/>
    <w:rsid w:val="00263044"/>
    <w:rsid w:val="002630E7"/>
    <w:rsid w:val="00263759"/>
    <w:rsid w:val="0026385E"/>
    <w:rsid w:val="002645DB"/>
    <w:rsid w:val="0026470B"/>
    <w:rsid w:val="0026486D"/>
    <w:rsid w:val="00264966"/>
    <w:rsid w:val="00264CEB"/>
    <w:rsid w:val="002660C3"/>
    <w:rsid w:val="00266DE1"/>
    <w:rsid w:val="00266E08"/>
    <w:rsid w:val="00267E43"/>
    <w:rsid w:val="00273C5F"/>
    <w:rsid w:val="00274C6D"/>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68BD"/>
    <w:rsid w:val="0029704D"/>
    <w:rsid w:val="002979C5"/>
    <w:rsid w:val="00297AF5"/>
    <w:rsid w:val="002A02D6"/>
    <w:rsid w:val="002A07C4"/>
    <w:rsid w:val="002A0921"/>
    <w:rsid w:val="002A123D"/>
    <w:rsid w:val="002A2001"/>
    <w:rsid w:val="002A30AD"/>
    <w:rsid w:val="002A40B2"/>
    <w:rsid w:val="002A4EB3"/>
    <w:rsid w:val="002A51D9"/>
    <w:rsid w:val="002A5275"/>
    <w:rsid w:val="002A7FB3"/>
    <w:rsid w:val="002B2906"/>
    <w:rsid w:val="002B35C5"/>
    <w:rsid w:val="002B50B3"/>
    <w:rsid w:val="002B5AEE"/>
    <w:rsid w:val="002B5CD6"/>
    <w:rsid w:val="002B6177"/>
    <w:rsid w:val="002B646B"/>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5359"/>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5650"/>
    <w:rsid w:val="00326106"/>
    <w:rsid w:val="003262E4"/>
    <w:rsid w:val="003269B7"/>
    <w:rsid w:val="003272E4"/>
    <w:rsid w:val="003301D9"/>
    <w:rsid w:val="0033082E"/>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9F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6B6"/>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405"/>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4D56"/>
    <w:rsid w:val="003E60DA"/>
    <w:rsid w:val="003E61F6"/>
    <w:rsid w:val="003E6439"/>
    <w:rsid w:val="003E6E00"/>
    <w:rsid w:val="003E725A"/>
    <w:rsid w:val="003E7940"/>
    <w:rsid w:val="003F01BD"/>
    <w:rsid w:val="003F048E"/>
    <w:rsid w:val="003F0AFF"/>
    <w:rsid w:val="003F2C48"/>
    <w:rsid w:val="003F3D90"/>
    <w:rsid w:val="003F431E"/>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B8F"/>
    <w:rsid w:val="0041461A"/>
    <w:rsid w:val="00414909"/>
    <w:rsid w:val="00415034"/>
    <w:rsid w:val="00415B1A"/>
    <w:rsid w:val="00415F72"/>
    <w:rsid w:val="004160C1"/>
    <w:rsid w:val="0041690F"/>
    <w:rsid w:val="00416D41"/>
    <w:rsid w:val="00416E7D"/>
    <w:rsid w:val="00417264"/>
    <w:rsid w:val="00417A5F"/>
    <w:rsid w:val="004210C0"/>
    <w:rsid w:val="004211DD"/>
    <w:rsid w:val="00421442"/>
    <w:rsid w:val="00421762"/>
    <w:rsid w:val="00421D4B"/>
    <w:rsid w:val="00421ED8"/>
    <w:rsid w:val="004233AD"/>
    <w:rsid w:val="00425724"/>
    <w:rsid w:val="00426B2C"/>
    <w:rsid w:val="00427FA8"/>
    <w:rsid w:val="004306D4"/>
    <w:rsid w:val="0043088A"/>
    <w:rsid w:val="00430FF1"/>
    <w:rsid w:val="00432ECA"/>
    <w:rsid w:val="004357B1"/>
    <w:rsid w:val="00436CCE"/>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4F7F43"/>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AD0"/>
    <w:rsid w:val="00550B7E"/>
    <w:rsid w:val="00551B96"/>
    <w:rsid w:val="00551EE7"/>
    <w:rsid w:val="005524ED"/>
    <w:rsid w:val="00554C03"/>
    <w:rsid w:val="005550F9"/>
    <w:rsid w:val="0055525C"/>
    <w:rsid w:val="00556386"/>
    <w:rsid w:val="00556441"/>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0E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5E4"/>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1988"/>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4EC"/>
    <w:rsid w:val="0067772D"/>
    <w:rsid w:val="00680714"/>
    <w:rsid w:val="0068071D"/>
    <w:rsid w:val="00680C6B"/>
    <w:rsid w:val="00681936"/>
    <w:rsid w:val="00683068"/>
    <w:rsid w:val="00683BE2"/>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2DC4"/>
    <w:rsid w:val="006938E9"/>
    <w:rsid w:val="006945A1"/>
    <w:rsid w:val="00694982"/>
    <w:rsid w:val="006958AE"/>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4B3"/>
    <w:rsid w:val="006D0681"/>
    <w:rsid w:val="006D0A80"/>
    <w:rsid w:val="006D312B"/>
    <w:rsid w:val="006D43C1"/>
    <w:rsid w:val="006D5442"/>
    <w:rsid w:val="006D66EF"/>
    <w:rsid w:val="006D6E4E"/>
    <w:rsid w:val="006E00E3"/>
    <w:rsid w:val="006E045C"/>
    <w:rsid w:val="006E065E"/>
    <w:rsid w:val="006E0C1B"/>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223"/>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6C5F"/>
    <w:rsid w:val="00756D69"/>
    <w:rsid w:val="00757029"/>
    <w:rsid w:val="0076065E"/>
    <w:rsid w:val="0076093D"/>
    <w:rsid w:val="00760C5C"/>
    <w:rsid w:val="00761002"/>
    <w:rsid w:val="0076161B"/>
    <w:rsid w:val="00761AA1"/>
    <w:rsid w:val="00761CB5"/>
    <w:rsid w:val="0076228C"/>
    <w:rsid w:val="00763137"/>
    <w:rsid w:val="00763278"/>
    <w:rsid w:val="0076417E"/>
    <w:rsid w:val="007675DD"/>
    <w:rsid w:val="00770462"/>
    <w:rsid w:val="007705F0"/>
    <w:rsid w:val="00770A16"/>
    <w:rsid w:val="0077142C"/>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3D8"/>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4998"/>
    <w:rsid w:val="007A54F6"/>
    <w:rsid w:val="007A5950"/>
    <w:rsid w:val="007A6D91"/>
    <w:rsid w:val="007A7371"/>
    <w:rsid w:val="007B0306"/>
    <w:rsid w:val="007B0A67"/>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2F"/>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76"/>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108"/>
    <w:rsid w:val="00833307"/>
    <w:rsid w:val="00833583"/>
    <w:rsid w:val="00833B5B"/>
    <w:rsid w:val="00833E9A"/>
    <w:rsid w:val="00834FEF"/>
    <w:rsid w:val="00836323"/>
    <w:rsid w:val="00836492"/>
    <w:rsid w:val="008366FE"/>
    <w:rsid w:val="00836932"/>
    <w:rsid w:val="008404AA"/>
    <w:rsid w:val="00841F29"/>
    <w:rsid w:val="00841FDB"/>
    <w:rsid w:val="00842A0D"/>
    <w:rsid w:val="00842C69"/>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4371"/>
    <w:rsid w:val="00884D47"/>
    <w:rsid w:val="00887392"/>
    <w:rsid w:val="00890C40"/>
    <w:rsid w:val="008911F7"/>
    <w:rsid w:val="008921D0"/>
    <w:rsid w:val="00893C08"/>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54C0"/>
    <w:rsid w:val="008D5760"/>
    <w:rsid w:val="008D577E"/>
    <w:rsid w:val="008D5CE5"/>
    <w:rsid w:val="008D5ED9"/>
    <w:rsid w:val="008D6147"/>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2C63"/>
    <w:rsid w:val="0091328F"/>
    <w:rsid w:val="00914D1C"/>
    <w:rsid w:val="00915679"/>
    <w:rsid w:val="009159C2"/>
    <w:rsid w:val="009175AF"/>
    <w:rsid w:val="00920A06"/>
    <w:rsid w:val="009221CB"/>
    <w:rsid w:val="00922320"/>
    <w:rsid w:val="0092298C"/>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9F8"/>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0732"/>
    <w:rsid w:val="009810BE"/>
    <w:rsid w:val="009819A7"/>
    <w:rsid w:val="009851F5"/>
    <w:rsid w:val="0098534B"/>
    <w:rsid w:val="0098764E"/>
    <w:rsid w:val="00987D58"/>
    <w:rsid w:val="009906D4"/>
    <w:rsid w:val="00990EB7"/>
    <w:rsid w:val="00990F5F"/>
    <w:rsid w:val="0099263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2428"/>
    <w:rsid w:val="00A04337"/>
    <w:rsid w:val="00A044AA"/>
    <w:rsid w:val="00A04D99"/>
    <w:rsid w:val="00A05D02"/>
    <w:rsid w:val="00A078F6"/>
    <w:rsid w:val="00A102F8"/>
    <w:rsid w:val="00A10A20"/>
    <w:rsid w:val="00A116AC"/>
    <w:rsid w:val="00A117D5"/>
    <w:rsid w:val="00A123D0"/>
    <w:rsid w:val="00A12D7E"/>
    <w:rsid w:val="00A131F5"/>
    <w:rsid w:val="00A133C1"/>
    <w:rsid w:val="00A13F2D"/>
    <w:rsid w:val="00A14225"/>
    <w:rsid w:val="00A14F81"/>
    <w:rsid w:val="00A1535F"/>
    <w:rsid w:val="00A1543F"/>
    <w:rsid w:val="00A15CB1"/>
    <w:rsid w:val="00A15E84"/>
    <w:rsid w:val="00A16021"/>
    <w:rsid w:val="00A16F3E"/>
    <w:rsid w:val="00A22C3E"/>
    <w:rsid w:val="00A22C4D"/>
    <w:rsid w:val="00A25463"/>
    <w:rsid w:val="00A254AB"/>
    <w:rsid w:val="00A266CC"/>
    <w:rsid w:val="00A26DB4"/>
    <w:rsid w:val="00A27501"/>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57B66"/>
    <w:rsid w:val="00A61B91"/>
    <w:rsid w:val="00A63335"/>
    <w:rsid w:val="00A63685"/>
    <w:rsid w:val="00A63DDD"/>
    <w:rsid w:val="00A66473"/>
    <w:rsid w:val="00A66E28"/>
    <w:rsid w:val="00A70590"/>
    <w:rsid w:val="00A71542"/>
    <w:rsid w:val="00A71FA0"/>
    <w:rsid w:val="00A72C1A"/>
    <w:rsid w:val="00A74021"/>
    <w:rsid w:val="00A7463E"/>
    <w:rsid w:val="00A75153"/>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0B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97DC5"/>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5DE9"/>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0A3C"/>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491"/>
    <w:rsid w:val="00BC4C40"/>
    <w:rsid w:val="00BC5BAD"/>
    <w:rsid w:val="00BC76C5"/>
    <w:rsid w:val="00BD138A"/>
    <w:rsid w:val="00BD1547"/>
    <w:rsid w:val="00BD164A"/>
    <w:rsid w:val="00BD2B4D"/>
    <w:rsid w:val="00BD2DAE"/>
    <w:rsid w:val="00BD2FB9"/>
    <w:rsid w:val="00BD31C2"/>
    <w:rsid w:val="00BD3852"/>
    <w:rsid w:val="00BD450A"/>
    <w:rsid w:val="00BD4717"/>
    <w:rsid w:val="00BD48BC"/>
    <w:rsid w:val="00BD48EA"/>
    <w:rsid w:val="00BD4BA8"/>
    <w:rsid w:val="00BD6924"/>
    <w:rsid w:val="00BD6B0E"/>
    <w:rsid w:val="00BD7941"/>
    <w:rsid w:val="00BD7E5F"/>
    <w:rsid w:val="00BE0C55"/>
    <w:rsid w:val="00BE11A2"/>
    <w:rsid w:val="00BE246C"/>
    <w:rsid w:val="00BE2657"/>
    <w:rsid w:val="00BE37AE"/>
    <w:rsid w:val="00BE4353"/>
    <w:rsid w:val="00BE5250"/>
    <w:rsid w:val="00BE73C3"/>
    <w:rsid w:val="00BE7B29"/>
    <w:rsid w:val="00BF03C0"/>
    <w:rsid w:val="00BF21D4"/>
    <w:rsid w:val="00BF2E46"/>
    <w:rsid w:val="00BF4A15"/>
    <w:rsid w:val="00BF4AA1"/>
    <w:rsid w:val="00BF4E27"/>
    <w:rsid w:val="00BF6D77"/>
    <w:rsid w:val="00BF7E0A"/>
    <w:rsid w:val="00C01444"/>
    <w:rsid w:val="00C01EF2"/>
    <w:rsid w:val="00C0378E"/>
    <w:rsid w:val="00C04258"/>
    <w:rsid w:val="00C05AFD"/>
    <w:rsid w:val="00C0724C"/>
    <w:rsid w:val="00C07AEF"/>
    <w:rsid w:val="00C07C11"/>
    <w:rsid w:val="00C07CC1"/>
    <w:rsid w:val="00C10015"/>
    <w:rsid w:val="00C12ECB"/>
    <w:rsid w:val="00C14ABD"/>
    <w:rsid w:val="00C151E0"/>
    <w:rsid w:val="00C15D79"/>
    <w:rsid w:val="00C15F1E"/>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4F8B"/>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01C3"/>
    <w:rsid w:val="00C71528"/>
    <w:rsid w:val="00C71F09"/>
    <w:rsid w:val="00C72588"/>
    <w:rsid w:val="00C727B9"/>
    <w:rsid w:val="00C73670"/>
    <w:rsid w:val="00C73DE0"/>
    <w:rsid w:val="00C74609"/>
    <w:rsid w:val="00C749AB"/>
    <w:rsid w:val="00C75A8F"/>
    <w:rsid w:val="00C76346"/>
    <w:rsid w:val="00C76439"/>
    <w:rsid w:val="00C7697A"/>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43D8"/>
    <w:rsid w:val="00CB52A4"/>
    <w:rsid w:val="00CB537C"/>
    <w:rsid w:val="00CB5778"/>
    <w:rsid w:val="00CB584C"/>
    <w:rsid w:val="00CB6675"/>
    <w:rsid w:val="00CC03A0"/>
    <w:rsid w:val="00CC0915"/>
    <w:rsid w:val="00CC11B8"/>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54E"/>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5FD5"/>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A04"/>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5C81"/>
    <w:rsid w:val="00D56B56"/>
    <w:rsid w:val="00D56BF5"/>
    <w:rsid w:val="00D56F99"/>
    <w:rsid w:val="00D5743F"/>
    <w:rsid w:val="00D605C2"/>
    <w:rsid w:val="00D60733"/>
    <w:rsid w:val="00D618B2"/>
    <w:rsid w:val="00D61E1D"/>
    <w:rsid w:val="00D62BDF"/>
    <w:rsid w:val="00D64F1C"/>
    <w:rsid w:val="00D6570C"/>
    <w:rsid w:val="00D675B0"/>
    <w:rsid w:val="00D70552"/>
    <w:rsid w:val="00D70D42"/>
    <w:rsid w:val="00D71285"/>
    <w:rsid w:val="00D713C9"/>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EEA"/>
    <w:rsid w:val="00DB6F96"/>
    <w:rsid w:val="00DB71B9"/>
    <w:rsid w:val="00DB7AE7"/>
    <w:rsid w:val="00DC080D"/>
    <w:rsid w:val="00DC0B56"/>
    <w:rsid w:val="00DC1395"/>
    <w:rsid w:val="00DC1BCB"/>
    <w:rsid w:val="00DC32FC"/>
    <w:rsid w:val="00DC35C7"/>
    <w:rsid w:val="00DC43C4"/>
    <w:rsid w:val="00DC4F47"/>
    <w:rsid w:val="00DC6747"/>
    <w:rsid w:val="00DC6AF3"/>
    <w:rsid w:val="00DC6B91"/>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1A65"/>
    <w:rsid w:val="00E33954"/>
    <w:rsid w:val="00E34B8C"/>
    <w:rsid w:val="00E3533E"/>
    <w:rsid w:val="00E35A45"/>
    <w:rsid w:val="00E37C85"/>
    <w:rsid w:val="00E43006"/>
    <w:rsid w:val="00E43551"/>
    <w:rsid w:val="00E50809"/>
    <w:rsid w:val="00E50F0A"/>
    <w:rsid w:val="00E510CF"/>
    <w:rsid w:val="00E51F42"/>
    <w:rsid w:val="00E52AAB"/>
    <w:rsid w:val="00E533B0"/>
    <w:rsid w:val="00E54216"/>
    <w:rsid w:val="00E5448E"/>
    <w:rsid w:val="00E54E0D"/>
    <w:rsid w:val="00E56795"/>
    <w:rsid w:val="00E57932"/>
    <w:rsid w:val="00E57DA3"/>
    <w:rsid w:val="00E60811"/>
    <w:rsid w:val="00E64050"/>
    <w:rsid w:val="00E64054"/>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7C4"/>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37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07D99"/>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B1C"/>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1CEC"/>
    <w:rsid w:val="00F92585"/>
    <w:rsid w:val="00F92E17"/>
    <w:rsid w:val="00F93231"/>
    <w:rsid w:val="00F950B5"/>
    <w:rsid w:val="00F953D5"/>
    <w:rsid w:val="00F97A34"/>
    <w:rsid w:val="00F97EA1"/>
    <w:rsid w:val="00FA05C8"/>
    <w:rsid w:val="00FA0678"/>
    <w:rsid w:val="00FA107F"/>
    <w:rsid w:val="00FA23F7"/>
    <w:rsid w:val="00FA27EB"/>
    <w:rsid w:val="00FA4117"/>
    <w:rsid w:val="00FA6597"/>
    <w:rsid w:val="00FA672F"/>
    <w:rsid w:val="00FA7792"/>
    <w:rsid w:val="00FB0473"/>
    <w:rsid w:val="00FB11FA"/>
    <w:rsid w:val="00FB1495"/>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C45B8B"/>
    <w:rsid w:val="027D53B9"/>
    <w:rsid w:val="02A94CC1"/>
    <w:rsid w:val="02DA0C0E"/>
    <w:rsid w:val="03315CCB"/>
    <w:rsid w:val="039F5D5C"/>
    <w:rsid w:val="03DD35E4"/>
    <w:rsid w:val="03E5160F"/>
    <w:rsid w:val="04207E21"/>
    <w:rsid w:val="04452310"/>
    <w:rsid w:val="050B6D23"/>
    <w:rsid w:val="0575419C"/>
    <w:rsid w:val="05880374"/>
    <w:rsid w:val="065A6178"/>
    <w:rsid w:val="065C6F27"/>
    <w:rsid w:val="0711386E"/>
    <w:rsid w:val="07337610"/>
    <w:rsid w:val="075562B7"/>
    <w:rsid w:val="07B63510"/>
    <w:rsid w:val="07F6164B"/>
    <w:rsid w:val="080418C3"/>
    <w:rsid w:val="081245FF"/>
    <w:rsid w:val="087A1B7A"/>
    <w:rsid w:val="09396AE2"/>
    <w:rsid w:val="096B2097"/>
    <w:rsid w:val="0A3544BF"/>
    <w:rsid w:val="0A5B7E63"/>
    <w:rsid w:val="0A945D6F"/>
    <w:rsid w:val="0AC66A54"/>
    <w:rsid w:val="0BA332B2"/>
    <w:rsid w:val="0BB023D2"/>
    <w:rsid w:val="0BC1638D"/>
    <w:rsid w:val="0BC33EB3"/>
    <w:rsid w:val="0C0E2FD9"/>
    <w:rsid w:val="0C87121B"/>
    <w:rsid w:val="0DF702FE"/>
    <w:rsid w:val="0E090A60"/>
    <w:rsid w:val="0E3F698B"/>
    <w:rsid w:val="0E511C4A"/>
    <w:rsid w:val="0EC71759"/>
    <w:rsid w:val="0F0C62E5"/>
    <w:rsid w:val="0F21508F"/>
    <w:rsid w:val="0F711E78"/>
    <w:rsid w:val="0F816ACD"/>
    <w:rsid w:val="0FB94501"/>
    <w:rsid w:val="0FE13153"/>
    <w:rsid w:val="10675755"/>
    <w:rsid w:val="10B047CF"/>
    <w:rsid w:val="10CF6E57"/>
    <w:rsid w:val="10FC16EA"/>
    <w:rsid w:val="11494E5B"/>
    <w:rsid w:val="11646051"/>
    <w:rsid w:val="11755C50"/>
    <w:rsid w:val="118963A1"/>
    <w:rsid w:val="125924A8"/>
    <w:rsid w:val="127723A9"/>
    <w:rsid w:val="13072A44"/>
    <w:rsid w:val="130F3E82"/>
    <w:rsid w:val="14105EEE"/>
    <w:rsid w:val="14362FF1"/>
    <w:rsid w:val="145044FA"/>
    <w:rsid w:val="14A1100E"/>
    <w:rsid w:val="15DA0777"/>
    <w:rsid w:val="1742023F"/>
    <w:rsid w:val="17C865A3"/>
    <w:rsid w:val="18461624"/>
    <w:rsid w:val="186742B0"/>
    <w:rsid w:val="18E13BCB"/>
    <w:rsid w:val="19393A07"/>
    <w:rsid w:val="195245AB"/>
    <w:rsid w:val="19C177A8"/>
    <w:rsid w:val="1AEB4AD1"/>
    <w:rsid w:val="1B2A271F"/>
    <w:rsid w:val="1B2B37F3"/>
    <w:rsid w:val="1B522B5E"/>
    <w:rsid w:val="1B890139"/>
    <w:rsid w:val="1C2B6D42"/>
    <w:rsid w:val="1CD16C47"/>
    <w:rsid w:val="1D266CE1"/>
    <w:rsid w:val="1D3963AF"/>
    <w:rsid w:val="1DA12CEA"/>
    <w:rsid w:val="1E2E469B"/>
    <w:rsid w:val="1E6908EA"/>
    <w:rsid w:val="1E714A66"/>
    <w:rsid w:val="1EC026D9"/>
    <w:rsid w:val="1F444EB4"/>
    <w:rsid w:val="1F4D1F21"/>
    <w:rsid w:val="1FE868A9"/>
    <w:rsid w:val="20937EA1"/>
    <w:rsid w:val="211E26D6"/>
    <w:rsid w:val="21283D08"/>
    <w:rsid w:val="21A4660B"/>
    <w:rsid w:val="21AA6172"/>
    <w:rsid w:val="22C30ADD"/>
    <w:rsid w:val="22C456A9"/>
    <w:rsid w:val="235C0A1E"/>
    <w:rsid w:val="243279D1"/>
    <w:rsid w:val="24B81507"/>
    <w:rsid w:val="25475B5F"/>
    <w:rsid w:val="25847A9B"/>
    <w:rsid w:val="25B440B3"/>
    <w:rsid w:val="261A4BC0"/>
    <w:rsid w:val="26272B27"/>
    <w:rsid w:val="262B0B7B"/>
    <w:rsid w:val="26A12BEB"/>
    <w:rsid w:val="26AA5F44"/>
    <w:rsid w:val="26B046EA"/>
    <w:rsid w:val="272917D9"/>
    <w:rsid w:val="27646D45"/>
    <w:rsid w:val="278A3680"/>
    <w:rsid w:val="27CB6172"/>
    <w:rsid w:val="28144532"/>
    <w:rsid w:val="285A6198"/>
    <w:rsid w:val="28C72DDD"/>
    <w:rsid w:val="292579B5"/>
    <w:rsid w:val="2A063491"/>
    <w:rsid w:val="2A20167B"/>
    <w:rsid w:val="2AA1365A"/>
    <w:rsid w:val="2B720081"/>
    <w:rsid w:val="2C7936C6"/>
    <w:rsid w:val="2DD15014"/>
    <w:rsid w:val="2DF857E7"/>
    <w:rsid w:val="2EC92CDF"/>
    <w:rsid w:val="2FD25781"/>
    <w:rsid w:val="300C7F94"/>
    <w:rsid w:val="30274161"/>
    <w:rsid w:val="305F2622"/>
    <w:rsid w:val="309377A4"/>
    <w:rsid w:val="30F84731"/>
    <w:rsid w:val="312307EC"/>
    <w:rsid w:val="312468F3"/>
    <w:rsid w:val="313A5EF4"/>
    <w:rsid w:val="319C6071"/>
    <w:rsid w:val="32005658"/>
    <w:rsid w:val="32681C29"/>
    <w:rsid w:val="32AB107A"/>
    <w:rsid w:val="32DB72BE"/>
    <w:rsid w:val="3367539F"/>
    <w:rsid w:val="337155D7"/>
    <w:rsid w:val="342E63AB"/>
    <w:rsid w:val="345D260B"/>
    <w:rsid w:val="34961A70"/>
    <w:rsid w:val="34C82096"/>
    <w:rsid w:val="34DFABBF"/>
    <w:rsid w:val="354143D0"/>
    <w:rsid w:val="35C73043"/>
    <w:rsid w:val="35F40F8A"/>
    <w:rsid w:val="36136406"/>
    <w:rsid w:val="363946D8"/>
    <w:rsid w:val="365302AE"/>
    <w:rsid w:val="370D28C1"/>
    <w:rsid w:val="375009D7"/>
    <w:rsid w:val="37D7741A"/>
    <w:rsid w:val="37F142D2"/>
    <w:rsid w:val="381C7444"/>
    <w:rsid w:val="39241FCC"/>
    <w:rsid w:val="39A13F14"/>
    <w:rsid w:val="39A704E3"/>
    <w:rsid w:val="3AEC1764"/>
    <w:rsid w:val="3B514310"/>
    <w:rsid w:val="3C443E4F"/>
    <w:rsid w:val="3C5938F5"/>
    <w:rsid w:val="3C5F759A"/>
    <w:rsid w:val="3D2959BD"/>
    <w:rsid w:val="3D5C78D4"/>
    <w:rsid w:val="3D9E0827"/>
    <w:rsid w:val="3DF03D49"/>
    <w:rsid w:val="3E255E57"/>
    <w:rsid w:val="3EB219E2"/>
    <w:rsid w:val="3F1757A8"/>
    <w:rsid w:val="3F450160"/>
    <w:rsid w:val="3F7B287D"/>
    <w:rsid w:val="3FFF72A6"/>
    <w:rsid w:val="4038198F"/>
    <w:rsid w:val="416E62DC"/>
    <w:rsid w:val="417711C1"/>
    <w:rsid w:val="41E940F1"/>
    <w:rsid w:val="420E1545"/>
    <w:rsid w:val="42CF228D"/>
    <w:rsid w:val="42D64FF5"/>
    <w:rsid w:val="42E1381E"/>
    <w:rsid w:val="434C5E8F"/>
    <w:rsid w:val="43B753A5"/>
    <w:rsid w:val="43E3402A"/>
    <w:rsid w:val="43FB717C"/>
    <w:rsid w:val="451E447A"/>
    <w:rsid w:val="45345B76"/>
    <w:rsid w:val="45EA6BA0"/>
    <w:rsid w:val="45F71264"/>
    <w:rsid w:val="463E1738"/>
    <w:rsid w:val="469851D1"/>
    <w:rsid w:val="46A9614D"/>
    <w:rsid w:val="46DC530D"/>
    <w:rsid w:val="470740ED"/>
    <w:rsid w:val="471373E8"/>
    <w:rsid w:val="47307808"/>
    <w:rsid w:val="47370652"/>
    <w:rsid w:val="47544185"/>
    <w:rsid w:val="486F747C"/>
    <w:rsid w:val="491D6A75"/>
    <w:rsid w:val="49DD673C"/>
    <w:rsid w:val="4A244932"/>
    <w:rsid w:val="4AC9433B"/>
    <w:rsid w:val="4B227705"/>
    <w:rsid w:val="4C1647FF"/>
    <w:rsid w:val="4D861CF6"/>
    <w:rsid w:val="4EC31F2F"/>
    <w:rsid w:val="4F036B23"/>
    <w:rsid w:val="4F103A13"/>
    <w:rsid w:val="4F292918"/>
    <w:rsid w:val="505D4E55"/>
    <w:rsid w:val="516C5A20"/>
    <w:rsid w:val="51A0432A"/>
    <w:rsid w:val="527140E5"/>
    <w:rsid w:val="5292508F"/>
    <w:rsid w:val="529C2335"/>
    <w:rsid w:val="52A96B6F"/>
    <w:rsid w:val="532822B7"/>
    <w:rsid w:val="54041F40"/>
    <w:rsid w:val="541D3690"/>
    <w:rsid w:val="54991EC3"/>
    <w:rsid w:val="550764A4"/>
    <w:rsid w:val="551926E0"/>
    <w:rsid w:val="561279B9"/>
    <w:rsid w:val="56363B92"/>
    <w:rsid w:val="56515F3B"/>
    <w:rsid w:val="56834E90"/>
    <w:rsid w:val="572B71CA"/>
    <w:rsid w:val="5741191B"/>
    <w:rsid w:val="57627542"/>
    <w:rsid w:val="57E958DA"/>
    <w:rsid w:val="58495567"/>
    <w:rsid w:val="587D7756"/>
    <w:rsid w:val="58810003"/>
    <w:rsid w:val="589672D6"/>
    <w:rsid w:val="58AE4F0C"/>
    <w:rsid w:val="58B22DEB"/>
    <w:rsid w:val="58C0677E"/>
    <w:rsid w:val="594D25DB"/>
    <w:rsid w:val="59816B33"/>
    <w:rsid w:val="598D4D94"/>
    <w:rsid w:val="59FA153A"/>
    <w:rsid w:val="5A0504B5"/>
    <w:rsid w:val="5A117165"/>
    <w:rsid w:val="5A2A7C7B"/>
    <w:rsid w:val="5A522C07"/>
    <w:rsid w:val="5AB23368"/>
    <w:rsid w:val="5C80234E"/>
    <w:rsid w:val="5C8210D4"/>
    <w:rsid w:val="5C8618C3"/>
    <w:rsid w:val="5CE64FEF"/>
    <w:rsid w:val="5CED695D"/>
    <w:rsid w:val="5D131446"/>
    <w:rsid w:val="5D8C1586"/>
    <w:rsid w:val="5D9C6476"/>
    <w:rsid w:val="5DBF62A8"/>
    <w:rsid w:val="5E261785"/>
    <w:rsid w:val="5E304667"/>
    <w:rsid w:val="5E4B7FE7"/>
    <w:rsid w:val="5FCC5339"/>
    <w:rsid w:val="5FCF0764"/>
    <w:rsid w:val="5FE70807"/>
    <w:rsid w:val="60267922"/>
    <w:rsid w:val="60483AFC"/>
    <w:rsid w:val="6093384F"/>
    <w:rsid w:val="60E53485"/>
    <w:rsid w:val="61054A27"/>
    <w:rsid w:val="611D2366"/>
    <w:rsid w:val="625613A5"/>
    <w:rsid w:val="62885958"/>
    <w:rsid w:val="62A56FE4"/>
    <w:rsid w:val="63144820"/>
    <w:rsid w:val="6453752A"/>
    <w:rsid w:val="648A46E4"/>
    <w:rsid w:val="64CE2EAA"/>
    <w:rsid w:val="64E930D8"/>
    <w:rsid w:val="660D267B"/>
    <w:rsid w:val="662E75B1"/>
    <w:rsid w:val="66342C2E"/>
    <w:rsid w:val="663E784C"/>
    <w:rsid w:val="66650FE6"/>
    <w:rsid w:val="67AA7DA2"/>
    <w:rsid w:val="67BF6A43"/>
    <w:rsid w:val="67CD12DF"/>
    <w:rsid w:val="68064B3E"/>
    <w:rsid w:val="68144827"/>
    <w:rsid w:val="685867EC"/>
    <w:rsid w:val="68A35D74"/>
    <w:rsid w:val="69102733"/>
    <w:rsid w:val="69943834"/>
    <w:rsid w:val="69A27DD9"/>
    <w:rsid w:val="69EA0EC0"/>
    <w:rsid w:val="69EA7CF6"/>
    <w:rsid w:val="6AAD27D4"/>
    <w:rsid w:val="6AF85FCE"/>
    <w:rsid w:val="6B9145AA"/>
    <w:rsid w:val="6BA43AA1"/>
    <w:rsid w:val="6BDF70C3"/>
    <w:rsid w:val="6C04327E"/>
    <w:rsid w:val="6C077E73"/>
    <w:rsid w:val="6CB5278A"/>
    <w:rsid w:val="6CB96113"/>
    <w:rsid w:val="6CCA7D73"/>
    <w:rsid w:val="6D0F0AFD"/>
    <w:rsid w:val="6D4E0208"/>
    <w:rsid w:val="6D581C9A"/>
    <w:rsid w:val="6DD34B5E"/>
    <w:rsid w:val="6E8E12EF"/>
    <w:rsid w:val="6F58599B"/>
    <w:rsid w:val="6FF13959"/>
    <w:rsid w:val="703A503B"/>
    <w:rsid w:val="706202C3"/>
    <w:rsid w:val="706525A2"/>
    <w:rsid w:val="70745789"/>
    <w:rsid w:val="71557E27"/>
    <w:rsid w:val="71883B65"/>
    <w:rsid w:val="71D43752"/>
    <w:rsid w:val="727D26A3"/>
    <w:rsid w:val="733D0DD5"/>
    <w:rsid w:val="739A7D73"/>
    <w:rsid w:val="73BB0416"/>
    <w:rsid w:val="73DD6243"/>
    <w:rsid w:val="743B50B2"/>
    <w:rsid w:val="746C2532"/>
    <w:rsid w:val="747405C4"/>
    <w:rsid w:val="749C4185"/>
    <w:rsid w:val="74EC6B9B"/>
    <w:rsid w:val="75DA2C18"/>
    <w:rsid w:val="76FF2D0F"/>
    <w:rsid w:val="774322F8"/>
    <w:rsid w:val="775319EF"/>
    <w:rsid w:val="77BE04D4"/>
    <w:rsid w:val="78D81199"/>
    <w:rsid w:val="790F1C77"/>
    <w:rsid w:val="79180FAF"/>
    <w:rsid w:val="7A67303B"/>
    <w:rsid w:val="7A684727"/>
    <w:rsid w:val="7A8552D9"/>
    <w:rsid w:val="7AAA11E4"/>
    <w:rsid w:val="7AAB1D04"/>
    <w:rsid w:val="7ABA4368"/>
    <w:rsid w:val="7B23367A"/>
    <w:rsid w:val="7B257FFD"/>
    <w:rsid w:val="7C2B1DA5"/>
    <w:rsid w:val="7DBC5841"/>
    <w:rsid w:val="7DF4317E"/>
    <w:rsid w:val="7E64308B"/>
    <w:rsid w:val="7E784333"/>
    <w:rsid w:val="7F546FE2"/>
    <w:rsid w:val="7F6A0F42"/>
    <w:rsid w:val="7F9C6ED1"/>
    <w:rsid w:val="7FFA0CBF"/>
    <w:rsid w:val="B6FF7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iPriority="99"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9"/>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9"/>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2"/>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semiHidden/>
    <w:unhideWhenUsed/>
    <w:qFormat/>
    <w:uiPriority w:val="99"/>
    <w:pPr>
      <w:ind w:left="1400" w:leftChars="140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
    <w:link w:val="613"/>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4"/>
    <w:qFormat/>
    <w:uiPriority w:val="99"/>
    <w:pPr>
      <w:jc w:val="left"/>
    </w:pPr>
  </w:style>
  <w:style w:type="paragraph" w:styleId="21">
    <w:name w:val="Salutation"/>
    <w:basedOn w:val="1"/>
    <w:next w:val="1"/>
    <w:link w:val="482"/>
    <w:qFormat/>
    <w:uiPriority w:val="0"/>
    <w:rPr>
      <w:rFonts w:ascii="仿宋_GB2312" w:eastAsia="仿宋_GB2312"/>
      <w:sz w:val="28"/>
      <w:szCs w:val="20"/>
    </w:rPr>
  </w:style>
  <w:style w:type="paragraph" w:styleId="22">
    <w:name w:val="Body Text 3"/>
    <w:basedOn w:val="1"/>
    <w:link w:val="581"/>
    <w:qFormat/>
    <w:uiPriority w:val="0"/>
    <w:pPr>
      <w:jc w:val="center"/>
    </w:pPr>
    <w:rPr>
      <w:szCs w:val="20"/>
    </w:rPr>
  </w:style>
  <w:style w:type="paragraph" w:styleId="23">
    <w:name w:val="Body Text"/>
    <w:basedOn w:val="1"/>
    <w:link w:val="512"/>
    <w:qFormat/>
    <w:uiPriority w:val="0"/>
    <w:pPr>
      <w:autoSpaceDE w:val="0"/>
      <w:autoSpaceDN w:val="0"/>
      <w:spacing w:line="360" w:lineRule="auto"/>
    </w:pPr>
    <w:rPr>
      <w:rFonts w:ascii="宋体"/>
      <w:sz w:val="24"/>
      <w:szCs w:val="21"/>
      <w:lang w:val="zh-CN"/>
    </w:rPr>
  </w:style>
  <w:style w:type="paragraph" w:styleId="24">
    <w:name w:val="Body Text Indent"/>
    <w:basedOn w:val="1"/>
    <w:link w:val="47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1"/>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9"/>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8"/>
    <w:qFormat/>
    <w:uiPriority w:val="0"/>
    <w:pPr>
      <w:ind w:left="100" w:leftChars="2500"/>
    </w:pPr>
    <w:rPr>
      <w:rFonts w:ascii="宋体"/>
      <w:sz w:val="24"/>
      <w:szCs w:val="21"/>
      <w:lang w:val="zh-CN"/>
    </w:rPr>
  </w:style>
  <w:style w:type="paragraph" w:styleId="36">
    <w:name w:val="Body Text Indent 2"/>
    <w:basedOn w:val="1"/>
    <w:link w:val="503"/>
    <w:qFormat/>
    <w:uiPriority w:val="0"/>
    <w:pPr>
      <w:spacing w:line="360" w:lineRule="auto"/>
      <w:ind w:firstLine="601"/>
      <w:textAlignment w:val="baseline"/>
    </w:pPr>
    <w:rPr>
      <w:rFonts w:ascii="宋体"/>
      <w:kern w:val="0"/>
      <w:sz w:val="28"/>
      <w:szCs w:val="20"/>
    </w:rPr>
  </w:style>
  <w:style w:type="paragraph" w:styleId="37">
    <w:name w:val="Balloon Text"/>
    <w:basedOn w:val="1"/>
    <w:link w:val="615"/>
    <w:semiHidden/>
    <w:qFormat/>
    <w:uiPriority w:val="0"/>
    <w:rPr>
      <w:sz w:val="18"/>
      <w:szCs w:val="18"/>
    </w:rPr>
  </w:style>
  <w:style w:type="paragraph" w:styleId="38">
    <w:name w:val="footer"/>
    <w:basedOn w:val="1"/>
    <w:qFormat/>
    <w:uiPriority w:val="0"/>
    <w:pPr>
      <w:tabs>
        <w:tab w:val="center" w:pos="4153"/>
        <w:tab w:val="right" w:pos="8306"/>
      </w:tabs>
      <w:snapToGrid w:val="0"/>
      <w:jc w:val="left"/>
    </w:pPr>
    <w:rPr>
      <w:sz w:val="18"/>
      <w:szCs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basedOn w:val="1"/>
    <w:next w:val="1"/>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6"/>
    <w:link w:val="473"/>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8"/>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0"/>
    <w:next w:val="20"/>
    <w:semiHidden/>
    <w:qFormat/>
    <w:uiPriority w:val="0"/>
    <w:rPr>
      <w:b/>
      <w:bCs/>
    </w:rPr>
  </w:style>
  <w:style w:type="paragraph" w:styleId="59">
    <w:name w:val="Body Text First Indent"/>
    <w:basedOn w:val="23"/>
    <w:link w:val="545"/>
    <w:qFormat/>
    <w:uiPriority w:val="0"/>
    <w:pPr>
      <w:ind w:firstLine="420"/>
    </w:pPr>
    <w:rPr>
      <w:szCs w:val="20"/>
    </w:rPr>
  </w:style>
  <w:style w:type="paragraph" w:styleId="60">
    <w:name w:val="Body Text First Indent 2"/>
    <w:basedOn w:val="24"/>
    <w:link w:val="502"/>
    <w:qFormat/>
    <w:uiPriority w:val="0"/>
    <w:pPr>
      <w:adjustRightInd/>
      <w:spacing w:after="120"/>
      <w:ind w:left="420" w:leftChars="200" w:firstLine="210"/>
    </w:p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Default"/>
    <w:next w:val="1"/>
    <w:link w:val="62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312"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156"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72"/>
    <w:next w:val="72"/>
    <w:qFormat/>
    <w:uiPriority w:val="0"/>
    <w:pPr>
      <w:spacing w:after="68"/>
    </w:pPr>
    <w:rPr>
      <w:rFonts w:ascii="FHLHE E+ Futura Bk" w:eastAsia="FHLHE E+ Futura Bk" w:cs="Times New Roman"/>
      <w:color w:val="auto"/>
    </w:rPr>
  </w:style>
  <w:style w:type="paragraph" w:customStyle="1" w:styleId="101">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6">
    <w:name w:val="List Paragraph"/>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73"/>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1"/>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9"/>
    <w:qFormat/>
    <w:uiPriority w:val="0"/>
    <w:pPr>
      <w:tabs>
        <w:tab w:val="left" w:pos="2356"/>
      </w:tabs>
    </w:pPr>
  </w:style>
  <w:style w:type="paragraph" w:customStyle="1" w:styleId="170">
    <w:name w:val="样式 标题 4h4H4Fab-4T5Ref Heading 1rh1Heading sqlsect 1.2.3...."/>
    <w:basedOn w:val="5"/>
    <w:link w:val="559"/>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73"/>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73"/>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73"/>
    <w:qFormat/>
    <w:uiPriority w:val="0"/>
    <w:pPr>
      <w:numPr>
        <w:ilvl w:val="3"/>
        <w:numId w:val="4"/>
      </w:numPr>
      <w:tabs>
        <w:tab w:val="left" w:pos="1680"/>
      </w:tabs>
      <w:ind w:left="0"/>
      <w:outlineLvl w:val="3"/>
    </w:pPr>
  </w:style>
  <w:style w:type="paragraph" w:customStyle="1" w:styleId="174">
    <w:name w:val="一级条标题"/>
    <w:basedOn w:val="138"/>
    <w:next w:val="73"/>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72"/>
    <w:next w:val="72"/>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7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2"/>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40"/>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2"/>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9"/>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7"/>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73"/>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406"/>
    <w:qFormat/>
    <w:uiPriority w:val="99"/>
    <w:pPr>
      <w:adjustRightInd/>
      <w:ind w:firstLine="200" w:firstLineChars="200"/>
    </w:pPr>
    <w:rPr>
      <w:rFonts w:ascii="Arial" w:hAnsi="Arial"/>
      <w:spacing w:val="-5"/>
      <w:kern w:val="0"/>
      <w:sz w:val="24"/>
      <w:szCs w:val="20"/>
    </w:rPr>
  </w:style>
  <w:style w:type="paragraph" w:customStyle="1" w:styleId="406">
    <w:name w:val="清单正文"/>
    <w:basedOn w:val="45"/>
    <w:qFormat/>
    <w:uiPriority w:val="0"/>
    <w:pPr>
      <w:spacing w:before="0" w:beforeLines="50" w:after="0" w:line="360" w:lineRule="auto"/>
      <w:ind w:firstLine="150" w:firstLineChars="150"/>
      <w:jc w:val="both"/>
      <w:outlineLvl w:val="9"/>
    </w:pPr>
    <w:rPr>
      <w:rFonts w:ascii="Times New Roman" w:hAnsi="Times New Roman" w:cs="黑体"/>
      <w:sz w:val="24"/>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numId w:val="4"/>
      </w:numPr>
      <w:tabs>
        <w:tab w:val="left" w:pos="840"/>
        <w:tab w:val="left" w:pos="2520"/>
        <w:tab w:val="clear" w:pos="1008"/>
      </w:tabs>
      <w:adjustRightInd/>
    </w:pPr>
  </w:style>
  <w:style w:type="paragraph" w:customStyle="1" w:styleId="411">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5"/>
      </w:numPr>
      <w:tabs>
        <w:tab w:val="left" w:pos="480"/>
        <w:tab w:val="clear" w:pos="432"/>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left" w:pos="840"/>
        <w:tab w:val="clear" w:pos="432"/>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字符"/>
    <w:link w:val="40"/>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semiHidden/>
    <w:qFormat/>
    <w:locked/>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4"/>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3"/>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3"/>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8"/>
    <w:qFormat/>
    <w:uiPriority w:val="0"/>
    <w:rPr>
      <w:rFonts w:ascii="仿宋_GB2312" w:eastAsia="仿宋_GB2312"/>
      <w:kern w:val="2"/>
      <w:sz w:val="24"/>
      <w:lang w:val="en-US" w:eastAsia="zh-CN" w:bidi="ar-SA"/>
    </w:rPr>
  </w:style>
  <w:style w:type="character" w:customStyle="1" w:styleId="463">
    <w:name w:val="Comment Text Char"/>
    <w:semiHidden/>
    <w:qFormat/>
    <w:locked/>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semiHidden/>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标题 2 Char"/>
    <w:qFormat/>
    <w:uiPriority w:val="0"/>
    <w:rPr>
      <w:rFonts w:ascii="Arial" w:hAnsi="Arial" w:eastAsia="黑体"/>
      <w:b/>
      <w:kern w:val="2"/>
      <w:sz w:val="32"/>
      <w:lang w:val="en-US" w:eastAsia="zh-CN"/>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字符"/>
    <w:link w:val="9"/>
    <w:qFormat/>
    <w:uiPriority w:val="0"/>
    <w:rPr>
      <w:rFonts w:ascii="Arial" w:hAnsi="Arial" w:eastAsia="黑体"/>
      <w:kern w:val="2"/>
      <w:sz w:val="24"/>
      <w:szCs w:val="24"/>
    </w:rPr>
  </w:style>
  <w:style w:type="character" w:customStyle="1" w:styleId="472">
    <w:name w:val="冯广丽 Char"/>
    <w:link w:val="234"/>
    <w:qFormat/>
    <w:uiPriority w:val="0"/>
    <w:rPr>
      <w:rFonts w:ascii="宋体" w:hAnsi="宋体"/>
      <w:kern w:val="2"/>
      <w:sz w:val="24"/>
      <w:szCs w:val="22"/>
    </w:rPr>
  </w:style>
  <w:style w:type="character" w:customStyle="1" w:styleId="473">
    <w:name w:val="脚注文本 字符"/>
    <w:link w:val="48"/>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字符"/>
    <w:link w:val="24"/>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1"/>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字符"/>
    <w:link w:val="8"/>
    <w:qFormat/>
    <w:uiPriority w:val="0"/>
    <w:rPr>
      <w:b/>
      <w:bCs/>
      <w:kern w:val="2"/>
      <w:sz w:val="24"/>
      <w:szCs w:val="24"/>
    </w:rPr>
  </w:style>
  <w:style w:type="character" w:customStyle="1" w:styleId="482">
    <w:name w:val="称呼 字符"/>
    <w:link w:val="21"/>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字符"/>
    <w:link w:val="45"/>
    <w:qFormat/>
    <w:uiPriority w:val="0"/>
    <w:rPr>
      <w:rFonts w:ascii="Arial" w:hAnsi="Arial" w:eastAsia="隶书"/>
      <w:b/>
      <w:bCs/>
      <w:kern w:val="28"/>
      <w:sz w:val="44"/>
      <w:szCs w:val="32"/>
      <w:lang w:val="en-US" w:eastAsia="zh-CN" w:bidi="ar-SA"/>
    </w:rPr>
  </w:style>
  <w:style w:type="character" w:customStyle="1" w:styleId="489">
    <w:name w:val="纯文本 字符"/>
    <w:link w:val="32"/>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2"/>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文本首行缩进 2 字符"/>
    <w:link w:val="60"/>
    <w:qFormat/>
    <w:uiPriority w:val="0"/>
    <w:rPr>
      <w:rFonts w:ascii="宋体" w:hAnsi="宋体"/>
      <w:kern w:val="2"/>
      <w:sz w:val="21"/>
      <w:szCs w:val="24"/>
    </w:rPr>
  </w:style>
  <w:style w:type="character" w:customStyle="1" w:styleId="503">
    <w:name w:val="正文文本缩进 2 字符"/>
    <w:link w:val="36"/>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5"/>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字符"/>
    <w:link w:val="10"/>
    <w:qFormat/>
    <w:uiPriority w:val="0"/>
    <w:rPr>
      <w:rFonts w:ascii="Arial" w:hAnsi="Arial" w:eastAsia="黑体"/>
      <w:kern w:val="2"/>
      <w:sz w:val="21"/>
      <w:szCs w:val="21"/>
    </w:rPr>
  </w:style>
  <w:style w:type="character" w:customStyle="1" w:styleId="520">
    <w:name w:val="md"/>
    <w:basedOn w:val="63"/>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68"/>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3"/>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字符"/>
    <w:link w:val="55"/>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文本首行缩进 字符"/>
    <w:link w:val="59"/>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标题 1 字符"/>
    <w:link w:val="2"/>
    <w:qFormat/>
    <w:uiPriority w:val="0"/>
    <w:rPr>
      <w:b/>
      <w:bCs/>
      <w:kern w:val="44"/>
      <w:sz w:val="44"/>
      <w:szCs w:val="44"/>
    </w:rPr>
  </w:style>
  <w:style w:type="character" w:customStyle="1" w:styleId="550">
    <w:name w:val="页眉 Char"/>
    <w:qFormat/>
    <w:uiPriority w:val="0"/>
    <w:rPr>
      <w:rFonts w:eastAsia="仿宋_GB2312"/>
      <w:kern w:val="2"/>
      <w:sz w:val="18"/>
      <w:lang w:val="en-US" w:eastAsia="zh-CN"/>
    </w:rPr>
  </w:style>
  <w:style w:type="character" w:customStyle="1" w:styleId="551">
    <w:name w:val="b11_01b Char"/>
    <w:link w:val="409"/>
    <w:qFormat/>
    <w:uiPriority w:val="0"/>
    <w:rPr>
      <w:rFonts w:ascii="Verdana" w:hAnsi="Verdana"/>
      <w:b/>
      <w:bCs/>
      <w:color w:val="4A82CA"/>
      <w:sz w:val="17"/>
      <w:szCs w:val="17"/>
    </w:rPr>
  </w:style>
  <w:style w:type="character" w:customStyle="1" w:styleId="552">
    <w:name w:val="标题4-dyf Char"/>
    <w:link w:val="346"/>
    <w:qFormat/>
    <w:uiPriority w:val="0"/>
    <w:rPr>
      <w:rFonts w:ascii="Cambria" w:hAnsi="Cambria"/>
      <w:b/>
      <w:bCs/>
      <w:color w:val="000000"/>
      <w:kern w:val="2"/>
      <w:sz w:val="21"/>
      <w:szCs w:val="21"/>
    </w:rPr>
  </w:style>
  <w:style w:type="character" w:customStyle="1" w:styleId="553">
    <w:name w:val="批注主题 Char"/>
    <w:qFormat/>
    <w:uiPriority w:val="0"/>
    <w:rPr>
      <w:rFonts w:eastAsia="宋体"/>
      <w:b/>
      <w:bCs/>
      <w:kern w:val="2"/>
      <w:sz w:val="21"/>
      <w:szCs w:val="24"/>
      <w:lang w:val="en-US" w:eastAsia="zh-CN" w:bidi="ar-SA"/>
    </w:rPr>
  </w:style>
  <w:style w:type="character" w:customStyle="1" w:styleId="55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5">
    <w:name w:val="正文首行缩进两字 Char"/>
    <w:qFormat/>
    <w:uiPriority w:val="0"/>
    <w:rPr>
      <w:sz w:val="24"/>
      <w:szCs w:val="24"/>
      <w:lang w:val="en-US" w:eastAsia="zh-CN" w:bidi="ar-SA"/>
    </w:rPr>
  </w:style>
  <w:style w:type="character" w:customStyle="1" w:styleId="556">
    <w:name w:val="Char Char51"/>
    <w:qFormat/>
    <w:uiPriority w:val="0"/>
    <w:rPr>
      <w:rFonts w:ascii="宋体" w:hAnsi="Courier New" w:eastAsia="宋体"/>
      <w:kern w:val="2"/>
      <w:sz w:val="21"/>
      <w:lang w:val="en-US" w:eastAsia="zh-CN"/>
    </w:rPr>
  </w:style>
  <w:style w:type="character" w:customStyle="1" w:styleId="557">
    <w:name w:val="带编号样式 Char"/>
    <w:qFormat/>
    <w:uiPriority w:val="0"/>
    <w:rPr>
      <w:rFonts w:ascii="仿宋_GB2312" w:eastAsia="仿宋_GB2312"/>
      <w:color w:val="000000"/>
      <w:sz w:val="24"/>
      <w:lang w:bidi="ar-SA"/>
    </w:rPr>
  </w:style>
  <w:style w:type="character" w:customStyle="1" w:styleId="558">
    <w:name w:val="样式4 Char"/>
    <w:qFormat/>
    <w:uiPriority w:val="0"/>
    <w:rPr>
      <w:rFonts w:ascii="仿宋_GB2312" w:hAnsi="仿宋" w:eastAsia="仿宋_GB2312"/>
      <w:b/>
      <w:kern w:val="2"/>
      <w:sz w:val="32"/>
      <w:szCs w:val="32"/>
      <w:lang w:bidi="ar-SA"/>
    </w:rPr>
  </w:style>
  <w:style w:type="character" w:customStyle="1" w:styleId="559">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60">
    <w:name w:val="PI Char"/>
    <w:qFormat/>
    <w:uiPriority w:val="0"/>
    <w:rPr>
      <w:rFonts w:ascii="宋体" w:hAnsi="宋体" w:eastAsia="宋体"/>
      <w:kern w:val="2"/>
      <w:sz w:val="24"/>
      <w:szCs w:val="24"/>
      <w:lang w:val="en-US" w:eastAsia="zh-CN" w:bidi="ar-SA"/>
    </w:rPr>
  </w:style>
  <w:style w:type="character" w:customStyle="1" w:styleId="561">
    <w:name w:val="Char Char111"/>
    <w:qFormat/>
    <w:locked/>
    <w:uiPriority w:val="0"/>
    <w:rPr>
      <w:rFonts w:ascii="宋体" w:hAnsi="宋体" w:eastAsia="宋体"/>
      <w:b/>
      <w:kern w:val="2"/>
      <w:sz w:val="24"/>
      <w:szCs w:val="24"/>
      <w:lang w:val="en-US" w:eastAsia="zh-CN" w:bidi="ar-SA"/>
    </w:rPr>
  </w:style>
  <w:style w:type="character" w:customStyle="1" w:styleId="562">
    <w:name w:val="Document Map Char"/>
    <w:semiHidden/>
    <w:qFormat/>
    <w:locked/>
    <w:uiPriority w:val="0"/>
    <w:rPr>
      <w:rFonts w:eastAsia="宋体"/>
      <w:kern w:val="2"/>
      <w:sz w:val="21"/>
      <w:szCs w:val="24"/>
      <w:lang w:val="en-US" w:eastAsia="zh-CN" w:bidi="ar-SA"/>
    </w:rPr>
  </w:style>
  <w:style w:type="character" w:customStyle="1" w:styleId="563">
    <w:name w:val="正文文本缩进 Char"/>
    <w:qFormat/>
    <w:uiPriority w:val="0"/>
    <w:rPr>
      <w:rFonts w:ascii="宋体" w:hAnsi="宋体"/>
      <w:kern w:val="2"/>
      <w:sz w:val="24"/>
      <w:szCs w:val="24"/>
    </w:rPr>
  </w:style>
  <w:style w:type="character" w:customStyle="1" w:styleId="564">
    <w:name w:val="文本正文 Char Char"/>
    <w:qFormat/>
    <w:locked/>
    <w:uiPriority w:val="0"/>
    <w:rPr>
      <w:sz w:val="24"/>
      <w:lang w:bidi="ar-SA"/>
    </w:rPr>
  </w:style>
  <w:style w:type="character" w:customStyle="1" w:styleId="565">
    <w:name w:val="样式7 Char"/>
    <w:qFormat/>
    <w:uiPriority w:val="0"/>
    <w:rPr>
      <w:rFonts w:ascii="仿宋_GB2312" w:hAnsi="仿宋" w:eastAsia="仿宋_GB2312"/>
      <w:b/>
      <w:kern w:val="2"/>
      <w:sz w:val="24"/>
      <w:szCs w:val="24"/>
    </w:rPr>
  </w:style>
  <w:style w:type="character" w:customStyle="1" w:styleId="566">
    <w:name w:val="样式3 Char"/>
    <w:basedOn w:val="567"/>
    <w:qFormat/>
    <w:uiPriority w:val="0"/>
    <w:rPr>
      <w:rFonts w:ascii="仿宋_GB2312" w:hAnsi="仿宋" w:eastAsia="仿宋_GB2312" w:cs="仿宋_GB2312"/>
      <w:sz w:val="32"/>
      <w:szCs w:val="30"/>
      <w:lang w:val="zh-CN"/>
    </w:rPr>
  </w:style>
  <w:style w:type="character" w:customStyle="1" w:styleId="567">
    <w:name w:val="样式2 Char"/>
    <w:qFormat/>
    <w:uiPriority w:val="0"/>
    <w:rPr>
      <w:rFonts w:ascii="仿宋_GB2312" w:hAnsi="仿宋" w:eastAsia="仿宋_GB2312" w:cs="仿宋_GB2312"/>
      <w:b/>
      <w:bCs/>
      <w:sz w:val="32"/>
      <w:szCs w:val="30"/>
      <w:lang w:val="zh-CN"/>
    </w:rPr>
  </w:style>
  <w:style w:type="character" w:customStyle="1" w:styleId="568">
    <w:name w:val="二级标题 Char Char"/>
    <w:qFormat/>
    <w:uiPriority w:val="0"/>
    <w:rPr>
      <w:rFonts w:ascii="宋体" w:hAnsi="宋体" w:eastAsia="宋体"/>
      <w:b/>
      <w:snapToGrid w:val="0"/>
      <w:kern w:val="2"/>
      <w:sz w:val="24"/>
      <w:szCs w:val="24"/>
      <w:lang w:val="en-US" w:eastAsia="zh-CN" w:bidi="ar-SA"/>
    </w:rPr>
  </w:style>
  <w:style w:type="character" w:customStyle="1" w:styleId="569">
    <w:name w:val="Table Text Char1"/>
    <w:qFormat/>
    <w:uiPriority w:val="0"/>
    <w:rPr>
      <w:rFonts w:eastAsia="宋体"/>
      <w:sz w:val="24"/>
      <w:szCs w:val="24"/>
      <w:lang w:val="en-US" w:eastAsia="zh-CN" w:bidi="ar-SA"/>
    </w:rPr>
  </w:style>
  <w:style w:type="character" w:customStyle="1" w:styleId="570">
    <w:name w:val="shadow11"/>
    <w:qFormat/>
    <w:uiPriority w:val="0"/>
    <w:rPr>
      <w:color w:val="000000"/>
      <w:sz w:val="21"/>
    </w:rPr>
  </w:style>
  <w:style w:type="character" w:customStyle="1" w:styleId="571">
    <w:name w:val="HTML 地址 字符"/>
    <w:link w:val="29"/>
    <w:qFormat/>
    <w:uiPriority w:val="0"/>
    <w:rPr>
      <w:rFonts w:ascii="宋体" w:hAnsi="宋体"/>
      <w:i/>
      <w:iCs/>
      <w:sz w:val="24"/>
      <w:szCs w:val="24"/>
    </w:rPr>
  </w:style>
  <w:style w:type="character" w:customStyle="1" w:styleId="572">
    <w:name w:val="Char Char22"/>
    <w:qFormat/>
    <w:uiPriority w:val="0"/>
    <w:rPr>
      <w:rFonts w:eastAsia="宋体"/>
      <w:b/>
      <w:bCs/>
      <w:kern w:val="2"/>
      <w:sz w:val="21"/>
      <w:szCs w:val="24"/>
      <w:lang w:val="en-US" w:eastAsia="zh-CN" w:bidi="ar-SA"/>
    </w:rPr>
  </w:style>
  <w:style w:type="character" w:customStyle="1" w:styleId="573">
    <w:name w:val="标题 5 字符"/>
    <w:link w:val="6"/>
    <w:qFormat/>
    <w:uiPriority w:val="0"/>
    <w:rPr>
      <w:b/>
      <w:bCs/>
      <w:kern w:val="2"/>
      <w:sz w:val="28"/>
      <w:szCs w:val="28"/>
    </w:rPr>
  </w:style>
  <w:style w:type="character" w:customStyle="1" w:styleId="574">
    <w:name w:val="h3 Char1"/>
    <w:qFormat/>
    <w:uiPriority w:val="0"/>
    <w:rPr>
      <w:rFonts w:eastAsia="宋体"/>
      <w:b/>
      <w:bCs/>
      <w:kern w:val="2"/>
      <w:sz w:val="32"/>
      <w:szCs w:val="32"/>
      <w:lang w:bidi="ar-SA"/>
    </w:rPr>
  </w:style>
  <w:style w:type="character" w:customStyle="1" w:styleId="575">
    <w:name w:val="FA正文 Char Char"/>
    <w:qFormat/>
    <w:uiPriority w:val="0"/>
    <w:rPr>
      <w:rFonts w:hAnsi="宋体"/>
      <w:kern w:val="2"/>
      <w:sz w:val="24"/>
      <w:lang w:bidi="ar-SA"/>
    </w:rPr>
  </w:style>
  <w:style w:type="character" w:customStyle="1" w:styleId="576">
    <w:name w:val="Char Char7"/>
    <w:semiHidden/>
    <w:qFormat/>
    <w:uiPriority w:val="0"/>
    <w:rPr>
      <w:rFonts w:eastAsia="宋体"/>
      <w:kern w:val="2"/>
      <w:sz w:val="21"/>
      <w:szCs w:val="24"/>
      <w:lang w:val="en-US" w:eastAsia="zh-CN" w:bidi="ar-SA"/>
    </w:rPr>
  </w:style>
  <w:style w:type="character" w:customStyle="1" w:styleId="577">
    <w:name w:val="hui"/>
    <w:basedOn w:val="63"/>
    <w:qFormat/>
    <w:uiPriority w:val="0"/>
  </w:style>
  <w:style w:type="character" w:customStyle="1" w:styleId="578">
    <w:name w:val="正文缩进 Char"/>
    <w:qFormat/>
    <w:uiPriority w:val="0"/>
    <w:rPr>
      <w:rFonts w:eastAsia="宋体"/>
      <w:kern w:val="2"/>
      <w:sz w:val="21"/>
      <w:lang w:val="en-US" w:eastAsia="zh-CN"/>
    </w:rPr>
  </w:style>
  <w:style w:type="character" w:customStyle="1" w:styleId="579">
    <w:name w:val="正文1 Char"/>
    <w:qFormat/>
    <w:uiPriority w:val="0"/>
    <w:rPr>
      <w:rFonts w:ascii="宋体" w:eastAsia="宋体"/>
      <w:snapToGrid w:val="0"/>
      <w:color w:val="000000"/>
      <w:kern w:val="28"/>
      <w:sz w:val="28"/>
      <w:lang w:val="en-US" w:eastAsia="zh-CN" w:bidi="ar-SA"/>
    </w:rPr>
  </w:style>
  <w:style w:type="character" w:customStyle="1" w:styleId="580">
    <w:name w:val="Char Char61"/>
    <w:qFormat/>
    <w:uiPriority w:val="0"/>
    <w:rPr>
      <w:rFonts w:eastAsia="宋体"/>
      <w:kern w:val="2"/>
      <w:sz w:val="21"/>
      <w:szCs w:val="24"/>
      <w:lang w:val="en-US" w:eastAsia="zh-CN" w:bidi="ar-SA"/>
    </w:rPr>
  </w:style>
  <w:style w:type="character" w:customStyle="1" w:styleId="581">
    <w:name w:val="正文文本 3 字符"/>
    <w:link w:val="22"/>
    <w:qFormat/>
    <w:uiPriority w:val="0"/>
    <w:rPr>
      <w:kern w:val="2"/>
      <w:sz w:val="21"/>
    </w:rPr>
  </w:style>
  <w:style w:type="character" w:customStyle="1" w:styleId="582">
    <w:name w:val="message1"/>
    <w:qFormat/>
    <w:uiPriority w:val="0"/>
    <w:rPr>
      <w:rFonts w:hint="default" w:ascii="Tahoma" w:hAnsi="Tahoma" w:cs="Tahoma"/>
      <w:sz w:val="18"/>
      <w:szCs w:val="18"/>
    </w:rPr>
  </w:style>
  <w:style w:type="character" w:customStyle="1" w:styleId="583">
    <w:name w:val="DO_NOT_TRANSLATE"/>
    <w:qFormat/>
    <w:uiPriority w:val="0"/>
    <w:rPr>
      <w:rFonts w:ascii="Courier New" w:hAnsi="Courier New" w:cs="Courier New"/>
      <w:color w:val="800000"/>
    </w:rPr>
  </w:style>
  <w:style w:type="character" w:customStyle="1" w:styleId="584">
    <w:name w:val="unnamed11"/>
    <w:qFormat/>
    <w:uiPriority w:val="0"/>
    <w:rPr>
      <w:sz w:val="20"/>
      <w:szCs w:val="20"/>
    </w:rPr>
  </w:style>
  <w:style w:type="character" w:customStyle="1" w:styleId="585">
    <w:name w:val="tw4winInternal"/>
    <w:qFormat/>
    <w:uiPriority w:val="0"/>
    <w:rPr>
      <w:rFonts w:ascii="Courier New" w:hAnsi="Courier New" w:cs="Courier New"/>
      <w:color w:val="FF0000"/>
    </w:rPr>
  </w:style>
  <w:style w:type="character" w:customStyle="1" w:styleId="586">
    <w:name w:val="正文（缩进2汉字） Char"/>
    <w:link w:val="325"/>
    <w:qFormat/>
    <w:uiPriority w:val="0"/>
    <w:rPr>
      <w:rFonts w:ascii="宋体"/>
    </w:rPr>
  </w:style>
  <w:style w:type="character" w:customStyle="1" w:styleId="587">
    <w:name w:val="页脚 Char"/>
    <w:qFormat/>
    <w:uiPriority w:val="0"/>
    <w:rPr>
      <w:rFonts w:eastAsia="仿宋_GB2312"/>
      <w:kern w:val="2"/>
      <w:sz w:val="18"/>
      <w:lang w:val="en-US" w:eastAsia="zh-CN"/>
    </w:rPr>
  </w:style>
  <w:style w:type="character" w:customStyle="1" w:styleId="588">
    <w:name w:val="正文文本缩进 3 字符"/>
    <w:link w:val="51"/>
    <w:qFormat/>
    <w:uiPriority w:val="0"/>
    <w:rPr>
      <w:kern w:val="2"/>
      <w:sz w:val="24"/>
    </w:rPr>
  </w:style>
  <w:style w:type="character" w:customStyle="1" w:styleId="589">
    <w:name w:val="正文缩进 Char1"/>
    <w:qFormat/>
    <w:uiPriority w:val="0"/>
    <w:rPr>
      <w:rFonts w:ascii="宋体" w:eastAsia="宋体"/>
      <w:snapToGrid w:val="0"/>
      <w:color w:val="000000"/>
      <w:kern w:val="28"/>
      <w:sz w:val="28"/>
      <w:lang w:val="en-US" w:eastAsia="zh-CN" w:bidi="ar-SA"/>
    </w:rPr>
  </w:style>
  <w:style w:type="character" w:customStyle="1" w:styleId="590">
    <w:name w:val="style36"/>
    <w:basedOn w:val="63"/>
    <w:qFormat/>
    <w:uiPriority w:val="0"/>
  </w:style>
  <w:style w:type="character" w:customStyle="1" w:styleId="591">
    <w:name w:val="hui3"/>
    <w:qFormat/>
    <w:uiPriority w:val="0"/>
    <w:rPr>
      <w:color w:val="333333"/>
    </w:rPr>
  </w:style>
  <w:style w:type="character" w:customStyle="1" w:styleId="592">
    <w:name w:val="apple-converted-space"/>
    <w:qFormat/>
    <w:uiPriority w:val="0"/>
  </w:style>
  <w:style w:type="character" w:customStyle="1" w:styleId="593">
    <w:name w:val="文档结构图 Char"/>
    <w:qFormat/>
    <w:uiPriority w:val="0"/>
    <w:rPr>
      <w:rFonts w:eastAsia="宋体"/>
      <w:kern w:val="2"/>
      <w:sz w:val="21"/>
      <w:szCs w:val="24"/>
      <w:lang w:val="en-US" w:eastAsia="zh-CN" w:bidi="ar-SA"/>
    </w:rPr>
  </w:style>
  <w:style w:type="character" w:customStyle="1" w:styleId="594">
    <w:name w:val="正文非缩进 Char3"/>
    <w:qFormat/>
    <w:uiPriority w:val="0"/>
    <w:rPr>
      <w:rFonts w:ascii="宋体" w:eastAsia="宋体"/>
      <w:snapToGrid w:val="0"/>
      <w:color w:val="000000"/>
      <w:kern w:val="28"/>
      <w:sz w:val="28"/>
      <w:lang w:val="en-US" w:eastAsia="zh-CN" w:bidi="ar-SA"/>
    </w:rPr>
  </w:style>
  <w:style w:type="character" w:customStyle="1" w:styleId="595">
    <w:name w:val="dectext1"/>
    <w:qFormat/>
    <w:uiPriority w:val="0"/>
    <w:rPr>
      <w:rFonts w:ascii="宋体" w:hAnsi="宋体" w:eastAsia="宋体"/>
      <w:color w:val="333333"/>
      <w:sz w:val="21"/>
      <w:szCs w:val="21"/>
      <w:u w:val="none"/>
    </w:rPr>
  </w:style>
  <w:style w:type="character" w:customStyle="1" w:styleId="596">
    <w:name w:val="副标题 Char1"/>
    <w:qFormat/>
    <w:uiPriority w:val="0"/>
    <w:rPr>
      <w:rFonts w:ascii="Cambria" w:hAnsi="Cambria" w:eastAsia="宋体" w:cs="Times New Roman"/>
      <w:b/>
      <w:bCs/>
      <w:snapToGrid w:val="0"/>
      <w:kern w:val="28"/>
      <w:sz w:val="32"/>
      <w:szCs w:val="32"/>
    </w:rPr>
  </w:style>
  <w:style w:type="character" w:customStyle="1" w:styleId="597">
    <w:name w:val="f141"/>
    <w:qFormat/>
    <w:uiPriority w:val="0"/>
    <w:rPr>
      <w:rFonts w:ascii="Tahoma" w:hAnsi="Tahoma" w:eastAsia="宋体"/>
      <w:b/>
      <w:kern w:val="2"/>
      <w:sz w:val="21"/>
      <w:szCs w:val="21"/>
      <w:lang w:val="en-US" w:eastAsia="zh-CN" w:bidi="ar-SA"/>
    </w:rPr>
  </w:style>
  <w:style w:type="character" w:customStyle="1" w:styleId="598">
    <w:name w:val="日期 字符"/>
    <w:link w:val="35"/>
    <w:qFormat/>
    <w:uiPriority w:val="0"/>
    <w:rPr>
      <w:rFonts w:ascii="宋体"/>
      <w:kern w:val="2"/>
      <w:sz w:val="24"/>
      <w:szCs w:val="21"/>
      <w:lang w:val="zh-CN"/>
    </w:rPr>
  </w:style>
  <w:style w:type="character" w:customStyle="1" w:styleId="599">
    <w:name w:val="标题 4 字符"/>
    <w:link w:val="5"/>
    <w:qFormat/>
    <w:uiPriority w:val="0"/>
    <w:rPr>
      <w:rFonts w:ascii="Arial" w:hAnsi="Arial" w:eastAsia="黑体"/>
      <w:b/>
      <w:bCs/>
      <w:kern w:val="2"/>
      <w:sz w:val="28"/>
      <w:szCs w:val="28"/>
      <w:lang w:val="zh-CN"/>
    </w:rPr>
  </w:style>
  <w:style w:type="character" w:customStyle="1" w:styleId="600">
    <w:name w:val="链接"/>
    <w:qFormat/>
    <w:uiPriority w:val="0"/>
    <w:rPr>
      <w:color w:val="0000FF"/>
      <w:sz w:val="21"/>
      <w:szCs w:val="21"/>
      <w:u w:val="single"/>
    </w:rPr>
  </w:style>
  <w:style w:type="character" w:customStyle="1" w:styleId="601">
    <w:name w:val="正文首行缩进 Char Char Char Char Char Char"/>
    <w:qFormat/>
    <w:uiPriority w:val="0"/>
    <w:rPr>
      <w:rFonts w:ascii="宋体" w:eastAsia="宋体"/>
      <w:kern w:val="2"/>
      <w:sz w:val="24"/>
      <w:lang w:val="zh-CN" w:bidi="ar-SA"/>
    </w:rPr>
  </w:style>
  <w:style w:type="character" w:customStyle="1" w:styleId="602">
    <w:name w:val="tw4winError"/>
    <w:qFormat/>
    <w:uiPriority w:val="0"/>
    <w:rPr>
      <w:rFonts w:ascii="Courier New" w:hAnsi="Courier New" w:cs="Courier New"/>
      <w:color w:val="00FF00"/>
      <w:sz w:val="40"/>
      <w:szCs w:val="40"/>
    </w:rPr>
  </w:style>
  <w:style w:type="character" w:customStyle="1" w:styleId="603">
    <w:name w:val="Used by Word for text of Help footnotes Char Char"/>
    <w:semiHidden/>
    <w:qFormat/>
    <w:uiPriority w:val="0"/>
    <w:rPr>
      <w:rFonts w:ascii="Times New Roman" w:hAnsi="Times New Roman" w:eastAsia="宋体" w:cs="Times New Roman"/>
      <w:sz w:val="20"/>
      <w:szCs w:val="20"/>
    </w:rPr>
  </w:style>
  <w:style w:type="character" w:customStyle="1" w:styleId="604">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5">
    <w:name w:val="表正文 Char"/>
    <w:qFormat/>
    <w:uiPriority w:val="0"/>
    <w:rPr>
      <w:rFonts w:ascii="宋体" w:eastAsia="宋体"/>
      <w:snapToGrid w:val="0"/>
      <w:color w:val="000000"/>
      <w:kern w:val="28"/>
      <w:sz w:val="28"/>
      <w:lang w:val="en-US" w:eastAsia="zh-CN" w:bidi="ar-SA"/>
    </w:rPr>
  </w:style>
  <w:style w:type="character" w:customStyle="1" w:styleId="606">
    <w:name w:val="普通文字 Char1 Char"/>
    <w:qFormat/>
    <w:uiPriority w:val="0"/>
    <w:rPr>
      <w:rFonts w:ascii="宋体" w:hAnsi="Courier New" w:eastAsia="宋体"/>
      <w:kern w:val="2"/>
      <w:sz w:val="21"/>
      <w:szCs w:val="24"/>
      <w:lang w:val="en-US" w:eastAsia="zh-CN" w:bidi="ar-SA"/>
    </w:rPr>
  </w:style>
  <w:style w:type="character" w:customStyle="1" w:styleId="607">
    <w:name w:val="pt9"/>
    <w:qFormat/>
    <w:uiPriority w:val="0"/>
    <w:rPr>
      <w:rFonts w:ascii="仿宋_GB2312" w:eastAsia="微软雅黑"/>
      <w:b/>
      <w:kern w:val="2"/>
      <w:sz w:val="32"/>
      <w:szCs w:val="32"/>
      <w:lang w:val="en-US" w:eastAsia="zh-CN" w:bidi="ar-SA"/>
    </w:rPr>
  </w:style>
  <w:style w:type="character" w:customStyle="1" w:styleId="608">
    <w:name w:val="large1"/>
    <w:qFormat/>
    <w:uiPriority w:val="0"/>
    <w:rPr>
      <w:rFonts w:hint="eastAsia" w:ascii="宋体" w:hAnsi="宋体" w:eastAsia="宋体"/>
      <w:sz w:val="21"/>
      <w:szCs w:val="21"/>
    </w:rPr>
  </w:style>
  <w:style w:type="character" w:customStyle="1" w:styleId="609">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10">
    <w:name w:val="标题 4 Char1"/>
    <w:semiHidden/>
    <w:qFormat/>
    <w:uiPriority w:val="9"/>
    <w:rPr>
      <w:rFonts w:ascii="Cambria" w:hAnsi="Cambria" w:eastAsia="宋体" w:cs="Times New Roman"/>
      <w:b/>
      <w:bCs/>
      <w:kern w:val="2"/>
      <w:sz w:val="28"/>
      <w:szCs w:val="28"/>
    </w:rPr>
  </w:style>
  <w:style w:type="character" w:customStyle="1" w:styleId="611">
    <w:name w:val="tw4winPopup"/>
    <w:qFormat/>
    <w:uiPriority w:val="0"/>
    <w:rPr>
      <w:rFonts w:ascii="Courier New" w:hAnsi="Courier New" w:cs="Courier New"/>
      <w:color w:val="008000"/>
    </w:rPr>
  </w:style>
  <w:style w:type="character" w:customStyle="1" w:styleId="612">
    <w:name w:val="标题 6 字符"/>
    <w:link w:val="7"/>
    <w:qFormat/>
    <w:uiPriority w:val="0"/>
    <w:rPr>
      <w:rFonts w:ascii="Arial" w:hAnsi="Arial" w:eastAsia="黑体"/>
      <w:b/>
      <w:bCs/>
      <w:kern w:val="2"/>
      <w:sz w:val="24"/>
      <w:szCs w:val="24"/>
    </w:rPr>
  </w:style>
  <w:style w:type="character" w:customStyle="1" w:styleId="613">
    <w:name w:val="正文缩进 字符"/>
    <w:link w:val="16"/>
    <w:qFormat/>
    <w:uiPriority w:val="0"/>
    <w:rPr>
      <w:rFonts w:ascii="宋体" w:eastAsia="宋体"/>
      <w:snapToGrid w:val="0"/>
      <w:color w:val="000000"/>
      <w:kern w:val="28"/>
      <w:sz w:val="28"/>
      <w:lang w:val="en-US" w:eastAsia="zh-CN" w:bidi="ar-SA"/>
    </w:rPr>
  </w:style>
  <w:style w:type="character" w:customStyle="1" w:styleId="614">
    <w:name w:val="批注文字 字符"/>
    <w:link w:val="20"/>
    <w:qFormat/>
    <w:uiPriority w:val="99"/>
    <w:rPr>
      <w:kern w:val="2"/>
      <w:sz w:val="21"/>
      <w:szCs w:val="24"/>
    </w:rPr>
  </w:style>
  <w:style w:type="character" w:customStyle="1" w:styleId="615">
    <w:name w:val="批注框文本 字符"/>
    <w:link w:val="37"/>
    <w:semiHidden/>
    <w:qFormat/>
    <w:uiPriority w:val="0"/>
    <w:rPr>
      <w:kern w:val="2"/>
      <w:sz w:val="18"/>
      <w:szCs w:val="18"/>
    </w:rPr>
  </w:style>
  <w:style w:type="character" w:customStyle="1" w:styleId="616">
    <w:name w:val="Footer Char"/>
    <w:qFormat/>
    <w:locked/>
    <w:uiPriority w:val="0"/>
    <w:rPr>
      <w:rFonts w:eastAsia="宋体"/>
      <w:kern w:val="2"/>
      <w:sz w:val="18"/>
      <w:lang w:val="en-US" w:eastAsia="zh-CN" w:bidi="ar-SA"/>
    </w:rPr>
  </w:style>
  <w:style w:type="paragraph" w:customStyle="1" w:styleId="61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8">
    <w:name w:val="索引 11"/>
    <w:basedOn w:val="1"/>
    <w:next w:val="1"/>
    <w:qFormat/>
    <w:uiPriority w:val="0"/>
    <w:pPr>
      <w:adjustRightInd/>
      <w:spacing w:line="360" w:lineRule="auto"/>
    </w:pPr>
    <w:rPr>
      <w:rFonts w:ascii="仿宋_GB2312" w:eastAsia="仿宋_GB2312"/>
      <w:sz w:val="24"/>
      <w:szCs w:val="20"/>
    </w:rPr>
  </w:style>
  <w:style w:type="paragraph" w:customStyle="1" w:styleId="619">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0">
    <w:name w:val="纯文本_0_0"/>
    <w:basedOn w:val="1"/>
    <w:link w:val="621"/>
    <w:qFormat/>
    <w:uiPriority w:val="0"/>
    <w:pPr>
      <w:adjustRightInd/>
    </w:pPr>
    <w:rPr>
      <w:rFonts w:ascii="宋体" w:hAnsi="Courier New"/>
      <w:szCs w:val="21"/>
    </w:rPr>
  </w:style>
  <w:style w:type="character" w:customStyle="1" w:styleId="621">
    <w:name w:val="纯文本 Char_0"/>
    <w:link w:val="620"/>
    <w:qFormat/>
    <w:uiPriority w:val="0"/>
    <w:rPr>
      <w:rFonts w:ascii="宋体" w:hAnsi="Courier New"/>
      <w:kern w:val="2"/>
      <w:sz w:val="21"/>
      <w:szCs w:val="21"/>
      <w:lang w:val="en-US" w:eastAsia="zh-CN"/>
    </w:rPr>
  </w:style>
  <w:style w:type="character" w:customStyle="1" w:styleId="622">
    <w:name w:val="纯文本 Char1"/>
    <w:link w:val="623"/>
    <w:qFormat/>
    <w:uiPriority w:val="0"/>
    <w:rPr>
      <w:rFonts w:ascii="宋体" w:hAnsi="Courier New"/>
    </w:rPr>
  </w:style>
  <w:style w:type="paragraph" w:customStyle="1" w:styleId="623">
    <w:name w:val="纯文本1"/>
    <w:basedOn w:val="1"/>
    <w:link w:val="622"/>
    <w:qFormat/>
    <w:uiPriority w:val="0"/>
    <w:pPr>
      <w:adjustRightInd/>
    </w:pPr>
    <w:rPr>
      <w:rFonts w:ascii="宋体" w:hAnsi="Courier New"/>
      <w:kern w:val="0"/>
      <w:sz w:val="20"/>
      <w:szCs w:val="20"/>
    </w:rPr>
  </w:style>
  <w:style w:type="paragraph" w:customStyle="1" w:styleId="624">
    <w:name w:val="Char Char Char Char Char Char Char2"/>
    <w:basedOn w:val="1"/>
    <w:qFormat/>
    <w:uiPriority w:val="0"/>
    <w:rPr>
      <w:rFonts w:ascii="仿宋_GB2312" w:eastAsia="仿宋_GB2312"/>
      <w:b/>
      <w:sz w:val="32"/>
      <w:szCs w:val="32"/>
    </w:rPr>
  </w:style>
  <w:style w:type="paragraph" w:customStyle="1" w:styleId="625">
    <w:name w:val="Char Char1 Char Char Char Char Char Char2"/>
    <w:basedOn w:val="1"/>
    <w:qFormat/>
    <w:uiPriority w:val="0"/>
    <w:rPr>
      <w:rFonts w:ascii="仿宋_GB2312" w:eastAsia="仿宋_GB2312"/>
      <w:b/>
      <w:sz w:val="32"/>
      <w:szCs w:val="20"/>
    </w:rPr>
  </w:style>
  <w:style w:type="paragraph" w:customStyle="1" w:styleId="6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7">
    <w:name w:val="Default Char"/>
    <w:link w:val="72"/>
    <w:qFormat/>
    <w:uiPriority w:val="0"/>
    <w:rPr>
      <w:rFonts w:ascii="仿宋_GB2312" w:eastAsia="仿宋_GB2312" w:cs="仿宋_GB2312"/>
      <w:color w:val="000000"/>
      <w:sz w:val="24"/>
      <w:szCs w:val="24"/>
    </w:rPr>
  </w:style>
  <w:style w:type="paragraph" w:customStyle="1" w:styleId="62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9">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30">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2">
    <w:name w:val="*正文 Char"/>
    <w:link w:val="633"/>
    <w:qFormat/>
    <w:locked/>
    <w:uiPriority w:val="0"/>
    <w:rPr>
      <w:rFonts w:ascii="宋体" w:hAnsi="宋体"/>
      <w:sz w:val="24"/>
    </w:rPr>
  </w:style>
  <w:style w:type="paragraph" w:customStyle="1" w:styleId="633">
    <w:name w:val="*正文"/>
    <w:basedOn w:val="1"/>
    <w:link w:val="632"/>
    <w:qFormat/>
    <w:uiPriority w:val="0"/>
    <w:pPr>
      <w:snapToGrid w:val="0"/>
      <w:spacing w:line="360" w:lineRule="auto"/>
      <w:ind w:firstLine="482"/>
      <w:jc w:val="left"/>
    </w:pPr>
    <w:rPr>
      <w:rFonts w:ascii="宋体" w:hAnsi="宋体"/>
      <w:kern w:val="0"/>
      <w:sz w:val="24"/>
      <w:szCs w:val="20"/>
    </w:rPr>
  </w:style>
  <w:style w:type="character" w:customStyle="1" w:styleId="634">
    <w:name w:val="正文文本缩进 Char3"/>
    <w:qFormat/>
    <w:uiPriority w:val="0"/>
    <w:rPr>
      <w:rFonts w:ascii="宋体" w:hAnsi="宋体"/>
      <w:kern w:val="2"/>
      <w:sz w:val="24"/>
      <w:szCs w:val="24"/>
    </w:rPr>
  </w:style>
  <w:style w:type="table" w:customStyle="1" w:styleId="635">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6">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7">
    <w:name w:val="_Style 6"/>
    <w:basedOn w:val="1"/>
    <w:qFormat/>
    <w:uiPriority w:val="34"/>
    <w:pPr>
      <w:adjustRightInd/>
      <w:ind w:firstLine="420" w:firstLineChars="200"/>
    </w:pPr>
    <w:rPr>
      <w:rFonts w:eastAsia="仿宋_GB2312"/>
      <w:sz w:val="28"/>
    </w:rPr>
  </w:style>
  <w:style w:type="character" w:customStyle="1" w:styleId="638">
    <w:name w:val="font01"/>
    <w:basedOn w:val="63"/>
    <w:qFormat/>
    <w:uiPriority w:val="0"/>
    <w:rPr>
      <w:rFonts w:hint="eastAsia" w:ascii="宋体" w:hAnsi="宋体" w:eastAsia="宋体" w:cs="宋体"/>
      <w:color w:val="000000"/>
      <w:sz w:val="22"/>
      <w:szCs w:val="22"/>
      <w:u w:val="none"/>
    </w:rPr>
  </w:style>
  <w:style w:type="table" w:customStyle="1" w:styleId="6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89</Pages>
  <Words>4232</Words>
  <Characters>5147</Characters>
  <Lines>364</Lines>
  <Paragraphs>102</Paragraphs>
  <TotalTime>77</TotalTime>
  <ScaleCrop>false</ScaleCrop>
  <LinksUpToDate>false</LinksUpToDate>
  <CharactersWithSpaces>5231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2025-02-20T10:26:00Z</dcterms:created>
  <dc:creator>北海市政府采购中心</dc:creator>
  <cp:lastModifiedBy>雪儿</cp:lastModifiedBy>
  <cp:lastPrinted>2025-12-25T16:37:00Z</cp:lastPrinted>
  <dcterms:modified xsi:type="dcterms:W3CDTF">2026-09-03T10:15:04Z</dcterms:modified>
  <dc:title>北海市政府采购中心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4E7EEF9DA0AC43518D441A1A2DF2AD31_13</vt:lpwstr>
  </property>
  <property fmtid="{D5CDD505-2E9C-101B-9397-08002B2CF9AE}" pid="4" name="KSOTemplateDocerSaveRecord">
    <vt:lpwstr>eyJoZGlkIjoiMTljMTY3MWI0NGEzZDZkZTJkNTM2M2Y3MjgwNGQ1N2QiLCJ1c2VySWQiOiI0MTc4NDQzNjAifQ==</vt:lpwstr>
  </property>
</Properties>
</file>