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hd w:val="clear"/>
        <w:spacing w:line="360" w:lineRule="auto"/>
        <w:jc w:val="center"/>
        <w:rPr>
          <w:rFonts w:hint="eastAsia" w:ascii="宋体" w:hAnsi="宋体" w:cs="仿宋_GB2312"/>
          <w:b/>
          <w:color w:val="auto"/>
          <w:sz w:val="44"/>
          <w:szCs w:val="44"/>
          <w:highlight w:val="none"/>
        </w:rPr>
      </w:pPr>
      <w:bookmarkStart w:id="0" w:name="OLE_LINK1"/>
    </w:p>
    <w:p w14:paraId="13D195C0">
      <w:pPr>
        <w:shd w:val="clear"/>
        <w:spacing w:line="360" w:lineRule="auto"/>
        <w:jc w:val="center"/>
        <w:rPr>
          <w:rFonts w:hint="eastAsia" w:ascii="宋体" w:hAnsi="宋体" w:cs="仿宋_GB2312"/>
          <w:b/>
          <w:color w:val="auto"/>
          <w:sz w:val="44"/>
          <w:szCs w:val="44"/>
          <w:highlight w:val="none"/>
        </w:rPr>
      </w:pPr>
    </w:p>
    <w:p w14:paraId="47890F84">
      <w:pPr>
        <w:shd w:val="clea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广西壮族自治区第十六届运动会竞技体育项目（跆拳道）竞赛服务</w:t>
      </w:r>
      <w:r>
        <w:rPr>
          <w:rFonts w:hint="eastAsia" w:ascii="宋体" w:hAnsi="宋体" w:cs="仿宋_GB2312"/>
          <w:b/>
          <w:bCs/>
          <w:color w:val="auto"/>
          <w:w w:val="95"/>
          <w:sz w:val="48"/>
          <w:szCs w:val="48"/>
          <w:highlight w:val="none"/>
          <w:lang w:val="zh-CN"/>
        </w:rPr>
        <w:fldChar w:fldCharType="end"/>
      </w:r>
    </w:p>
    <w:p w14:paraId="6DE5A3D3">
      <w:pPr>
        <w:shd w:val="clear"/>
        <w:spacing w:line="360" w:lineRule="auto"/>
        <w:jc w:val="center"/>
        <w:rPr>
          <w:rFonts w:hint="eastAsia" w:ascii="宋体" w:hAnsi="宋体" w:cs="仿宋_GB2312"/>
          <w:b/>
          <w:bCs/>
          <w:color w:val="auto"/>
          <w:w w:val="95"/>
          <w:sz w:val="72"/>
          <w:szCs w:val="72"/>
          <w:highlight w:val="none"/>
          <w:lang w:val="zh-CN"/>
        </w:rPr>
      </w:pPr>
    </w:p>
    <w:p w14:paraId="7B0637D1">
      <w:pPr>
        <w:shd w:val="clea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hd w:val="clea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shd w:val="clear"/>
        <w:adjustRightInd w:val="0"/>
        <w:snapToGrid w:val="0"/>
        <w:spacing w:line="360" w:lineRule="auto"/>
        <w:jc w:val="center"/>
        <w:rPr>
          <w:rFonts w:ascii="宋体" w:hAnsi="宋体" w:cs="仿宋_GB2312"/>
          <w:color w:val="auto"/>
          <w:sz w:val="30"/>
          <w:szCs w:val="30"/>
          <w:highlight w:val="none"/>
        </w:rPr>
      </w:pPr>
    </w:p>
    <w:p w14:paraId="78DB3DEC">
      <w:pPr>
        <w:shd w:val="clea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BHZC2026-C3-990274-BBWH</w:t>
      </w:r>
    </w:p>
    <w:p w14:paraId="6970EE5C">
      <w:pPr>
        <w:shd w:val="clea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shd w:val="clear"/>
        <w:adjustRightInd w:val="0"/>
        <w:spacing w:line="360" w:lineRule="auto"/>
        <w:rPr>
          <w:rFonts w:hint="eastAsia" w:ascii="宋体" w:hAnsi="宋体" w:cs="仿宋_GB2312"/>
          <w:color w:val="auto"/>
          <w:sz w:val="24"/>
          <w:highlight w:val="none"/>
        </w:rPr>
      </w:pPr>
    </w:p>
    <w:p w14:paraId="6BE4D9CD">
      <w:pPr>
        <w:shd w:val="clear"/>
        <w:adjustRightInd w:val="0"/>
        <w:spacing w:line="360" w:lineRule="auto"/>
        <w:rPr>
          <w:rFonts w:hint="eastAsia" w:ascii="宋体" w:hAnsi="宋体" w:cs="仿宋_GB2312"/>
          <w:color w:val="auto"/>
          <w:sz w:val="24"/>
          <w:highlight w:val="none"/>
        </w:rPr>
      </w:pPr>
    </w:p>
    <w:p w14:paraId="47676F22">
      <w:pPr>
        <w:shd w:val="clea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shd w:val="clea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shd w:val="clear"/>
        <w:adjustRightInd w:val="0"/>
        <w:snapToGrid w:val="0"/>
        <w:spacing w:line="360" w:lineRule="auto"/>
        <w:jc w:val="center"/>
        <w:rPr>
          <w:rFonts w:hint="eastAsia" w:ascii="宋体" w:hAnsi="宋体" w:cs="仿宋_GB2312"/>
          <w:bCs/>
          <w:color w:val="auto"/>
          <w:sz w:val="32"/>
          <w:szCs w:val="32"/>
          <w:highlight w:val="none"/>
        </w:rPr>
      </w:pPr>
    </w:p>
    <w:p w14:paraId="210703BE">
      <w:pPr>
        <w:shd w:val="clea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九月</w:t>
      </w:r>
      <w:bookmarkEnd w:id="0"/>
    </w:p>
    <w:p w14:paraId="6A0374CB">
      <w:pPr>
        <w:pStyle w:val="32"/>
        <w:shd w:val="clear"/>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0285AD99">
      <w:pPr>
        <w:shd w:val="clea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hd w:val="clear"/>
        <w:spacing w:line="360" w:lineRule="auto"/>
        <w:rPr>
          <w:rFonts w:hint="eastAsia" w:cs="仿宋_GB2312" w:asciiTheme="minorEastAsia" w:hAnsiTheme="minorEastAsia" w:eastAsiaTheme="minorEastAsia"/>
          <w:color w:val="auto"/>
          <w:sz w:val="32"/>
          <w:szCs w:val="32"/>
          <w:highlight w:val="none"/>
        </w:rPr>
      </w:pPr>
    </w:p>
    <w:p w14:paraId="7D5121C6">
      <w:pPr>
        <w:pStyle w:val="41"/>
        <w:shd w:val="clear"/>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31</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84</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hd w:val="clea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hd w:val="clear"/>
        <w:spacing w:line="360" w:lineRule="auto"/>
        <w:rPr>
          <w:rFonts w:hint="eastAsia" w:cs="仿宋_GB2312" w:asciiTheme="minorEastAsia" w:hAnsiTheme="minorEastAsia" w:eastAsiaTheme="minorEastAsia"/>
          <w:color w:val="auto"/>
          <w:sz w:val="24"/>
          <w:highlight w:val="none"/>
        </w:rPr>
      </w:pPr>
    </w:p>
    <w:bookmarkEnd w:id="3"/>
    <w:p w14:paraId="2C23F47B">
      <w:pPr>
        <w:shd w:val="clea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NumType w:fmt="decimal" w:start="1"/>
          <w:cols w:space="720" w:num="1"/>
          <w:rtlGutter w:val="0"/>
        </w:sectPr>
      </w:pPr>
      <w:bookmarkStart w:id="4" w:name="_Hlt74729822"/>
      <w:bookmarkEnd w:id="4"/>
      <w:bookmarkStart w:id="5" w:name="_Hlt74649545"/>
      <w:bookmarkEnd w:id="5"/>
      <w:bookmarkStart w:id="6" w:name="_Hlt74728647"/>
      <w:bookmarkEnd w:id="6"/>
      <w:bookmarkStart w:id="7" w:name="_Hlt74707423"/>
      <w:bookmarkEnd w:id="7"/>
      <w:bookmarkStart w:id="8" w:name="第二部分"/>
      <w:bookmarkStart w:id="9" w:name="_Toc91899870"/>
      <w:bookmarkStart w:id="10" w:name="_Toc91899871"/>
    </w:p>
    <w:p w14:paraId="5F8BDF46">
      <w:pPr>
        <w:shd w:val="clea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广西壮族自治区第十六届运动会竞技体育项目（跆拳道）竞赛服务</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hd w:val="clea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hd w:val="clear"/>
              <w:spacing w:before="0" w:beforeAutospacing="0" w:after="0" w:afterAutospacing="0" w:line="34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hd w:val="clear"/>
              <w:spacing w:before="0" w:beforeAutospacing="0" w:after="0" w:afterAutospacing="0" w:line="340" w:lineRule="exact"/>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广西壮族自治区第十六届运动会竞技体育项目（跆拳道）竞赛服务</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宋体" w:hAnsi="宋体" w:cs="宋体"/>
                <w:color w:val="auto"/>
                <w:sz w:val="24"/>
                <w:szCs w:val="24"/>
                <w:highlight w:val="none"/>
              </w:rPr>
              <w:t xml:space="preserve">（北京时间）前提交响应文件。 </w:t>
            </w:r>
          </w:p>
        </w:tc>
      </w:tr>
    </w:tbl>
    <w:p w14:paraId="2ED77200">
      <w:pPr>
        <w:shd w:val="clear"/>
        <w:spacing w:line="360" w:lineRule="auto"/>
        <w:rPr>
          <w:rFonts w:hint="eastAsia" w:ascii="宋体" w:hAnsi="宋体" w:cs="宋体"/>
          <w:b/>
          <w:bCs/>
          <w:color w:val="auto"/>
          <w:sz w:val="24"/>
          <w:szCs w:val="24"/>
          <w:highlight w:val="none"/>
        </w:rPr>
      </w:pPr>
    </w:p>
    <w:p w14:paraId="397A1780">
      <w:pPr>
        <w:shd w:val="clea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BHZC2026-C3-990274-BBWH</w:t>
      </w:r>
    </w:p>
    <w:p w14:paraId="551BA2A8">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广西壮族自治区第十六届运动会竞技体育项目（跆拳道）竞赛服务</w:t>
      </w:r>
    </w:p>
    <w:p w14:paraId="225B450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w:t>
      </w:r>
      <w:r>
        <w:rPr>
          <w:rFonts w:hint="eastAsia" w:ascii="宋体" w:hAnsi="宋体" w:cs="宋体"/>
          <w:color w:val="auto"/>
          <w:sz w:val="24"/>
          <w:szCs w:val="24"/>
          <w:highlight w:val="none"/>
          <w:lang w:eastAsia="zh-CN"/>
        </w:rPr>
        <w:t>1239319.00</w:t>
      </w:r>
    </w:p>
    <w:p w14:paraId="2EDAB2CC">
      <w:pPr>
        <w:shd w:val="clear"/>
        <w:adjustRightInd w:val="0"/>
        <w:spacing w:line="360" w:lineRule="auto"/>
        <w:ind w:firstLine="480" w:firstLineChars="200"/>
        <w:rPr>
          <w:rFonts w:hint="eastAsia" w:eastAsia="宋体"/>
          <w:color w:val="auto"/>
          <w:highlight w:val="none"/>
          <w:lang w:val="en-US" w:eastAsia="zh-CN"/>
        </w:rPr>
      </w:pPr>
      <w:r>
        <w:rPr>
          <w:rFonts w:hint="eastAsia" w:ascii="宋体" w:hAnsi="宋体"/>
          <w:color w:val="auto"/>
          <w:sz w:val="24"/>
          <w:highlight w:val="none"/>
        </w:rPr>
        <w:t>最高限价（元）：</w:t>
      </w:r>
      <w:r>
        <w:rPr>
          <w:rFonts w:hint="eastAsia" w:ascii="宋体" w:hAnsi="宋体" w:cs="宋体"/>
          <w:color w:val="auto"/>
          <w:sz w:val="24"/>
          <w:szCs w:val="24"/>
          <w:highlight w:val="none"/>
          <w:lang w:eastAsia="zh-CN"/>
        </w:rPr>
        <w:t>1239319.00</w:t>
      </w:r>
    </w:p>
    <w:p w14:paraId="4BB3C55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广西壮族自治区第十六届运动会竞技体育项目（跆拳道）竞赛服务</w:t>
      </w:r>
    </w:p>
    <w:p w14:paraId="6C02014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lang w:eastAsia="zh-CN"/>
        </w:rPr>
        <w:t>1239319.00</w:t>
      </w:r>
    </w:p>
    <w:p w14:paraId="0A4283A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广西壮族自治区第十六届运动会竞技体育项目（跆拳道）竞赛服务</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最高限价（如有）：</w:t>
      </w:r>
      <w:r>
        <w:rPr>
          <w:rFonts w:hint="eastAsia" w:ascii="宋体" w:hAnsi="宋体" w:cs="宋体"/>
          <w:color w:val="auto"/>
          <w:sz w:val="24"/>
          <w:szCs w:val="24"/>
          <w:highlight w:val="none"/>
          <w:lang w:eastAsia="zh-CN"/>
        </w:rPr>
        <w:t>1239319.00</w:t>
      </w:r>
    </w:p>
    <w:p w14:paraId="042BCF7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hd w:val="clea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本项目为专门面向中小企业采购项目，供应商应为中小微企业/</w:t>
      </w:r>
      <w:r>
        <w:rPr>
          <w:rFonts w:ascii="Arial" w:hAnsi="Arial" w:eastAsia="Arial" w:cs="Arial"/>
          <w:i w:val="0"/>
          <w:iCs w:val="0"/>
          <w:caps w:val="0"/>
          <w:color w:val="auto"/>
          <w:spacing w:val="0"/>
          <w:sz w:val="24"/>
          <w:szCs w:val="24"/>
          <w:highlight w:val="none"/>
          <w:shd w:val="clear" w:fill="FFFFFF"/>
        </w:rPr>
        <w:t>残疾人福利性单位</w:t>
      </w:r>
      <w:r>
        <w:rPr>
          <w:rFonts w:hint="eastAsia" w:ascii="宋体" w:hAnsi="宋体" w:cs="宋体"/>
          <w:color w:val="auto"/>
          <w:kern w:val="1"/>
          <w:sz w:val="24"/>
          <w:szCs w:val="24"/>
          <w:highlight w:val="none"/>
          <w:lang w:val="en-US" w:eastAsia="zh-CN"/>
        </w:rPr>
        <w:t>/监狱企业。</w:t>
      </w:r>
    </w:p>
    <w:p w14:paraId="75878338">
      <w:pPr>
        <w:shd w:val="clea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shd w:val="clear"/>
        <w:ind w:firstLine="0"/>
        <w:rPr>
          <w:b/>
          <w:color w:val="auto"/>
          <w:highlight w:val="none"/>
        </w:rPr>
      </w:pPr>
      <w:r>
        <w:rPr>
          <w:rFonts w:hint="eastAsia"/>
          <w:b/>
          <w:color w:val="auto"/>
          <w:highlight w:val="none"/>
        </w:rPr>
        <w:t>三、获取（下载）采购文件</w:t>
      </w:r>
    </w:p>
    <w:p w14:paraId="419B3DF2">
      <w:pPr>
        <w:shd w:val="clea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04</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11</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hd w:val="clea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hd w:val="clea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hd w:val="clea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shd w:val="clear"/>
        <w:ind w:firstLine="0"/>
        <w:rPr>
          <w:b/>
          <w:color w:val="auto"/>
          <w:highlight w:val="none"/>
        </w:rPr>
      </w:pPr>
      <w:bookmarkStart w:id="12" w:name="_Toc35393801"/>
      <w:bookmarkStart w:id="13" w:name="_Toc28359015"/>
      <w:bookmarkStart w:id="14" w:name="_Toc35393632"/>
      <w:bookmarkStart w:id="15" w:name="_Toc28359092"/>
      <w:r>
        <w:rPr>
          <w:rFonts w:hint="eastAsia"/>
          <w:b/>
          <w:color w:val="auto"/>
          <w:highlight w:val="none"/>
        </w:rPr>
        <w:t>四、响应文件提交</w:t>
      </w:r>
      <w:bookmarkEnd w:id="12"/>
      <w:bookmarkEnd w:id="13"/>
      <w:bookmarkEnd w:id="14"/>
      <w:bookmarkEnd w:id="15"/>
    </w:p>
    <w:p w14:paraId="24D77ECD">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5A80255F">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shd w:val="clear"/>
        <w:ind w:firstLine="0"/>
        <w:rPr>
          <w:b/>
          <w:color w:val="auto"/>
          <w:highlight w:val="none"/>
          <w:u w:val="none"/>
        </w:rPr>
      </w:pPr>
      <w:bookmarkStart w:id="16" w:name="_Toc35393633"/>
      <w:bookmarkStart w:id="17" w:name="_Toc35393802"/>
      <w:bookmarkStart w:id="18" w:name="_Toc28359093"/>
      <w:bookmarkStart w:id="19" w:name="_Toc28359016"/>
      <w:r>
        <w:rPr>
          <w:rFonts w:hint="eastAsia"/>
          <w:b/>
          <w:color w:val="auto"/>
          <w:highlight w:val="none"/>
          <w:u w:val="none"/>
        </w:rPr>
        <w:t>五、响应文件开启</w:t>
      </w:r>
      <w:bookmarkEnd w:id="16"/>
      <w:bookmarkEnd w:id="17"/>
      <w:bookmarkEnd w:id="18"/>
      <w:bookmarkEnd w:id="19"/>
    </w:p>
    <w:p w14:paraId="33F598E6">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67059C4A">
      <w:pPr>
        <w:shd w:val="clea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shd w:val="clear"/>
        <w:ind w:firstLine="0"/>
        <w:rPr>
          <w:b/>
          <w:color w:val="auto"/>
          <w:highlight w:val="none"/>
        </w:rPr>
      </w:pPr>
      <w:bookmarkStart w:id="20" w:name="_Toc35393634"/>
      <w:bookmarkStart w:id="21" w:name="_Toc28359094"/>
      <w:bookmarkStart w:id="22" w:name="_Toc35393803"/>
      <w:bookmarkStart w:id="23" w:name="_Toc28359017"/>
      <w:r>
        <w:rPr>
          <w:rFonts w:hint="eastAsia"/>
          <w:b/>
          <w:color w:val="auto"/>
          <w:highlight w:val="none"/>
        </w:rPr>
        <w:t>六、公告期限</w:t>
      </w:r>
      <w:bookmarkEnd w:id="20"/>
      <w:bookmarkEnd w:id="21"/>
      <w:bookmarkEnd w:id="22"/>
      <w:bookmarkEnd w:id="23"/>
    </w:p>
    <w:p w14:paraId="253CA29C">
      <w:pPr>
        <w:shd w:val="clea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shd w:val="clear"/>
        <w:ind w:firstLine="0"/>
        <w:rPr>
          <w:b/>
          <w:color w:val="auto"/>
          <w:highlight w:val="none"/>
        </w:rPr>
      </w:pPr>
      <w:bookmarkStart w:id="24" w:name="_Toc35393635"/>
      <w:bookmarkStart w:id="25" w:name="_Toc35393804"/>
      <w:r>
        <w:rPr>
          <w:rFonts w:hint="eastAsia"/>
          <w:b/>
          <w:color w:val="auto"/>
          <w:highlight w:val="none"/>
        </w:rPr>
        <w:t>七、其他补充事宜</w:t>
      </w:r>
      <w:bookmarkEnd w:id="24"/>
      <w:bookmarkEnd w:id="25"/>
    </w:p>
    <w:p w14:paraId="028A274B">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hd w:val="clea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hd w:val="clea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hd w:val="clea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86"/>
      <w:bookmarkStart w:id="27" w:name="_Toc28359009"/>
      <w:r>
        <w:rPr>
          <w:rFonts w:hint="eastAsia" w:ascii="宋体" w:hAnsi="宋体" w:cs="Times New Roman"/>
          <w:color w:val="auto"/>
          <w:kern w:val="0"/>
          <w:sz w:val="24"/>
          <w:szCs w:val="24"/>
          <w:highlight w:val="none"/>
          <w:shd w:val="clear" w:color="auto" w:fill="auto"/>
          <w:lang w:eastAsia="zh-CN"/>
        </w:rPr>
        <w:t>北海市海城区贵州路35号</w:t>
      </w:r>
    </w:p>
    <w:bookmarkEnd w:id="26"/>
    <w:bookmarkEnd w:id="27"/>
    <w:p w14:paraId="677761B4">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w:t>
      </w:r>
      <w:r>
        <w:rPr>
          <w:rFonts w:hint="eastAsia" w:ascii="宋体" w:hAnsi="宋体" w:cs="Times New Roman"/>
          <w:color w:val="auto"/>
          <w:sz w:val="24"/>
          <w:szCs w:val="24"/>
          <w:highlight w:val="none"/>
          <w:shd w:val="clear" w:color="auto" w:fill="auto"/>
          <w:lang w:val="en-US" w:eastAsia="zh-CN"/>
        </w:rPr>
        <w:t>刘鹏</w:t>
      </w:r>
    </w:p>
    <w:p w14:paraId="6AF9328A">
      <w:pPr>
        <w:shd w:val="clea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0779-2029045</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p>
    <w:p w14:paraId="0AE510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shd w:val="clear"/>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shd w:val="clear"/>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hd w:val="clea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shd w:val="clear"/>
        <w:rPr>
          <w:rFonts w:hint="eastAsia"/>
          <w:color w:val="auto"/>
          <w:highlight w:val="none"/>
        </w:rPr>
      </w:pPr>
    </w:p>
    <w:p w14:paraId="6021A336">
      <w:pPr>
        <w:shd w:val="clear"/>
        <w:spacing w:line="360" w:lineRule="auto"/>
        <w:rPr>
          <w:rFonts w:hint="eastAsia" w:cs="仿宋_GB2312" w:asciiTheme="minorEastAsia" w:hAnsiTheme="minorEastAsia" w:eastAsiaTheme="minorEastAsia"/>
          <w:color w:val="auto"/>
          <w:sz w:val="24"/>
          <w:highlight w:val="none"/>
        </w:rPr>
      </w:pPr>
    </w:p>
    <w:p w14:paraId="4B0EC676">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shd w:val="clea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shd w:val="clea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hd w:val="clear"/>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hd w:val="clear"/>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shd w:val="clea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shd w:val="clear"/>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hd w:val="clear"/>
        <w:spacing w:before="0"/>
        <w:ind w:firstLine="0" w:firstLineChars="0"/>
        <w:rPr>
          <w:rFonts w:hint="eastAsia" w:asciiTheme="minorEastAsia" w:hAnsiTheme="minorEastAsia" w:eastAsiaTheme="minorEastAsia"/>
          <w:b/>
          <w:color w:val="auto"/>
          <w:highlight w:val="none"/>
        </w:rPr>
      </w:pPr>
    </w:p>
    <w:p w14:paraId="763453DA">
      <w:pPr>
        <w:widowControl/>
        <w:shd w:val="clear"/>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shd w:val="clear"/>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shd w:val="clea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shd w:val="clea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hd w:val="clear"/>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hd w:val="clear"/>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广西壮族自治区第十六届运动会竞技体育项目（跆拳道）竞赛服务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60" w:name="_GoBack"/>
                <w:r>
                  <w:rPr>
                    <w:rFonts w:hint="eastAsia" w:cs="宋体" w:asciiTheme="minorEastAsia" w:hAnsiTheme="minorEastAsia" w:eastAsiaTheme="minorEastAsia"/>
                    <w:color w:val="auto"/>
                    <w:kern w:val="0"/>
                    <w:sz w:val="24"/>
                    <w:highlight w:val="none"/>
                  </w:rPr>
                  <w:sym w:font="Wingdings" w:char="F0FE"/>
                </w:r>
              </w:sdtContent>
            </w:sdt>
            <w:bookmarkEnd w:id="160"/>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hd w:val="clear"/>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hd w:val="clear"/>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hd w:val="clear"/>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hd w:val="clear"/>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hd w:val="clear"/>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shd w:val="clea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shd w:val="clea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hd w:val="clea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hd w:val="clea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hd w:val="clea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hd w:val="clea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shd w:val="clea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49865AB">
      <w:pPr>
        <w:pStyle w:val="32"/>
        <w:shd w:val="clear"/>
        <w:spacing w:line="360" w:lineRule="auto"/>
        <w:ind w:firstLine="480" w:firstLineChars="200"/>
        <w:rPr>
          <w:rFonts w:hint="default" w:cs="仿宋_GB2312" w:asciiTheme="minorEastAsia" w:hAnsiTheme="minorEastAsia" w:eastAsiaTheme="minorEastAsia"/>
          <w:color w:val="auto"/>
          <w:highlight w:val="none"/>
          <w:lang w:val="en-US" w:eastAsia="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hd w:val="clear"/>
        <w:spacing w:line="360" w:lineRule="auto"/>
        <w:jc w:val="center"/>
        <w:rPr>
          <w:rFonts w:hint="eastAsia" w:cs="仿宋_GB2312" w:asciiTheme="minorEastAsia" w:hAnsiTheme="minorEastAsia" w:eastAsiaTheme="minorEastAsia"/>
          <w:b/>
          <w:color w:val="auto"/>
          <w:sz w:val="24"/>
          <w:highlight w:val="none"/>
        </w:rPr>
      </w:pPr>
    </w:p>
    <w:p w14:paraId="6F0D7BE7">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hd w:val="clea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hd w:val="clea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hd w:val="clear"/>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hd w:val="clea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hd w:val="clea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shd w:val="clear"/>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shd w:val="clear"/>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hd w:val="clear"/>
        <w:spacing w:line="360" w:lineRule="auto"/>
        <w:ind w:firstLine="480" w:firstLineChars="200"/>
        <w:rPr>
          <w:rFonts w:hint="eastAsia" w:asciiTheme="minorEastAsia" w:hAnsiTheme="minorEastAsia" w:eastAsiaTheme="minorEastAsia"/>
          <w:color w:val="auto"/>
          <w:sz w:val="24"/>
          <w:highlight w:val="none"/>
        </w:rPr>
      </w:pPr>
    </w:p>
    <w:p w14:paraId="787F7AD8">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hd w:val="clea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shd w:val="clear"/>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shd w:val="clear"/>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shd w:val="clear"/>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shd w:val="clear"/>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shd w:val="clear"/>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shd w:val="clear"/>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shd w:val="clea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hd w:val="clear"/>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shd w:val="clear"/>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hd w:val="clear"/>
        <w:spacing w:line="360" w:lineRule="auto"/>
        <w:ind w:firstLine="482" w:firstLineChars="200"/>
        <w:rPr>
          <w:rFonts w:hint="eastAsia" w:asciiTheme="minorEastAsia" w:hAnsiTheme="minorEastAsia" w:eastAsiaTheme="minorEastAsia"/>
          <w:b/>
          <w:color w:val="auto"/>
          <w:sz w:val="24"/>
          <w:highlight w:val="none"/>
        </w:rPr>
      </w:pPr>
    </w:p>
    <w:p w14:paraId="5D4233CA">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shd w:val="clea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hd w:val="clear"/>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hd w:val="clear"/>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shd w:val="clear"/>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310A7C1F">
      <w:pPr>
        <w:pStyle w:val="32"/>
        <w:shd w:val="clear"/>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0F170D6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2F33458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24C8B1D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2D1070D6">
      <w:pPr>
        <w:pStyle w:val="32"/>
        <w:shd w:val="clear"/>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中小企业声明函</w:t>
      </w:r>
      <w:r>
        <w:rPr>
          <w:rFonts w:hint="eastAsia" w:asciiTheme="minorEastAsia" w:hAnsiTheme="minorEastAsia" w:eastAsiaTheme="minorEastAsia"/>
          <w:color w:val="auto"/>
          <w:sz w:val="24"/>
          <w:highlight w:val="none"/>
          <w:lang w:val="en-US" w:eastAsia="zh-CN"/>
        </w:rPr>
        <w:t>；监狱企业、残疾人福利性单位视同小型和微型企业，需提供监狱企业证明材料或残疾人福利性单位声明函</w:t>
      </w:r>
      <w:r>
        <w:rPr>
          <w:rFonts w:hint="eastAsia" w:hAnsi="宋体" w:cs="宋体"/>
          <w:b w:val="0"/>
          <w:bCs w:val="0"/>
          <w:color w:val="auto"/>
          <w:sz w:val="24"/>
          <w:szCs w:val="24"/>
          <w:highlight w:val="none"/>
          <w:lang w:val="en-US" w:eastAsia="zh-CN"/>
        </w:rPr>
        <w:t>；</w:t>
      </w:r>
      <w:r>
        <w:rPr>
          <w:rFonts w:hint="eastAsia" w:asciiTheme="minorEastAsia" w:hAnsiTheme="minorEastAsia" w:eastAsiaTheme="minorEastAsia"/>
          <w:b/>
          <w:bCs/>
          <w:color w:val="auto"/>
          <w:sz w:val="24"/>
          <w:highlight w:val="none"/>
          <w:lang w:val="en-US" w:eastAsia="zh-CN"/>
        </w:rPr>
        <w:t>（必须提供）</w:t>
      </w:r>
      <w:r>
        <w:rPr>
          <w:rFonts w:hint="eastAsia" w:asciiTheme="minorEastAsia" w:hAnsiTheme="minorEastAsia" w:eastAsiaTheme="minorEastAsia"/>
          <w:color w:val="auto"/>
          <w:sz w:val="24"/>
          <w:highlight w:val="none"/>
          <w:lang w:val="en-US" w:eastAsia="zh-CN"/>
        </w:rPr>
        <w:t>。</w:t>
      </w:r>
    </w:p>
    <w:p w14:paraId="19C6EC8C">
      <w:pPr>
        <w:pStyle w:val="32"/>
        <w:numPr>
          <w:ilvl w:val="0"/>
          <w:numId w:val="0"/>
        </w:numPr>
        <w:shd w:val="clea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竞标声明（格式后附）；</w:t>
      </w:r>
      <w:r>
        <w:rPr>
          <w:rFonts w:hint="eastAsia" w:asciiTheme="minorEastAsia" w:hAnsiTheme="minorEastAsia" w:eastAsiaTheme="minorEastAsia"/>
          <w:b/>
          <w:bCs/>
          <w:color w:val="auto"/>
          <w:sz w:val="24"/>
          <w:highlight w:val="none"/>
          <w:lang w:val="en-US" w:eastAsia="zh-CN"/>
        </w:rPr>
        <w:t>（必须提供）</w:t>
      </w:r>
    </w:p>
    <w:p w14:paraId="410CD999">
      <w:pPr>
        <w:pStyle w:val="32"/>
        <w:numPr>
          <w:ilvl w:val="0"/>
          <w:numId w:val="0"/>
        </w:numPr>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64EB175B">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15F4025C">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27A2652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hd w:val="clea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hd w:val="clea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hd w:val="clear"/>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hd w:val="clea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hd w:val="clear"/>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hd w:val="clear"/>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hd w:val="clear"/>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hd w:val="clear"/>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shd w:val="clear"/>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hd w:val="clear"/>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hd w:val="clea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hd w:val="clea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hd w:val="clea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hd w:val="clear"/>
        <w:spacing w:line="360" w:lineRule="auto"/>
        <w:ind w:firstLine="480" w:firstLineChars="200"/>
        <w:rPr>
          <w:rFonts w:hint="eastAsia" w:asciiTheme="minorEastAsia" w:hAnsiTheme="minorEastAsia" w:eastAsiaTheme="minorEastAsia"/>
          <w:color w:val="auto"/>
          <w:sz w:val="24"/>
          <w:highlight w:val="none"/>
        </w:rPr>
      </w:pPr>
    </w:p>
    <w:p w14:paraId="35660D62">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hd w:val="clear"/>
        <w:spacing w:line="360" w:lineRule="auto"/>
        <w:rPr>
          <w:rFonts w:hint="eastAsia" w:cs="仿宋_GB2312" w:asciiTheme="minorEastAsia" w:hAnsiTheme="minorEastAsia" w:eastAsiaTheme="minorEastAsia"/>
          <w:b/>
          <w:color w:val="auto"/>
          <w:sz w:val="24"/>
          <w:szCs w:val="24"/>
          <w:highlight w:val="none"/>
        </w:rPr>
      </w:pPr>
    </w:p>
    <w:p w14:paraId="0FEE6E87">
      <w:pPr>
        <w:shd w:val="clea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hd w:val="clea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hd w:val="clear"/>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shd w:val="clea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hd w:val="clear"/>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shd w:val="clear"/>
        <w:adjustRightInd/>
        <w:spacing w:line="360" w:lineRule="auto"/>
        <w:jc w:val="center"/>
        <w:rPr>
          <w:rFonts w:hint="eastAsia" w:cs="仿宋_GB2312" w:asciiTheme="minorEastAsia" w:hAnsiTheme="minorEastAsia" w:eastAsiaTheme="minorEastAsia"/>
          <w:color w:val="auto"/>
          <w:sz w:val="24"/>
          <w:highlight w:val="none"/>
        </w:rPr>
      </w:pPr>
    </w:p>
    <w:p w14:paraId="3F5293A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hd w:val="clea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hd w:val="clear"/>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hd w:val="clear"/>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hd w:val="clear"/>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shd w:val="clear"/>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shd w:val="clea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shd w:val="clear"/>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shd w:val="clea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shd w:val="clea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shd w:val="clear"/>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shd w:val="clear"/>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shd w:val="clear"/>
        <w:rPr>
          <w:rFonts w:hint="eastAsia"/>
          <w:color w:val="auto"/>
          <w:highlight w:val="none"/>
        </w:rPr>
      </w:pPr>
      <w:r>
        <w:rPr>
          <w:color w:val="auto"/>
          <w:highlight w:val="none"/>
        </w:rPr>
        <w:t>4.</w:t>
      </w:r>
      <w:r>
        <w:rPr>
          <w:rFonts w:hint="eastAsia"/>
          <w:color w:val="auto"/>
          <w:highlight w:val="none"/>
        </w:rPr>
        <w:t>预付款</w:t>
      </w:r>
    </w:p>
    <w:p w14:paraId="4B521F06">
      <w:pPr>
        <w:shd w:val="clea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shd w:val="clea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hd w:val="clear"/>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hd w:val="clea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68072990"/>
      <w:bookmarkEnd w:id="31"/>
      <w:bookmarkStart w:id="32" w:name="_Hlt74714665"/>
      <w:bookmarkEnd w:id="32"/>
      <w:bookmarkStart w:id="33" w:name="_Hlt74730295"/>
      <w:bookmarkEnd w:id="33"/>
      <w:bookmarkStart w:id="34" w:name="_Hlt75236011"/>
      <w:bookmarkEnd w:id="34"/>
      <w:bookmarkStart w:id="35" w:name="_Hlt68057669"/>
      <w:bookmarkEnd w:id="35"/>
      <w:bookmarkStart w:id="36" w:name="_Hlt74729768"/>
      <w:bookmarkEnd w:id="36"/>
      <w:bookmarkStart w:id="37" w:name="_Hlt75236290"/>
      <w:bookmarkEnd w:id="37"/>
      <w:bookmarkStart w:id="38" w:name="_Hlt75236101"/>
      <w:bookmarkEnd w:id="38"/>
      <w:bookmarkStart w:id="39" w:name="_Hlt74707468"/>
      <w:bookmarkEnd w:id="39"/>
      <w:bookmarkStart w:id="40" w:name="第三部分"/>
      <w:bookmarkStart w:id="41" w:name="_Toc164416483"/>
    </w:p>
    <w:p w14:paraId="60DA8378">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五</w:t>
      </w:r>
      <w:r>
        <w:rPr>
          <w:rFonts w:hint="eastAsia" w:cs="仿宋_GB2312" w:asciiTheme="minorEastAsia" w:hAnsiTheme="minorEastAsia" w:eastAsiaTheme="minorEastAsia"/>
          <w:b/>
          <w:color w:val="auto"/>
          <w:sz w:val="36"/>
          <w:szCs w:val="36"/>
          <w:highlight w:val="none"/>
        </w:rPr>
        <w:t>、其他事项</w:t>
      </w:r>
    </w:p>
    <w:p w14:paraId="52C832D9">
      <w:pPr>
        <w:shd w:val="clea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hd w:val="clea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hd w:val="clea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shd w:val="clear"/>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hd w:val="clear"/>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hd w:val="clear"/>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hd w:val="clear"/>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hd w:val="clear"/>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shd w:val="clear"/>
        <w:rPr>
          <w:rFonts w:hint="eastAsia"/>
          <w:color w:val="auto"/>
          <w:highlight w:val="none"/>
        </w:rPr>
      </w:pPr>
    </w:p>
    <w:p w14:paraId="49374D86">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shd w:val="clea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shd w:val="clea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hd w:val="clea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shd w:val="clear"/>
        <w:kinsoku/>
        <w:wordWrap/>
        <w:overflowPunct/>
        <w:topLinePunct w:val="0"/>
        <w:autoSpaceDE/>
        <w:autoSpaceDN/>
        <w:bidi w:val="0"/>
        <w:adjustRightInd w:val="0"/>
        <w:snapToGrid/>
        <w:spacing w:line="480" w:lineRule="exact"/>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①采购预算：本项目的政府采购预算为人民币壹佰贰拾叁万玖仟叁佰壹拾玖元整（¥1239319.00元）</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超过预算</w:t>
      </w:r>
      <w:r>
        <w:rPr>
          <w:rFonts w:hint="eastAsia" w:ascii="宋体" w:hAnsi="宋体" w:cs="宋体"/>
          <w:b w:val="0"/>
          <w:bCs/>
          <w:color w:val="auto"/>
          <w:sz w:val="24"/>
          <w:szCs w:val="24"/>
          <w:highlight w:val="none"/>
          <w:lang w:val="en-US" w:eastAsia="zh-CN"/>
        </w:rPr>
        <w:t>单价和总</w:t>
      </w:r>
      <w:r>
        <w:rPr>
          <w:rFonts w:hint="eastAsia" w:ascii="宋体" w:hAnsi="宋体" w:eastAsia="宋体" w:cs="宋体"/>
          <w:b w:val="0"/>
          <w:bCs/>
          <w:color w:val="auto"/>
          <w:sz w:val="24"/>
          <w:szCs w:val="24"/>
          <w:highlight w:val="none"/>
        </w:rPr>
        <w:t>价的报价视为无效报价。</w:t>
      </w:r>
    </w:p>
    <w:p w14:paraId="35ED143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本章节所有技术需求、商务要求均为实质性要求，供应商需完全响应，不接受负偏离，否则磋商无效。</w:t>
      </w:r>
    </w:p>
    <w:p w14:paraId="39C9C062">
      <w:pPr>
        <w:shd w:val="clea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3" w:name="heading_0"/>
    </w:p>
    <w:p w14:paraId="4FD6AE36">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一、项目总体概况</w:t>
      </w:r>
      <w:bookmarkEnd w:id="43"/>
    </w:p>
    <w:p w14:paraId="71E6F51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（一）赛事概况</w:t>
      </w:r>
    </w:p>
    <w:p w14:paraId="77D8CA2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赛事名称：广西壮族自治区第十六届运动会跆拳道竞技体育项目赛事</w:t>
      </w:r>
    </w:p>
    <w:p w14:paraId="5508B5C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服务地点：北海市体育馆</w:t>
      </w:r>
    </w:p>
    <w:p w14:paraId="1D27B395">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服务周期：覆盖赛前2天场地适应训练、正式比赛、赛后场地复原全流程，正式比赛时间为9月21日—9月24日（共4天），整体服务周期包含赛前筹备、赛中执行、赛后收尾归档全部阶段。</w:t>
      </w:r>
    </w:p>
    <w:tbl>
      <w:tblPr>
        <w:tblStyle w:val="61"/>
        <w:tblW w:w="95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32"/>
        <w:gridCol w:w="2434"/>
        <w:gridCol w:w="5143"/>
      </w:tblGrid>
      <w:tr w14:paraId="71F6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0" w:hRule="atLeast"/>
        </w:trPr>
        <w:tc>
          <w:tcPr>
            <w:tcW w:w="1932" w:type="dxa"/>
            <w:tcMar>
              <w:top w:w="60" w:type="dxa"/>
              <w:left w:w="120" w:type="dxa"/>
              <w:bottom w:w="30" w:type="dxa"/>
              <w:right w:w="120" w:type="dxa"/>
            </w:tcMar>
          </w:tcPr>
          <w:p w14:paraId="57D5374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阶段</w:t>
            </w:r>
          </w:p>
        </w:tc>
        <w:tc>
          <w:tcPr>
            <w:tcW w:w="2434" w:type="dxa"/>
            <w:tcMar>
              <w:top w:w="60" w:type="dxa"/>
              <w:left w:w="120" w:type="dxa"/>
              <w:bottom w:w="30" w:type="dxa"/>
              <w:right w:w="120" w:type="dxa"/>
            </w:tcMar>
          </w:tcPr>
          <w:p w14:paraId="7298EE9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5143" w:type="dxa"/>
            <w:tcMar>
              <w:top w:w="60" w:type="dxa"/>
              <w:left w:w="120" w:type="dxa"/>
              <w:bottom w:w="30" w:type="dxa"/>
              <w:right w:w="120" w:type="dxa"/>
            </w:tcMar>
          </w:tcPr>
          <w:p w14:paraId="4DA5FBB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主要工作内容</w:t>
            </w:r>
          </w:p>
        </w:tc>
      </w:tr>
      <w:tr w14:paraId="3A26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32" w:type="dxa"/>
            <w:tcMar>
              <w:top w:w="60" w:type="dxa"/>
              <w:left w:w="120" w:type="dxa"/>
              <w:bottom w:w="30" w:type="dxa"/>
              <w:right w:w="120" w:type="dxa"/>
            </w:tcMar>
          </w:tcPr>
          <w:p w14:paraId="0C976E7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赛前场地适应训练</w:t>
            </w:r>
          </w:p>
        </w:tc>
        <w:tc>
          <w:tcPr>
            <w:tcW w:w="2434" w:type="dxa"/>
            <w:tcMar>
              <w:top w:w="60" w:type="dxa"/>
              <w:left w:w="120" w:type="dxa"/>
              <w:bottom w:w="30" w:type="dxa"/>
              <w:right w:w="120" w:type="dxa"/>
            </w:tcMar>
          </w:tcPr>
          <w:p w14:paraId="517F498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月 19 日 —20 日（2 天）</w:t>
            </w:r>
          </w:p>
        </w:tc>
        <w:tc>
          <w:tcPr>
            <w:tcW w:w="5143" w:type="dxa"/>
            <w:tcMar>
              <w:top w:w="60" w:type="dxa"/>
              <w:left w:w="120" w:type="dxa"/>
              <w:bottom w:w="30" w:type="dxa"/>
              <w:right w:w="120" w:type="dxa"/>
            </w:tcMar>
          </w:tcPr>
          <w:p w14:paraId="2CEC0CB0">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参赛队伍入场训练、场地适应，格斗垫、计时计分、录像审议等全套设备调试，各类保障力量全部到位</w:t>
            </w:r>
          </w:p>
        </w:tc>
      </w:tr>
      <w:tr w14:paraId="7AFD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32" w:type="dxa"/>
            <w:tcMar>
              <w:top w:w="60" w:type="dxa"/>
              <w:left w:w="120" w:type="dxa"/>
              <w:bottom w:w="30" w:type="dxa"/>
              <w:right w:w="120" w:type="dxa"/>
            </w:tcMar>
          </w:tcPr>
          <w:p w14:paraId="261A045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正式比赛</w:t>
            </w:r>
          </w:p>
        </w:tc>
        <w:tc>
          <w:tcPr>
            <w:tcW w:w="2434" w:type="dxa"/>
            <w:tcMar>
              <w:top w:w="60" w:type="dxa"/>
              <w:left w:w="120" w:type="dxa"/>
              <w:bottom w:w="30" w:type="dxa"/>
              <w:right w:w="120" w:type="dxa"/>
            </w:tcMar>
          </w:tcPr>
          <w:p w14:paraId="0AFC3DD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月 21 日 —24 日（4 天）</w:t>
            </w:r>
          </w:p>
        </w:tc>
        <w:tc>
          <w:tcPr>
            <w:tcW w:w="5143" w:type="dxa"/>
            <w:tcMar>
              <w:top w:w="60" w:type="dxa"/>
              <w:left w:w="120" w:type="dxa"/>
              <w:bottom w:w="30" w:type="dxa"/>
              <w:right w:w="120" w:type="dxa"/>
            </w:tcMar>
          </w:tcPr>
          <w:p w14:paraId="18565FF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跆拳道项目正式比赛，成绩实时统计公示，组织开、颁奖仪式，处置赛场申诉、仲裁等工作</w:t>
            </w:r>
          </w:p>
        </w:tc>
      </w:tr>
      <w:tr w14:paraId="5C8D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932" w:type="dxa"/>
            <w:tcMar>
              <w:top w:w="60" w:type="dxa"/>
              <w:left w:w="120" w:type="dxa"/>
              <w:bottom w:w="30" w:type="dxa"/>
              <w:right w:w="120" w:type="dxa"/>
            </w:tcMar>
          </w:tcPr>
          <w:p w14:paraId="52C7BA0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赛后收尾</w:t>
            </w:r>
          </w:p>
        </w:tc>
        <w:tc>
          <w:tcPr>
            <w:tcW w:w="2434" w:type="dxa"/>
            <w:tcMar>
              <w:top w:w="60" w:type="dxa"/>
              <w:left w:w="120" w:type="dxa"/>
              <w:bottom w:w="30" w:type="dxa"/>
              <w:right w:w="120" w:type="dxa"/>
            </w:tcMar>
          </w:tcPr>
          <w:p w14:paraId="589E323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赛事结束后 3 个工作日内</w:t>
            </w:r>
          </w:p>
        </w:tc>
        <w:tc>
          <w:tcPr>
            <w:tcW w:w="5143" w:type="dxa"/>
            <w:tcMar>
              <w:top w:w="60" w:type="dxa"/>
              <w:left w:w="120" w:type="dxa"/>
              <w:bottom w:w="30" w:type="dxa"/>
              <w:right w:w="120" w:type="dxa"/>
            </w:tcMar>
          </w:tcPr>
          <w:p w14:paraId="74CF908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场地拆除复原、器材拆卸运回、物资清点归档、赛事数据汇总、费用核对结算、工作总结</w:t>
            </w:r>
          </w:p>
        </w:tc>
      </w:tr>
    </w:tbl>
    <w:p w14:paraId="0E376D3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p>
    <w:p w14:paraId="36ABAC0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服务对象：跆拳道项目参赛运动员、领队、教练员、裁判员、仲裁人员、技术代表、比赛监督、编排记录人员、电子系统工作人员、兴奋剂检测人员、赛事工作人员、志愿者、安保及医疗保障等全体赛事相关人员。</w:t>
      </w:r>
    </w:p>
    <w:p w14:paraId="16050DF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 场地条件：本次赛事举办场地为北海市体育馆，场馆为大型乙级多层专业体育建筑，具备承办省级单项体育赛事资质标准。主馆采用大跨度无柱设计，室内净空充裕、无遮挡，场地地面平整、荷载达标，可规范铺设跆拳道专业格斗垫，适配跆拳道踢击、腾空、对抗等专项竞赛动作需求。场馆照明设备照度均匀、无眩光，符合专业赛事执裁、比赛及赛事转播标准。配套运动员休息室、检录候场室、裁判员休息室、竞赛办公室、技术会议室、计时计分控制室、医疗急救室、兴奋剂检查室、器材库房等功能用房，人流通道分区明确，运动员、裁判、观众、贵宾流线互不交叉，疏散高效，符合大型赛事安全管理标准。</w:t>
      </w:r>
    </w:p>
    <w:p w14:paraId="15DB9F7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（二）项目预算</w:t>
      </w:r>
    </w:p>
    <w:p w14:paraId="625B4242">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80"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
        </w:rPr>
        <w:t>本项目财政预算总价</w:t>
      </w:r>
      <w:r>
        <w:rPr>
          <w:rFonts w:hint="eastAsia" w:ascii="宋体" w:hAnsi="宋体" w:cs="宋体"/>
          <w:b w:val="0"/>
          <w:bCs/>
          <w:color w:val="auto"/>
          <w:sz w:val="24"/>
          <w:szCs w:val="24"/>
          <w:highlight w:val="none"/>
          <w:lang w:val="en-US" w:eastAsia="zh-CN"/>
        </w:rPr>
        <w:t>人民币壹佰贰拾叁万玖仟叁佰壹拾玖元整（¥1239319.00元）</w:t>
      </w:r>
      <w:r>
        <w:rPr>
          <w:rFonts w:hint="eastAsia" w:ascii="宋体" w:hAnsi="宋体" w:eastAsia="宋体" w:cs="宋体"/>
          <w:b w:val="0"/>
          <w:bCs/>
          <w:color w:val="auto"/>
          <w:kern w:val="0"/>
          <w:sz w:val="24"/>
          <w:szCs w:val="24"/>
          <w:highlight w:val="none"/>
          <w:lang w:val="en-US" w:eastAsia="zh-CN" w:bidi="ar"/>
        </w:rPr>
        <w:t>，报价为全包价，包含人员食宿、劳务补贴、交通接驳、场地搭建、水电运维、器材租赁、计分系统运维、后勤物资、志愿服务、保险、税费、反兴奋剂配套、赛事礼仪主持等全部履约费用，采购人不另行支付任何新增费用。</w:t>
      </w:r>
      <w:r>
        <w:rPr>
          <w:rFonts w:ascii="宋体" w:hAnsi="宋体" w:eastAsia="宋体" w:cs="宋体"/>
          <w:color w:val="auto"/>
          <w:sz w:val="24"/>
          <w:szCs w:val="24"/>
          <w:highlight w:val="none"/>
        </w:rPr>
        <w:t>本项目人员食宿、劳务报酬、差旅费用按照实际参赛及服务人员数量、实际服务天数据实结算。报价中人员相关费用为预估测算，实际未发生的人员食宿、劳务、差旅等费用，采购人在项目结算时直接予以扣减，不予支付未实际产生的对应费用。</w:t>
      </w:r>
    </w:p>
    <w:p w14:paraId="5763DD97">
      <w:pPr>
        <w:keepNext w:val="0"/>
        <w:keepLines w:val="0"/>
        <w:pageBreakBefore w:val="0"/>
        <w:numPr>
          <w:ilvl w:val="0"/>
          <w:numId w:val="0"/>
        </w:numPr>
        <w:shd w:val="clear"/>
        <w:kinsoku/>
        <w:wordWrap/>
        <w:overflowPunct/>
        <w:topLinePunct w:val="0"/>
        <w:bidi w:val="0"/>
        <w:spacing w:line="440" w:lineRule="exact"/>
        <w:ind w:leftChars="200"/>
        <w:rPr>
          <w:rFonts w:hint="eastAsia" w:ascii="Times New Roman" w:hAnsi="Times New Roman" w:eastAsia="宋体" w:cs="Times New Roman"/>
          <w:b/>
          <w:bCs/>
          <w:color w:val="auto"/>
          <w:sz w:val="24"/>
          <w:szCs w:val="24"/>
          <w:highlight w:val="none"/>
          <w:lang w:val="en-US" w:eastAsia="zh-CN"/>
        </w:rPr>
      </w:pPr>
      <w:bookmarkStart w:id="44" w:name="heading_5"/>
      <w:r>
        <w:rPr>
          <w:rFonts w:hint="eastAsia" w:cs="Times New Roman"/>
          <w:b/>
          <w:bCs/>
          <w:color w:val="auto"/>
          <w:sz w:val="24"/>
          <w:szCs w:val="24"/>
          <w:highlight w:val="none"/>
          <w:lang w:val="en-US" w:eastAsia="zh-CN"/>
        </w:rPr>
        <w:t>二、</w:t>
      </w:r>
      <w:r>
        <w:rPr>
          <w:rFonts w:hint="eastAsia" w:ascii="Times New Roman" w:hAnsi="Times New Roman" w:eastAsia="宋体" w:cs="Times New Roman"/>
          <w:b/>
          <w:bCs/>
          <w:color w:val="auto"/>
          <w:sz w:val="24"/>
          <w:szCs w:val="24"/>
          <w:highlight w:val="none"/>
          <w:lang w:val="en-US" w:eastAsia="zh-CN"/>
        </w:rPr>
        <w:t>服务内容</w:t>
      </w:r>
      <w:bookmarkEnd w:id="44"/>
    </w:p>
    <w:p w14:paraId="599E7EA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（一）赛事运营服务</w:t>
      </w:r>
    </w:p>
    <w:p w14:paraId="2CCFE6B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方案统筹：严格依据自治区运动会办赛规范、世界跆拳道联合会竞赛规则，细化赛事整体执行方案、赛程落地方案、安全管控方案、应急处置方案、反兴奋剂保障方案，报采购人审核后落地执行。</w:t>
      </w:r>
    </w:p>
    <w:p w14:paraId="6A3C9C6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全流程管控：统筹赛前筹备、赛中运行、赛后收尾全流程工作，负责运动员抽签编排、赛程排布、赛事衔接、开颁奖仪式统筹、赛场流程管控、运动员赛前检录、赛后申诉对接，每日建立工作台账，落实节点管控。</w:t>
      </w:r>
    </w:p>
    <w:p w14:paraId="000298A5">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多方对接：精准对接仲裁组、裁判组、技术组、兴奋剂检测组、各参赛队伍、组委会各工作小组，协调解决赛事运行各类问题，保障沟通顺畅、流程高效、赛事公平公正。</w:t>
      </w:r>
    </w:p>
    <w:p w14:paraId="31DB045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资料归档：全程收集、整理赛事工作资料、台账、赛事影像、申诉记录、执裁记录，赛后完成全套赛事运营资料汇编归档。</w:t>
      </w:r>
    </w:p>
    <w:p w14:paraId="0FA63AB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（二）专业技术服务</w:t>
      </w:r>
    </w:p>
    <w:p w14:paraId="2E22163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系统运维保障：全程保障跆拳道专业电子计分系统、成绩处理系统、大屏公示设备、录像审议系统稳定运行，实现赛事数据实时采集、精准计分、同步统计、大屏实时公示、全程可追溯，杜绝数据卡顿、错漏、丢失、系统闪退问题。</w:t>
      </w:r>
    </w:p>
    <w:p w14:paraId="597F58C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赛事影像留存：配置多机位专业录像设备及3套独立录像审议系统，全程完成赛前训练、正式比赛全过程高清影像录制留存，画面完整、角度全覆盖、可随时回放拷贝，可支撑赛事申诉、仲裁研判、成绩复核、赛事复盘工作。</w:t>
      </w:r>
    </w:p>
    <w:p w14:paraId="6E32E65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设备校准运维：负责跆拳道格斗垫、击打计分设备、信号发射器、解析设备、磁极观测卡、计时设备、赛场音视频设备赛前全面校准、赛中常态化巡检运维、赛后核验整理归档，保障所有技术设备精准合规、符合国际赛事标准。</w:t>
      </w:r>
    </w:p>
    <w:p w14:paraId="134BB8C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技术支撑兜底：全程提供跆拳道竞赛规则解读、现场技术咨询、软硬件故障应急处置、赛程轮转技术兜底服务，及时解决赛事各类技术问题，保障赛事不间断、平稳有序运行。</w:t>
      </w:r>
    </w:p>
    <w:p w14:paraId="07F3D01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（三）场地运维服务</w:t>
      </w:r>
    </w:p>
    <w:p w14:paraId="1AED29E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场地安全运维：负责跆拳道标准竞赛场区、热身场区、检录候场区、裁判功能区、兴奋剂检测区、医疗救助区、颁奖区、物资存放区的日常清洁、规整、消杀防滑、汗水污渍清理、垫面破损修复，全面排查场地用电、器材摆放、消防安全、防撞防护隐患，严格落实跆拳道对抗性赛事场地安全规范。</w:t>
      </w:r>
    </w:p>
    <w:p w14:paraId="6EE8B07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氛围物料搭建运维：负责赛事背景板、项目标识标牌、场地指示牌、赛场隔离围挡、条幅、功能分区标识、颁奖台、仲裁公示牌等形象景观物料的制作、进场搭建、实时维护、赛后拆除清运。</w:t>
      </w:r>
    </w:p>
    <w:p w14:paraId="78742CE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配套设施保障：全程保障赛场水电、照明、专业广播、大屏显示、空调通风系统稳定供应，实时排查处置场地设施、配套设备故障，保障场地完全符合省级专业跆拳道赛事办赛标准。</w:t>
      </w:r>
    </w:p>
    <w:p w14:paraId="0CCA79C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赛后场地复原：赛事结束后3个工作日内，完成全场清洁消杀、物料拆除、器材清点收纳、场地原貌复原，完好移交共用比赛高台，确保场馆完好交接、无缝衔接后续赛事使用。</w:t>
      </w:r>
    </w:p>
    <w:p w14:paraId="2855857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（四）综合赛事保障服务</w:t>
      </w:r>
    </w:p>
    <w:p w14:paraId="2056363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食宿保障</w:t>
      </w:r>
    </w:p>
    <w:p w14:paraId="07935C1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严格按照第十六届运动会统一标准，为参赛领队、教练员、运动员、技术代表、裁判长、仲裁委员、各级裁判员、电子系统工作人员、兴奋剂检测人员、驻地医生等全部赛事工作人员提供赛前训练及赛事期间食宿保障，严格执行分级食宿标准。运动员食宿严格满足专业赛事反兴奋剂要求，食材采购、储存、加工全程可追溯，严禁提供含违禁成分的食品饮品，驻地实行封闭管理，确保运动员饮食安全合规。严控食品安全、住宿卫生与人身安全，规范食宿台账管理，严格执行赛事经费支出标准。</w:t>
      </w:r>
    </w:p>
    <w:p w14:paraId="541146B1">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人员劳务保障</w:t>
      </w:r>
    </w:p>
    <w:p w14:paraId="233F228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按赛事既定标准，足额落实各级裁判、技术人员、兴奋剂检测人员、医护、安保、礼仪、主持人、志愿者管理人员等所有岗位人员劳务补贴，区分岗位层级、区内区外、履职时长规范核算、登记、发放，建立完整劳务台账，确保合规透明、足额到位。</w:t>
      </w:r>
    </w:p>
    <w:p w14:paraId="63D22D2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交通接驳与差旅保障</w:t>
      </w:r>
    </w:p>
    <w:p w14:paraId="131CFF0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配备专用大巴车辆，用于裁判员、参赛运动员、教练员驻地至赛场往返接驳，保障赛事期间交通准时安全；所有营运车辆须具备合法有效的《道路运输证》，驾驶员具备相应从业资格，车辆定期检测合格、保险齐全。按规定标准核算发放裁判员市内交通补贴、异地往返差旅补贴，区分区内、区外裁判差异化补贴标准，实报实销、规范台账管理。</w:t>
      </w:r>
    </w:p>
    <w:p w14:paraId="7A1DBA3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医疗安保保障</w:t>
      </w:r>
    </w:p>
    <w:p w14:paraId="4DA7BBD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赛事驻地至少配备1名专职值守医生，赛场至少配置2台救护车、2名司机、2名医生、2名护士及全套运动损伤医疗物资，全程处置运动员擦伤、扭伤、撞击损伤及突发健康问题，确保急救通道全程畅通、医疗物资齐备、应急处置及时高效；固定至少配备3名专职安保人员，负责赛场、功能区域、赛事驻地秩序维护、安全巡查、人流管控、隐患排查，针对性强化跆拳道对抗性赛事临场冲突管控、赛场安全管控，杜绝安全事故。</w:t>
      </w:r>
    </w:p>
    <w:p w14:paraId="65E8B14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 后勤办公与耗材保障</w:t>
      </w:r>
    </w:p>
    <w:p w14:paraId="4742DEF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配齐赛事全套办公耗材、执裁辅助物资、兴奋剂检测室配套物资，包含打印机墨盒、各类办公文具、插线板、医用耗材、胶布、卷尺、电池、号码布、整理箱、检测耗材、饮用水、赛事清洁物资等全部赛事所需物资，保障赛事办公、执裁、台账整理、资料归档、反兴奋剂检测工作正常开展。</w:t>
      </w:r>
    </w:p>
    <w:p w14:paraId="241D441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6. 颁奖仪式保障</w:t>
      </w:r>
    </w:p>
    <w:p w14:paraId="3CDEBE8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配置专业礼仪人员、赛事主持人，负责赛事彩排、每日颁奖、闭幕式颁奖仪式全流程服务，规范仪式流程、现场秩序与仪式执行，保障颁奖流程庄重规范、标准统一。</w:t>
      </w:r>
    </w:p>
    <w:p w14:paraId="73FD6F7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（五）志愿服务管理服务</w:t>
      </w:r>
    </w:p>
    <w:p w14:paraId="1F5F61A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人员配置：至少配置30名赛事志愿者，按规定标准落实交通、误餐等综合补助，服务时长≥6天。</w:t>
      </w:r>
    </w:p>
    <w:p w14:paraId="77B03A21">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岗前培训：赛前组织专项集中培训，覆盖岗位职责、服务规范、赛事礼仪、场地动线、检录流程、赛风赛纪、安全纪律、应急处置等内容，开展模拟演练，考核合格后方可上岗。</w:t>
      </w:r>
    </w:p>
    <w:p w14:paraId="5B37D665">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现场履职：统筹志愿者开展赛场引导、运动员检录协助、物资分发、候场秩序维护、赛场辅助管控、后勤协助、信息对接、成绩辅助公示、资料整理等服务，全程落实考勤、纪律督导、岗位动态调度。</w:t>
      </w:r>
    </w:p>
    <w:p w14:paraId="31ACDAA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台账管理：建立志愿者人员台账、考勤台账、服务台账，赛后完成志愿服务总结归档。</w:t>
      </w:r>
    </w:p>
    <w:p w14:paraId="2049064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（六）专业器材与系统租赁运维服务</w:t>
      </w:r>
    </w:p>
    <w:p w14:paraId="623CA3C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租赁器材配置：提供赛事所需全套跆拳道专业竞赛器材、技术系统及办公设备租赁服务，所有器材符合省级赛事及世界跆拳道联合会标准。核心租赁器材至少包含：全套12000mm×12000mm×25mm三色分区XPE专业格斗垫（比赛区8000mm×8000mm，比赛区、保护区、警示区三色分区，稳固子母牙拼接结构）、比赛专用高台、防撞围挡、专业记录工作台、独立录像审议台、50寸以上平板电视7台（每个场地2台、检录处1台、热身区2台、备用2台）、3套计时记分系统（含3台专用赛事电脑，配置要求win xp32位以上、内存8GB以上、酷睿i5以上CPU、独立显卡、无线鼠标）、1套成绩处理系统、3对专业打分手柄（人体工程学设计，隐藏式显示屏，续航超12小时）、6套信号发射器（ZIGBEE联网模式，16频道，ms级传输，1000mAH电池）、4套设备解析器（ICT技术，4次/秒识别度）、4张磁极观测卡（10×15厘米，用于检录检查脚套磁性）、3套录像审议系统（每套配独立显示屏、双摄像头、存储及单独拷贝功能）、专业广播系统1套、比赛抽签编排系统1套（含运动员抽签、比赛编排、显示出场顺序功能）、办公电脑2台、一体打印机2台、对讲机10台（配充电器）、专用秒表3个（100道）、制冰机2台、竞赛工作台1套、椅子100把、桌子80张、投影仪2台等。</w:t>
      </w:r>
    </w:p>
    <w:p w14:paraId="3E90B9C0">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必备消耗品配置：足额配齐赛事全程所需一次性消耗品及辅助物资，包含执裁辅助用品、办公文印耗材、后勤保障物资、兴奋剂检测配套物资、医用防护耗材、饮用水及清洁物资等大类，保障赛事全程使用无短缺、无破损、无失效。</w:t>
      </w:r>
    </w:p>
    <w:p w14:paraId="32296DE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全流程运维：负责所有器材的运输、进场布设、精准校准、赛中动态巡检、故障应急处置、赛后拆卸清点运回，全程保障器材完好、安全、合规使用，适配赛前训练、彩排及正式比赛全部执裁需求。设备故障≤1小时响应、≤2小时完成维修更换，不影响赛事进度。</w:t>
      </w:r>
    </w:p>
    <w:p w14:paraId="7BEC896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物资保障：配齐赛事全部辅助耗材、执裁工具、标识物料、收纳物资、防护物资等，足额保障赛事全程使用，无短缺、无破损、无失效。</w:t>
      </w:r>
    </w:p>
    <w:p w14:paraId="2AD310AB">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（七）成绩辅助统计服务</w:t>
      </w:r>
    </w:p>
    <w:p w14:paraId="64403AC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专项团队值守：组建跆拳道赛事专属成绩统计团队，全程驻场配合裁判组、技术组开展工作。</w:t>
      </w:r>
    </w:p>
    <w:p w14:paraId="4BBB719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数据精准管控：严格遵循跆拳道专项竞赛规则，完成成绩实时记录、逐场核对、统计、排名、汇总，依托专业系统实时更新赛事榜单、对阵信息、晋级名单。</w:t>
      </w:r>
    </w:p>
    <w:p w14:paraId="44CD253B">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异议与归档处理：负责成绩复核、参赛队伍申诉对接、赛事数据全程留存、影像数据绑定归档，建立完整赛事数据台账，赛后整理全套成绩资料、报表、申诉记录，为颁奖、评优、赛事总结提供精准数据支撑。</w:t>
      </w:r>
    </w:p>
    <w:p w14:paraId="592B8F5B">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bCs w:val="0"/>
          <w:color w:val="auto"/>
          <w:kern w:val="0"/>
          <w:sz w:val="24"/>
          <w:szCs w:val="24"/>
          <w:highlight w:val="none"/>
          <w:lang w:val="en-US" w:eastAsia="zh-CN" w:bidi="ar"/>
        </w:rPr>
      </w:pPr>
      <w:r>
        <w:rPr>
          <w:rFonts w:hint="eastAsia" w:ascii="宋体" w:hAnsi="宋体" w:cs="宋体"/>
          <w:b/>
          <w:bCs w:val="0"/>
          <w:color w:val="auto"/>
          <w:kern w:val="0"/>
          <w:sz w:val="24"/>
          <w:szCs w:val="24"/>
          <w:highlight w:val="none"/>
          <w:lang w:val="en-US" w:eastAsia="zh-CN" w:bidi="ar"/>
        </w:rPr>
        <w:t>三、服务要求</w:t>
      </w:r>
    </w:p>
    <w:p w14:paraId="7B11CEC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（一）</w:t>
      </w:r>
      <w:r>
        <w:rPr>
          <w:rFonts w:hint="eastAsia" w:ascii="Times New Roman" w:hAnsi="Times New Roman" w:eastAsia="宋体" w:cs="Times New Roman"/>
          <w:b/>
          <w:bCs/>
          <w:color w:val="auto"/>
          <w:sz w:val="24"/>
          <w:szCs w:val="24"/>
          <w:highlight w:val="none"/>
          <w:lang w:val="en-US" w:eastAsia="zh-CN"/>
        </w:rPr>
        <w:t>总体服务要求</w:t>
      </w:r>
    </w:p>
    <w:p w14:paraId="542D2CF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供应商须承接本项目跆拳道赛事全链条竞赛配套服务，包含赛事运营统筹、专业技术支撑、场地运维保障、综合赛事保障、志愿服务管理、专业器材及系统租赁运维、成绩辅助统计、售后兜底保障等全部服务内容。结合跆拳道专业对抗性赛事节奏快、轮转频次高、临场仲裁多、运动损伤风险高的赛事特点，落实标准化、专业化、一体化保障，全程服从赛事组委会统筹管理，确保赛事零安全事故、零重大失误、零负面舆情，圆满完成赛事全部办赛任务。</w:t>
      </w:r>
    </w:p>
    <w:p w14:paraId="3BA6E17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cs="宋体"/>
          <w:b/>
          <w:bCs w:val="0"/>
          <w:color w:val="auto"/>
          <w:kern w:val="0"/>
          <w:sz w:val="24"/>
          <w:szCs w:val="24"/>
          <w:highlight w:val="none"/>
          <w:lang w:val="en-US" w:eastAsia="zh-CN" w:bidi="ar"/>
        </w:rPr>
        <w:t>（二）服务</w:t>
      </w:r>
      <w:r>
        <w:rPr>
          <w:rFonts w:hint="eastAsia" w:ascii="宋体" w:hAnsi="宋体" w:eastAsia="宋体" w:cs="宋体"/>
          <w:b/>
          <w:bCs w:val="0"/>
          <w:color w:val="auto"/>
          <w:kern w:val="0"/>
          <w:sz w:val="24"/>
          <w:szCs w:val="24"/>
          <w:highlight w:val="none"/>
          <w:lang w:val="en-US" w:eastAsia="zh-CN" w:bidi="ar"/>
        </w:rPr>
        <w:t>通用服务标准</w:t>
      </w:r>
    </w:p>
    <w:p w14:paraId="2B3F1EF5">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所有工作人员、辅助人员、志愿者着装规范、持证上岗、服务专业；服务响应及时、流程规范，全程无有效服务投诉、无重大工作失误，赛事运行平稳有序、标准合规、台账完整、纪律严谨。</w:t>
      </w:r>
    </w:p>
    <w:p w14:paraId="161F049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w:t>
      </w:r>
      <w:r>
        <w:rPr>
          <w:rFonts w:hint="eastAsia" w:ascii="宋体" w:hAnsi="宋体" w:cs="宋体"/>
          <w:b/>
          <w:bCs w:val="0"/>
          <w:color w:val="auto"/>
          <w:kern w:val="0"/>
          <w:sz w:val="24"/>
          <w:szCs w:val="24"/>
          <w:highlight w:val="none"/>
          <w:lang w:val="en-US" w:eastAsia="zh-CN" w:bidi="ar"/>
        </w:rPr>
        <w:t>三</w:t>
      </w:r>
      <w:r>
        <w:rPr>
          <w:rFonts w:hint="eastAsia" w:ascii="宋体" w:hAnsi="宋体" w:eastAsia="宋体" w:cs="宋体"/>
          <w:b/>
          <w:bCs w:val="0"/>
          <w:color w:val="auto"/>
          <w:kern w:val="0"/>
          <w:sz w:val="24"/>
          <w:szCs w:val="24"/>
          <w:highlight w:val="none"/>
          <w:lang w:val="en-US" w:eastAsia="zh-CN" w:bidi="ar"/>
        </w:rPr>
        <w:t>）专项技术标准</w:t>
      </w:r>
    </w:p>
    <w:p w14:paraId="629ABA1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跆拳道专属计时记分、成绩公示、赛事录像审议系统运行稳定，数据传输实时精准、无卡顿、无错漏、无故障，满足省级跆拳道赛事仲裁、评分、统计、复盘标准。</w:t>
      </w:r>
    </w:p>
    <w:p w14:paraId="694F67C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所有竞赛器材、执裁工具、技术设备赛前全部校准检测，赛中动态运维，材质、尺寸、精度符合世界跆拳道联合会专业赛事竞赛要求。</w:t>
      </w:r>
    </w:p>
    <w:p w14:paraId="7032220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赛场布设、格斗垫铺设、功能分区、防撞防护、线路布设完全符合跆拳道赛事行业安全标准，分区清晰、安全合规、美观统一、适配赛事转播与执裁。</w:t>
      </w:r>
    </w:p>
    <w:p w14:paraId="69B93D6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w:t>
      </w:r>
      <w:r>
        <w:rPr>
          <w:rFonts w:hint="eastAsia" w:ascii="宋体" w:hAnsi="宋体" w:cs="宋体"/>
          <w:b/>
          <w:bCs w:val="0"/>
          <w:color w:val="auto"/>
          <w:kern w:val="0"/>
          <w:sz w:val="24"/>
          <w:szCs w:val="24"/>
          <w:highlight w:val="none"/>
          <w:lang w:val="en-US" w:eastAsia="zh-CN" w:bidi="ar"/>
        </w:rPr>
        <w:t>四</w:t>
      </w:r>
      <w:r>
        <w:rPr>
          <w:rFonts w:hint="eastAsia" w:ascii="宋体" w:hAnsi="宋体" w:eastAsia="宋体" w:cs="宋体"/>
          <w:b/>
          <w:bCs w:val="0"/>
          <w:color w:val="auto"/>
          <w:kern w:val="0"/>
          <w:sz w:val="24"/>
          <w:szCs w:val="24"/>
          <w:highlight w:val="none"/>
          <w:lang w:val="en-US" w:eastAsia="zh-CN" w:bidi="ar"/>
        </w:rPr>
        <w:t>）安全保障标准</w:t>
      </w:r>
    </w:p>
    <w:p w14:paraId="1E8B8E2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落实赛事安全生产责任制，建立跆拳道赛事专属安全管控体系，全面排查场地、设备、用电、器材、人员管控、赛场冲突等各类安全隐患；强化对抗性赛事临场秩序管控、运动损伤急救、赛场封闭管理、设备安全巡检，全程保障参赛人员、工作人员人身安全及赛事整体运行安全，杜绝各类安全事故、负面舆情、群体性事件。</w:t>
      </w:r>
    </w:p>
    <w:p w14:paraId="250C9D16">
      <w:pPr>
        <w:keepNext w:val="0"/>
        <w:keepLines w:val="0"/>
        <w:pageBreakBefore w:val="0"/>
        <w:widowControl/>
        <w:numPr>
          <w:ilvl w:val="0"/>
          <w:numId w:val="7"/>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比赛场地、设备设施配备要求</w:t>
      </w:r>
    </w:p>
    <w:p w14:paraId="0E152FA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场地、器材、系统全部满足世界跆拳道联合会竞赛标准，同时满足广西区运会跆拳道赛事办赛条件：</w:t>
      </w:r>
    </w:p>
    <w:p w14:paraId="373A545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1.</w:t>
      </w:r>
      <w:r>
        <w:rPr>
          <w:rFonts w:hint="eastAsia" w:ascii="宋体" w:hAnsi="宋体" w:eastAsia="宋体" w:cs="宋体"/>
          <w:b w:val="0"/>
          <w:bCs/>
          <w:color w:val="auto"/>
          <w:kern w:val="0"/>
          <w:sz w:val="24"/>
          <w:szCs w:val="24"/>
          <w:highlight w:val="none"/>
          <w:lang w:val="en-US" w:eastAsia="zh-CN" w:bidi="ar"/>
        </w:rPr>
        <w:t>竞赛主场地：核心竞赛场地配置标准 12000mm×12000mm×25mm 专业格斗垫，比赛区规格 8000mm×8000mm，XPE 材质，比赛区、保护区、警示区三色分区，子母牙稳固拼接，配套防撞围挡、记录工作台、独立录像审议台。</w:t>
      </w:r>
    </w:p>
    <w:p w14:paraId="7CA98ED1">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2.</w:t>
      </w:r>
      <w:r>
        <w:rPr>
          <w:rFonts w:hint="eastAsia" w:ascii="宋体" w:hAnsi="宋体" w:eastAsia="宋体" w:cs="宋体"/>
          <w:b w:val="0"/>
          <w:bCs/>
          <w:color w:val="auto"/>
          <w:kern w:val="0"/>
          <w:sz w:val="24"/>
          <w:szCs w:val="24"/>
          <w:highlight w:val="none"/>
          <w:lang w:val="en-US" w:eastAsia="zh-CN" w:bidi="ar"/>
        </w:rPr>
        <w:t>功能分区：规范设置检录区、仲裁区、裁判休息区、运动员热身区、医疗救护区、兴奋剂检测区、颁奖区、物资仓储区，各区域标识清晰，人员动线合理，运动员、裁判、工作人员流线隔离。兴奋剂检测室配套冰箱、饮料、检测杯、热水壶、电视、电脑等全套设施。</w:t>
      </w:r>
    </w:p>
    <w:p w14:paraId="7E45BBB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0" w:firstLineChars="20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4"/>
          <w:szCs w:val="24"/>
          <w:highlight w:val="none"/>
          <w:lang w:val="en-US" w:eastAsia="zh-CN" w:bidi="ar"/>
        </w:rPr>
        <w:t>计时计分与录像审议系统：</w:t>
      </w:r>
    </w:p>
    <w:p w14:paraId="63F9E3F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0" w:firstLineChars="20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（1）电子计分系统：跆拳道专用打分手柄、发射器、解析器配套齐全，评分计分数据实时上传，数据全程可追溯。</w:t>
      </w:r>
      <w:r>
        <w:rPr>
          <w:rFonts w:hint="eastAsia" w:ascii="宋体" w:hAnsi="宋体" w:eastAsia="宋体" w:cs="宋体"/>
          <w:b w:val="0"/>
          <w:bCs/>
          <w:color w:val="auto"/>
          <w:kern w:val="0"/>
          <w:sz w:val="24"/>
          <w:szCs w:val="24"/>
          <w:highlight w:val="none"/>
          <w:lang w:val="en-US" w:eastAsia="zh-CN" w:bidi="ar"/>
        </w:rPr>
        <w:br w:type="textWrapping"/>
      </w:r>
      <w:r>
        <w:rPr>
          <w:rFonts w:hint="eastAsia" w:ascii="宋体" w:hAnsi="宋体" w:cs="宋体"/>
          <w:b w:val="0"/>
          <w:bCs/>
          <w:color w:val="auto"/>
          <w:kern w:val="0"/>
          <w:sz w:val="24"/>
          <w:szCs w:val="24"/>
          <w:highlight w:val="none"/>
          <w:lang w:val="en-US" w:eastAsia="zh-CN" w:bidi="ar"/>
        </w:rPr>
        <w:t xml:space="preserve">    </w:t>
      </w:r>
      <w:r>
        <w:rPr>
          <w:rFonts w:hint="eastAsia" w:ascii="宋体" w:hAnsi="宋体" w:eastAsia="宋体" w:cs="宋体"/>
          <w:b w:val="0"/>
          <w:bCs/>
          <w:color w:val="auto"/>
          <w:kern w:val="0"/>
          <w:sz w:val="24"/>
          <w:szCs w:val="24"/>
          <w:highlight w:val="none"/>
          <w:lang w:val="en-US" w:eastAsia="zh-CN" w:bidi="ar"/>
        </w:rPr>
        <w:t>（2）录像审议系统：3 套专用录像审议系统，每套配置独立显示屏、双摄像头，具备完整录制、回放、存储、单独拷贝功能，完整记录全部场次比赛，支撑申诉仲裁。</w:t>
      </w:r>
      <w:r>
        <w:rPr>
          <w:rFonts w:hint="eastAsia" w:ascii="宋体" w:hAnsi="宋体" w:eastAsia="宋体" w:cs="宋体"/>
          <w:b w:val="0"/>
          <w:bCs/>
          <w:color w:val="auto"/>
          <w:kern w:val="0"/>
          <w:sz w:val="24"/>
          <w:szCs w:val="24"/>
          <w:highlight w:val="none"/>
          <w:lang w:val="en-US" w:eastAsia="zh-CN" w:bidi="ar"/>
        </w:rPr>
        <w:br w:type="textWrapping"/>
      </w:r>
      <w:r>
        <w:rPr>
          <w:rFonts w:hint="eastAsia" w:ascii="宋体" w:hAnsi="宋体" w:cs="宋体"/>
          <w:b w:val="0"/>
          <w:bCs/>
          <w:color w:val="auto"/>
          <w:kern w:val="0"/>
          <w:sz w:val="24"/>
          <w:szCs w:val="24"/>
          <w:highlight w:val="none"/>
          <w:lang w:val="en-US" w:eastAsia="zh-CN" w:bidi="ar"/>
        </w:rPr>
        <w:t xml:space="preserve">    </w:t>
      </w:r>
      <w:r>
        <w:rPr>
          <w:rFonts w:hint="eastAsia" w:ascii="宋体" w:hAnsi="宋体" w:eastAsia="宋体" w:cs="宋体"/>
          <w:b w:val="0"/>
          <w:bCs/>
          <w:color w:val="auto"/>
          <w:kern w:val="0"/>
          <w:sz w:val="24"/>
          <w:szCs w:val="24"/>
          <w:highlight w:val="none"/>
          <w:lang w:val="en-US" w:eastAsia="zh-CN" w:bidi="ar"/>
        </w:rPr>
        <w:t>（3）抽签编排系统，实现运动员抽签、赛程编排、出场顺序公示。</w:t>
      </w:r>
    </w:p>
    <w:p w14:paraId="590A4B5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4.</w:t>
      </w:r>
      <w:r>
        <w:rPr>
          <w:rFonts w:hint="eastAsia" w:ascii="宋体" w:hAnsi="宋体" w:eastAsia="宋体" w:cs="宋体"/>
          <w:b w:val="0"/>
          <w:bCs/>
          <w:color w:val="auto"/>
          <w:kern w:val="0"/>
          <w:sz w:val="24"/>
          <w:szCs w:val="24"/>
          <w:highlight w:val="none"/>
          <w:lang w:val="en-US" w:eastAsia="zh-CN" w:bidi="ar"/>
        </w:rPr>
        <w:t>辅助器材：裁判员号码牌、录像审议标识牌、抽签箱、序号乒乓球、水桶、毛巾、电哨、秒表、对讲机、办公电脑、打印机等齐全完好。</w:t>
      </w:r>
    </w:p>
    <w:p w14:paraId="74B1AD8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5.</w:t>
      </w:r>
      <w:r>
        <w:rPr>
          <w:rFonts w:hint="eastAsia" w:ascii="宋体" w:hAnsi="宋体" w:eastAsia="宋体" w:cs="宋体"/>
          <w:b w:val="0"/>
          <w:bCs/>
          <w:color w:val="auto"/>
          <w:kern w:val="0"/>
          <w:sz w:val="24"/>
          <w:szCs w:val="24"/>
          <w:highlight w:val="none"/>
          <w:lang w:val="en-US" w:eastAsia="zh-CN" w:bidi="ar"/>
        </w:rPr>
        <w:t>热身训练垫子规格 12000mm×12000mm×25mm，XPE 三色分区子母牙拼接，服务商负责运输、布设、运维。</w:t>
      </w:r>
    </w:p>
    <w:p w14:paraId="7C2BD150">
      <w:pPr>
        <w:keepNext w:val="0"/>
        <w:keepLines w:val="0"/>
        <w:pageBreakBefore w:val="0"/>
        <w:widowControl/>
        <w:numPr>
          <w:ilvl w:val="0"/>
          <w:numId w:val="7"/>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安装、调试、验收、拆除及质保服务要求</w:t>
      </w:r>
    </w:p>
    <w:p w14:paraId="1FCDB23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1.</w:t>
      </w:r>
      <w:r>
        <w:rPr>
          <w:rFonts w:hint="eastAsia" w:ascii="宋体" w:hAnsi="宋体" w:eastAsia="宋体" w:cs="宋体"/>
          <w:b w:val="0"/>
          <w:bCs/>
          <w:color w:val="auto"/>
          <w:kern w:val="0"/>
          <w:sz w:val="24"/>
          <w:szCs w:val="24"/>
          <w:highlight w:val="none"/>
          <w:lang w:val="en-US" w:eastAsia="zh-CN" w:bidi="ar"/>
        </w:rPr>
        <w:t>供应商须在赛事正式开赛至少 1 个完整日历日前完成全部场地搭建、格斗垫铺设、器材布设、系统调试，配合采购人、技术代表完成场地器材联合验收，出具场地器材自检记录，验收不合格须无条件整改直至达标。</w:t>
      </w:r>
    </w:p>
    <w:p w14:paraId="1584E9F7">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2.</w:t>
      </w:r>
      <w:r>
        <w:rPr>
          <w:rFonts w:hint="eastAsia" w:ascii="宋体" w:hAnsi="宋体" w:eastAsia="宋体" w:cs="宋体"/>
          <w:b w:val="0"/>
          <w:bCs/>
          <w:color w:val="auto"/>
          <w:kern w:val="0"/>
          <w:sz w:val="24"/>
          <w:szCs w:val="24"/>
          <w:highlight w:val="none"/>
          <w:lang w:val="en-US" w:eastAsia="zh-CN" w:bidi="ar"/>
        </w:rPr>
        <w:t>赛事全过程派驻专业技术保障人员在岗值守，对格斗垫、计时计分设备、录像审议系统、广播系统实时巡检，出现故障第一时间处置，自备备用器材、备用设备实现应急替换。</w:t>
      </w:r>
    </w:p>
    <w:p w14:paraId="1CDD6EB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4"/>
          <w:szCs w:val="24"/>
          <w:highlight w:val="none"/>
          <w:lang w:val="en-US" w:eastAsia="zh-CN" w:bidi="ar"/>
        </w:rPr>
        <w:t>赛事全部结束后，完成全部设施器材拆除、清运，对场馆全面清洁消杀，恢复场馆原有场地原貌，完好移交共用比赛高台，无缝衔接后续赛事。</w:t>
      </w:r>
    </w:p>
    <w:p w14:paraId="3B336160">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4.</w:t>
      </w:r>
      <w:r>
        <w:rPr>
          <w:rFonts w:hint="eastAsia" w:ascii="宋体" w:hAnsi="宋体" w:eastAsia="宋体" w:cs="宋体"/>
          <w:b w:val="0"/>
          <w:bCs/>
          <w:color w:val="auto"/>
          <w:kern w:val="0"/>
          <w:sz w:val="24"/>
          <w:szCs w:val="24"/>
          <w:highlight w:val="none"/>
          <w:lang w:val="en-US" w:eastAsia="zh-CN" w:bidi="ar"/>
        </w:rPr>
        <w:t>由供应商自备的设备、设施在赛事服务周期内全程质保，因设备器材质量问题造成的安全事故，由供应商承担全部责任。</w:t>
      </w:r>
    </w:p>
    <w:p w14:paraId="3F45C584">
      <w:pPr>
        <w:keepNext w:val="0"/>
        <w:keepLines w:val="0"/>
        <w:pageBreakBefore w:val="0"/>
        <w:widowControl/>
        <w:numPr>
          <w:ilvl w:val="0"/>
          <w:numId w:val="7"/>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安全保障标准</w:t>
      </w:r>
    </w:p>
    <w:p w14:paraId="3962504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1.</w:t>
      </w:r>
      <w:r>
        <w:rPr>
          <w:rFonts w:hint="eastAsia" w:ascii="宋体" w:hAnsi="宋体" w:eastAsia="宋体" w:cs="宋体"/>
          <w:b w:val="0"/>
          <w:bCs/>
          <w:color w:val="auto"/>
          <w:kern w:val="0"/>
          <w:sz w:val="24"/>
          <w:szCs w:val="24"/>
          <w:highlight w:val="none"/>
          <w:lang w:val="en-US" w:eastAsia="zh-CN" w:bidi="ar"/>
        </w:rPr>
        <w:t>严格落实赛事安全生产责任制，构建医疗、安保、场地、器材全维度安全管控体系，全面排查各类赛事安全隐患。</w:t>
      </w:r>
    </w:p>
    <w:p w14:paraId="14606B1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2.</w:t>
      </w:r>
      <w:r>
        <w:rPr>
          <w:rFonts w:hint="eastAsia" w:ascii="宋体" w:hAnsi="宋体" w:eastAsia="宋体" w:cs="宋体"/>
          <w:b w:val="0"/>
          <w:bCs/>
          <w:color w:val="auto"/>
          <w:kern w:val="0"/>
          <w:sz w:val="24"/>
          <w:szCs w:val="24"/>
          <w:highlight w:val="none"/>
          <w:lang w:val="en-US" w:eastAsia="zh-CN" w:bidi="ar"/>
        </w:rPr>
        <w:t>针对跆拳道对抗性赛事特点，重点强化赛场防护、运动损伤急救、赛场秩序管控，确保急救通道全程畅通、医疗物资齐备、应急处置及时高效。</w:t>
      </w:r>
    </w:p>
    <w:p w14:paraId="1A21E72D">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4"/>
          <w:szCs w:val="24"/>
          <w:highlight w:val="none"/>
          <w:lang w:val="en-US" w:eastAsia="zh-CN" w:bidi="ar"/>
        </w:rPr>
        <w:t>杜绝安全事故、人员伤亡、设备故障等问题，全方位保障参赛人员、工作人员人身安全及赛事整体运行安全。</w:t>
      </w:r>
    </w:p>
    <w:p w14:paraId="0BC54157">
      <w:pPr>
        <w:keepNext w:val="0"/>
        <w:keepLines w:val="0"/>
        <w:pageBreakBefore w:val="0"/>
        <w:widowControl/>
        <w:numPr>
          <w:ilvl w:val="0"/>
          <w:numId w:val="7"/>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分阶段实施进度要求</w:t>
      </w:r>
    </w:p>
    <w:p w14:paraId="03A2F99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本项目严格对照跆拳道赛事时间节点，实行全流程节点化、闭环式管控，明确各阶段工作任务与完成时限，确保所有服务提前到位、无缝衔接赛事进程。</w:t>
      </w:r>
    </w:p>
    <w:p w14:paraId="10A39165">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1.</w:t>
      </w:r>
      <w:r>
        <w:rPr>
          <w:rFonts w:hint="eastAsia" w:ascii="宋体" w:hAnsi="宋体" w:eastAsia="宋体" w:cs="宋体"/>
          <w:b w:val="0"/>
          <w:bCs/>
          <w:color w:val="auto"/>
          <w:kern w:val="0"/>
          <w:sz w:val="24"/>
          <w:szCs w:val="24"/>
          <w:highlight w:val="none"/>
          <w:lang w:val="en-US" w:eastAsia="zh-CN" w:bidi="ar"/>
        </w:rPr>
        <w:t>赛前沟通协调阶段（签订合同后 3 个工作日内）：</w:t>
      </w:r>
      <w:r>
        <w:rPr>
          <w:rFonts w:hint="eastAsia" w:ascii="宋体" w:hAnsi="宋体" w:cs="宋体"/>
          <w:b w:val="0"/>
          <w:bCs/>
          <w:color w:val="auto"/>
          <w:kern w:val="0"/>
          <w:sz w:val="24"/>
          <w:szCs w:val="24"/>
          <w:highlight w:val="none"/>
          <w:lang w:val="en-US" w:eastAsia="zh-CN" w:bidi="ar"/>
        </w:rPr>
        <w:t>成交</w:t>
      </w:r>
      <w:r>
        <w:rPr>
          <w:rFonts w:hint="eastAsia" w:ascii="宋体" w:hAnsi="宋体" w:eastAsia="宋体" w:cs="宋体"/>
          <w:b w:val="0"/>
          <w:bCs/>
          <w:color w:val="auto"/>
          <w:kern w:val="0"/>
          <w:sz w:val="24"/>
          <w:szCs w:val="24"/>
          <w:highlight w:val="none"/>
          <w:lang w:val="en-US" w:eastAsia="zh-CN" w:bidi="ar"/>
        </w:rPr>
        <w:t>供应商对接赛事组委会，细化跆拳道赛事专属服务细则、人员配置、器材清单、场地运维方案、应急处置方案，完成全部专项服务方案审核确认。</w:t>
      </w:r>
    </w:p>
    <w:p w14:paraId="17923D0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2.</w:t>
      </w:r>
      <w:r>
        <w:rPr>
          <w:rFonts w:hint="eastAsia" w:ascii="宋体" w:hAnsi="宋体" w:eastAsia="宋体" w:cs="宋体"/>
          <w:b w:val="0"/>
          <w:bCs/>
          <w:color w:val="auto"/>
          <w:kern w:val="0"/>
          <w:sz w:val="24"/>
          <w:szCs w:val="24"/>
          <w:highlight w:val="none"/>
          <w:lang w:val="en-US" w:eastAsia="zh-CN" w:bidi="ar"/>
        </w:rPr>
        <w:t>赛前筹备阶段（赛事开赛 3 日前）：完成赛场氛围搭建、所有专项器材运输安装调试、设备全面检测、工作人员岗前专项培训、物资配齐到位，完成赛前全流程模拟演练，确保各项筹备工作达标就绪。</w:t>
      </w:r>
    </w:p>
    <w:p w14:paraId="7EDC45E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4"/>
          <w:szCs w:val="24"/>
          <w:highlight w:val="none"/>
          <w:lang w:val="en-US" w:eastAsia="zh-CN" w:bidi="ar"/>
        </w:rPr>
        <w:t>赛事执行阶段（赛事全程）：覆盖 9 月 19‑20 日场地适应训练、9 月 21 日 —24 日正式比赛全程，落实赛事运营、技术支撑、场地运维、后勤保障、志愿服务、成绩统计、安全管控等全部服务工作，实时处置各类突发问题，保障赛事平稳运行。</w:t>
      </w:r>
    </w:p>
    <w:p w14:paraId="330EFC0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4.</w:t>
      </w:r>
      <w:r>
        <w:rPr>
          <w:rFonts w:hint="eastAsia" w:ascii="宋体" w:hAnsi="宋体" w:eastAsia="宋体" w:cs="宋体"/>
          <w:b w:val="0"/>
          <w:bCs/>
          <w:color w:val="auto"/>
          <w:kern w:val="0"/>
          <w:sz w:val="24"/>
          <w:szCs w:val="24"/>
          <w:highlight w:val="none"/>
          <w:lang w:val="en-US" w:eastAsia="zh-CN" w:bidi="ar"/>
        </w:rPr>
        <w:t>赛后收尾阶段（赛事结束后 3 个工作日内）：完成场地全面复原、器材拆卸运回、物资清点归档、赛事数据汇总、工作台账整理、费用核对结算、工作总结等全部收尾工作。</w:t>
      </w:r>
    </w:p>
    <w:p w14:paraId="4CF498DE">
      <w:pPr>
        <w:keepNext w:val="0"/>
        <w:keepLines w:val="0"/>
        <w:pageBreakBefore w:val="0"/>
        <w:widowControl/>
        <w:numPr>
          <w:ilvl w:val="0"/>
          <w:numId w:val="7"/>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赛程编排要求</w:t>
      </w:r>
    </w:p>
    <w:p w14:paraId="4A365DFB">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供应商须配合采购人、竞赛技术代表开展赛程编制工作，严格遵循世界跆拳道联合会竞赛规则以及区运会竞赛规程，结合报名参赛人数、级别、赛制编制完整《跆拳道比赛赛程方案》，包含每日竞赛单元、场次排布、检录时间、称重时间、热身安排、休息间隔、颁奖环节时间节点，赛程方案须提交采购人审核，按审核意见修改完善后方可执行。</w:t>
      </w:r>
    </w:p>
    <w:p w14:paraId="09A35E0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1.</w:t>
      </w:r>
      <w:r>
        <w:rPr>
          <w:rFonts w:hint="eastAsia" w:ascii="宋体" w:hAnsi="宋体" w:eastAsia="宋体" w:cs="宋体"/>
          <w:b w:val="0"/>
          <w:bCs/>
          <w:color w:val="auto"/>
          <w:kern w:val="0"/>
          <w:sz w:val="24"/>
          <w:szCs w:val="24"/>
          <w:highlight w:val="none"/>
          <w:lang w:val="en-US" w:eastAsia="zh-CN" w:bidi="ar"/>
        </w:rPr>
        <w:t>合理安排比赛间隔，充分考虑运动员恢复，避免运动员连续高强度上场。</w:t>
      </w:r>
    </w:p>
    <w:p w14:paraId="377D7AA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2.</w:t>
      </w:r>
      <w:r>
        <w:rPr>
          <w:rFonts w:hint="eastAsia" w:ascii="宋体" w:hAnsi="宋体" w:eastAsia="宋体" w:cs="宋体"/>
          <w:b w:val="0"/>
          <w:bCs/>
          <w:color w:val="auto"/>
          <w:kern w:val="0"/>
          <w:sz w:val="24"/>
          <w:szCs w:val="24"/>
          <w:highlight w:val="none"/>
          <w:lang w:val="en-US" w:eastAsia="zh-CN" w:bidi="ar"/>
        </w:rPr>
        <w:t>明确检录、热身、称重、颁奖各环节时间节点。</w:t>
      </w:r>
    </w:p>
    <w:p w14:paraId="5BF5599C">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3.</w:t>
      </w:r>
      <w:r>
        <w:rPr>
          <w:rFonts w:hint="eastAsia" w:ascii="宋体" w:hAnsi="宋体" w:eastAsia="宋体" w:cs="宋体"/>
          <w:b w:val="0"/>
          <w:bCs/>
          <w:color w:val="auto"/>
          <w:kern w:val="0"/>
          <w:sz w:val="24"/>
          <w:szCs w:val="24"/>
          <w:highlight w:val="none"/>
          <w:lang w:val="en-US" w:eastAsia="zh-CN" w:bidi="ar"/>
        </w:rPr>
        <w:t>赛程方案输出秩序册附表，清晰标注场次、台次、时间、参赛人员信息。</w:t>
      </w:r>
    </w:p>
    <w:p w14:paraId="7C7E825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val="0"/>
          <w:bCs/>
          <w:color w:val="auto"/>
          <w:kern w:val="0"/>
          <w:sz w:val="24"/>
          <w:szCs w:val="24"/>
          <w:highlight w:val="none"/>
          <w:lang w:val="en-US" w:eastAsia="zh-CN" w:bidi="ar"/>
        </w:rPr>
        <w:t>4.</w:t>
      </w:r>
      <w:r>
        <w:rPr>
          <w:rFonts w:hint="eastAsia" w:ascii="宋体" w:hAnsi="宋体" w:eastAsia="宋体" w:cs="宋体"/>
          <w:b w:val="0"/>
          <w:bCs/>
          <w:color w:val="auto"/>
          <w:kern w:val="0"/>
          <w:sz w:val="24"/>
          <w:szCs w:val="24"/>
          <w:highlight w:val="none"/>
          <w:lang w:val="en-US" w:eastAsia="zh-CN" w:bidi="ar"/>
        </w:rPr>
        <w:t>现场严格按照审定赛程推进；出现弃权、伤情退赛、场次顺延等突发情况，在技术代表指导下动态调整并做好书面记录。</w:t>
      </w:r>
    </w:p>
    <w:p w14:paraId="3DFB68C1">
      <w:pPr>
        <w:keepNext w:val="0"/>
        <w:keepLines w:val="0"/>
        <w:pageBreakBefore w:val="0"/>
        <w:numPr>
          <w:ilvl w:val="0"/>
          <w:numId w:val="8"/>
        </w:numPr>
        <w:shd w:val="clear"/>
        <w:kinsoku/>
        <w:wordWrap/>
        <w:overflowPunct/>
        <w:topLinePunct w:val="0"/>
        <w:bidi w:val="0"/>
        <w:spacing w:line="440" w:lineRule="exact"/>
        <w:ind w:leftChars="0" w:firstLine="470" w:firstLineChars="200"/>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lang w:val="en-US" w:eastAsia="zh-CN"/>
        </w:rPr>
        <w:t>人员配置要求</w:t>
      </w:r>
    </w:p>
    <w:p w14:paraId="60F441C6">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70" w:firstLineChars="200"/>
        <w:jc w:val="both"/>
        <w:textAlignment w:val="auto"/>
        <w:rPr>
          <w:rFonts w:hint="default" w:ascii="宋体" w:hAnsi="宋体" w:eastAsia="宋体" w:cs="宋体"/>
          <w:b/>
          <w:bCs/>
          <w:color w:val="auto"/>
          <w:spacing w:val="-3"/>
          <w:sz w:val="24"/>
          <w:szCs w:val="24"/>
          <w:highlight w:val="none"/>
          <w:lang w:val="en-US" w:eastAsia="zh-CN"/>
        </w:rPr>
      </w:pPr>
      <w:bookmarkStart w:id="45" w:name="heading_22"/>
      <w:r>
        <w:rPr>
          <w:rFonts w:hint="default" w:ascii="宋体" w:hAnsi="宋体" w:eastAsia="宋体" w:cs="宋体"/>
          <w:b/>
          <w:bCs/>
          <w:color w:val="auto"/>
          <w:spacing w:val="-3"/>
          <w:sz w:val="24"/>
          <w:szCs w:val="24"/>
          <w:highlight w:val="none"/>
          <w:lang w:val="en-US" w:eastAsia="zh-CN"/>
        </w:rPr>
        <w:t>（一）总体要求</w:t>
      </w:r>
      <w:bookmarkEnd w:id="45"/>
    </w:p>
    <w:p w14:paraId="7BFFA904">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1.</w:t>
      </w:r>
      <w:r>
        <w:rPr>
          <w:rFonts w:hint="default" w:ascii="宋体" w:hAnsi="宋体" w:eastAsia="宋体" w:cs="宋体"/>
          <w:b w:val="0"/>
          <w:bCs w:val="0"/>
          <w:color w:val="auto"/>
          <w:spacing w:val="-3"/>
          <w:sz w:val="24"/>
          <w:szCs w:val="24"/>
          <w:highlight w:val="none"/>
          <w:lang w:val="en-US" w:eastAsia="zh-CN"/>
        </w:rPr>
        <w:t>供应商须为本项目配备充足、专业、稳定的赛事服务团队，实行专人负责、统一着装、持证上岗、规范服务，人员数量及资质不得低于本采购需求所列标准。</w:t>
      </w:r>
    </w:p>
    <w:p w14:paraId="46FAC870">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2.</w:t>
      </w:r>
      <w:r>
        <w:rPr>
          <w:rFonts w:hint="default" w:ascii="宋体" w:hAnsi="宋体" w:eastAsia="宋体" w:cs="宋体"/>
          <w:b w:val="0"/>
          <w:bCs w:val="0"/>
          <w:color w:val="auto"/>
          <w:spacing w:val="-3"/>
          <w:sz w:val="24"/>
          <w:szCs w:val="24"/>
          <w:highlight w:val="none"/>
          <w:lang w:val="en-US" w:eastAsia="zh-CN"/>
        </w:rPr>
        <w:t>供应商应于合同签订后 3 个工作日内向采购人提交人员配置方案及人员名册（含姓名、岗位、资质证明等），经采购人审核确认后方可上岗。</w:t>
      </w:r>
    </w:p>
    <w:p w14:paraId="6B4EBF57">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3.</w:t>
      </w:r>
      <w:r>
        <w:rPr>
          <w:rFonts w:hint="default" w:ascii="宋体" w:hAnsi="宋体" w:eastAsia="宋体" w:cs="宋体"/>
          <w:b w:val="0"/>
          <w:bCs w:val="0"/>
          <w:color w:val="auto"/>
          <w:spacing w:val="-3"/>
          <w:sz w:val="24"/>
          <w:szCs w:val="24"/>
          <w:highlight w:val="none"/>
          <w:lang w:val="en-US" w:eastAsia="zh-CN"/>
        </w:rPr>
        <w:t>赛前须组织全体工作人员开展岗前培训，明确岗位职责、服务规范、赛事礼仪、场地动线及应急处置流程；核心岗位人员未经采购人书面同意不得随意调换。</w:t>
      </w:r>
    </w:p>
    <w:p w14:paraId="51E5B394">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4.</w:t>
      </w:r>
      <w:r>
        <w:rPr>
          <w:rFonts w:hint="default" w:ascii="宋体" w:hAnsi="宋体" w:eastAsia="宋体" w:cs="宋体"/>
          <w:b w:val="0"/>
          <w:bCs w:val="0"/>
          <w:color w:val="auto"/>
          <w:spacing w:val="-3"/>
          <w:sz w:val="24"/>
          <w:szCs w:val="24"/>
          <w:highlight w:val="none"/>
          <w:lang w:val="en-US" w:eastAsia="zh-CN"/>
        </w:rPr>
        <w:t>供应商应建立人员管理台账，如实登记各岗位人员考勤、补贴发放情况，接受采购人及监管部门核查，确保人员配置落实到位、补贴发放合规透明。</w:t>
      </w:r>
    </w:p>
    <w:p w14:paraId="740657B5">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70" w:firstLineChars="200"/>
        <w:jc w:val="both"/>
        <w:textAlignment w:val="auto"/>
        <w:rPr>
          <w:rFonts w:hint="default" w:ascii="宋体" w:hAnsi="宋体" w:eastAsia="宋体" w:cs="宋体"/>
          <w:b/>
          <w:bCs/>
          <w:color w:val="auto"/>
          <w:spacing w:val="-3"/>
          <w:sz w:val="24"/>
          <w:szCs w:val="24"/>
          <w:highlight w:val="none"/>
          <w:lang w:val="en-US" w:eastAsia="zh-CN"/>
        </w:rPr>
      </w:pPr>
      <w:bookmarkStart w:id="46" w:name="heading_23"/>
      <w:r>
        <w:rPr>
          <w:rFonts w:hint="default" w:ascii="宋体" w:hAnsi="宋体" w:eastAsia="宋体" w:cs="宋体"/>
          <w:b/>
          <w:bCs/>
          <w:color w:val="auto"/>
          <w:spacing w:val="-3"/>
          <w:sz w:val="24"/>
          <w:szCs w:val="24"/>
          <w:highlight w:val="none"/>
          <w:lang w:val="en-US" w:eastAsia="zh-CN"/>
        </w:rPr>
        <w:t>（二）服务对象以及基本服务人员配置情况</w:t>
      </w:r>
      <w:bookmarkEnd w:id="46"/>
    </w:p>
    <w:p w14:paraId="21C70C12">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default" w:ascii="宋体" w:hAnsi="宋体" w:eastAsia="宋体" w:cs="宋体"/>
          <w:b w:val="0"/>
          <w:bCs w:val="0"/>
          <w:color w:val="auto"/>
          <w:spacing w:val="-3"/>
          <w:sz w:val="24"/>
          <w:szCs w:val="24"/>
          <w:highlight w:val="none"/>
          <w:lang w:val="en-US" w:eastAsia="zh-CN"/>
        </w:rPr>
        <w:t>本项目基本人员配置、食宿费及劳务报酬按下列标准执行，项目履约完成后，住宿费及人员劳务报酬将按照实际参赛 (服务) 人员数量、参赛（服务）天数，实报实销。差旅费参照当地党政机关差旅费管理办法执行。</w:t>
      </w:r>
    </w:p>
    <w:tbl>
      <w:tblPr>
        <w:tblStyle w:val="6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42"/>
        <w:gridCol w:w="1628"/>
        <w:gridCol w:w="1185"/>
        <w:gridCol w:w="1717"/>
        <w:gridCol w:w="1350"/>
        <w:gridCol w:w="1245"/>
        <w:gridCol w:w="1455"/>
      </w:tblGrid>
      <w:tr w14:paraId="36F3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75BFAA8F">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628" w:type="dxa"/>
            <w:tcMar>
              <w:top w:w="60" w:type="dxa"/>
              <w:left w:w="120" w:type="dxa"/>
              <w:bottom w:w="30" w:type="dxa"/>
              <w:right w:w="120" w:type="dxa"/>
            </w:tcMar>
            <w:vAlign w:val="center"/>
          </w:tcPr>
          <w:p w14:paraId="796C0335">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岗位 / 类别</w:t>
            </w:r>
          </w:p>
        </w:tc>
        <w:tc>
          <w:tcPr>
            <w:tcW w:w="1185" w:type="dxa"/>
            <w:tcMar>
              <w:top w:w="60" w:type="dxa"/>
              <w:left w:w="120" w:type="dxa"/>
              <w:bottom w:w="30" w:type="dxa"/>
              <w:right w:w="120" w:type="dxa"/>
            </w:tcMar>
            <w:vAlign w:val="center"/>
          </w:tcPr>
          <w:p w14:paraId="6C889CB9">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人数</w:t>
            </w:r>
          </w:p>
        </w:tc>
        <w:tc>
          <w:tcPr>
            <w:tcW w:w="1717" w:type="dxa"/>
            <w:tcMar>
              <w:top w:w="60" w:type="dxa"/>
              <w:left w:w="120" w:type="dxa"/>
              <w:bottom w:w="30" w:type="dxa"/>
              <w:right w:w="120" w:type="dxa"/>
            </w:tcMar>
            <w:vAlign w:val="center"/>
          </w:tcPr>
          <w:p w14:paraId="595C8606">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预计服务（参赛）周期</w:t>
            </w:r>
          </w:p>
        </w:tc>
        <w:tc>
          <w:tcPr>
            <w:tcW w:w="1350" w:type="dxa"/>
            <w:tcMar>
              <w:top w:w="60" w:type="dxa"/>
              <w:left w:w="120" w:type="dxa"/>
              <w:bottom w:w="30" w:type="dxa"/>
              <w:right w:w="120" w:type="dxa"/>
            </w:tcMar>
            <w:vAlign w:val="center"/>
          </w:tcPr>
          <w:p w14:paraId="3E5796DE">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食宿费标准</w:t>
            </w:r>
          </w:p>
        </w:tc>
        <w:tc>
          <w:tcPr>
            <w:tcW w:w="1245" w:type="dxa"/>
            <w:tcMar>
              <w:top w:w="60" w:type="dxa"/>
              <w:left w:w="120" w:type="dxa"/>
              <w:bottom w:w="30" w:type="dxa"/>
              <w:right w:w="120" w:type="dxa"/>
            </w:tcMar>
            <w:vAlign w:val="center"/>
          </w:tcPr>
          <w:p w14:paraId="598FEB66">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劳务报酬</w:t>
            </w:r>
          </w:p>
        </w:tc>
        <w:tc>
          <w:tcPr>
            <w:tcW w:w="1455" w:type="dxa"/>
            <w:tcMar>
              <w:top w:w="60" w:type="dxa"/>
              <w:left w:w="120" w:type="dxa"/>
              <w:bottom w:w="30" w:type="dxa"/>
              <w:right w:w="120" w:type="dxa"/>
            </w:tcMar>
            <w:vAlign w:val="center"/>
          </w:tcPr>
          <w:p w14:paraId="3D017FEE">
            <w:pPr>
              <w:keepNext w:val="0"/>
              <w:keepLines w:val="0"/>
              <w:suppressLineNumbers w:val="0"/>
              <w:spacing w:before="120" w:beforeAutospacing="0" w:after="120" w:afterAutospacing="0" w:line="288"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3343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2B792F7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8" w:type="dxa"/>
            <w:tcMar>
              <w:top w:w="60" w:type="dxa"/>
              <w:left w:w="120" w:type="dxa"/>
              <w:bottom w:w="30" w:type="dxa"/>
              <w:right w:w="120" w:type="dxa"/>
            </w:tcMar>
            <w:vAlign w:val="center"/>
          </w:tcPr>
          <w:p w14:paraId="3FE877E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参赛领队、教练员、运动员</w:t>
            </w:r>
          </w:p>
        </w:tc>
        <w:tc>
          <w:tcPr>
            <w:tcW w:w="1185" w:type="dxa"/>
            <w:tcMar>
              <w:top w:w="60" w:type="dxa"/>
              <w:left w:w="120" w:type="dxa"/>
              <w:bottom w:w="30" w:type="dxa"/>
              <w:right w:w="120" w:type="dxa"/>
            </w:tcMar>
            <w:vAlign w:val="center"/>
          </w:tcPr>
          <w:p w14:paraId="3F92BF1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330 人</w:t>
            </w:r>
          </w:p>
        </w:tc>
        <w:tc>
          <w:tcPr>
            <w:tcW w:w="1717" w:type="dxa"/>
            <w:tcMar>
              <w:top w:w="60" w:type="dxa"/>
              <w:left w:w="120" w:type="dxa"/>
              <w:bottom w:w="30" w:type="dxa"/>
              <w:right w:w="120" w:type="dxa"/>
            </w:tcMar>
            <w:vAlign w:val="center"/>
          </w:tcPr>
          <w:p w14:paraId="1048AA4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w:t>
            </w:r>
          </w:p>
        </w:tc>
        <w:tc>
          <w:tcPr>
            <w:tcW w:w="1350" w:type="dxa"/>
            <w:tcMar>
              <w:top w:w="60" w:type="dxa"/>
              <w:left w:w="120" w:type="dxa"/>
              <w:bottom w:w="30" w:type="dxa"/>
              <w:right w:w="120" w:type="dxa"/>
            </w:tcMar>
            <w:vAlign w:val="center"/>
          </w:tcPr>
          <w:p w14:paraId="5F53503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230</w:t>
            </w:r>
          </w:p>
        </w:tc>
        <w:tc>
          <w:tcPr>
            <w:tcW w:w="1245" w:type="dxa"/>
            <w:tcMar>
              <w:top w:w="60" w:type="dxa"/>
              <w:left w:w="120" w:type="dxa"/>
              <w:bottom w:w="30" w:type="dxa"/>
              <w:right w:w="120" w:type="dxa"/>
            </w:tcMar>
            <w:vAlign w:val="center"/>
          </w:tcPr>
          <w:p w14:paraId="7C3859A1">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55" w:type="dxa"/>
            <w:tcMar>
              <w:top w:w="60" w:type="dxa"/>
              <w:left w:w="120" w:type="dxa"/>
              <w:bottom w:w="30" w:type="dxa"/>
              <w:right w:w="120" w:type="dxa"/>
            </w:tcMar>
            <w:vAlign w:val="center"/>
          </w:tcPr>
          <w:p w14:paraId="4E49B7B0">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28F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64A44F2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8" w:type="dxa"/>
            <w:tcMar>
              <w:top w:w="60" w:type="dxa"/>
              <w:left w:w="120" w:type="dxa"/>
              <w:bottom w:w="30" w:type="dxa"/>
              <w:right w:w="120" w:type="dxa"/>
            </w:tcMar>
            <w:vAlign w:val="center"/>
          </w:tcPr>
          <w:p w14:paraId="04E7929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技术代表、裁判长</w:t>
            </w:r>
          </w:p>
        </w:tc>
        <w:tc>
          <w:tcPr>
            <w:tcW w:w="1185" w:type="dxa"/>
            <w:tcMar>
              <w:top w:w="60" w:type="dxa"/>
              <w:left w:w="120" w:type="dxa"/>
              <w:bottom w:w="30" w:type="dxa"/>
              <w:right w:w="120" w:type="dxa"/>
            </w:tcMar>
            <w:vAlign w:val="center"/>
          </w:tcPr>
          <w:p w14:paraId="4466545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人</w:t>
            </w:r>
          </w:p>
        </w:tc>
        <w:tc>
          <w:tcPr>
            <w:tcW w:w="1717" w:type="dxa"/>
            <w:tcMar>
              <w:top w:w="60" w:type="dxa"/>
              <w:left w:w="120" w:type="dxa"/>
              <w:bottom w:w="30" w:type="dxa"/>
              <w:right w:w="120" w:type="dxa"/>
            </w:tcMar>
            <w:vAlign w:val="center"/>
          </w:tcPr>
          <w:p w14:paraId="44924DC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6 天</w:t>
            </w:r>
          </w:p>
        </w:tc>
        <w:tc>
          <w:tcPr>
            <w:tcW w:w="1350" w:type="dxa"/>
            <w:tcMar>
              <w:top w:w="60" w:type="dxa"/>
              <w:left w:w="120" w:type="dxa"/>
              <w:bottom w:w="30" w:type="dxa"/>
              <w:right w:w="120" w:type="dxa"/>
            </w:tcMar>
            <w:vAlign w:val="center"/>
          </w:tcPr>
          <w:p w14:paraId="63B8260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w:t>
            </w:r>
          </w:p>
        </w:tc>
        <w:tc>
          <w:tcPr>
            <w:tcW w:w="1245" w:type="dxa"/>
            <w:tcMar>
              <w:top w:w="60" w:type="dxa"/>
              <w:left w:w="120" w:type="dxa"/>
              <w:bottom w:w="30" w:type="dxa"/>
              <w:right w:w="120" w:type="dxa"/>
            </w:tcMar>
            <w:vAlign w:val="center"/>
          </w:tcPr>
          <w:p w14:paraId="4866D11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w:t>
            </w:r>
          </w:p>
        </w:tc>
        <w:tc>
          <w:tcPr>
            <w:tcW w:w="1455" w:type="dxa"/>
            <w:tcMar>
              <w:top w:w="60" w:type="dxa"/>
              <w:left w:w="120" w:type="dxa"/>
              <w:bottom w:w="30" w:type="dxa"/>
              <w:right w:w="120" w:type="dxa"/>
            </w:tcMar>
            <w:vAlign w:val="center"/>
          </w:tcPr>
          <w:p w14:paraId="31997D3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3D25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27D3D47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8" w:type="dxa"/>
            <w:tcMar>
              <w:top w:w="60" w:type="dxa"/>
              <w:left w:w="120" w:type="dxa"/>
              <w:bottom w:w="30" w:type="dxa"/>
              <w:right w:w="120" w:type="dxa"/>
            </w:tcMar>
            <w:vAlign w:val="center"/>
          </w:tcPr>
          <w:p w14:paraId="391D6BF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仲裁委员会、副裁判长、编排记录长</w:t>
            </w:r>
          </w:p>
        </w:tc>
        <w:tc>
          <w:tcPr>
            <w:tcW w:w="1185" w:type="dxa"/>
            <w:tcMar>
              <w:top w:w="60" w:type="dxa"/>
              <w:left w:w="120" w:type="dxa"/>
              <w:bottom w:w="30" w:type="dxa"/>
              <w:right w:w="120" w:type="dxa"/>
            </w:tcMar>
            <w:vAlign w:val="center"/>
          </w:tcPr>
          <w:p w14:paraId="38B472F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人</w:t>
            </w:r>
          </w:p>
        </w:tc>
        <w:tc>
          <w:tcPr>
            <w:tcW w:w="1717" w:type="dxa"/>
            <w:tcMar>
              <w:top w:w="60" w:type="dxa"/>
              <w:left w:w="120" w:type="dxa"/>
              <w:bottom w:w="30" w:type="dxa"/>
              <w:right w:w="120" w:type="dxa"/>
            </w:tcMar>
            <w:vAlign w:val="center"/>
          </w:tcPr>
          <w:p w14:paraId="57C34A9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6 天</w:t>
            </w:r>
          </w:p>
        </w:tc>
        <w:tc>
          <w:tcPr>
            <w:tcW w:w="1350" w:type="dxa"/>
            <w:tcMar>
              <w:top w:w="60" w:type="dxa"/>
              <w:left w:w="120" w:type="dxa"/>
              <w:bottom w:w="30" w:type="dxa"/>
              <w:right w:w="120" w:type="dxa"/>
            </w:tcMar>
            <w:vAlign w:val="center"/>
          </w:tcPr>
          <w:p w14:paraId="0DC808A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350</w:t>
            </w:r>
          </w:p>
        </w:tc>
        <w:tc>
          <w:tcPr>
            <w:tcW w:w="1245" w:type="dxa"/>
            <w:tcMar>
              <w:top w:w="60" w:type="dxa"/>
              <w:left w:w="120" w:type="dxa"/>
              <w:bottom w:w="30" w:type="dxa"/>
              <w:right w:w="120" w:type="dxa"/>
            </w:tcMar>
            <w:vAlign w:val="center"/>
          </w:tcPr>
          <w:p w14:paraId="4952ECF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230</w:t>
            </w:r>
          </w:p>
        </w:tc>
        <w:tc>
          <w:tcPr>
            <w:tcW w:w="1455" w:type="dxa"/>
            <w:tcMar>
              <w:top w:w="60" w:type="dxa"/>
              <w:left w:w="120" w:type="dxa"/>
              <w:bottom w:w="30" w:type="dxa"/>
              <w:right w:w="120" w:type="dxa"/>
            </w:tcMar>
            <w:vAlign w:val="center"/>
          </w:tcPr>
          <w:p w14:paraId="3B31B08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1501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18BE450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628" w:type="dxa"/>
            <w:tcMar>
              <w:top w:w="60" w:type="dxa"/>
              <w:left w:w="120" w:type="dxa"/>
              <w:bottom w:w="30" w:type="dxa"/>
              <w:right w:w="120" w:type="dxa"/>
            </w:tcMar>
            <w:vAlign w:val="center"/>
          </w:tcPr>
          <w:p w14:paraId="09FF4A0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裁判员、编排记录员、检录裁判、体育展示、电子裁判</w:t>
            </w:r>
          </w:p>
        </w:tc>
        <w:tc>
          <w:tcPr>
            <w:tcW w:w="1185" w:type="dxa"/>
            <w:tcMar>
              <w:top w:w="60" w:type="dxa"/>
              <w:left w:w="120" w:type="dxa"/>
              <w:bottom w:w="30" w:type="dxa"/>
              <w:right w:w="120" w:type="dxa"/>
            </w:tcMar>
            <w:vAlign w:val="center"/>
          </w:tcPr>
          <w:p w14:paraId="1ED49FA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人</w:t>
            </w:r>
          </w:p>
        </w:tc>
        <w:tc>
          <w:tcPr>
            <w:tcW w:w="1717" w:type="dxa"/>
            <w:tcMar>
              <w:top w:w="60" w:type="dxa"/>
              <w:left w:w="120" w:type="dxa"/>
              <w:bottom w:w="30" w:type="dxa"/>
              <w:right w:w="120" w:type="dxa"/>
            </w:tcMar>
            <w:vAlign w:val="center"/>
          </w:tcPr>
          <w:p w14:paraId="5FC0B4D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6 天</w:t>
            </w:r>
          </w:p>
        </w:tc>
        <w:tc>
          <w:tcPr>
            <w:tcW w:w="1350" w:type="dxa"/>
            <w:tcMar>
              <w:top w:w="60" w:type="dxa"/>
              <w:left w:w="120" w:type="dxa"/>
              <w:bottom w:w="30" w:type="dxa"/>
              <w:right w:w="120" w:type="dxa"/>
            </w:tcMar>
            <w:vAlign w:val="center"/>
          </w:tcPr>
          <w:p w14:paraId="70CAF871">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245" w:type="dxa"/>
            <w:tcMar>
              <w:top w:w="60" w:type="dxa"/>
              <w:left w:w="120" w:type="dxa"/>
              <w:bottom w:w="30" w:type="dxa"/>
              <w:right w:w="120" w:type="dxa"/>
            </w:tcMar>
            <w:vAlign w:val="center"/>
          </w:tcPr>
          <w:p w14:paraId="0DD23B3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455" w:type="dxa"/>
            <w:tcMar>
              <w:top w:w="60" w:type="dxa"/>
              <w:left w:w="120" w:type="dxa"/>
              <w:bottom w:w="30" w:type="dxa"/>
              <w:right w:w="120" w:type="dxa"/>
            </w:tcMar>
            <w:vAlign w:val="center"/>
          </w:tcPr>
          <w:p w14:paraId="33A9266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51D2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3D1CC8F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28" w:type="dxa"/>
            <w:tcMar>
              <w:top w:w="60" w:type="dxa"/>
              <w:left w:w="120" w:type="dxa"/>
              <w:bottom w:w="30" w:type="dxa"/>
              <w:right w:w="120" w:type="dxa"/>
            </w:tcMar>
            <w:vAlign w:val="center"/>
          </w:tcPr>
          <w:p w14:paraId="16FA36E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兴奋剂检察组组长</w:t>
            </w:r>
          </w:p>
        </w:tc>
        <w:tc>
          <w:tcPr>
            <w:tcW w:w="1185" w:type="dxa"/>
            <w:tcMar>
              <w:top w:w="60" w:type="dxa"/>
              <w:left w:w="120" w:type="dxa"/>
              <w:bottom w:w="30" w:type="dxa"/>
              <w:right w:w="120" w:type="dxa"/>
            </w:tcMar>
            <w:vAlign w:val="center"/>
          </w:tcPr>
          <w:p w14:paraId="2D4A38E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人</w:t>
            </w:r>
          </w:p>
        </w:tc>
        <w:tc>
          <w:tcPr>
            <w:tcW w:w="1717" w:type="dxa"/>
            <w:tcMar>
              <w:top w:w="60" w:type="dxa"/>
              <w:left w:w="120" w:type="dxa"/>
              <w:bottom w:w="30" w:type="dxa"/>
              <w:right w:w="120" w:type="dxa"/>
            </w:tcMar>
            <w:vAlign w:val="center"/>
          </w:tcPr>
          <w:p w14:paraId="79B6F201">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6 天</w:t>
            </w:r>
          </w:p>
        </w:tc>
        <w:tc>
          <w:tcPr>
            <w:tcW w:w="1350" w:type="dxa"/>
            <w:tcMar>
              <w:top w:w="60" w:type="dxa"/>
              <w:left w:w="120" w:type="dxa"/>
              <w:bottom w:w="30" w:type="dxa"/>
              <w:right w:w="120" w:type="dxa"/>
            </w:tcMar>
            <w:vAlign w:val="center"/>
          </w:tcPr>
          <w:p w14:paraId="2F649FB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245" w:type="dxa"/>
            <w:tcMar>
              <w:top w:w="60" w:type="dxa"/>
              <w:left w:w="120" w:type="dxa"/>
              <w:bottom w:w="30" w:type="dxa"/>
              <w:right w:w="120" w:type="dxa"/>
            </w:tcMar>
            <w:vAlign w:val="center"/>
          </w:tcPr>
          <w:p w14:paraId="0B11F8E1">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230</w:t>
            </w:r>
          </w:p>
        </w:tc>
        <w:tc>
          <w:tcPr>
            <w:tcW w:w="1455" w:type="dxa"/>
            <w:tcMar>
              <w:top w:w="60" w:type="dxa"/>
              <w:left w:w="120" w:type="dxa"/>
              <w:bottom w:w="30" w:type="dxa"/>
              <w:right w:w="120" w:type="dxa"/>
            </w:tcMar>
            <w:vAlign w:val="center"/>
          </w:tcPr>
          <w:p w14:paraId="33E0A68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5918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01207DB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628" w:type="dxa"/>
            <w:tcMar>
              <w:top w:w="60" w:type="dxa"/>
              <w:left w:w="120" w:type="dxa"/>
              <w:bottom w:w="30" w:type="dxa"/>
              <w:right w:w="120" w:type="dxa"/>
            </w:tcMar>
            <w:vAlign w:val="center"/>
          </w:tcPr>
          <w:p w14:paraId="6EE68E7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兴奋剂检察组组员</w:t>
            </w:r>
          </w:p>
        </w:tc>
        <w:tc>
          <w:tcPr>
            <w:tcW w:w="1185" w:type="dxa"/>
            <w:tcMar>
              <w:top w:w="60" w:type="dxa"/>
              <w:left w:w="120" w:type="dxa"/>
              <w:bottom w:w="30" w:type="dxa"/>
              <w:right w:w="120" w:type="dxa"/>
            </w:tcMar>
            <w:vAlign w:val="center"/>
          </w:tcPr>
          <w:p w14:paraId="18CCFC2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人</w:t>
            </w:r>
          </w:p>
        </w:tc>
        <w:tc>
          <w:tcPr>
            <w:tcW w:w="1717" w:type="dxa"/>
            <w:tcMar>
              <w:top w:w="60" w:type="dxa"/>
              <w:left w:w="120" w:type="dxa"/>
              <w:bottom w:w="30" w:type="dxa"/>
              <w:right w:w="120" w:type="dxa"/>
            </w:tcMar>
            <w:vAlign w:val="center"/>
          </w:tcPr>
          <w:p w14:paraId="7A220D4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6 天</w:t>
            </w:r>
          </w:p>
        </w:tc>
        <w:tc>
          <w:tcPr>
            <w:tcW w:w="1350" w:type="dxa"/>
            <w:tcMar>
              <w:top w:w="60" w:type="dxa"/>
              <w:left w:w="120" w:type="dxa"/>
              <w:bottom w:w="30" w:type="dxa"/>
              <w:right w:w="120" w:type="dxa"/>
            </w:tcMar>
            <w:vAlign w:val="center"/>
          </w:tcPr>
          <w:p w14:paraId="32FD38D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245" w:type="dxa"/>
            <w:tcMar>
              <w:top w:w="60" w:type="dxa"/>
              <w:left w:w="120" w:type="dxa"/>
              <w:bottom w:w="30" w:type="dxa"/>
              <w:right w:w="120" w:type="dxa"/>
            </w:tcMar>
            <w:vAlign w:val="center"/>
          </w:tcPr>
          <w:p w14:paraId="48F378FE">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1455" w:type="dxa"/>
            <w:tcMar>
              <w:top w:w="60" w:type="dxa"/>
              <w:left w:w="120" w:type="dxa"/>
              <w:bottom w:w="30" w:type="dxa"/>
              <w:right w:w="120" w:type="dxa"/>
            </w:tcMar>
            <w:vAlign w:val="center"/>
          </w:tcPr>
          <w:p w14:paraId="0F5DF2D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36D0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6023A18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28" w:type="dxa"/>
            <w:tcMar>
              <w:top w:w="60" w:type="dxa"/>
              <w:left w:w="120" w:type="dxa"/>
              <w:bottom w:w="30" w:type="dxa"/>
              <w:right w:w="120" w:type="dxa"/>
            </w:tcMar>
            <w:vAlign w:val="center"/>
          </w:tcPr>
          <w:p w14:paraId="4D8EBFD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驻地医生</w:t>
            </w:r>
          </w:p>
        </w:tc>
        <w:tc>
          <w:tcPr>
            <w:tcW w:w="1185" w:type="dxa"/>
            <w:tcMar>
              <w:top w:w="60" w:type="dxa"/>
              <w:left w:w="120" w:type="dxa"/>
              <w:bottom w:w="30" w:type="dxa"/>
              <w:right w:w="120" w:type="dxa"/>
            </w:tcMar>
            <w:vAlign w:val="center"/>
          </w:tcPr>
          <w:p w14:paraId="2746A4E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人</w:t>
            </w:r>
          </w:p>
        </w:tc>
        <w:tc>
          <w:tcPr>
            <w:tcW w:w="1717" w:type="dxa"/>
            <w:tcMar>
              <w:top w:w="60" w:type="dxa"/>
              <w:left w:w="120" w:type="dxa"/>
              <w:bottom w:w="30" w:type="dxa"/>
              <w:right w:w="120" w:type="dxa"/>
            </w:tcMar>
            <w:vAlign w:val="center"/>
          </w:tcPr>
          <w:p w14:paraId="3B5F5DC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食宿 7 天、劳务 7 天</w:t>
            </w:r>
          </w:p>
        </w:tc>
        <w:tc>
          <w:tcPr>
            <w:tcW w:w="1350" w:type="dxa"/>
            <w:tcMar>
              <w:top w:w="60" w:type="dxa"/>
              <w:left w:w="120" w:type="dxa"/>
              <w:bottom w:w="30" w:type="dxa"/>
              <w:right w:w="120" w:type="dxa"/>
            </w:tcMar>
            <w:vAlign w:val="center"/>
          </w:tcPr>
          <w:p w14:paraId="72B34AA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245" w:type="dxa"/>
            <w:tcMar>
              <w:top w:w="60" w:type="dxa"/>
              <w:left w:w="120" w:type="dxa"/>
              <w:bottom w:w="30" w:type="dxa"/>
              <w:right w:w="120" w:type="dxa"/>
            </w:tcMar>
            <w:vAlign w:val="center"/>
          </w:tcPr>
          <w:p w14:paraId="5464E39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455" w:type="dxa"/>
            <w:tcMar>
              <w:top w:w="60" w:type="dxa"/>
              <w:left w:w="120" w:type="dxa"/>
              <w:bottom w:w="30" w:type="dxa"/>
              <w:right w:w="120" w:type="dxa"/>
            </w:tcMar>
            <w:vAlign w:val="center"/>
          </w:tcPr>
          <w:p w14:paraId="6645200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运动队驻地安排 1 名医生值守</w:t>
            </w:r>
          </w:p>
        </w:tc>
      </w:tr>
      <w:tr w14:paraId="5AFF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2172025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28" w:type="dxa"/>
            <w:tcMar>
              <w:top w:w="60" w:type="dxa"/>
              <w:left w:w="120" w:type="dxa"/>
              <w:bottom w:w="30" w:type="dxa"/>
              <w:right w:w="120" w:type="dxa"/>
            </w:tcMar>
            <w:vAlign w:val="center"/>
          </w:tcPr>
          <w:p w14:paraId="40193655">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安保人员、医疗人员</w:t>
            </w:r>
          </w:p>
        </w:tc>
        <w:tc>
          <w:tcPr>
            <w:tcW w:w="1185" w:type="dxa"/>
            <w:tcMar>
              <w:top w:w="60" w:type="dxa"/>
              <w:left w:w="120" w:type="dxa"/>
              <w:bottom w:w="30" w:type="dxa"/>
              <w:right w:w="120" w:type="dxa"/>
            </w:tcMar>
            <w:vAlign w:val="center"/>
          </w:tcPr>
          <w:p w14:paraId="4F004AF1">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人</w:t>
            </w:r>
          </w:p>
        </w:tc>
        <w:tc>
          <w:tcPr>
            <w:tcW w:w="1717" w:type="dxa"/>
            <w:tcMar>
              <w:top w:w="60" w:type="dxa"/>
              <w:left w:w="120" w:type="dxa"/>
              <w:bottom w:w="30" w:type="dxa"/>
              <w:right w:w="120" w:type="dxa"/>
            </w:tcMar>
            <w:vAlign w:val="center"/>
          </w:tcPr>
          <w:p w14:paraId="293966C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天</w:t>
            </w:r>
          </w:p>
        </w:tc>
        <w:tc>
          <w:tcPr>
            <w:tcW w:w="1350" w:type="dxa"/>
            <w:tcMar>
              <w:top w:w="60" w:type="dxa"/>
              <w:left w:w="120" w:type="dxa"/>
              <w:bottom w:w="30" w:type="dxa"/>
              <w:right w:w="120" w:type="dxa"/>
            </w:tcMar>
            <w:vAlign w:val="center"/>
          </w:tcPr>
          <w:p w14:paraId="4B029FB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245" w:type="dxa"/>
            <w:tcMar>
              <w:top w:w="60" w:type="dxa"/>
              <w:left w:w="120" w:type="dxa"/>
              <w:bottom w:w="30" w:type="dxa"/>
              <w:right w:w="120" w:type="dxa"/>
            </w:tcMar>
            <w:vAlign w:val="center"/>
          </w:tcPr>
          <w:p w14:paraId="5B862B3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55" w:type="dxa"/>
            <w:tcMar>
              <w:top w:w="60" w:type="dxa"/>
              <w:left w:w="120" w:type="dxa"/>
              <w:bottom w:w="30" w:type="dxa"/>
              <w:right w:w="120" w:type="dxa"/>
            </w:tcMar>
            <w:vAlign w:val="center"/>
          </w:tcPr>
          <w:p w14:paraId="1737F860">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名安保人员，6 名医务人员</w:t>
            </w:r>
          </w:p>
        </w:tc>
      </w:tr>
      <w:tr w14:paraId="3256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7B40905E">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28" w:type="dxa"/>
            <w:tcMar>
              <w:top w:w="60" w:type="dxa"/>
              <w:left w:w="120" w:type="dxa"/>
              <w:bottom w:w="30" w:type="dxa"/>
              <w:right w:w="120" w:type="dxa"/>
            </w:tcMar>
            <w:vAlign w:val="center"/>
          </w:tcPr>
          <w:p w14:paraId="1FE2527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医疗人员（含救护车 2 台、司机 2 名、医生 2 名、护士 2 名）</w:t>
            </w:r>
          </w:p>
        </w:tc>
        <w:tc>
          <w:tcPr>
            <w:tcW w:w="1185" w:type="dxa"/>
            <w:tcMar>
              <w:top w:w="60" w:type="dxa"/>
              <w:left w:w="120" w:type="dxa"/>
              <w:bottom w:w="30" w:type="dxa"/>
              <w:right w:w="120" w:type="dxa"/>
            </w:tcMar>
            <w:vAlign w:val="center"/>
          </w:tcPr>
          <w:p w14:paraId="7FC08AE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人</w:t>
            </w:r>
          </w:p>
        </w:tc>
        <w:tc>
          <w:tcPr>
            <w:tcW w:w="1717" w:type="dxa"/>
            <w:tcMar>
              <w:top w:w="60" w:type="dxa"/>
              <w:left w:w="120" w:type="dxa"/>
              <w:bottom w:w="30" w:type="dxa"/>
              <w:right w:w="120" w:type="dxa"/>
            </w:tcMar>
            <w:vAlign w:val="center"/>
          </w:tcPr>
          <w:p w14:paraId="3A65BCEE">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天</w:t>
            </w:r>
          </w:p>
        </w:tc>
        <w:tc>
          <w:tcPr>
            <w:tcW w:w="1350" w:type="dxa"/>
            <w:tcMar>
              <w:top w:w="60" w:type="dxa"/>
              <w:left w:w="120" w:type="dxa"/>
              <w:bottom w:w="30" w:type="dxa"/>
              <w:right w:w="120" w:type="dxa"/>
            </w:tcMar>
            <w:vAlign w:val="center"/>
          </w:tcPr>
          <w:p w14:paraId="20542240">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245" w:type="dxa"/>
            <w:tcMar>
              <w:top w:w="60" w:type="dxa"/>
              <w:left w:w="120" w:type="dxa"/>
              <w:bottom w:w="30" w:type="dxa"/>
              <w:right w:w="120" w:type="dxa"/>
            </w:tcMar>
            <w:vAlign w:val="center"/>
          </w:tcPr>
          <w:p w14:paraId="3A92672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2000 元 / 天</w:t>
            </w:r>
          </w:p>
        </w:tc>
        <w:tc>
          <w:tcPr>
            <w:tcW w:w="1455" w:type="dxa"/>
            <w:tcMar>
              <w:top w:w="60" w:type="dxa"/>
              <w:left w:w="120" w:type="dxa"/>
              <w:bottom w:w="30" w:type="dxa"/>
              <w:right w:w="120" w:type="dxa"/>
            </w:tcMar>
            <w:vAlign w:val="center"/>
          </w:tcPr>
          <w:p w14:paraId="002647F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训练赛 1 天，比赛 4 天</w:t>
            </w:r>
          </w:p>
        </w:tc>
      </w:tr>
      <w:tr w14:paraId="13B4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015B3E1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628" w:type="dxa"/>
            <w:tcMar>
              <w:top w:w="60" w:type="dxa"/>
              <w:left w:w="120" w:type="dxa"/>
              <w:bottom w:w="30" w:type="dxa"/>
              <w:right w:w="120" w:type="dxa"/>
            </w:tcMar>
            <w:vAlign w:val="center"/>
          </w:tcPr>
          <w:p w14:paraId="4BF3FEA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安保人员</w:t>
            </w:r>
          </w:p>
        </w:tc>
        <w:tc>
          <w:tcPr>
            <w:tcW w:w="1185" w:type="dxa"/>
            <w:tcMar>
              <w:top w:w="60" w:type="dxa"/>
              <w:left w:w="120" w:type="dxa"/>
              <w:bottom w:w="30" w:type="dxa"/>
              <w:right w:w="120" w:type="dxa"/>
            </w:tcMar>
            <w:vAlign w:val="center"/>
          </w:tcPr>
          <w:p w14:paraId="52DD5D4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人</w:t>
            </w:r>
          </w:p>
        </w:tc>
        <w:tc>
          <w:tcPr>
            <w:tcW w:w="1717" w:type="dxa"/>
            <w:tcMar>
              <w:top w:w="60" w:type="dxa"/>
              <w:left w:w="120" w:type="dxa"/>
              <w:bottom w:w="30" w:type="dxa"/>
              <w:right w:w="120" w:type="dxa"/>
            </w:tcMar>
            <w:vAlign w:val="center"/>
          </w:tcPr>
          <w:p w14:paraId="41DB5C7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天</w:t>
            </w:r>
          </w:p>
        </w:tc>
        <w:tc>
          <w:tcPr>
            <w:tcW w:w="1350" w:type="dxa"/>
            <w:tcMar>
              <w:top w:w="60" w:type="dxa"/>
              <w:left w:w="120" w:type="dxa"/>
              <w:bottom w:w="30" w:type="dxa"/>
              <w:right w:w="120" w:type="dxa"/>
            </w:tcMar>
            <w:vAlign w:val="center"/>
          </w:tcPr>
          <w:p w14:paraId="36BC912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245" w:type="dxa"/>
            <w:tcMar>
              <w:top w:w="60" w:type="dxa"/>
              <w:left w:w="120" w:type="dxa"/>
              <w:bottom w:w="30" w:type="dxa"/>
              <w:right w:w="120" w:type="dxa"/>
            </w:tcMar>
            <w:vAlign w:val="center"/>
          </w:tcPr>
          <w:p w14:paraId="4F0705C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280</w:t>
            </w:r>
          </w:p>
        </w:tc>
        <w:tc>
          <w:tcPr>
            <w:tcW w:w="1455" w:type="dxa"/>
            <w:tcMar>
              <w:top w:w="60" w:type="dxa"/>
              <w:left w:w="120" w:type="dxa"/>
              <w:bottom w:w="30" w:type="dxa"/>
              <w:right w:w="120" w:type="dxa"/>
            </w:tcMar>
            <w:vAlign w:val="center"/>
          </w:tcPr>
          <w:p w14:paraId="17EC3DBE">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0A28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3421197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628" w:type="dxa"/>
            <w:tcMar>
              <w:top w:w="60" w:type="dxa"/>
              <w:left w:w="120" w:type="dxa"/>
              <w:bottom w:w="30" w:type="dxa"/>
              <w:right w:w="120" w:type="dxa"/>
            </w:tcMar>
            <w:vAlign w:val="center"/>
          </w:tcPr>
          <w:p w14:paraId="1F74E37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裁判员（区内、区外）</w:t>
            </w:r>
          </w:p>
        </w:tc>
        <w:tc>
          <w:tcPr>
            <w:tcW w:w="1185" w:type="dxa"/>
            <w:tcMar>
              <w:top w:w="60" w:type="dxa"/>
              <w:left w:w="120" w:type="dxa"/>
              <w:bottom w:w="30" w:type="dxa"/>
              <w:right w:w="120" w:type="dxa"/>
            </w:tcMar>
            <w:vAlign w:val="center"/>
          </w:tcPr>
          <w:p w14:paraId="570EEE4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人</w:t>
            </w:r>
          </w:p>
        </w:tc>
        <w:tc>
          <w:tcPr>
            <w:tcW w:w="1717" w:type="dxa"/>
            <w:tcMar>
              <w:top w:w="60" w:type="dxa"/>
              <w:left w:w="120" w:type="dxa"/>
              <w:bottom w:w="30" w:type="dxa"/>
              <w:right w:w="120" w:type="dxa"/>
            </w:tcMar>
            <w:vAlign w:val="center"/>
          </w:tcPr>
          <w:p w14:paraId="48D1E66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报到离会交通补贴 2 天</w:t>
            </w:r>
          </w:p>
        </w:tc>
        <w:tc>
          <w:tcPr>
            <w:tcW w:w="1350" w:type="dxa"/>
            <w:tcMar>
              <w:top w:w="60" w:type="dxa"/>
              <w:left w:w="120" w:type="dxa"/>
              <w:bottom w:w="30" w:type="dxa"/>
              <w:right w:w="120" w:type="dxa"/>
            </w:tcMar>
            <w:vAlign w:val="center"/>
          </w:tcPr>
          <w:p w14:paraId="2FF817C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5" w:type="dxa"/>
            <w:tcMar>
              <w:top w:w="60" w:type="dxa"/>
              <w:left w:w="120" w:type="dxa"/>
              <w:bottom w:w="30" w:type="dxa"/>
              <w:right w:w="120" w:type="dxa"/>
            </w:tcMar>
            <w:vAlign w:val="center"/>
          </w:tcPr>
          <w:p w14:paraId="3ADF262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55" w:type="dxa"/>
            <w:tcMar>
              <w:top w:w="60" w:type="dxa"/>
              <w:left w:w="120" w:type="dxa"/>
              <w:bottom w:w="30" w:type="dxa"/>
              <w:right w:w="120" w:type="dxa"/>
            </w:tcMar>
            <w:vAlign w:val="center"/>
          </w:tcPr>
          <w:p w14:paraId="67B3D8FE">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含市内交通、异地差旅实报实销</w:t>
            </w:r>
          </w:p>
        </w:tc>
      </w:tr>
      <w:tr w14:paraId="611E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1AB5D24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628" w:type="dxa"/>
            <w:tcMar>
              <w:top w:w="60" w:type="dxa"/>
              <w:left w:w="120" w:type="dxa"/>
              <w:bottom w:w="30" w:type="dxa"/>
              <w:right w:w="120" w:type="dxa"/>
            </w:tcMar>
            <w:vAlign w:val="center"/>
          </w:tcPr>
          <w:p w14:paraId="618C121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赛事志愿者及工作人员</w:t>
            </w:r>
          </w:p>
        </w:tc>
        <w:tc>
          <w:tcPr>
            <w:tcW w:w="1185" w:type="dxa"/>
            <w:tcMar>
              <w:top w:w="60" w:type="dxa"/>
              <w:left w:w="120" w:type="dxa"/>
              <w:bottom w:w="30" w:type="dxa"/>
              <w:right w:w="120" w:type="dxa"/>
            </w:tcMar>
            <w:vAlign w:val="center"/>
          </w:tcPr>
          <w:p w14:paraId="0DED0B9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 人</w:t>
            </w:r>
          </w:p>
        </w:tc>
        <w:tc>
          <w:tcPr>
            <w:tcW w:w="1717" w:type="dxa"/>
            <w:tcMar>
              <w:top w:w="60" w:type="dxa"/>
              <w:left w:w="120" w:type="dxa"/>
              <w:bottom w:w="30" w:type="dxa"/>
              <w:right w:w="120" w:type="dxa"/>
            </w:tcMar>
            <w:vAlign w:val="center"/>
          </w:tcPr>
          <w:p w14:paraId="57CE538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天</w:t>
            </w:r>
          </w:p>
        </w:tc>
        <w:tc>
          <w:tcPr>
            <w:tcW w:w="1350" w:type="dxa"/>
            <w:tcMar>
              <w:top w:w="60" w:type="dxa"/>
              <w:left w:w="120" w:type="dxa"/>
              <w:bottom w:w="30" w:type="dxa"/>
              <w:right w:w="120" w:type="dxa"/>
            </w:tcMar>
            <w:vAlign w:val="center"/>
          </w:tcPr>
          <w:p w14:paraId="2B270F5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245" w:type="dxa"/>
            <w:tcMar>
              <w:top w:w="60" w:type="dxa"/>
              <w:left w:w="120" w:type="dxa"/>
              <w:bottom w:w="30" w:type="dxa"/>
              <w:right w:w="120" w:type="dxa"/>
            </w:tcMar>
            <w:vAlign w:val="center"/>
          </w:tcPr>
          <w:p w14:paraId="33951F4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55" w:type="dxa"/>
            <w:tcMar>
              <w:top w:w="60" w:type="dxa"/>
              <w:left w:w="120" w:type="dxa"/>
              <w:bottom w:w="30" w:type="dxa"/>
              <w:right w:w="120" w:type="dxa"/>
            </w:tcMar>
            <w:vAlign w:val="center"/>
          </w:tcPr>
          <w:p w14:paraId="1DB3B75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含交通、误餐补助</w:t>
            </w:r>
          </w:p>
        </w:tc>
      </w:tr>
      <w:tr w14:paraId="02DE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459EF77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628" w:type="dxa"/>
            <w:tcMar>
              <w:top w:w="60" w:type="dxa"/>
              <w:left w:w="120" w:type="dxa"/>
              <w:bottom w:w="30" w:type="dxa"/>
              <w:right w:w="120" w:type="dxa"/>
            </w:tcMar>
            <w:vAlign w:val="center"/>
          </w:tcPr>
          <w:p w14:paraId="15836CC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礼仪人员</w:t>
            </w:r>
          </w:p>
        </w:tc>
        <w:tc>
          <w:tcPr>
            <w:tcW w:w="1185" w:type="dxa"/>
            <w:tcMar>
              <w:top w:w="60" w:type="dxa"/>
              <w:left w:w="120" w:type="dxa"/>
              <w:bottom w:w="30" w:type="dxa"/>
              <w:right w:w="120" w:type="dxa"/>
            </w:tcMar>
            <w:vAlign w:val="center"/>
          </w:tcPr>
          <w:p w14:paraId="51BB3A6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人</w:t>
            </w:r>
          </w:p>
        </w:tc>
        <w:tc>
          <w:tcPr>
            <w:tcW w:w="1717" w:type="dxa"/>
            <w:tcMar>
              <w:top w:w="60" w:type="dxa"/>
              <w:left w:w="120" w:type="dxa"/>
              <w:bottom w:w="30" w:type="dxa"/>
              <w:right w:w="120" w:type="dxa"/>
            </w:tcMar>
            <w:vAlign w:val="center"/>
          </w:tcPr>
          <w:p w14:paraId="02892688">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天</w:t>
            </w:r>
          </w:p>
        </w:tc>
        <w:tc>
          <w:tcPr>
            <w:tcW w:w="1350" w:type="dxa"/>
            <w:tcMar>
              <w:top w:w="60" w:type="dxa"/>
              <w:left w:w="120" w:type="dxa"/>
              <w:bottom w:w="30" w:type="dxa"/>
              <w:right w:w="120" w:type="dxa"/>
            </w:tcMar>
            <w:vAlign w:val="center"/>
          </w:tcPr>
          <w:p w14:paraId="56A7666A">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5" w:type="dxa"/>
            <w:tcMar>
              <w:top w:w="60" w:type="dxa"/>
              <w:left w:w="120" w:type="dxa"/>
              <w:bottom w:w="30" w:type="dxa"/>
              <w:right w:w="120" w:type="dxa"/>
            </w:tcMar>
            <w:vAlign w:val="center"/>
          </w:tcPr>
          <w:p w14:paraId="5F8DA9C0">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455" w:type="dxa"/>
            <w:tcMar>
              <w:top w:w="60" w:type="dxa"/>
              <w:left w:w="120" w:type="dxa"/>
              <w:bottom w:w="30" w:type="dxa"/>
              <w:right w:w="120" w:type="dxa"/>
            </w:tcMar>
            <w:vAlign w:val="center"/>
          </w:tcPr>
          <w:p w14:paraId="77943544">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彩排、颁奖仪式</w:t>
            </w:r>
          </w:p>
        </w:tc>
      </w:tr>
      <w:tr w14:paraId="22D4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0E5B907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628" w:type="dxa"/>
            <w:tcMar>
              <w:top w:w="60" w:type="dxa"/>
              <w:left w:w="120" w:type="dxa"/>
              <w:bottom w:w="30" w:type="dxa"/>
              <w:right w:w="120" w:type="dxa"/>
            </w:tcMar>
            <w:vAlign w:val="center"/>
          </w:tcPr>
          <w:p w14:paraId="5B47B35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主持人</w:t>
            </w:r>
          </w:p>
        </w:tc>
        <w:tc>
          <w:tcPr>
            <w:tcW w:w="1185" w:type="dxa"/>
            <w:tcMar>
              <w:top w:w="60" w:type="dxa"/>
              <w:left w:w="120" w:type="dxa"/>
              <w:bottom w:w="30" w:type="dxa"/>
              <w:right w:w="120" w:type="dxa"/>
            </w:tcMar>
            <w:vAlign w:val="center"/>
          </w:tcPr>
          <w:p w14:paraId="11928A8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人</w:t>
            </w:r>
          </w:p>
        </w:tc>
        <w:tc>
          <w:tcPr>
            <w:tcW w:w="1717" w:type="dxa"/>
            <w:tcMar>
              <w:top w:w="60" w:type="dxa"/>
              <w:left w:w="120" w:type="dxa"/>
              <w:bottom w:w="30" w:type="dxa"/>
              <w:right w:w="120" w:type="dxa"/>
            </w:tcMar>
            <w:vAlign w:val="center"/>
          </w:tcPr>
          <w:p w14:paraId="17ADEF5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天</w:t>
            </w:r>
          </w:p>
        </w:tc>
        <w:tc>
          <w:tcPr>
            <w:tcW w:w="1350" w:type="dxa"/>
            <w:tcMar>
              <w:top w:w="60" w:type="dxa"/>
              <w:left w:w="120" w:type="dxa"/>
              <w:bottom w:w="30" w:type="dxa"/>
              <w:right w:w="120" w:type="dxa"/>
            </w:tcMar>
            <w:vAlign w:val="center"/>
          </w:tcPr>
          <w:p w14:paraId="0A115963">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5" w:type="dxa"/>
            <w:tcMar>
              <w:top w:w="60" w:type="dxa"/>
              <w:left w:w="120" w:type="dxa"/>
              <w:bottom w:w="30" w:type="dxa"/>
              <w:right w:w="120" w:type="dxa"/>
            </w:tcMar>
            <w:vAlign w:val="center"/>
          </w:tcPr>
          <w:p w14:paraId="4920C11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1455" w:type="dxa"/>
            <w:tcMar>
              <w:top w:w="60" w:type="dxa"/>
              <w:left w:w="120" w:type="dxa"/>
              <w:bottom w:w="30" w:type="dxa"/>
              <w:right w:w="120" w:type="dxa"/>
            </w:tcMar>
            <w:vAlign w:val="center"/>
          </w:tcPr>
          <w:p w14:paraId="218FC4FB">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r w14:paraId="0289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42" w:type="dxa"/>
            <w:tcMar>
              <w:top w:w="60" w:type="dxa"/>
              <w:left w:w="120" w:type="dxa"/>
              <w:bottom w:w="30" w:type="dxa"/>
              <w:right w:w="120" w:type="dxa"/>
            </w:tcMar>
            <w:vAlign w:val="center"/>
          </w:tcPr>
          <w:p w14:paraId="78D90B19">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1628" w:type="dxa"/>
            <w:tcMar>
              <w:top w:w="60" w:type="dxa"/>
              <w:left w:w="120" w:type="dxa"/>
              <w:bottom w:w="30" w:type="dxa"/>
              <w:right w:w="120" w:type="dxa"/>
            </w:tcMar>
            <w:vAlign w:val="center"/>
          </w:tcPr>
          <w:p w14:paraId="07F269C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1185" w:type="dxa"/>
            <w:tcMar>
              <w:top w:w="60" w:type="dxa"/>
              <w:left w:w="120" w:type="dxa"/>
              <w:bottom w:w="30" w:type="dxa"/>
              <w:right w:w="120" w:type="dxa"/>
            </w:tcMar>
            <w:vAlign w:val="center"/>
          </w:tcPr>
          <w:p w14:paraId="55F616D2">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534 人</w:t>
            </w:r>
          </w:p>
        </w:tc>
        <w:tc>
          <w:tcPr>
            <w:tcW w:w="1717" w:type="dxa"/>
            <w:tcMar>
              <w:top w:w="60" w:type="dxa"/>
              <w:left w:w="120" w:type="dxa"/>
              <w:bottom w:w="30" w:type="dxa"/>
              <w:right w:w="120" w:type="dxa"/>
            </w:tcMar>
            <w:vAlign w:val="center"/>
          </w:tcPr>
          <w:p w14:paraId="6D708227">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350" w:type="dxa"/>
            <w:tcMar>
              <w:top w:w="60" w:type="dxa"/>
              <w:left w:w="120" w:type="dxa"/>
              <w:bottom w:w="30" w:type="dxa"/>
              <w:right w:w="120" w:type="dxa"/>
            </w:tcMar>
            <w:vAlign w:val="center"/>
          </w:tcPr>
          <w:p w14:paraId="62613F86">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5" w:type="dxa"/>
            <w:tcMar>
              <w:top w:w="60" w:type="dxa"/>
              <w:left w:w="120" w:type="dxa"/>
              <w:bottom w:w="30" w:type="dxa"/>
              <w:right w:w="120" w:type="dxa"/>
            </w:tcMar>
            <w:vAlign w:val="center"/>
          </w:tcPr>
          <w:p w14:paraId="711CE37C">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455" w:type="dxa"/>
            <w:tcMar>
              <w:top w:w="60" w:type="dxa"/>
              <w:left w:w="120" w:type="dxa"/>
              <w:bottom w:w="30" w:type="dxa"/>
              <w:right w:w="120" w:type="dxa"/>
            </w:tcMar>
            <w:vAlign w:val="center"/>
          </w:tcPr>
          <w:p w14:paraId="00D43C1D">
            <w:pPr>
              <w:keepNext w:val="0"/>
              <w:keepLines w:val="0"/>
              <w:suppressLineNumbers w:val="0"/>
              <w:spacing w:before="120" w:beforeAutospacing="0" w:after="120" w:afterAutospacing="0" w:line="288" w:lineRule="auto"/>
              <w:ind w:left="0" w:right="0"/>
              <w:jc w:val="center"/>
              <w:rPr>
                <w:rFonts w:hint="eastAsia" w:ascii="宋体" w:hAnsi="宋体" w:eastAsia="宋体" w:cs="宋体"/>
                <w:color w:val="auto"/>
                <w:sz w:val="24"/>
                <w:szCs w:val="24"/>
                <w:highlight w:val="none"/>
              </w:rPr>
            </w:pPr>
          </w:p>
        </w:tc>
      </w:tr>
    </w:tbl>
    <w:p w14:paraId="23FBCEBE">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default" w:ascii="宋体" w:hAnsi="宋体" w:eastAsia="宋体" w:cs="宋体"/>
          <w:b w:val="0"/>
          <w:bCs w:val="0"/>
          <w:color w:val="auto"/>
          <w:spacing w:val="-3"/>
          <w:sz w:val="24"/>
          <w:szCs w:val="24"/>
          <w:highlight w:val="none"/>
          <w:lang w:val="en-US" w:eastAsia="zh-CN"/>
        </w:rPr>
        <w:t>注：以上人员配置为本项目最低配置要求，供应商可在不低于上述标准的前提下，根据赛事实际需要优化配置。</w:t>
      </w:r>
    </w:p>
    <w:p w14:paraId="32D48206">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default" w:ascii="宋体" w:hAnsi="宋体" w:eastAsia="宋体" w:cs="宋体"/>
          <w:b w:val="0"/>
          <w:bCs w:val="0"/>
          <w:color w:val="auto"/>
          <w:spacing w:val="-3"/>
          <w:sz w:val="24"/>
          <w:szCs w:val="24"/>
          <w:highlight w:val="none"/>
          <w:lang w:val="en-US" w:eastAsia="zh-CN"/>
        </w:rPr>
        <w:t>根据赛事组织、运营、保障需要，供应商应组建专门的服务团队，在上述基本人员配置的基础上，增设项目负责人以及各专项服务团队负责人岗位。</w:t>
      </w:r>
    </w:p>
    <w:p w14:paraId="5A95BFA5">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1.</w:t>
      </w:r>
      <w:r>
        <w:rPr>
          <w:rFonts w:hint="default" w:ascii="宋体" w:hAnsi="宋体" w:eastAsia="宋体" w:cs="宋体"/>
          <w:b w:val="0"/>
          <w:bCs w:val="0"/>
          <w:color w:val="auto"/>
          <w:spacing w:val="-3"/>
          <w:sz w:val="24"/>
          <w:szCs w:val="24"/>
          <w:highlight w:val="none"/>
          <w:lang w:val="en-US" w:eastAsia="zh-CN"/>
        </w:rPr>
        <w:t>项目负责人：供应商须配备 1 名全职专属项目负责人，赛事全程驻场，全权负责本项目全流程统筹协调、人员调度、问题处置，确保各项工作按要求落地。</w:t>
      </w:r>
    </w:p>
    <w:p w14:paraId="23CF37CE">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68" w:firstLineChars="200"/>
        <w:jc w:val="both"/>
        <w:textAlignment w:val="auto"/>
        <w:rPr>
          <w:rFonts w:hint="default" w:ascii="宋体" w:hAnsi="宋体" w:eastAsia="宋体" w:cs="宋体"/>
          <w:b/>
          <w:bCs/>
          <w:color w:val="auto"/>
          <w:spacing w:val="-3"/>
          <w:sz w:val="24"/>
          <w:szCs w:val="24"/>
          <w:highlight w:val="none"/>
          <w:lang w:val="en-US" w:eastAsia="zh-CN"/>
        </w:rPr>
      </w:pPr>
      <w:r>
        <w:rPr>
          <w:rFonts w:hint="eastAsia" w:ascii="宋体" w:hAnsi="宋体" w:cs="宋体"/>
          <w:b w:val="0"/>
          <w:bCs w:val="0"/>
          <w:color w:val="auto"/>
          <w:spacing w:val="-3"/>
          <w:sz w:val="24"/>
          <w:szCs w:val="24"/>
          <w:highlight w:val="none"/>
          <w:lang w:val="en-US" w:eastAsia="zh-CN"/>
        </w:rPr>
        <w:t>2.</w:t>
      </w:r>
      <w:r>
        <w:rPr>
          <w:rFonts w:hint="default" w:ascii="宋体" w:hAnsi="宋体" w:eastAsia="宋体" w:cs="宋体"/>
          <w:b w:val="0"/>
          <w:bCs w:val="0"/>
          <w:color w:val="auto"/>
          <w:spacing w:val="-3"/>
          <w:sz w:val="24"/>
          <w:szCs w:val="24"/>
          <w:highlight w:val="none"/>
          <w:lang w:val="en-US" w:eastAsia="zh-CN"/>
        </w:rPr>
        <w:t>各专项服务团队负责人：按照运营服务、专业技术服务、场地运维服务、综合赛事保障服务、专业器材与系统租赁运维、成绩辅助统计服务配备各专项服务团队负责人。</w:t>
      </w:r>
    </w:p>
    <w:p w14:paraId="69305D56">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五、商务要求</w:t>
      </w:r>
    </w:p>
    <w:p w14:paraId="059F426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（一）合同签订期：</w:t>
      </w:r>
      <w:r>
        <w:rPr>
          <w:rFonts w:hint="eastAsia" w:ascii="宋体" w:hAnsi="宋体" w:eastAsia="宋体" w:cs="宋体"/>
          <w:b w:val="0"/>
          <w:bCs/>
          <w:color w:val="auto"/>
          <w:kern w:val="0"/>
          <w:sz w:val="24"/>
          <w:szCs w:val="24"/>
          <w:highlight w:val="none"/>
          <w:lang w:val="en-US" w:eastAsia="zh-CN" w:bidi="ar"/>
        </w:rPr>
        <w:t>自成交通知书发出之日起25日内。</w:t>
      </w:r>
    </w:p>
    <w:p w14:paraId="3CEF9CD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bCs w:val="0"/>
          <w:color w:val="auto"/>
          <w:kern w:val="0"/>
          <w:sz w:val="24"/>
          <w:szCs w:val="24"/>
          <w:highlight w:val="none"/>
          <w:lang w:val="en-US" w:eastAsia="zh-CN" w:bidi="ar"/>
        </w:rPr>
        <w:t>（二）合同履行期限：</w:t>
      </w:r>
      <w:r>
        <w:rPr>
          <w:rFonts w:hint="eastAsia" w:ascii="宋体" w:hAnsi="宋体" w:eastAsia="宋体" w:cs="宋体"/>
          <w:b w:val="0"/>
          <w:bCs/>
          <w:color w:val="auto"/>
          <w:kern w:val="0"/>
          <w:sz w:val="24"/>
          <w:szCs w:val="24"/>
          <w:highlight w:val="none"/>
          <w:lang w:val="en-US" w:eastAsia="zh-CN" w:bidi="ar"/>
        </w:rPr>
        <w:t>覆盖赛前2天场地适应训练、正式比赛（9月21日—9月24日，共4天）、赛后3天场地复原全流程，整体服务周期包含赛前筹备、赛中执行、赛后收尾归档全部阶段。合同签订后3个工作日内完成方案细化、人员定岗、器材清单确认、应急方案报备等前期对接工作；赛事开赛3日前完成全部筹备工作；赛事结束后3个工作日内完成全部收尾工作。</w:t>
      </w:r>
    </w:p>
    <w:p w14:paraId="29DBF01D">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val="en-US" w:eastAsia="zh-CN"/>
        </w:rPr>
        <w:t>（三）服务</w:t>
      </w:r>
      <w:r>
        <w:rPr>
          <w:rFonts w:hint="eastAsia" w:ascii="宋体" w:hAnsi="宋体" w:eastAsia="宋体" w:cs="宋体"/>
          <w:b/>
          <w:bCs/>
          <w:color w:val="auto"/>
          <w:spacing w:val="-3"/>
          <w:sz w:val="24"/>
          <w:szCs w:val="24"/>
          <w:highlight w:val="none"/>
        </w:rPr>
        <w:t>地点：</w:t>
      </w:r>
      <w:r>
        <w:rPr>
          <w:rFonts w:hint="eastAsia" w:ascii="宋体" w:hAnsi="宋体" w:cs="宋体"/>
          <w:b w:val="0"/>
          <w:bCs w:val="0"/>
          <w:color w:val="auto"/>
          <w:spacing w:val="-3"/>
          <w:sz w:val="24"/>
          <w:szCs w:val="24"/>
          <w:highlight w:val="none"/>
          <w:lang w:val="en-US" w:eastAsia="zh-CN"/>
        </w:rPr>
        <w:t>北海市体育馆及赛事相关驻地（具体以采购人通知为准）</w:t>
      </w:r>
    </w:p>
    <w:p w14:paraId="6BDD4596">
      <w:pPr>
        <w:keepNext w:val="0"/>
        <w:keepLines w:val="0"/>
        <w:pageBreakBefore w:val="0"/>
        <w:widowControl w:val="0"/>
        <w:numPr>
          <w:ilvl w:val="0"/>
          <w:numId w:val="0"/>
        </w:numPr>
        <w:shd w:val="clear"/>
        <w:kinsoku/>
        <w:wordWrap/>
        <w:overflowPunct/>
        <w:topLinePunct w:val="0"/>
        <w:autoSpaceDE/>
        <w:autoSpaceDN/>
        <w:bidi w:val="0"/>
        <w:adjustRightInd w:val="0"/>
        <w:snapToGrid/>
        <w:spacing w:line="440" w:lineRule="exact"/>
        <w:ind w:firstLine="470" w:firstLineChars="200"/>
        <w:jc w:val="both"/>
        <w:textAlignment w:val="auto"/>
        <w:rPr>
          <w:rFonts w:hint="default" w:ascii="宋体" w:hAnsi="宋体" w:eastAsia="宋体" w:cs="宋体"/>
          <w:b w:val="0"/>
          <w:bCs w:val="0"/>
          <w:color w:val="auto"/>
          <w:spacing w:val="-3"/>
          <w:sz w:val="24"/>
          <w:szCs w:val="24"/>
          <w:highlight w:val="none"/>
          <w:lang w:val="en-US" w:eastAsia="zh-CN"/>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四</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r>
        <w:rPr>
          <w:rFonts w:hint="eastAsia" w:ascii="宋体" w:hAnsi="宋体" w:eastAsia="宋体" w:cs="宋体"/>
          <w:b w:val="0"/>
          <w:bCs/>
          <w:color w:val="auto"/>
          <w:kern w:val="0"/>
          <w:sz w:val="24"/>
          <w:szCs w:val="24"/>
          <w:highlight w:val="none"/>
          <w:lang w:val="en-US" w:eastAsia="zh-CN" w:bidi="ar"/>
        </w:rPr>
        <w:t>报价为全包价，包含人员食宿、劳务补贴、交通接驳、场地搭建、水电运维、器材租赁、计分系统运维、后勤物资、志愿服务、保险、税费、反兴奋剂配套、赛事礼仪主持等全部履约费用，采购人不另行支付任何新增费用。</w:t>
      </w:r>
      <w:r>
        <w:rPr>
          <w:rFonts w:ascii="宋体" w:hAnsi="宋体" w:eastAsia="宋体" w:cs="宋体"/>
          <w:color w:val="auto"/>
          <w:sz w:val="24"/>
          <w:szCs w:val="24"/>
          <w:highlight w:val="none"/>
        </w:rPr>
        <w:t>本项目人员食宿、劳务报酬、差旅费用按照实际参赛及服务人员数量、实际服务天数据实结算。报价中人员相关费用为预估测算，实际未发生的人员食宿、劳务、差旅等费用，采购人在项目结算时直接予以扣减，不予支付未实际产生的对应费用。</w:t>
      </w:r>
    </w:p>
    <w:p w14:paraId="0879985D">
      <w:pPr>
        <w:keepNext w:val="0"/>
        <w:keepLines w:val="0"/>
        <w:pageBreakBefore w:val="0"/>
        <w:shd w:val="clear"/>
        <w:kinsoku/>
        <w:wordWrap/>
        <w:overflowPunct/>
        <w:topLinePunct w:val="0"/>
        <w:bidi w:val="0"/>
        <w:spacing w:line="440" w:lineRule="exact"/>
        <w:ind w:leftChars="0"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（五）付款方式</w:t>
      </w:r>
    </w:p>
    <w:p w14:paraId="1CF1837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签订合同后，五个工作日内支付</w:t>
      </w:r>
      <w:r>
        <w:rPr>
          <w:rFonts w:hint="eastAsia" w:ascii="宋体" w:hAnsi="宋体" w:cs="宋体"/>
          <w:b w:val="0"/>
          <w:bCs/>
          <w:color w:val="auto"/>
          <w:kern w:val="0"/>
          <w:sz w:val="24"/>
          <w:szCs w:val="24"/>
          <w:highlight w:val="none"/>
          <w:lang w:val="en-US" w:eastAsia="zh-CN" w:bidi="ar"/>
        </w:rPr>
        <w:t>合同金额的30%</w:t>
      </w:r>
      <w:r>
        <w:rPr>
          <w:rFonts w:hint="eastAsia" w:ascii="宋体" w:hAnsi="宋体" w:eastAsia="宋体" w:cs="宋体"/>
          <w:b w:val="0"/>
          <w:bCs/>
          <w:color w:val="auto"/>
          <w:kern w:val="0"/>
          <w:sz w:val="24"/>
          <w:szCs w:val="24"/>
          <w:highlight w:val="none"/>
          <w:lang w:val="en-US" w:eastAsia="zh-CN" w:bidi="ar"/>
        </w:rPr>
        <w:t>，履约完成并通过验收，支付合同余款。本项目使用财政资金，所有资金的支付以财政资金</w:t>
      </w:r>
      <w:r>
        <w:rPr>
          <w:rFonts w:hint="eastAsia" w:ascii="宋体" w:hAnsi="宋体" w:cs="宋体"/>
          <w:b w:val="0"/>
          <w:bCs/>
          <w:color w:val="auto"/>
          <w:kern w:val="0"/>
          <w:sz w:val="24"/>
          <w:szCs w:val="24"/>
          <w:highlight w:val="none"/>
          <w:lang w:val="en-US" w:eastAsia="zh-CN" w:bidi="ar"/>
        </w:rPr>
        <w:t>拨付</w:t>
      </w:r>
      <w:r>
        <w:rPr>
          <w:rFonts w:hint="eastAsia" w:ascii="宋体" w:hAnsi="宋体" w:eastAsia="宋体" w:cs="宋体"/>
          <w:b w:val="0"/>
          <w:bCs/>
          <w:color w:val="auto"/>
          <w:kern w:val="0"/>
          <w:sz w:val="24"/>
          <w:szCs w:val="24"/>
          <w:highlight w:val="none"/>
          <w:lang w:val="en-US" w:eastAsia="zh-CN" w:bidi="ar"/>
        </w:rPr>
        <w:t>到位为准。</w:t>
      </w:r>
    </w:p>
    <w:p w14:paraId="2F28C4B0">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验收标准</w:t>
      </w:r>
    </w:p>
    <w:p w14:paraId="701FBAA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验收组织：由赛事组委会办公室牵头，联合竞赛组织小组及采购人组成联合验收小组，对项目履约情况开展全流程验收。</w:t>
      </w:r>
    </w:p>
    <w:p w14:paraId="3180D9E8">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分阶段验收：</w:t>
      </w:r>
    </w:p>
    <w:p w14:paraId="61A19BB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赛前验收：赛事开赛3日前，验收小组对场地搭建、器材进场安装调试、设备校准检测、人员到岗培训、物资配齐、应急预案等筹备工作进行逐项核查，形成赛前验收记录，未达标项限期整改，整改合格后方可开赛。</w:t>
      </w:r>
    </w:p>
    <w:p w14:paraId="3A48109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（2）赛中抽检：比赛期间实行每日服务抽检考核机制，对场地运维、人员服务、设备运行、后勤保障、安全管控、技术支撑等工作开展常态化抽查，发现问题立即督促限期整改，压实服务商履约责任。</w:t>
      </w:r>
    </w:p>
    <w:p w14:paraId="0A45232F">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（3）赛后总验收：赛事结束后3个工作日内，验收小组对照采购需求、合同约定及赛事专项标准，对服务全覆盖、质量全达标、资料全归档、场地全复原等情况开展综合验收，形成验收报告。</w:t>
      </w:r>
    </w:p>
    <w:p w14:paraId="0168C632">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分项验收标准：</w:t>
      </w:r>
    </w:p>
    <w:p w14:paraId="7E99791B">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场地器材验收：格斗垫尺寸（12000mm×12000mm×25mm）、三色分区、拼接稳固性符合标准；比赛高台、防撞围挡、功能分区布设规范；全部租赁器材数量、型号、技术参数与采购需求一致，赛前校准检测合格，赛中运行无故障，赛后完好清点回收率100%。</w:t>
      </w:r>
    </w:p>
    <w:p w14:paraId="3C8CF06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人员到岗验收：项目负责人全程驻场，专项团队按核心运营、技术保障、场地运维、志愿服务、后勤保障模块配齐到位；不少于30名志愿者全员到岗并完成岗前培训考核；各级裁判、技术、医疗、安保人员按标准足额配置，无脱岗、缺岗情况。</w:t>
      </w:r>
    </w:p>
    <w:p w14:paraId="176CF71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服务质量验收：食宿保障严格执行统一标准，运动员食宿满足专业赛事反兴奋剂要求，无食品安全事故；接驳大巴车辆证照齐全（含《道路运输证》）、准时准点，无交通延误；医疗安保全程在岗，急救通道畅通，无安全事故；颁奖仪式规范庄重。</w:t>
      </w:r>
    </w:p>
    <w:p w14:paraId="7E90318A">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技术系统验收：电子计分系统、成绩处理系统、大屏公示、≥3套录像审议系统全程稳定运行，数据实时精准、无卡顿、无错漏、无丢失；赛事影像完整覆盖赛前训练及全部正式比赛，可随时回放拷贝；设备故障响应不超过1小时、维修更换不超过2小时。</w:t>
      </w:r>
    </w:p>
    <w:p w14:paraId="15928A39">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赛事流程验收：称重、抽签、检录、比赛、成绩公示、申诉仲裁、颁奖等各环节流程规范、衔接顺畅；称重2小时内完成，检录提前30分钟启动，成绩当场公示，申诉按规定时限处理，无流程遗漏、无重大执裁失误。</w:t>
      </w:r>
    </w:p>
    <w:p w14:paraId="62A57C4E">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（6）资料归档验收：赛事台账、数据报表、影像资料、申诉记录、方案总结、物资台账、劳务台账、反兴奋剂工作台账等全套资料完整、规范、真实，分类汇编成册，赛后按时移交采购人存档。</w:t>
      </w:r>
    </w:p>
    <w:p w14:paraId="3B84DA53">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验收结果处理：验收合格的，出具验收合格报告，按合同约定办理结算；验收不合格的，责令限期整改，整改后重新验收，整改仍不达标的，不予结算并依法追究服务商履约违约责任。验收全程公开透明，主动接受财政审计及社会监督。</w:t>
      </w:r>
    </w:p>
    <w:p w14:paraId="3C5D7597">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bookmarkStart w:id="47" w:name="_Toc20242"/>
      <w:r>
        <w:rPr>
          <w:rFonts w:hint="eastAsia"/>
          <w:b/>
          <w:bCs/>
          <w:color w:val="auto"/>
          <w:sz w:val="24"/>
          <w:szCs w:val="24"/>
          <w:highlight w:val="none"/>
          <w:lang w:val="en-US" w:eastAsia="zh-CN"/>
        </w:rPr>
        <w:t>服务承诺与履约保障</w:t>
      </w:r>
    </w:p>
    <w:p w14:paraId="3C21484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全程履约保障：供应商应配备专项保障人员，赛事期间实行24小时专人值守对接，实时响应组委会、参赛队伍、裁判组各类服务及技术需求，快速处置设备故障、系统异常、服务漏洞及赛场突发安全、服务问题。</w:t>
      </w:r>
    </w:p>
    <w:p w14:paraId="7919A36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质量质保服务：赛事所有器材、计时计分显示设备、技术系统均提供全程赛事质保服务；设备故障1小时内响应、2小时内完成维修更换，确保不影响赛事正常赛程推进，保障赛事计分、公示、执裁工作不间断。</w:t>
      </w:r>
    </w:p>
    <w:p w14:paraId="6A32415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售后兜底保障：赛事结束后，统一配合组委会及场地运营单位完成赛事资料归档、数据汇总、经费核对、验收结算、场地复原交接等工作；对履约过程中出现的服务瑕疵、技术问题、质量问题无条件限期整改完善，确保全面履约达标，顺利通过整体验收。</w:t>
      </w:r>
    </w:p>
    <w:p w14:paraId="78AB053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投诉处理：建立赛事服务投诉受理处理机制，明确投诉受理渠道和处理时限，对参赛队伍、裁判组及采购人反映的问题及时响应、限时办结。</w:t>
      </w:r>
    </w:p>
    <w:p w14:paraId="6DEA8D9F">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保密要求</w:t>
      </w:r>
    </w:p>
    <w:p w14:paraId="5A2CEA8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供应商对在采购及履约过程中知悉的采购人、赛事组委会及相关单位的未公开信息、赛事数据、人员信息等负有保密义务，未经采购人书面同意不得向第三方披露或用于本项目以外的用途。</w:t>
      </w:r>
    </w:p>
    <w:p w14:paraId="3B5204A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赛事成绩数据、影像资料等赛事资料的存储、使用、移交须符合采购人要求，赛事结束后按规定完成资料归档移交。</w:t>
      </w:r>
    </w:p>
    <w:p w14:paraId="5ADC543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保密义务不因合同终止而终止。</w:t>
      </w:r>
    </w:p>
    <w:p w14:paraId="70623027">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知识产权</w:t>
      </w:r>
    </w:p>
    <w:p w14:paraId="3F31844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供应商为本项目提供的赛事数据、成绩统计成果及相关档案资料，其知识产权及使用权归采购人所有（或按合同约定执行）。</w:t>
      </w:r>
    </w:p>
    <w:p w14:paraId="63706D7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供应商使用的软件系统、器材设备等涉及第三方知识产权的，供应商应保证其有权使用，并负责处理相关知识产权纠纷，不得因此影响赛事正常开展。</w:t>
      </w:r>
    </w:p>
    <w:p w14:paraId="53F119CF">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保险要求</w:t>
      </w:r>
    </w:p>
    <w:p w14:paraId="0FB8CDF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供应商应按照本采购需求及合同约定统一购置全覆盖赛事保险，保障赛事全程参赛人员、工作人员、志愿者人身安全，覆盖赛前训练、正式比赛全周期；保险方案及投保情况须报采购人备案确认。</w:t>
      </w:r>
    </w:p>
    <w:p w14:paraId="68AE7042">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廉洁要求</w:t>
      </w:r>
    </w:p>
    <w:p w14:paraId="1008A80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供应商及其工作人员在采购及履约过程中应严格遵守廉洁自律有关规定，不得向采购人及相关工作人员行贿或提供不正当利益；发现违规违纪行为的，采购人有权解除合同并按规定处理。</w:t>
      </w:r>
    </w:p>
    <w:p w14:paraId="431E124F">
      <w:pPr>
        <w:keepNext w:val="0"/>
        <w:keepLines w:val="0"/>
        <w:pageBreakBefore w:val="0"/>
        <w:numPr>
          <w:ilvl w:val="0"/>
          <w:numId w:val="9"/>
        </w:numPr>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其他要求</w:t>
      </w:r>
    </w:p>
    <w:p w14:paraId="0DE472C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供应商应服从采购人（组委会）统一领导、统一调度，配合竞赛组织小组、财政、审计等部门的全流程监督管理，主动接受监督、审计和社会监督。</w:t>
      </w:r>
    </w:p>
    <w:p w14:paraId="7245DE3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采购人建立常态化服务抽检机制，赛事期间每日对场地运维、人员服务、设备系统运行、后勤保障、志愿服务、安全管控、医疗应急等工作进行抽查考核，供应商应无条件配合并按要求整改。</w:t>
      </w:r>
    </w:p>
    <w:p w14:paraId="0171F99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供应商应制定完善的赛事应急预案（含安全、医疗、设备故障、突发天气、舆情等），报采购人审核备案，并在赛事期间组织实施。</w:t>
      </w:r>
    </w:p>
    <w:p w14:paraId="7B6AFCA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本章节所有技术要求、商务要求均为实质性要求，供应商需完全响应，无负偏离，否则视为未实质性响应采购文件要求，响应无效。</w:t>
      </w:r>
    </w:p>
    <w:p w14:paraId="7D8A5419">
      <w:pPr>
        <w:keepNext w:val="0"/>
        <w:keepLines w:val="0"/>
        <w:pageBreakBefore w:val="0"/>
        <w:shd w:val="clear"/>
        <w:kinsoku/>
        <w:wordWrap/>
        <w:overflowPunct/>
        <w:topLinePunct w:val="0"/>
        <w:bidi w:val="0"/>
        <w:spacing w:line="440" w:lineRule="exact"/>
        <w:ind w:leftChars="0" w:firstLine="723" w:firstLineChars="20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br w:type="page"/>
      </w:r>
    </w:p>
    <w:p w14:paraId="4A380574">
      <w:pPr>
        <w:shd w:val="clea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48" w:name="第四部分"/>
      <w:r>
        <w:rPr>
          <w:rFonts w:hint="eastAsia" w:cs="仿宋_GB2312" w:asciiTheme="minorEastAsia" w:hAnsiTheme="minorEastAsia" w:eastAsiaTheme="minorEastAsia"/>
          <w:b/>
          <w:color w:val="auto"/>
          <w:sz w:val="36"/>
          <w:szCs w:val="36"/>
          <w:highlight w:val="none"/>
        </w:rPr>
        <w:t>评审方法及评审标准</w:t>
      </w:r>
      <w:bookmarkEnd w:id="47"/>
    </w:p>
    <w:p w14:paraId="23107771">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hd w:val="clea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shd w:val="clear"/>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shd w:val="clear"/>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hd w:val="clea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7"/>
        <w:gridCol w:w="6786"/>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75D7B4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5" w:type="pct"/>
            <w:vAlign w:val="center"/>
          </w:tcPr>
          <w:p w14:paraId="0B2546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30907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5" w:type="pct"/>
            <w:vAlign w:val="top"/>
          </w:tcPr>
          <w:p w14:paraId="2A58285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价格分：</w:t>
            </w:r>
          </w:p>
          <w:p w14:paraId="7E459912">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（1）评审价为供应商的最后报价，最终成交供应商的成交金额等于最后报价（如有修正，以确认修正后的最后报价为准）。</w:t>
            </w:r>
          </w:p>
          <w:p w14:paraId="442024EA">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）有效磋商报价的最低价作为评标基准价，其最低报价为满分；按［磋商报价得分=（磋商基准价/磋商报价）*10］的计算公式计算。</w:t>
            </w:r>
          </w:p>
          <w:p w14:paraId="522D6A4E">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1116DB3C">
            <w:pPr>
              <w:pStyle w:val="38"/>
              <w:keepNext w:val="0"/>
              <w:keepLines w:val="0"/>
              <w:widowControl w:val="0"/>
              <w:suppressLineNumbers w:val="0"/>
              <w:spacing w:before="0" w:beforeAutospacing="0" w:after="0" w:afterAutospacing="0" w:line="400" w:lineRule="exact"/>
              <w:ind w:left="0" w:right="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）异常低价审查处理</w:t>
            </w:r>
          </w:p>
          <w:p w14:paraId="1752F3E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064CD69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5" w:type="pct"/>
            <w:vAlign w:val="center"/>
          </w:tcPr>
          <w:p w14:paraId="608F2DB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0" w:type="pct"/>
            <w:vAlign w:val="center"/>
          </w:tcPr>
          <w:p w14:paraId="0E3D758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5" w:type="pct"/>
            <w:vAlign w:val="center"/>
          </w:tcPr>
          <w:p w14:paraId="737545C4">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目赛事实际情况，提供完整的服务方案总体框架，涵盖项目概况、组织架构、服务流程、质量管控、风险防范、赛后总结六大核心模块；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三档（5分）：供应商仅提供笼统的服务方案框架，核心模块不完整；服务流程节点关键环节缺失；质量管控措施笼统，缺乏可量化指标；方案落地性不足。</w:t>
            </w:r>
          </w:p>
          <w:p w14:paraId="3EA7B3BE">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7046EBE">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5" w:type="pct"/>
            <w:vAlign w:val="center"/>
          </w:tcPr>
          <w:p w14:paraId="1AC4A1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赛事提供详尽竞赛组织方案：赛程编排科学合理，明确各类型赛事编排、抽签与评分规则，包含各阶段的组织实施安排，对赛事场地布置、器材设备配置、赛事工作人员分工等内容规划清晰，明确各岗位职责与工作要求，能够保障赛事全程平稳有序开展。</w:t>
            </w:r>
          </w:p>
          <w:p w14:paraId="496E9AC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赛事提供了竞赛组织方案：赛程编排合理，明确赛事编排、抽签与评分规则；开颁奖仪式方案较完整，基本满足仪式的议程设计要求；成绩统计公示流程清晰，能保障结果准确及时；方案整体完整可操作，能够满足赛事组织基本需求。</w:t>
            </w:r>
          </w:p>
          <w:p w14:paraId="774C14F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4AED1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5" w:type="pct"/>
            <w:vAlign w:val="center"/>
          </w:tcPr>
          <w:p w14:paraId="52C8949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B0F310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5" w:type="pct"/>
            <w:vAlign w:val="center"/>
          </w:tcPr>
          <w:p w14:paraId="168963A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一档（10分）：供应商针对本项目</w:t>
            </w:r>
            <w:r>
              <w:rPr>
                <w:rFonts w:hint="eastAsia" w:ascii="宋体" w:hAnsi="宋体" w:cs="宋体"/>
                <w:b w:val="0"/>
                <w:bCs/>
                <w:color w:val="auto"/>
                <w:sz w:val="24"/>
                <w:szCs w:val="24"/>
                <w:highlight w:val="none"/>
                <w:lang w:val="en-US" w:eastAsia="zh-CN" w:bidi="ar"/>
              </w:rPr>
              <w:t>赛事</w:t>
            </w:r>
            <w:r>
              <w:rPr>
                <w:rFonts w:hint="eastAsia" w:ascii="宋体" w:hAnsi="宋体" w:eastAsia="宋体" w:cs="宋体"/>
                <w:b w:val="0"/>
                <w:bCs/>
                <w:color w:val="auto"/>
                <w:sz w:val="24"/>
                <w:szCs w:val="24"/>
                <w:highlight w:val="none"/>
                <w:lang w:val="en-US" w:eastAsia="zh-CN" w:bidi="ar"/>
              </w:rPr>
              <w:t>提供全面的物资与后勤保障方案。场地搭建与氛围布置方案详细，</w:t>
            </w:r>
            <w:r>
              <w:rPr>
                <w:rFonts w:hint="eastAsia" w:ascii="宋体" w:hAnsi="宋体" w:cs="宋体"/>
                <w:b w:val="0"/>
                <w:bCs/>
                <w:color w:val="auto"/>
                <w:sz w:val="24"/>
                <w:szCs w:val="24"/>
                <w:highlight w:val="none"/>
                <w:lang w:val="en-US" w:eastAsia="zh-CN" w:bidi="ar"/>
              </w:rPr>
              <w:t>提供了初步的物料设计样式和赛场布置设计图，</w:t>
            </w:r>
            <w:r>
              <w:rPr>
                <w:rFonts w:hint="eastAsia" w:ascii="宋体" w:hAnsi="宋体" w:eastAsia="宋体" w:cs="宋体"/>
                <w:b w:val="0"/>
                <w:bCs/>
                <w:color w:val="auto"/>
                <w:sz w:val="24"/>
                <w:szCs w:val="24"/>
                <w:highlight w:val="none"/>
                <w:lang w:val="en-US" w:eastAsia="zh-CN" w:bidi="ar"/>
              </w:rPr>
              <w:t>物料清单完整，含主背景板、签到区、成绩公告栏、功能分区指引、赛事主题装饰等，明确搭建进度计划与安全标准；竞赛器材与设备保障充足，提供完整器材清单</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szCs w:val="24"/>
                <w:highlight w:val="none"/>
              </w:rPr>
              <w:t>配套采购的消耗品</w:t>
            </w:r>
            <w:r>
              <w:rPr>
                <w:rFonts w:hint="eastAsia" w:ascii="宋体" w:hAnsi="宋体" w:eastAsia="宋体" w:cs="宋体"/>
                <w:b w:val="0"/>
                <w:bCs/>
                <w:color w:val="auto"/>
                <w:sz w:val="24"/>
                <w:szCs w:val="24"/>
                <w:highlight w:val="none"/>
                <w:lang w:val="en-US" w:eastAsia="zh-CN" w:bidi="ar"/>
              </w:rPr>
              <w:t>，明确器材规格标准、数量、品牌，建立设备故障应急替换机制；食宿交通保障方案细致，提供详细的食宿交通安排计划；志愿服务保障方案完善；方案整体物资齐全、保障到位，完全满足赛事后勤需求。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w:t>
            </w:r>
            <w:r>
              <w:rPr>
                <w:rFonts w:hint="eastAsia" w:ascii="宋体" w:hAnsi="宋体" w:cs="宋体"/>
                <w:b w:val="0"/>
                <w:bCs/>
                <w:color w:val="auto"/>
                <w:sz w:val="24"/>
                <w:szCs w:val="24"/>
                <w:highlight w:val="none"/>
                <w:lang w:val="en-US" w:eastAsia="zh-CN" w:bidi="ar"/>
              </w:rPr>
              <w:t>设计</w:t>
            </w:r>
            <w:r>
              <w:rPr>
                <w:rFonts w:hint="eastAsia" w:ascii="宋体" w:hAnsi="宋体" w:eastAsia="宋体" w:cs="宋体"/>
                <w:b w:val="0"/>
                <w:bCs/>
                <w:color w:val="auto"/>
                <w:sz w:val="24"/>
                <w:szCs w:val="24"/>
                <w:highlight w:val="none"/>
                <w:lang w:val="en-US" w:eastAsia="zh-CN" w:bidi="ar"/>
              </w:rPr>
              <w:t>方案；提供了竞赛器材与设备有基本清单但未能完全覆盖赛事需求；食宿交通有基本安排；志愿服务保障方案不够完善；方案整体较完整，能满足赛事基本后勤保障需求，但部分内容细化不足。</w:t>
            </w:r>
          </w:p>
          <w:p w14:paraId="1D89CB9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color w:val="auto"/>
                <w:highlight w:val="none"/>
              </w:rPr>
            </w:pPr>
            <w:r>
              <w:rPr>
                <w:rFonts w:hint="eastAsia" w:ascii="宋体" w:hAnsi="宋体" w:cs="宋体"/>
                <w:b w:val="0"/>
                <w:bCs/>
                <w:color w:val="auto"/>
                <w:sz w:val="24"/>
                <w:szCs w:val="24"/>
                <w:highlight w:val="none"/>
                <w:lang w:val="en-US" w:eastAsia="zh-CN" w:bidi="ar"/>
              </w:rPr>
              <w:t>三</w:t>
            </w:r>
            <w:r>
              <w:rPr>
                <w:rFonts w:hint="eastAsia" w:ascii="宋体" w:hAnsi="宋体" w:eastAsia="宋体" w:cs="宋体"/>
                <w:b w:val="0"/>
                <w:bCs/>
                <w:color w:val="auto"/>
                <w:sz w:val="24"/>
                <w:szCs w:val="24"/>
                <w:highlight w:val="none"/>
                <w:lang w:val="en-US" w:eastAsia="zh-CN" w:bidi="ar"/>
              </w:rPr>
              <w:t>档（4分）：供应商仅提供笼统的物资与后勤保障方案，场地搭建物料较少；竞赛器材清单不完整，无明确的应急替换机制；食宿交通安排模糊；志愿服务岗位设置不足；方案落地性不足。</w:t>
            </w:r>
          </w:p>
          <w:p w14:paraId="27866FC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0A8448F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5" w:type="pct"/>
            <w:vAlign w:val="center"/>
          </w:tcPr>
          <w:p w14:paraId="229C6E1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岗位；提供了各项赛事服务保障承诺，至少包含：驻场服务承诺明确项目负责人及核心团队全程驻场（赛事期间全时段在岗），沟通响应承诺明确响应时效（设备及系统故障30分钟内响应、1小时内完成维修或更换；一般服务问题10分钟内响应、1小时内给出解决方案）；各项承诺具体可落地、可核查，完全匹配本项目服务保障要求。</w:t>
            </w:r>
          </w:p>
          <w:p w14:paraId="7B19543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二档（7分）：供应商配置了基本服务团队，提出了常规服务保障承诺，包括基本的响应时效（设备及系统故障40分钟内响应、1.5 小时内完成维修或更换；一般服务问题 30 分钟内响应、1.5小时内给出解决方案）、驻场安排等；可满足项目基本服务保障需求，但针对性保障措施不够细化，承诺条款不够具体。</w:t>
            </w:r>
          </w:p>
          <w:p w14:paraId="0220167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仅提出笼统的服务保障承诺，未明确团队配置及专项保障措施，包括基本的响应时效（设备及系统故障 1 小时内响应、2 小时内完成维修或更换；一般服务问题 30 分钟内响应、2 小时内给出解决方案）、驻场安排，落地性不足。</w:t>
            </w:r>
          </w:p>
          <w:p w14:paraId="007ABA3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937709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4C2544DA">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针对本项目编制完整详细的人员分工方案，岗位设置完整</w:t>
            </w:r>
            <w:r>
              <w:rPr>
                <w:rFonts w:hint="eastAsia" w:ascii="宋体" w:hAnsi="宋体" w:cs="宋体"/>
                <w:color w:val="auto"/>
                <w:sz w:val="24"/>
                <w:szCs w:val="24"/>
                <w:highlight w:val="none"/>
                <w:lang w:eastAsia="zh-CN"/>
              </w:rPr>
              <w:t>赛事</w:t>
            </w:r>
            <w:r>
              <w:rPr>
                <w:rFonts w:hint="default" w:ascii="宋体" w:hAnsi="宋体" w:eastAsia="宋体" w:cs="宋体"/>
                <w:color w:val="auto"/>
                <w:sz w:val="24"/>
                <w:szCs w:val="24"/>
                <w:highlight w:val="none"/>
              </w:rPr>
              <w:t>全部岗位需求</w:t>
            </w:r>
            <w:r>
              <w:rPr>
                <w:rFonts w:hint="eastAsia" w:ascii="宋体" w:hAnsi="宋体" w:cs="宋体"/>
                <w:color w:val="auto"/>
                <w:sz w:val="24"/>
                <w:szCs w:val="24"/>
                <w:highlight w:val="none"/>
                <w:lang w:eastAsia="zh-CN"/>
              </w:rPr>
              <w:t>，</w:t>
            </w:r>
            <w:r>
              <w:rPr>
                <w:rFonts w:hint="eastAsia" w:ascii="宋体" w:hAnsi="宋体" w:eastAsia="宋体" w:cs="宋体"/>
                <w:b w:val="0"/>
                <w:bCs/>
                <w:color w:val="auto"/>
                <w:kern w:val="0"/>
                <w:sz w:val="24"/>
                <w:szCs w:val="24"/>
                <w:highlight w:val="none"/>
                <w:lang w:val="en-US" w:eastAsia="zh-CN" w:bidi="ar"/>
              </w:rPr>
              <w:t>专项团队按核心运营、技术保障、场地运维、志愿服务、后勤保障模块配齐到位</w:t>
            </w:r>
            <w:r>
              <w:rPr>
                <w:rFonts w:hint="default" w:ascii="宋体" w:hAnsi="宋体" w:eastAsia="宋体" w:cs="宋体"/>
                <w:color w:val="auto"/>
                <w:sz w:val="24"/>
                <w:szCs w:val="24"/>
                <w:highlight w:val="none"/>
              </w:rPr>
              <w:t>，岗位职责清晰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项目负责人及专职竞赛负责人总人数达到10人及以上的</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color w:val="auto"/>
                <w:kern w:val="0"/>
                <w:sz w:val="24"/>
                <w:szCs w:val="24"/>
                <w:highlight w:val="none"/>
                <w:lang w:val="en-US" w:eastAsia="zh-CN" w:bidi="ar"/>
              </w:rPr>
              <w:t>专项团队按核心运营、技术保障、场地运维、志愿服务、后勤保障模块</w:t>
            </w:r>
            <w:r>
              <w:rPr>
                <w:rFonts w:hint="eastAsia" w:ascii="宋体" w:hAnsi="宋体" w:cs="宋体"/>
                <w:b w:val="0"/>
                <w:bCs/>
                <w:color w:val="auto"/>
                <w:kern w:val="0"/>
                <w:sz w:val="24"/>
                <w:szCs w:val="24"/>
                <w:highlight w:val="none"/>
                <w:lang w:val="en-US" w:eastAsia="zh-CN" w:bidi="ar"/>
              </w:rPr>
              <w:t>分配，</w:t>
            </w:r>
            <w:r>
              <w:rPr>
                <w:rFonts w:hint="eastAsia" w:ascii="宋体" w:hAnsi="宋体" w:cs="宋体"/>
                <w:color w:val="auto"/>
                <w:sz w:val="24"/>
                <w:szCs w:val="24"/>
                <w:highlight w:val="none"/>
                <w:lang w:val="en-US" w:eastAsia="zh-CN"/>
              </w:rPr>
              <w:t>项目负责人及专职竞赛负责人总人数达到8人</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50B61C57">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w:t>
            </w:r>
            <w:r>
              <w:rPr>
                <w:rFonts w:hint="eastAsia" w:cs="宋体"/>
                <w:color w:val="auto"/>
                <w:sz w:val="24"/>
                <w:szCs w:val="24"/>
                <w:highlight w:val="none"/>
                <w:lang w:val="en-US" w:eastAsia="zh-CN"/>
              </w:rPr>
              <w:t>5</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p w14:paraId="4ABFEEB6">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注：以上人员均需在响应文件中提供身份证、劳动合同以及相关证书（如有）复印件并加盖单位公章，否则不予计分。</w:t>
            </w:r>
          </w:p>
        </w:tc>
        <w:tc>
          <w:tcPr>
            <w:tcW w:w="439" w:type="pct"/>
            <w:vAlign w:val="center"/>
          </w:tcPr>
          <w:p w14:paraId="44BC82D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450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E8544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lang w:val="en-US" w:eastAsia="zh-CN"/>
              </w:rPr>
            </w:pPr>
            <w:r>
              <w:rPr>
                <w:rFonts w:hint="eastAsia" w:ascii="宋体" w:hAnsi="宋体" w:cs="宋体"/>
                <w:b/>
                <w:bCs/>
                <w:color w:val="auto"/>
                <w:kern w:val="0"/>
                <w:sz w:val="24"/>
                <w:szCs w:val="24"/>
                <w:highlight w:val="none"/>
              </w:rPr>
              <w:t>3</w:t>
            </w:r>
          </w:p>
        </w:tc>
        <w:tc>
          <w:tcPr>
            <w:tcW w:w="564" w:type="pct"/>
            <w:vAlign w:val="center"/>
          </w:tcPr>
          <w:p w14:paraId="74EB33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2"/>
                <w:sz w:val="24"/>
                <w:szCs w:val="24"/>
                <w:highlight w:val="none"/>
                <w:lang w:val="en-US" w:eastAsia="zh-CN" w:bidi="ar"/>
              </w:rPr>
            </w:pP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p>
        </w:tc>
        <w:tc>
          <w:tcPr>
            <w:tcW w:w="3655" w:type="pct"/>
            <w:vAlign w:val="center"/>
          </w:tcPr>
          <w:p w14:paraId="22C3579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color w:val="auto"/>
                <w:kern w:val="0"/>
                <w:sz w:val="24"/>
                <w:szCs w:val="24"/>
                <w:highlight w:val="none"/>
              </w:rPr>
              <w:t>评审因素</w:t>
            </w:r>
          </w:p>
        </w:tc>
        <w:tc>
          <w:tcPr>
            <w:tcW w:w="439" w:type="pct"/>
            <w:vAlign w:val="center"/>
          </w:tcPr>
          <w:p w14:paraId="581512B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lang w:val="en-US" w:eastAsia="zh-CN"/>
              </w:rPr>
            </w:pPr>
            <w:r>
              <w:rPr>
                <w:rFonts w:hint="eastAsia" w:ascii="宋体" w:hAnsi="宋体" w:cs="宋体"/>
                <w:b/>
                <w:color w:val="auto"/>
                <w:kern w:val="0"/>
                <w:sz w:val="24"/>
                <w:szCs w:val="24"/>
                <w:highlight w:val="none"/>
              </w:rPr>
              <w:t>分值</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1A462A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19A0C2AA">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 1 月 1 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技术分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商务分</w:t>
            </w:r>
          </w:p>
        </w:tc>
        <w:tc>
          <w:tcPr>
            <w:tcW w:w="439" w:type="pct"/>
            <w:vAlign w:val="center"/>
          </w:tcPr>
          <w:p w14:paraId="0BB6A80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262E92C2">
      <w:pPr>
        <w:shd w:val="clear"/>
        <w:rPr>
          <w:color w:val="auto"/>
          <w:highlight w:val="none"/>
        </w:rPr>
      </w:pPr>
    </w:p>
    <w:p w14:paraId="3FFFD5D0">
      <w:pPr>
        <w:shd w:val="clear"/>
        <w:rPr>
          <w:color w:val="auto"/>
          <w:highlight w:val="none"/>
        </w:rPr>
      </w:pPr>
    </w:p>
    <w:p w14:paraId="1AAD3CB3">
      <w:pPr>
        <w:shd w:val="clea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1EE71239">
      <w:pPr>
        <w:rPr>
          <w:rFonts w:hint="eastAsia" w:cs="仿宋_GB2312" w:asciiTheme="minorEastAsia" w:hAnsiTheme="minorEastAsia" w:eastAsiaTheme="minorEastAsia"/>
          <w:b/>
          <w:color w:val="auto"/>
          <w:sz w:val="36"/>
          <w:szCs w:val="36"/>
          <w:highlight w:val="none"/>
        </w:rPr>
      </w:pPr>
      <w:bookmarkStart w:id="49" w:name="_Toc12398"/>
      <w:r>
        <w:rPr>
          <w:rFonts w:hint="eastAsia" w:cs="仿宋_GB2312" w:asciiTheme="minorEastAsia" w:hAnsiTheme="minorEastAsia" w:eastAsiaTheme="minorEastAsia"/>
          <w:b/>
          <w:color w:val="auto"/>
          <w:sz w:val="36"/>
          <w:szCs w:val="36"/>
          <w:highlight w:val="none"/>
        </w:rPr>
        <w:br w:type="page"/>
      </w:r>
    </w:p>
    <w:p w14:paraId="441C4DF9">
      <w:pPr>
        <w:shd w:val="clea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48"/>
      <w:r>
        <w:rPr>
          <w:rFonts w:hint="eastAsia" w:cs="仿宋_GB2312" w:asciiTheme="minorEastAsia" w:hAnsiTheme="minorEastAsia" w:eastAsiaTheme="minorEastAsia"/>
          <w:b/>
          <w:color w:val="auto"/>
          <w:sz w:val="36"/>
          <w:szCs w:val="36"/>
          <w:highlight w:val="none"/>
        </w:rPr>
        <w:t xml:space="preserve">  拟签订的合同文本</w:t>
      </w:r>
      <w:bookmarkEnd w:id="49"/>
    </w:p>
    <w:p w14:paraId="75003C06">
      <w:pPr>
        <w:pStyle w:val="32"/>
        <w:shd w:val="clear"/>
        <w:spacing w:line="360" w:lineRule="auto"/>
        <w:jc w:val="center"/>
        <w:rPr>
          <w:rFonts w:hint="eastAsia" w:ascii="宋体" w:hAnsi="宋体" w:eastAsia="宋体" w:cs="宋体"/>
          <w:b/>
          <w:color w:val="auto"/>
          <w:sz w:val="52"/>
          <w:szCs w:val="52"/>
          <w:highlight w:val="none"/>
        </w:rPr>
      </w:pPr>
      <w:bookmarkStart w:id="50" w:name="第五部分"/>
      <w:bookmarkStart w:id="51" w:name="_Toc86217003"/>
    </w:p>
    <w:p w14:paraId="0275B7B0">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shd w:val="clear"/>
        <w:ind w:firstLine="2843" w:firstLineChars="1180"/>
        <w:rPr>
          <w:rFonts w:ascii="宋体" w:hAnsi="宋体" w:cs="宋体"/>
          <w:b/>
          <w:color w:val="auto"/>
          <w:szCs w:val="24"/>
          <w:highlight w:val="none"/>
        </w:rPr>
      </w:pPr>
    </w:p>
    <w:p w14:paraId="56FC545B">
      <w:pPr>
        <w:pStyle w:val="24"/>
        <w:shd w:val="clear"/>
        <w:spacing w:after="120"/>
        <w:rPr>
          <w:color w:val="auto"/>
          <w:highlight w:val="none"/>
        </w:rPr>
      </w:pPr>
    </w:p>
    <w:p w14:paraId="22B3C01B">
      <w:pPr>
        <w:pStyle w:val="24"/>
        <w:shd w:val="clear"/>
        <w:spacing w:after="120"/>
        <w:rPr>
          <w:color w:val="auto"/>
          <w:highlight w:val="none"/>
        </w:rPr>
      </w:pPr>
    </w:p>
    <w:p w14:paraId="28E23EBB">
      <w:pPr>
        <w:pStyle w:val="24"/>
        <w:shd w:val="clear"/>
        <w:spacing w:after="120"/>
        <w:rPr>
          <w:color w:val="auto"/>
          <w:highlight w:val="none"/>
        </w:rPr>
      </w:pPr>
    </w:p>
    <w:p w14:paraId="38259424">
      <w:pPr>
        <w:pStyle w:val="24"/>
        <w:shd w:val="clear"/>
        <w:spacing w:after="120"/>
        <w:rPr>
          <w:color w:val="auto"/>
          <w:highlight w:val="none"/>
        </w:rPr>
      </w:pPr>
    </w:p>
    <w:p w14:paraId="613D1E37">
      <w:pPr>
        <w:shd w:val="clea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shd w:val="clea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shd w:val="clea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shd w:val="clear"/>
        <w:rPr>
          <w:color w:val="auto"/>
          <w:sz w:val="21"/>
          <w:szCs w:val="21"/>
          <w:highlight w:val="none"/>
        </w:rPr>
      </w:pPr>
    </w:p>
    <w:p w14:paraId="1906EB27">
      <w:pPr>
        <w:pStyle w:val="633"/>
        <w:shd w:val="clear"/>
        <w:rPr>
          <w:color w:val="auto"/>
          <w:sz w:val="21"/>
          <w:szCs w:val="21"/>
          <w:highlight w:val="none"/>
        </w:rPr>
      </w:pPr>
    </w:p>
    <w:p w14:paraId="47CAE107">
      <w:pPr>
        <w:pStyle w:val="633"/>
        <w:shd w:val="clear"/>
        <w:rPr>
          <w:color w:val="auto"/>
          <w:sz w:val="21"/>
          <w:szCs w:val="21"/>
          <w:highlight w:val="none"/>
        </w:rPr>
      </w:pPr>
    </w:p>
    <w:p w14:paraId="51E234E2">
      <w:pPr>
        <w:pStyle w:val="633"/>
        <w:shd w:val="clear"/>
        <w:rPr>
          <w:color w:val="auto"/>
          <w:sz w:val="21"/>
          <w:szCs w:val="21"/>
          <w:highlight w:val="none"/>
        </w:rPr>
      </w:pPr>
    </w:p>
    <w:p w14:paraId="3D186CB7">
      <w:pPr>
        <w:pStyle w:val="633"/>
        <w:shd w:val="clear"/>
        <w:jc w:val="center"/>
        <w:rPr>
          <w:rFonts w:ascii="宋体" w:hAnsi="宋体" w:cs="宋体"/>
          <w:b/>
          <w:color w:val="auto"/>
          <w:sz w:val="24"/>
          <w:szCs w:val="24"/>
          <w:highlight w:val="none"/>
        </w:rPr>
      </w:pPr>
      <w:r>
        <w:rPr>
          <w:color w:val="auto"/>
          <w:sz w:val="21"/>
          <w:szCs w:val="21"/>
          <w:highlight w:val="none"/>
        </w:rPr>
        <w:br w:type="page"/>
      </w:r>
      <w:bookmarkStart w:id="52" w:name="_Toc22209"/>
      <w:r>
        <w:rPr>
          <w:rFonts w:hint="eastAsia" w:ascii="宋体" w:hAnsi="宋体"/>
          <w:b/>
          <w:color w:val="auto"/>
          <w:sz w:val="24"/>
          <w:szCs w:val="24"/>
          <w:highlight w:val="none"/>
        </w:rPr>
        <w:t>第一节 政府采购合同协议书</w:t>
      </w:r>
      <w:bookmarkEnd w:id="52"/>
    </w:p>
    <w:p w14:paraId="465CE70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广西壮族自治区第十六届运动会竞技体育项目（跆拳道）竞赛服务</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标供应商名称）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hd w:val="clear"/>
        <w:spacing w:line="360" w:lineRule="auto"/>
        <w:ind w:firstLine="482" w:firstLineChars="200"/>
        <w:rPr>
          <w:rFonts w:ascii="宋体" w:hAnsi="宋体"/>
          <w:color w:val="auto"/>
          <w:sz w:val="24"/>
          <w:szCs w:val="24"/>
          <w:highlight w:val="none"/>
        </w:rPr>
      </w:pPr>
      <w:bookmarkStart w:id="53" w:name="_Toc15367"/>
      <w:bookmarkStart w:id="54" w:name="_Toc19273"/>
      <w:bookmarkStart w:id="55" w:name="_Toc20421"/>
      <w:bookmarkStart w:id="56" w:name="_Toc22967"/>
      <w:bookmarkStart w:id="57" w:name="_Toc28855"/>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53"/>
      <w:bookmarkEnd w:id="54"/>
      <w:bookmarkEnd w:id="55"/>
      <w:bookmarkEnd w:id="56"/>
      <w:bookmarkEnd w:id="57"/>
    </w:p>
    <w:p w14:paraId="28B60A5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hd w:val="clear"/>
        <w:spacing w:line="360" w:lineRule="auto"/>
        <w:ind w:firstLine="482" w:firstLineChars="200"/>
        <w:rPr>
          <w:rFonts w:ascii="宋体" w:hAnsi="宋体"/>
          <w:b/>
          <w:color w:val="auto"/>
          <w:sz w:val="24"/>
          <w:szCs w:val="24"/>
          <w:highlight w:val="none"/>
        </w:rPr>
      </w:pPr>
      <w:bookmarkStart w:id="58" w:name="_Toc22185"/>
      <w:bookmarkStart w:id="59" w:name="_Toc2918"/>
      <w:bookmarkStart w:id="60" w:name="_Toc18585"/>
      <w:bookmarkStart w:id="61" w:name="_Toc6773"/>
      <w:bookmarkStart w:id="62" w:name="_Toc6311"/>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58"/>
      <w:bookmarkEnd w:id="59"/>
      <w:bookmarkEnd w:id="60"/>
      <w:bookmarkEnd w:id="61"/>
      <w:bookmarkEnd w:id="62"/>
    </w:p>
    <w:p w14:paraId="3BCFFD45">
      <w:pPr>
        <w:shd w:val="clea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hd w:val="clea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hd w:val="clea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hd w:val="clea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hd w:val="clea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63" w:name="_Toc5635"/>
      <w:bookmarkStart w:id="64" w:name="_Toc4929"/>
      <w:bookmarkStart w:id="65" w:name="_Toc1386"/>
      <w:bookmarkStart w:id="66" w:name="_Toc13918"/>
      <w:bookmarkStart w:id="67" w:name="_Toc21124"/>
    </w:p>
    <w:p w14:paraId="4D9C4241">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63"/>
      <w:bookmarkEnd w:id="64"/>
      <w:bookmarkEnd w:id="65"/>
      <w:bookmarkEnd w:id="66"/>
      <w:bookmarkEnd w:id="67"/>
    </w:p>
    <w:p w14:paraId="3DFD5F3C">
      <w:pPr>
        <w:shd w:val="clea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hd w:val="clear"/>
        <w:spacing w:line="360" w:lineRule="auto"/>
        <w:ind w:firstLine="480" w:firstLineChars="200"/>
        <w:rPr>
          <w:rFonts w:ascii="宋体" w:hAnsi="宋体"/>
          <w:color w:val="auto"/>
          <w:sz w:val="24"/>
          <w:szCs w:val="24"/>
          <w:highlight w:val="none"/>
        </w:rPr>
      </w:pPr>
      <w:bookmarkStart w:id="68" w:name="_Toc26916"/>
      <w:bookmarkStart w:id="69" w:name="_Toc30506"/>
      <w:bookmarkStart w:id="70" w:name="_Toc30158"/>
      <w:bookmarkStart w:id="71" w:name="_Toc3654"/>
      <w:bookmarkStart w:id="72" w:name="_Toc14993"/>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p>
    <w:p w14:paraId="436DC59C">
      <w:pPr>
        <w:pStyle w:val="633"/>
        <w:shd w:val="clear"/>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68"/>
    <w:bookmarkEnd w:id="69"/>
    <w:bookmarkEnd w:id="70"/>
    <w:bookmarkEnd w:id="71"/>
    <w:bookmarkEnd w:id="72"/>
    <w:p w14:paraId="15AAE660">
      <w:pPr>
        <w:pStyle w:val="631"/>
        <w:shd w:val="clear"/>
        <w:spacing w:before="0" w:beforeAutospacing="0" w:after="0" w:afterAutospacing="0" w:line="360" w:lineRule="auto"/>
        <w:ind w:firstLine="480"/>
        <w:rPr>
          <w:b/>
          <w:color w:val="auto"/>
          <w:sz w:val="24"/>
          <w:szCs w:val="24"/>
          <w:highlight w:val="none"/>
        </w:rPr>
      </w:pPr>
      <w:bookmarkStart w:id="73" w:name="_Toc1814"/>
      <w:bookmarkStart w:id="74" w:name="_Toc22618"/>
      <w:bookmarkStart w:id="75" w:name="_Toc10340"/>
      <w:bookmarkStart w:id="76" w:name="_Toc3625"/>
      <w:bookmarkStart w:id="77" w:name="_Toc4760"/>
      <w:bookmarkStart w:id="78" w:name="_Toc31421"/>
      <w:bookmarkStart w:id="79" w:name="_Toc11108"/>
      <w:bookmarkStart w:id="80" w:name="_Toc8772"/>
      <w:r>
        <w:rPr>
          <w:rFonts w:hint="eastAsia"/>
          <w:b/>
          <w:color w:val="auto"/>
          <w:sz w:val="24"/>
          <w:szCs w:val="24"/>
          <w:highlight w:val="none"/>
        </w:rPr>
        <w:t>1.4履约保证金</w:t>
      </w:r>
    </w:p>
    <w:p w14:paraId="76C80FD0">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hd w:val="clear"/>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hd w:val="clea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73"/>
      <w:bookmarkEnd w:id="74"/>
      <w:bookmarkEnd w:id="75"/>
      <w:r>
        <w:rPr>
          <w:rFonts w:hint="eastAsia" w:ascii="宋体" w:hAnsi="宋体" w:cs="宋体"/>
          <w:b/>
          <w:color w:val="auto"/>
          <w:sz w:val="24"/>
          <w:szCs w:val="24"/>
          <w:highlight w:val="none"/>
        </w:rPr>
        <w:t>预付款</w:t>
      </w:r>
    </w:p>
    <w:p w14:paraId="2CFDE6B9">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hd w:val="clea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hd w:val="clear"/>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hd w:val="clear"/>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76"/>
      <w:bookmarkEnd w:id="77"/>
      <w:bookmarkEnd w:id="78"/>
      <w:bookmarkEnd w:id="79"/>
      <w:bookmarkEnd w:id="80"/>
    </w:p>
    <w:p w14:paraId="0E24FAF1">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hd w:val="clear"/>
        <w:spacing w:line="360" w:lineRule="auto"/>
        <w:ind w:firstLine="482" w:firstLineChars="200"/>
        <w:rPr>
          <w:rFonts w:ascii="宋体" w:hAnsi="宋体"/>
          <w:color w:val="auto"/>
          <w:sz w:val="24"/>
          <w:szCs w:val="24"/>
          <w:highlight w:val="none"/>
          <w:u w:val="single"/>
        </w:rPr>
      </w:pPr>
      <w:bookmarkStart w:id="81" w:name="_Toc3079"/>
      <w:bookmarkStart w:id="82" w:name="_Toc2375"/>
      <w:bookmarkStart w:id="83" w:name="_Toc24662"/>
      <w:bookmarkStart w:id="84" w:name="_Toc8586"/>
      <w:bookmarkStart w:id="85" w:name="_Toc5698"/>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81"/>
      <w:bookmarkEnd w:id="82"/>
      <w:bookmarkEnd w:id="83"/>
      <w:bookmarkEnd w:id="84"/>
      <w:bookmarkEnd w:id="85"/>
    </w:p>
    <w:p w14:paraId="5E49671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6AF7413D">
      <w:pPr>
        <w:pStyle w:val="633"/>
        <w:shd w:val="clear"/>
        <w:rPr>
          <w:rFonts w:hint="eastAsia" w:eastAsia="宋体"/>
          <w:b/>
          <w:bCs/>
          <w:color w:val="auto"/>
          <w:sz w:val="24"/>
          <w:szCs w:val="24"/>
          <w:highlight w:val="none"/>
          <w:lang w:val="en-US" w:eastAsia="zh-CN"/>
        </w:rPr>
      </w:pPr>
      <w:bookmarkStart w:id="86" w:name="OLE_LINK2"/>
      <w:bookmarkStart w:id="87" w:name="_Toc9497"/>
      <w:bookmarkStart w:id="88" w:name="_Toc18683"/>
      <w:bookmarkStart w:id="89" w:name="_Toc32454"/>
      <w:bookmarkStart w:id="90" w:name="_Toc30329"/>
      <w:bookmarkStart w:id="91" w:name="_Toc26807"/>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w:t>
      </w:r>
      <w:r>
        <w:rPr>
          <w:rFonts w:hint="eastAsia"/>
          <w:color w:val="auto"/>
          <w:sz w:val="24"/>
          <w:szCs w:val="24"/>
          <w:highlight w:val="none"/>
          <w:u w:val="single"/>
          <w:lang w:val="en-US" w:eastAsia="zh-CN"/>
        </w:rPr>
        <w:t xml:space="preserve">2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%；迟延交付货物的违约金计算数额达到前述最高限额之日起，甲方有权在要求乙方支付违约金的同时，书面通知乙方解除本合同</w:t>
      </w:r>
      <w:r>
        <w:rPr>
          <w:rFonts w:hint="eastAsia"/>
          <w:color w:val="auto"/>
          <w:sz w:val="24"/>
          <w:szCs w:val="24"/>
          <w:highlight w:val="none"/>
          <w:lang w:eastAsia="zh-CN"/>
        </w:rPr>
        <w:t>，</w:t>
      </w:r>
      <w:r>
        <w:rPr>
          <w:rFonts w:ascii="宋体" w:hAnsi="宋体" w:eastAsia="宋体" w:cs="宋体"/>
          <w:color w:val="auto"/>
          <w:sz w:val="24"/>
          <w:szCs w:val="24"/>
          <w:highlight w:val="none"/>
        </w:rPr>
        <w:t>乙方应赔偿甲方全部经济损失（包括但不限于律师费、诉讼费、保全费等维权产生的费用）</w:t>
      </w:r>
      <w:r>
        <w:rPr>
          <w:rFonts w:hint="eastAsia" w:ascii="宋体" w:hAnsi="宋体"/>
          <w:color w:val="auto"/>
          <w:sz w:val="24"/>
          <w:szCs w:val="24"/>
          <w:highlight w:val="none"/>
        </w:rPr>
        <w:t>；</w:t>
      </w:r>
    </w:p>
    <w:bookmarkEnd w:id="86"/>
    <w:p w14:paraId="47C6996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hd w:val="clea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87"/>
    <w:bookmarkEnd w:id="88"/>
    <w:bookmarkEnd w:id="89"/>
    <w:bookmarkEnd w:id="90"/>
    <w:bookmarkEnd w:id="91"/>
    <w:p w14:paraId="6A3F606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hd w:val="clea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hd w:val="clea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shd w:val="clear"/>
        <w:autoSpaceDE w:val="0"/>
        <w:autoSpaceDN w:val="0"/>
        <w:spacing w:line="360" w:lineRule="auto"/>
        <w:rPr>
          <w:rFonts w:ascii="宋体" w:hAnsi="宋体"/>
          <w:color w:val="auto"/>
          <w:sz w:val="24"/>
          <w:szCs w:val="24"/>
          <w:highlight w:val="none"/>
          <w:lang w:val="zh-CN"/>
        </w:rPr>
      </w:pPr>
    </w:p>
    <w:tbl>
      <w:tblPr>
        <w:tblStyle w:val="61"/>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7"/>
        <w:gridCol w:w="2630"/>
        <w:gridCol w:w="2153"/>
        <w:gridCol w:w="2312"/>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8"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44"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hd w:val="clear"/>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right w:val="single" w:color="auto" w:sz="2" w:space="0"/>
            </w:tcBorders>
            <w:noWrap w:val="0"/>
            <w:vAlign w:val="center"/>
          </w:tcPr>
          <w:p w14:paraId="6A018BF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6"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61"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hd w:val="clear"/>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hd w:val="clear"/>
        <w:spacing w:line="360" w:lineRule="auto"/>
        <w:jc w:val="left"/>
        <w:rPr>
          <w:rFonts w:ascii="宋体" w:hAnsi="宋体"/>
          <w:b/>
          <w:color w:val="auto"/>
          <w:sz w:val="24"/>
          <w:szCs w:val="24"/>
          <w:highlight w:val="none"/>
        </w:rPr>
      </w:pPr>
    </w:p>
    <w:p w14:paraId="2EF89367">
      <w:pPr>
        <w:pStyle w:val="282"/>
        <w:shd w:val="clear"/>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hd w:val="clear"/>
        <w:spacing w:line="360" w:lineRule="auto"/>
        <w:ind w:firstLine="482" w:firstLineChars="200"/>
        <w:rPr>
          <w:rFonts w:ascii="宋体" w:hAnsi="宋体"/>
          <w:b/>
          <w:color w:val="auto"/>
          <w:sz w:val="24"/>
          <w:szCs w:val="24"/>
          <w:highlight w:val="none"/>
        </w:rPr>
      </w:pPr>
      <w:bookmarkStart w:id="92" w:name="_Toc5228"/>
      <w:bookmarkStart w:id="93" w:name="_Toc31297"/>
      <w:bookmarkStart w:id="94" w:name="_Toc25079"/>
      <w:bookmarkStart w:id="95" w:name="_Toc19680"/>
      <w:bookmarkStart w:id="96" w:name="_Toc14021"/>
      <w:r>
        <w:rPr>
          <w:rFonts w:ascii="宋体" w:hAnsi="宋体"/>
          <w:b/>
          <w:color w:val="auto"/>
          <w:sz w:val="24"/>
          <w:szCs w:val="24"/>
          <w:highlight w:val="none"/>
        </w:rPr>
        <w:t>2.1 定义</w:t>
      </w:r>
      <w:bookmarkEnd w:id="92"/>
      <w:bookmarkEnd w:id="93"/>
      <w:bookmarkEnd w:id="94"/>
      <w:bookmarkEnd w:id="95"/>
      <w:bookmarkEnd w:id="96"/>
    </w:p>
    <w:p w14:paraId="004E9EB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hd w:val="clear"/>
        <w:spacing w:line="360" w:lineRule="auto"/>
        <w:ind w:firstLine="482" w:firstLineChars="200"/>
        <w:rPr>
          <w:rFonts w:ascii="宋体" w:hAnsi="宋体"/>
          <w:b/>
          <w:color w:val="auto"/>
          <w:sz w:val="24"/>
          <w:szCs w:val="24"/>
          <w:highlight w:val="none"/>
        </w:rPr>
      </w:pPr>
      <w:bookmarkStart w:id="97" w:name="_Toc16752"/>
      <w:bookmarkStart w:id="98" w:name="_Toc3769"/>
      <w:bookmarkStart w:id="99" w:name="_Toc19539"/>
      <w:bookmarkStart w:id="100" w:name="_Toc23289"/>
      <w:bookmarkStart w:id="101" w:name="_Toc31402"/>
      <w:r>
        <w:rPr>
          <w:rFonts w:ascii="宋体" w:hAnsi="宋体"/>
          <w:b/>
          <w:color w:val="auto"/>
          <w:sz w:val="24"/>
          <w:szCs w:val="24"/>
          <w:highlight w:val="none"/>
        </w:rPr>
        <w:t>2.2 技术规范</w:t>
      </w:r>
      <w:bookmarkEnd w:id="97"/>
      <w:bookmarkEnd w:id="98"/>
      <w:bookmarkEnd w:id="99"/>
      <w:bookmarkEnd w:id="100"/>
      <w:bookmarkEnd w:id="101"/>
    </w:p>
    <w:p w14:paraId="752412AC">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hd w:val="clear"/>
        <w:spacing w:line="360" w:lineRule="auto"/>
        <w:ind w:firstLine="482" w:firstLineChars="200"/>
        <w:rPr>
          <w:rFonts w:ascii="宋体" w:hAnsi="宋体"/>
          <w:b/>
          <w:color w:val="auto"/>
          <w:sz w:val="24"/>
          <w:szCs w:val="24"/>
          <w:highlight w:val="none"/>
        </w:rPr>
      </w:pPr>
      <w:bookmarkStart w:id="102" w:name="_Toc4133"/>
      <w:bookmarkStart w:id="103" w:name="_Toc12412"/>
      <w:bookmarkStart w:id="104" w:name="_Toc9161"/>
      <w:bookmarkStart w:id="105" w:name="_Toc27945"/>
      <w:bookmarkStart w:id="106" w:name="_Toc13673"/>
      <w:r>
        <w:rPr>
          <w:rFonts w:ascii="宋体" w:hAnsi="宋体"/>
          <w:b/>
          <w:color w:val="auto"/>
          <w:sz w:val="24"/>
          <w:szCs w:val="24"/>
          <w:highlight w:val="none"/>
        </w:rPr>
        <w:t>2.3 知识产权</w:t>
      </w:r>
      <w:bookmarkEnd w:id="102"/>
      <w:bookmarkEnd w:id="103"/>
      <w:bookmarkEnd w:id="104"/>
      <w:bookmarkEnd w:id="105"/>
      <w:bookmarkEnd w:id="106"/>
    </w:p>
    <w:p w14:paraId="681C311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hd w:val="clear"/>
        <w:spacing w:line="360" w:lineRule="auto"/>
        <w:ind w:firstLine="482" w:firstLineChars="200"/>
        <w:rPr>
          <w:rFonts w:ascii="宋体" w:hAnsi="宋体"/>
          <w:b/>
          <w:color w:val="auto"/>
          <w:sz w:val="24"/>
          <w:szCs w:val="24"/>
          <w:highlight w:val="none"/>
        </w:rPr>
      </w:pPr>
      <w:bookmarkStart w:id="107" w:name="_Toc26555"/>
      <w:bookmarkStart w:id="108" w:name="_Toc22011"/>
      <w:bookmarkStart w:id="109" w:name="_Toc15447"/>
      <w:bookmarkStart w:id="110" w:name="_Toc32670"/>
      <w:bookmarkStart w:id="111" w:name="_Toc31233"/>
      <w:r>
        <w:rPr>
          <w:rFonts w:ascii="宋体" w:hAnsi="宋体"/>
          <w:b/>
          <w:color w:val="auto"/>
          <w:sz w:val="24"/>
          <w:szCs w:val="24"/>
          <w:highlight w:val="none"/>
        </w:rPr>
        <w:t>2.5 结算方式和付款条件</w:t>
      </w:r>
      <w:bookmarkEnd w:id="107"/>
      <w:bookmarkEnd w:id="108"/>
      <w:bookmarkEnd w:id="109"/>
      <w:bookmarkEnd w:id="110"/>
      <w:bookmarkEnd w:id="111"/>
    </w:p>
    <w:p w14:paraId="58F6B34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hd w:val="clear"/>
        <w:spacing w:line="360" w:lineRule="auto"/>
        <w:ind w:firstLine="482" w:firstLineChars="200"/>
        <w:rPr>
          <w:rFonts w:ascii="宋体" w:hAnsi="宋体"/>
          <w:b/>
          <w:color w:val="auto"/>
          <w:sz w:val="24"/>
          <w:szCs w:val="24"/>
          <w:highlight w:val="none"/>
        </w:rPr>
      </w:pPr>
      <w:bookmarkStart w:id="112" w:name="_Toc18990"/>
      <w:bookmarkStart w:id="113" w:name="_Toc30507"/>
      <w:bookmarkStart w:id="114" w:name="_Toc16163"/>
      <w:bookmarkStart w:id="115" w:name="_Toc13467"/>
      <w:bookmarkStart w:id="116" w:name="_Toc13154"/>
      <w:r>
        <w:rPr>
          <w:rFonts w:ascii="宋体" w:hAnsi="宋体"/>
          <w:b/>
          <w:color w:val="auto"/>
          <w:sz w:val="24"/>
          <w:szCs w:val="24"/>
          <w:highlight w:val="none"/>
        </w:rPr>
        <w:t>2.6 技术资料和保密义务</w:t>
      </w:r>
      <w:bookmarkEnd w:id="112"/>
      <w:bookmarkEnd w:id="113"/>
      <w:bookmarkEnd w:id="114"/>
      <w:bookmarkEnd w:id="115"/>
      <w:bookmarkEnd w:id="116"/>
    </w:p>
    <w:p w14:paraId="2B4F8CA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hd w:val="clear"/>
        <w:spacing w:line="360" w:lineRule="auto"/>
        <w:ind w:firstLine="482" w:firstLineChars="200"/>
        <w:rPr>
          <w:rFonts w:ascii="宋体" w:hAnsi="宋体"/>
          <w:b/>
          <w:color w:val="auto"/>
          <w:sz w:val="24"/>
          <w:szCs w:val="24"/>
          <w:highlight w:val="none"/>
        </w:rPr>
      </w:pPr>
      <w:bookmarkStart w:id="117"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17"/>
    </w:p>
    <w:p w14:paraId="47761108">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hd w:val="clear"/>
        <w:spacing w:line="360" w:lineRule="auto"/>
        <w:ind w:firstLine="482" w:firstLineChars="200"/>
        <w:rPr>
          <w:rFonts w:ascii="宋体" w:hAnsi="宋体"/>
          <w:b/>
          <w:color w:val="auto"/>
          <w:sz w:val="24"/>
          <w:szCs w:val="24"/>
          <w:highlight w:val="none"/>
        </w:rPr>
      </w:pPr>
      <w:bookmarkStart w:id="118"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18"/>
    </w:p>
    <w:p w14:paraId="67EB48C2">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hd w:val="clear"/>
        <w:spacing w:line="360" w:lineRule="auto"/>
        <w:ind w:firstLine="482" w:firstLineChars="200"/>
        <w:rPr>
          <w:rFonts w:ascii="宋体" w:hAnsi="宋体"/>
          <w:b/>
          <w:color w:val="auto"/>
          <w:sz w:val="24"/>
          <w:szCs w:val="24"/>
          <w:highlight w:val="none"/>
        </w:rPr>
      </w:pPr>
      <w:bookmarkStart w:id="119"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19"/>
    </w:p>
    <w:p w14:paraId="6EF22BFF">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hd w:val="clear"/>
        <w:spacing w:line="360" w:lineRule="auto"/>
        <w:ind w:firstLine="482" w:firstLineChars="200"/>
        <w:rPr>
          <w:rFonts w:ascii="宋体" w:hAnsi="宋体"/>
          <w:b/>
          <w:color w:val="auto"/>
          <w:sz w:val="24"/>
          <w:szCs w:val="24"/>
          <w:highlight w:val="none"/>
        </w:rPr>
      </w:pPr>
      <w:bookmarkStart w:id="120" w:name="_Toc21830"/>
      <w:bookmarkStart w:id="121" w:name="_Toc10663"/>
      <w:bookmarkStart w:id="122" w:name="_Toc42"/>
      <w:bookmarkStart w:id="123" w:name="_Toc26689"/>
      <w:r>
        <w:rPr>
          <w:rFonts w:ascii="宋体" w:hAnsi="宋体"/>
          <w:b/>
          <w:color w:val="auto"/>
          <w:sz w:val="24"/>
          <w:szCs w:val="24"/>
          <w:highlight w:val="none"/>
        </w:rPr>
        <w:t>2.10 合同转让和分包</w:t>
      </w:r>
      <w:bookmarkEnd w:id="120"/>
      <w:bookmarkEnd w:id="121"/>
      <w:bookmarkEnd w:id="122"/>
      <w:bookmarkEnd w:id="123"/>
    </w:p>
    <w:p w14:paraId="49E4DD9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hd w:val="clear"/>
        <w:spacing w:line="360" w:lineRule="auto"/>
        <w:ind w:firstLine="482" w:firstLineChars="200"/>
        <w:rPr>
          <w:rFonts w:ascii="宋体" w:hAnsi="宋体"/>
          <w:b/>
          <w:color w:val="auto"/>
          <w:sz w:val="24"/>
          <w:szCs w:val="24"/>
          <w:highlight w:val="none"/>
        </w:rPr>
      </w:pPr>
      <w:bookmarkStart w:id="124" w:name="_Toc32494"/>
      <w:bookmarkStart w:id="125" w:name="_Toc26633"/>
      <w:bookmarkStart w:id="126" w:name="_Toc4720"/>
      <w:bookmarkStart w:id="127" w:name="_Toc14371"/>
      <w:bookmarkStart w:id="128" w:name="_Toc25571"/>
      <w:r>
        <w:rPr>
          <w:rFonts w:ascii="宋体" w:hAnsi="宋体"/>
          <w:b/>
          <w:color w:val="auto"/>
          <w:sz w:val="24"/>
          <w:szCs w:val="24"/>
          <w:highlight w:val="none"/>
        </w:rPr>
        <w:t>2.11 不可抗力</w:t>
      </w:r>
      <w:bookmarkEnd w:id="124"/>
      <w:bookmarkEnd w:id="125"/>
      <w:bookmarkEnd w:id="126"/>
      <w:bookmarkEnd w:id="127"/>
      <w:bookmarkEnd w:id="128"/>
    </w:p>
    <w:p w14:paraId="4A08A23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hd w:val="clear"/>
        <w:spacing w:line="360" w:lineRule="auto"/>
        <w:ind w:firstLine="482" w:firstLineChars="200"/>
        <w:rPr>
          <w:rFonts w:ascii="宋体" w:hAnsi="宋体"/>
          <w:b/>
          <w:color w:val="auto"/>
          <w:sz w:val="24"/>
          <w:szCs w:val="24"/>
          <w:highlight w:val="none"/>
        </w:rPr>
      </w:pPr>
      <w:bookmarkStart w:id="129" w:name="_Toc23854"/>
      <w:bookmarkStart w:id="130" w:name="_Toc25783"/>
      <w:bookmarkStart w:id="131" w:name="_Toc24465"/>
      <w:bookmarkStart w:id="132" w:name="_Toc14115"/>
      <w:bookmarkStart w:id="133" w:name="_Toc3638"/>
      <w:r>
        <w:rPr>
          <w:rFonts w:ascii="宋体" w:hAnsi="宋体"/>
          <w:b/>
          <w:color w:val="auto"/>
          <w:sz w:val="24"/>
          <w:szCs w:val="24"/>
          <w:highlight w:val="none"/>
        </w:rPr>
        <w:t>2.12 税费</w:t>
      </w:r>
      <w:bookmarkEnd w:id="129"/>
      <w:bookmarkEnd w:id="130"/>
      <w:bookmarkEnd w:id="131"/>
      <w:bookmarkEnd w:id="132"/>
      <w:bookmarkEnd w:id="133"/>
    </w:p>
    <w:p w14:paraId="6429A99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hd w:val="clear"/>
        <w:spacing w:line="360" w:lineRule="auto"/>
        <w:ind w:firstLine="482" w:firstLineChars="200"/>
        <w:rPr>
          <w:rFonts w:ascii="宋体" w:hAnsi="宋体"/>
          <w:b/>
          <w:color w:val="auto"/>
          <w:sz w:val="24"/>
          <w:szCs w:val="24"/>
          <w:highlight w:val="none"/>
        </w:rPr>
      </w:pPr>
      <w:bookmarkStart w:id="134" w:name="_Toc30105"/>
      <w:bookmarkStart w:id="135" w:name="_Toc14814"/>
      <w:bookmarkStart w:id="136" w:name="_Toc26883"/>
      <w:bookmarkStart w:id="137" w:name="_Toc25525"/>
      <w:bookmarkStart w:id="138" w:name="_Toc7315"/>
      <w:r>
        <w:rPr>
          <w:rFonts w:ascii="宋体" w:hAnsi="宋体"/>
          <w:b/>
          <w:color w:val="auto"/>
          <w:sz w:val="24"/>
          <w:szCs w:val="24"/>
          <w:highlight w:val="none"/>
        </w:rPr>
        <w:t>2.13 乙方破产</w:t>
      </w:r>
      <w:bookmarkEnd w:id="134"/>
      <w:bookmarkEnd w:id="135"/>
      <w:bookmarkEnd w:id="136"/>
      <w:bookmarkEnd w:id="137"/>
      <w:bookmarkEnd w:id="138"/>
    </w:p>
    <w:p w14:paraId="4C2856D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hd w:val="clear"/>
        <w:spacing w:line="360" w:lineRule="auto"/>
        <w:ind w:firstLine="482" w:firstLineChars="200"/>
        <w:rPr>
          <w:rFonts w:ascii="宋体" w:hAnsi="宋体"/>
          <w:b/>
          <w:color w:val="auto"/>
          <w:sz w:val="24"/>
          <w:szCs w:val="24"/>
          <w:highlight w:val="none"/>
        </w:rPr>
      </w:pPr>
      <w:bookmarkStart w:id="139" w:name="_Toc23323"/>
      <w:bookmarkStart w:id="140" w:name="_Toc1123"/>
      <w:bookmarkStart w:id="141" w:name="_Toc2016"/>
      <w:r>
        <w:rPr>
          <w:rFonts w:ascii="宋体" w:hAnsi="宋体"/>
          <w:b/>
          <w:color w:val="auto"/>
          <w:sz w:val="24"/>
          <w:szCs w:val="24"/>
          <w:highlight w:val="none"/>
        </w:rPr>
        <w:t>2.14 合同中止、终止</w:t>
      </w:r>
      <w:bookmarkEnd w:id="139"/>
      <w:bookmarkEnd w:id="140"/>
      <w:bookmarkEnd w:id="141"/>
    </w:p>
    <w:p w14:paraId="7EAC72E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hd w:val="clear"/>
        <w:spacing w:line="360" w:lineRule="auto"/>
        <w:ind w:firstLine="482" w:firstLineChars="200"/>
        <w:rPr>
          <w:rFonts w:ascii="宋体" w:hAnsi="宋体"/>
          <w:b/>
          <w:color w:val="auto"/>
          <w:sz w:val="24"/>
          <w:szCs w:val="24"/>
          <w:highlight w:val="none"/>
        </w:rPr>
      </w:pPr>
      <w:bookmarkStart w:id="142" w:name="_Toc1969"/>
      <w:bookmarkStart w:id="143" w:name="_Toc14525"/>
      <w:bookmarkStart w:id="144" w:name="_Toc17363"/>
      <w:r>
        <w:rPr>
          <w:rFonts w:ascii="宋体" w:hAnsi="宋体"/>
          <w:b/>
          <w:color w:val="auto"/>
          <w:sz w:val="24"/>
          <w:szCs w:val="24"/>
          <w:highlight w:val="none"/>
        </w:rPr>
        <w:t>2.15 检验和验收</w:t>
      </w:r>
      <w:bookmarkEnd w:id="142"/>
      <w:bookmarkEnd w:id="143"/>
      <w:bookmarkEnd w:id="144"/>
    </w:p>
    <w:p w14:paraId="162C8131">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hd w:val="clear"/>
        <w:spacing w:line="360" w:lineRule="auto"/>
        <w:ind w:firstLine="482" w:firstLineChars="200"/>
        <w:rPr>
          <w:rFonts w:ascii="宋体" w:hAnsi="宋体"/>
          <w:b/>
          <w:color w:val="auto"/>
          <w:sz w:val="24"/>
          <w:szCs w:val="24"/>
          <w:highlight w:val="none"/>
        </w:rPr>
      </w:pPr>
      <w:bookmarkStart w:id="145" w:name="_Toc12666"/>
      <w:bookmarkStart w:id="146" w:name="_Toc25198"/>
      <w:bookmarkStart w:id="147" w:name="_Toc2308"/>
      <w:bookmarkStart w:id="148" w:name="_Toc31892"/>
      <w:bookmarkStart w:id="149" w:name="_Toc9808"/>
      <w:r>
        <w:rPr>
          <w:rFonts w:ascii="宋体" w:hAnsi="宋体"/>
          <w:b/>
          <w:color w:val="auto"/>
          <w:sz w:val="24"/>
          <w:szCs w:val="24"/>
          <w:highlight w:val="none"/>
        </w:rPr>
        <w:t>2.16 通知和送达</w:t>
      </w:r>
      <w:bookmarkEnd w:id="145"/>
      <w:bookmarkEnd w:id="146"/>
      <w:bookmarkEnd w:id="147"/>
      <w:bookmarkEnd w:id="148"/>
      <w:bookmarkEnd w:id="149"/>
    </w:p>
    <w:p w14:paraId="0EFE709E">
      <w:pPr>
        <w:shd w:val="clear"/>
        <w:spacing w:line="360" w:lineRule="auto"/>
        <w:ind w:firstLine="480" w:firstLineChars="200"/>
        <w:rPr>
          <w:rFonts w:ascii="宋体" w:hAnsi="宋体"/>
          <w:color w:val="auto"/>
          <w:sz w:val="24"/>
          <w:szCs w:val="24"/>
          <w:highlight w:val="none"/>
        </w:rPr>
      </w:pPr>
      <w:bookmarkStart w:id="150" w:name="_Toc18401"/>
      <w:bookmarkStart w:id="151" w:name="_Toc27674"/>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50"/>
      <w:bookmarkEnd w:id="151"/>
    </w:p>
    <w:p w14:paraId="31479B60">
      <w:pPr>
        <w:shd w:val="clear"/>
        <w:spacing w:line="360" w:lineRule="auto"/>
        <w:ind w:firstLine="482" w:firstLineChars="200"/>
        <w:rPr>
          <w:rFonts w:ascii="宋体" w:hAnsi="宋体"/>
          <w:b/>
          <w:color w:val="auto"/>
          <w:sz w:val="24"/>
          <w:szCs w:val="24"/>
          <w:highlight w:val="none"/>
        </w:rPr>
      </w:pPr>
      <w:bookmarkStart w:id="152" w:name="_Toc27644"/>
      <w:bookmarkStart w:id="153" w:name="_Toc20808"/>
      <w:bookmarkStart w:id="154" w:name="_Toc5063"/>
      <w:bookmarkStart w:id="155" w:name="_Toc12254"/>
      <w:bookmarkStart w:id="156" w:name="_Toc28906"/>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52"/>
      <w:bookmarkEnd w:id="153"/>
      <w:bookmarkEnd w:id="154"/>
      <w:bookmarkEnd w:id="155"/>
      <w:bookmarkEnd w:id="156"/>
    </w:p>
    <w:p w14:paraId="5DACA4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hd w:val="clea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hd w:val="clea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3483C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746F6F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1.6.3</w:t>
            </w:r>
          </w:p>
        </w:tc>
        <w:tc>
          <w:tcPr>
            <w:tcW w:w="4464" w:type="pct"/>
            <w:noWrap w:val="0"/>
            <w:vAlign w:val="center"/>
          </w:tcPr>
          <w:p w14:paraId="3DE0FB8E">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项目采购需求所列合计仅为预算测算预估人数，不作为乙方履约必须保证的实际到场人员数量。本项目人员食宿费、劳务报酬、人员差旅费用按照实际参赛及服务人员数量、实际服务天数据实结算。报价内对应的人员相关费用为预估测算金额，项目结算时，对报价中包含但实际并未发生的人员食宿、劳务报酬、差旅等费用，采购人直接在结算款中予以扣减，不予支付未实际产生的对应费用。乙方不得以采购需求预估人员数量作为结算付款依据。</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47937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14774835">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覆盖赛前2天场地适应训练、正式比赛（9月21日—9月24日，共4天）、赛后3天场地复原全流程，整体服务周期包含赛前筹备、赛中执行、赛后收尾归档全部阶段。合同签订后3个工作日内完成方案细化、人员定岗、器材清单确认、应急方案报备等前期对接工作；赛事开赛3日前完成全部筹备工作；赛事结束后3个工作日内完成全部收尾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769D7A4B">
            <w:pPr>
              <w:keepNext w:val="0"/>
              <w:keepLines w:val="0"/>
              <w:pageBreakBefore w:val="0"/>
              <w:suppressLineNumbers w:val="0"/>
              <w:shd w:val="clear"/>
              <w:kinsoku/>
              <w:wordWrap/>
              <w:overflowPunct/>
              <w:topLinePunct w:val="0"/>
              <w:bidi w:val="0"/>
              <w:spacing w:before="0" w:beforeAutospacing="0" w:after="0" w:afterAutospacing="0" w:line="440" w:lineRule="exact"/>
              <w:ind w:left="0" w:leftChars="0" w:right="0"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
              </w:rPr>
              <w:t>北海市体育馆</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02749368">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pageBreakBefore w:val="0"/>
              <w:widowControl w:val="0"/>
              <w:numPr>
                <w:ilvl w:val="0"/>
                <w:numId w:val="1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pageBreakBefore w:val="0"/>
              <w:widowControl w:val="0"/>
              <w:numPr>
                <w:ilvl w:val="0"/>
                <w:numId w:val="1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pageBreakBefore w:val="0"/>
              <w:widowControl w:val="0"/>
              <w:numPr>
                <w:ilvl w:val="0"/>
                <w:numId w:val="1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72D3AD9D">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验收组织：由赛事组委会办公室牵头，联合竞赛组织小组及</w:t>
            </w:r>
            <w:r>
              <w:rPr>
                <w:rFonts w:hint="eastAsia" w:ascii="宋体" w:hAnsi="宋体" w:cs="宋体"/>
                <w:b w:val="0"/>
                <w:bCs/>
                <w:color w:val="auto"/>
                <w:kern w:val="0"/>
                <w:sz w:val="24"/>
                <w:szCs w:val="24"/>
                <w:highlight w:val="none"/>
                <w:lang w:val="en-US" w:eastAsia="zh-CN" w:bidi="ar"/>
              </w:rPr>
              <w:t>甲方</w:t>
            </w:r>
            <w:r>
              <w:rPr>
                <w:rFonts w:hint="eastAsia" w:ascii="宋体" w:hAnsi="宋体" w:eastAsia="宋体" w:cs="宋体"/>
                <w:b w:val="0"/>
                <w:bCs/>
                <w:color w:val="auto"/>
                <w:kern w:val="0"/>
                <w:sz w:val="24"/>
                <w:szCs w:val="24"/>
                <w:highlight w:val="none"/>
                <w:lang w:val="en-US" w:eastAsia="zh-CN" w:bidi="ar"/>
              </w:rPr>
              <w:t>组成联合验收小组，对项目履约情况开展全流程验收。</w:t>
            </w:r>
          </w:p>
          <w:p w14:paraId="4FE410A4">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分阶段验收：</w:t>
            </w:r>
          </w:p>
          <w:p w14:paraId="1D399607">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赛前验收：赛事开赛3日前，验收小组对场地搭建、器材进场安装调试、设备校准检测、人员到岗培训、物资配齐、应急预案等筹备工作进行逐项核查，形成赛前验收记录，未达标项限期整改，整改合格后方可开赛。</w:t>
            </w:r>
          </w:p>
          <w:p w14:paraId="0464D18C">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（2）赛中抽检：比赛期间实行每日服务抽检考核机制，对场地运维、人员服务、设备运行、后勤保障、安全管控、技术支撑等工作开展常态化抽查，发现问题立即督促限期整改，压实服务商履约责任。</w:t>
            </w:r>
          </w:p>
          <w:p w14:paraId="3C61466A">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（3）赛后总验收：赛事结束后3个工作日内，验收小组对照采购需求、合同约定及赛事专项标准，对服务全覆盖、质量全达标、资料全归档、场地全复原等情况开展综合验收，形成验收报告。</w:t>
            </w:r>
          </w:p>
          <w:p w14:paraId="47BC7BBE">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分项验收标准：</w:t>
            </w:r>
          </w:p>
          <w:p w14:paraId="32F11543">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场地器材验收：格斗垫尺寸（12000mm×12000mm×25mm）、三色分区、拼接稳固性符合标准；比赛高台、防撞围挡、功能分区布设规范；全部租赁器材数量、型号、技术参数与采购需求一致，赛前校准检测合格，赛中运行无故障，赛后完好清点回收率100%。</w:t>
            </w:r>
          </w:p>
          <w:p w14:paraId="2E659BA4">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人员到岗验收：项目负责人全程驻场，专项团队按核心运营、技术保障、场地运维、志愿服务、后勤保障模块配齐到位；不少于30名志愿者全员到岗并完成岗前培训考核；各级裁判、技术、医疗、安保人员按标准足额配置，无脱岗、缺岗情况。</w:t>
            </w:r>
          </w:p>
          <w:p w14:paraId="29FDEB4A">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服务质量验收：食宿保障严格执行统一标准，运动员食宿满足专业赛事反兴奋剂要求，无食品安全事故；接驳大巴车辆证照齐全（含《道路运输证》）、准时准点，无交通延误；医疗安保全程在岗，急救通道畅通，无安全事故；颁奖仪式规范庄重。</w:t>
            </w:r>
          </w:p>
          <w:p w14:paraId="2B3CBB92">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技术系统验收：电子计分系统、成绩处理系统、大屏公示、≥3套录像审议系统全程稳定运行，数据实时精准、无卡顿、无错漏、无丢失；赛事影像完整覆盖赛前训练及全部正式比赛，可随时回放拷贝；设备故障响应不超过1小时、维修更换不超过2小时。</w:t>
            </w:r>
          </w:p>
          <w:p w14:paraId="094BD486">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赛事流程验收：称重、抽签、检录、比赛、成绩公示、申诉仲裁、颁奖等各环节流程规范、衔接顺畅；称重2小时内完成，检录提前30分钟启动，成绩当场公示，申诉按规定时限处理，无流程遗漏、无重大执裁失误。</w:t>
            </w:r>
          </w:p>
          <w:p w14:paraId="3DBAEC57">
            <w:pPr>
              <w:keepNext w:val="0"/>
              <w:keepLines w:val="0"/>
              <w:pageBreakBefore w:val="0"/>
              <w:widowControl/>
              <w:numPr>
                <w:ilvl w:val="0"/>
                <w:numId w:val="0"/>
              </w:numPr>
              <w:suppressLineNumbers w:val="0"/>
              <w:shd w:val="clear"/>
              <w:kinsoku/>
              <w:wordWrap/>
              <w:overflowPunct/>
              <w:topLinePunct w:val="0"/>
              <w:autoSpaceDE/>
              <w:autoSpaceDN/>
              <w:bidi w:val="0"/>
              <w:adjustRightInd w:val="0"/>
              <w:snapToGrid/>
              <w:spacing w:before="0" w:beforeAutospacing="0" w:after="0" w:afterAutospacing="0" w:line="480" w:lineRule="exact"/>
              <w:ind w:left="0" w:right="0"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（6）资料归档验收：赛事台账、数据报表、影像资料、申诉记录、方案总结、物资台账、劳务台账、反兴奋剂工作台账等全套资料完整、规范、真实，分类汇编成册，赛后按时移交采购人存档。</w:t>
            </w:r>
          </w:p>
          <w:p w14:paraId="16DDEEEB">
            <w:pPr>
              <w:keepNext w:val="0"/>
              <w:keepLines w:val="0"/>
              <w:suppressLineNumbers w:val="0"/>
              <w:shd w:val="clear"/>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4. 验收结果处理：验收合格的，出具验收合格报告，按合同约定办理结算；验收不合格的，责令限期整改，整改后重新验收，整改仍不达标的，不予结算并依法追究服务商履约违约责任。验收全程公开透明，主动接受财政审计及社会监督。</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shd w:val="clea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hd w:val="clea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57" w:name="_Toc802"/>
      <w:r>
        <w:rPr>
          <w:rFonts w:hint="eastAsia" w:cs="仿宋_GB2312" w:asciiTheme="minorEastAsia" w:hAnsiTheme="minorEastAsia" w:eastAsiaTheme="minorEastAsia"/>
          <w:b/>
          <w:color w:val="auto"/>
          <w:sz w:val="36"/>
          <w:szCs w:val="20"/>
          <w:highlight w:val="none"/>
        </w:rPr>
        <w:t>第七部分</w:t>
      </w:r>
      <w:bookmarkEnd w:id="50"/>
      <w:r>
        <w:rPr>
          <w:rFonts w:hint="eastAsia" w:cs="仿宋_GB2312" w:asciiTheme="minorEastAsia" w:hAnsiTheme="minorEastAsia" w:eastAsiaTheme="minorEastAsia"/>
          <w:b/>
          <w:color w:val="auto"/>
          <w:sz w:val="36"/>
          <w:szCs w:val="20"/>
          <w:highlight w:val="none"/>
        </w:rPr>
        <w:t xml:space="preserve">  </w:t>
      </w:r>
      <w:bookmarkEnd w:id="51"/>
      <w:r>
        <w:rPr>
          <w:rFonts w:hint="eastAsia" w:cs="仿宋_GB2312" w:asciiTheme="minorEastAsia" w:hAnsiTheme="minorEastAsia" w:eastAsiaTheme="minorEastAsia"/>
          <w:b/>
          <w:color w:val="auto"/>
          <w:sz w:val="36"/>
          <w:szCs w:val="20"/>
          <w:highlight w:val="none"/>
        </w:rPr>
        <w:t>应提交的有关格式范例</w:t>
      </w:r>
      <w:bookmarkEnd w:id="157"/>
    </w:p>
    <w:p w14:paraId="6AB0FF84">
      <w:pPr>
        <w:shd w:val="clea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hd w:val="clea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shd w:val="clear"/>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shd w:val="clear"/>
        <w:jc w:val="left"/>
        <w:rPr>
          <w:color w:val="auto"/>
          <w:highlight w:val="none"/>
        </w:rPr>
      </w:pPr>
    </w:p>
    <w:p w14:paraId="186FF433">
      <w:pPr>
        <w:keepNext w:val="0"/>
        <w:keepLines w:val="0"/>
        <w:widowControl/>
        <w:suppressLineNumbers w:val="0"/>
        <w:shd w:val="clear"/>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hd w:val="clea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hd w:val="clear"/>
        <w:snapToGrid w:val="0"/>
        <w:spacing w:before="156" w:beforeLines="50" w:after="50"/>
        <w:rPr>
          <w:rFonts w:ascii="宋体" w:hAnsi="宋体"/>
          <w:color w:val="auto"/>
          <w:sz w:val="24"/>
          <w:szCs w:val="20"/>
          <w:highlight w:val="none"/>
        </w:rPr>
      </w:pPr>
    </w:p>
    <w:p w14:paraId="1C2301A0">
      <w:pPr>
        <w:shd w:val="clea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hd w:val="clear"/>
        <w:snapToGrid w:val="0"/>
        <w:spacing w:before="156" w:beforeLines="50" w:after="50"/>
        <w:rPr>
          <w:rFonts w:ascii="宋体" w:hAnsi="宋体"/>
          <w:bCs/>
          <w:color w:val="auto"/>
          <w:sz w:val="24"/>
          <w:szCs w:val="20"/>
          <w:highlight w:val="none"/>
        </w:rPr>
      </w:pPr>
    </w:p>
    <w:p w14:paraId="1F59EF32">
      <w:pPr>
        <w:shd w:val="clear"/>
        <w:snapToGrid w:val="0"/>
        <w:spacing w:before="156" w:beforeLines="50" w:after="50"/>
        <w:rPr>
          <w:rFonts w:ascii="宋体" w:hAnsi="宋体"/>
          <w:bCs/>
          <w:color w:val="auto"/>
          <w:sz w:val="24"/>
          <w:szCs w:val="20"/>
          <w:highlight w:val="none"/>
        </w:rPr>
      </w:pPr>
    </w:p>
    <w:p w14:paraId="4B2914BD">
      <w:pPr>
        <w:shd w:val="clear"/>
        <w:snapToGrid w:val="0"/>
        <w:spacing w:before="156" w:beforeLines="50" w:after="50"/>
        <w:rPr>
          <w:rFonts w:ascii="宋体" w:hAnsi="宋体"/>
          <w:bCs/>
          <w:color w:val="auto"/>
          <w:sz w:val="24"/>
          <w:szCs w:val="20"/>
          <w:highlight w:val="none"/>
        </w:rPr>
      </w:pPr>
    </w:p>
    <w:p w14:paraId="4D9338E2">
      <w:pPr>
        <w:shd w:val="clear"/>
        <w:snapToGrid w:val="0"/>
        <w:spacing w:before="156" w:beforeLines="50" w:after="50"/>
        <w:rPr>
          <w:rFonts w:ascii="宋体" w:hAnsi="宋体"/>
          <w:bCs/>
          <w:color w:val="auto"/>
          <w:sz w:val="24"/>
          <w:szCs w:val="20"/>
          <w:highlight w:val="none"/>
        </w:rPr>
      </w:pPr>
    </w:p>
    <w:p w14:paraId="6A7ADB4B">
      <w:pPr>
        <w:shd w:val="clear"/>
        <w:snapToGrid w:val="0"/>
        <w:spacing w:before="156" w:beforeLines="50" w:after="50"/>
        <w:rPr>
          <w:rFonts w:ascii="宋体" w:hAnsi="宋体"/>
          <w:bCs/>
          <w:color w:val="auto"/>
          <w:sz w:val="24"/>
          <w:szCs w:val="20"/>
          <w:highlight w:val="none"/>
        </w:rPr>
      </w:pPr>
    </w:p>
    <w:p w14:paraId="1B1E133E">
      <w:pPr>
        <w:shd w:val="clea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hd w:val="clear"/>
        <w:snapToGrid w:val="0"/>
        <w:spacing w:before="156" w:beforeLines="50" w:after="50"/>
        <w:ind w:firstLine="720" w:firstLineChars="225"/>
        <w:rPr>
          <w:rFonts w:ascii="宋体" w:hAnsi="宋体" w:cs="仿宋_GB2312"/>
          <w:bCs/>
          <w:color w:val="auto"/>
          <w:sz w:val="32"/>
          <w:szCs w:val="32"/>
          <w:highlight w:val="none"/>
        </w:rPr>
      </w:pPr>
    </w:p>
    <w:p w14:paraId="526B5A3A">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hd w:val="clear"/>
        <w:snapToGrid w:val="0"/>
        <w:spacing w:before="156" w:beforeLines="50" w:after="50"/>
        <w:ind w:firstLine="720" w:firstLineChars="225"/>
        <w:rPr>
          <w:rFonts w:ascii="宋体" w:hAnsi="宋体" w:cs="仿宋_GB2312"/>
          <w:bCs/>
          <w:color w:val="auto"/>
          <w:sz w:val="32"/>
          <w:szCs w:val="32"/>
          <w:highlight w:val="none"/>
        </w:rPr>
      </w:pPr>
    </w:p>
    <w:p w14:paraId="52094AA7">
      <w:pPr>
        <w:pStyle w:val="16"/>
        <w:shd w:val="clea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hd w:val="clear"/>
        <w:snapToGrid w:val="0"/>
        <w:spacing w:before="156" w:beforeLines="50" w:after="50"/>
        <w:ind w:firstLine="640" w:firstLineChars="200"/>
        <w:rPr>
          <w:rFonts w:ascii="宋体" w:hAnsi="宋体" w:cs="仿宋_GB2312"/>
          <w:bCs/>
          <w:color w:val="auto"/>
          <w:sz w:val="32"/>
          <w:szCs w:val="32"/>
          <w:highlight w:val="none"/>
        </w:rPr>
      </w:pPr>
    </w:p>
    <w:p w14:paraId="352C49D5">
      <w:pPr>
        <w:pStyle w:val="16"/>
        <w:shd w:val="clear"/>
        <w:snapToGrid w:val="0"/>
        <w:spacing w:before="50" w:after="50"/>
        <w:ind w:firstLine="720" w:firstLineChars="225"/>
        <w:rPr>
          <w:rFonts w:ascii="宋体" w:hAnsi="宋体" w:cs="仿宋_GB2312"/>
          <w:bCs/>
          <w:color w:val="auto"/>
          <w:sz w:val="32"/>
          <w:szCs w:val="32"/>
          <w:highlight w:val="none"/>
        </w:rPr>
      </w:pPr>
    </w:p>
    <w:p w14:paraId="7E0550AF">
      <w:pPr>
        <w:pStyle w:val="16"/>
        <w:shd w:val="clear"/>
        <w:snapToGrid w:val="0"/>
        <w:spacing w:before="50" w:after="50"/>
        <w:ind w:firstLine="720" w:firstLineChars="225"/>
        <w:rPr>
          <w:rFonts w:ascii="宋体" w:hAnsi="宋体" w:cs="仿宋_GB2312"/>
          <w:bCs/>
          <w:color w:val="auto"/>
          <w:sz w:val="32"/>
          <w:szCs w:val="32"/>
          <w:highlight w:val="none"/>
        </w:rPr>
      </w:pPr>
    </w:p>
    <w:p w14:paraId="724C2920">
      <w:pPr>
        <w:pStyle w:val="16"/>
        <w:shd w:val="clear"/>
        <w:snapToGrid w:val="0"/>
        <w:spacing w:before="50" w:after="50"/>
        <w:ind w:firstLine="1280" w:firstLineChars="400"/>
        <w:rPr>
          <w:rFonts w:ascii="宋体" w:hAnsi="宋体" w:cs="仿宋_GB2312"/>
          <w:bCs/>
          <w:color w:val="auto"/>
          <w:sz w:val="32"/>
          <w:szCs w:val="32"/>
          <w:highlight w:val="none"/>
        </w:rPr>
      </w:pPr>
    </w:p>
    <w:p w14:paraId="4B9AA373">
      <w:pPr>
        <w:shd w:val="clea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hd w:val="clear"/>
        <w:spacing w:line="380" w:lineRule="exact"/>
        <w:ind w:left="142"/>
        <w:rPr>
          <w:rFonts w:ascii="宋体" w:hAnsi="宋体"/>
          <w:b/>
          <w:bCs/>
          <w:color w:val="auto"/>
          <w:sz w:val="24"/>
          <w:highlight w:val="none"/>
        </w:rPr>
      </w:pPr>
    </w:p>
    <w:p w14:paraId="64EEDFCA">
      <w:pPr>
        <w:shd w:val="clea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hd w:val="clear"/>
        <w:spacing w:line="380" w:lineRule="exact"/>
        <w:jc w:val="center"/>
        <w:rPr>
          <w:b/>
          <w:bCs/>
          <w:color w:val="auto"/>
          <w:kern w:val="0"/>
          <w:sz w:val="32"/>
          <w:szCs w:val="32"/>
          <w:highlight w:val="none"/>
        </w:rPr>
      </w:pPr>
    </w:p>
    <w:p w14:paraId="78B16481">
      <w:pPr>
        <w:shd w:val="clea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shd w:val="clear"/>
        <w:ind w:firstLine="210"/>
        <w:rPr>
          <w:color w:val="auto"/>
          <w:highlight w:val="none"/>
        </w:rPr>
      </w:pPr>
    </w:p>
    <w:p w14:paraId="2484A05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hd w:val="clear"/>
        <w:snapToGrid w:val="0"/>
        <w:spacing w:line="360" w:lineRule="auto"/>
        <w:jc w:val="left"/>
        <w:rPr>
          <w:rFonts w:ascii="宋体" w:hAnsi="宋体"/>
          <w:color w:val="auto"/>
          <w:sz w:val="24"/>
          <w:highlight w:val="none"/>
        </w:rPr>
      </w:pPr>
    </w:p>
    <w:p w14:paraId="5173CF6A">
      <w:pPr>
        <w:shd w:val="clea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hd w:val="clea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shd w:val="clea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hd w:val="clea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hd w:val="clear"/>
        <w:spacing w:line="300" w:lineRule="auto"/>
        <w:rPr>
          <w:rFonts w:ascii="宋体" w:hAnsi="宋体"/>
          <w:color w:val="auto"/>
          <w:szCs w:val="21"/>
          <w:highlight w:val="none"/>
        </w:rPr>
      </w:pPr>
    </w:p>
    <w:p w14:paraId="5AA0AE52">
      <w:pPr>
        <w:shd w:val="clear"/>
        <w:spacing w:line="300" w:lineRule="auto"/>
        <w:rPr>
          <w:rFonts w:ascii="宋体" w:hAnsi="宋体"/>
          <w:color w:val="auto"/>
          <w:szCs w:val="21"/>
          <w:highlight w:val="none"/>
        </w:rPr>
      </w:pPr>
    </w:p>
    <w:p w14:paraId="603E6EA8">
      <w:pPr>
        <w:shd w:val="clear"/>
        <w:spacing w:line="300" w:lineRule="auto"/>
        <w:rPr>
          <w:rFonts w:ascii="宋体" w:hAnsi="宋体"/>
          <w:color w:val="auto"/>
          <w:szCs w:val="21"/>
          <w:highlight w:val="none"/>
        </w:rPr>
      </w:pPr>
    </w:p>
    <w:p w14:paraId="137D5D60">
      <w:pPr>
        <w:shd w:val="clear"/>
        <w:spacing w:line="300" w:lineRule="auto"/>
        <w:rPr>
          <w:rFonts w:ascii="宋体" w:hAnsi="宋体"/>
          <w:color w:val="auto"/>
          <w:szCs w:val="21"/>
          <w:highlight w:val="none"/>
        </w:rPr>
      </w:pPr>
    </w:p>
    <w:p w14:paraId="444BB259">
      <w:pPr>
        <w:shd w:val="clea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hd w:val="clear"/>
        <w:snapToGrid w:val="0"/>
        <w:spacing w:before="50" w:after="156" w:afterLines="50"/>
        <w:jc w:val="center"/>
        <w:rPr>
          <w:rFonts w:ascii="宋体" w:hAnsi="宋体"/>
          <w:b/>
          <w:color w:val="auto"/>
          <w:sz w:val="28"/>
          <w:szCs w:val="28"/>
          <w:highlight w:val="none"/>
        </w:rPr>
      </w:pPr>
    </w:p>
    <w:p w14:paraId="02A64393">
      <w:pPr>
        <w:shd w:val="clea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hd w:val="clear"/>
        <w:snapToGrid w:val="0"/>
        <w:spacing w:line="360" w:lineRule="auto"/>
        <w:jc w:val="left"/>
        <w:rPr>
          <w:rFonts w:ascii="宋体" w:hAnsi="宋体"/>
          <w:color w:val="auto"/>
          <w:sz w:val="24"/>
          <w:highlight w:val="none"/>
        </w:rPr>
      </w:pPr>
    </w:p>
    <w:p w14:paraId="5ACE4554">
      <w:pPr>
        <w:shd w:val="clear"/>
        <w:snapToGrid w:val="0"/>
        <w:spacing w:line="360" w:lineRule="auto"/>
        <w:jc w:val="left"/>
        <w:rPr>
          <w:rFonts w:ascii="宋体" w:hAnsi="宋体"/>
          <w:color w:val="auto"/>
          <w:sz w:val="24"/>
          <w:highlight w:val="none"/>
        </w:rPr>
      </w:pPr>
    </w:p>
    <w:p w14:paraId="3391C136">
      <w:pPr>
        <w:shd w:val="clear"/>
        <w:snapToGrid w:val="0"/>
        <w:spacing w:line="360" w:lineRule="auto"/>
        <w:jc w:val="left"/>
        <w:rPr>
          <w:rFonts w:ascii="宋体" w:hAnsi="宋体"/>
          <w:color w:val="auto"/>
          <w:sz w:val="24"/>
          <w:highlight w:val="none"/>
        </w:rPr>
      </w:pPr>
    </w:p>
    <w:p w14:paraId="3CB5F19D">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hd w:val="clea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hd w:val="clear"/>
        <w:snapToGrid w:val="0"/>
        <w:jc w:val="center"/>
        <w:rPr>
          <w:rFonts w:ascii="宋体" w:hAnsi="宋体"/>
          <w:b/>
          <w:color w:val="auto"/>
          <w:sz w:val="28"/>
          <w:szCs w:val="28"/>
          <w:highlight w:val="none"/>
        </w:rPr>
      </w:pPr>
    </w:p>
    <w:p w14:paraId="11454CBD">
      <w:pPr>
        <w:shd w:val="clea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hd w:val="clear"/>
        <w:snapToGrid w:val="0"/>
        <w:spacing w:line="360" w:lineRule="auto"/>
        <w:jc w:val="center"/>
        <w:rPr>
          <w:rFonts w:hint="eastAsia" w:ascii="宋体" w:hAnsi="宋体"/>
          <w:b/>
          <w:color w:val="auto"/>
          <w:sz w:val="32"/>
          <w:szCs w:val="32"/>
          <w:highlight w:val="none"/>
        </w:rPr>
      </w:pPr>
    </w:p>
    <w:p w14:paraId="3C1E77DA">
      <w:pPr>
        <w:shd w:val="clea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hd w:val="clear"/>
        <w:snapToGrid w:val="0"/>
        <w:spacing w:line="360" w:lineRule="auto"/>
        <w:jc w:val="left"/>
        <w:rPr>
          <w:rFonts w:ascii="宋体" w:hAnsi="宋体"/>
          <w:color w:val="auto"/>
          <w:sz w:val="24"/>
          <w:highlight w:val="none"/>
        </w:rPr>
      </w:pPr>
    </w:p>
    <w:p w14:paraId="4E5D5079">
      <w:pPr>
        <w:shd w:val="clear"/>
        <w:snapToGrid w:val="0"/>
        <w:spacing w:line="360" w:lineRule="auto"/>
        <w:jc w:val="left"/>
        <w:rPr>
          <w:rFonts w:ascii="宋体" w:hAnsi="宋体"/>
          <w:color w:val="auto"/>
          <w:sz w:val="24"/>
          <w:highlight w:val="none"/>
        </w:rPr>
      </w:pPr>
    </w:p>
    <w:p w14:paraId="55D4FEBD">
      <w:pPr>
        <w:shd w:val="clear"/>
        <w:snapToGrid w:val="0"/>
        <w:spacing w:line="360" w:lineRule="auto"/>
        <w:jc w:val="left"/>
        <w:rPr>
          <w:rFonts w:ascii="宋体" w:hAnsi="宋体"/>
          <w:color w:val="auto"/>
          <w:sz w:val="24"/>
          <w:highlight w:val="none"/>
        </w:rPr>
      </w:pPr>
    </w:p>
    <w:p w14:paraId="57BDCACE">
      <w:pPr>
        <w:shd w:val="clear"/>
        <w:snapToGrid w:val="0"/>
        <w:spacing w:line="360" w:lineRule="auto"/>
        <w:jc w:val="left"/>
        <w:rPr>
          <w:color w:val="auto"/>
          <w:sz w:val="24"/>
          <w:highlight w:val="none"/>
        </w:rPr>
      </w:pPr>
    </w:p>
    <w:p w14:paraId="22ECC1B0">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hd w:val="clea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hd w:val="clear"/>
        <w:snapToGrid w:val="0"/>
        <w:spacing w:before="156" w:beforeLines="50" w:after="50"/>
        <w:jc w:val="left"/>
        <w:rPr>
          <w:rFonts w:ascii="宋体" w:hAnsi="宋体"/>
          <w:color w:val="auto"/>
          <w:sz w:val="24"/>
          <w:highlight w:val="none"/>
        </w:rPr>
      </w:pPr>
    </w:p>
    <w:p w14:paraId="7F075DA1">
      <w:pPr>
        <w:shd w:val="clear"/>
        <w:rPr>
          <w:rFonts w:ascii="宋体" w:hAnsi="宋体"/>
          <w:b/>
          <w:color w:val="auto"/>
          <w:sz w:val="28"/>
          <w:szCs w:val="28"/>
          <w:highlight w:val="none"/>
        </w:rPr>
      </w:pPr>
      <w:r>
        <w:rPr>
          <w:rFonts w:ascii="宋体" w:hAnsi="宋体"/>
          <w:b/>
          <w:color w:val="auto"/>
          <w:sz w:val="28"/>
          <w:szCs w:val="28"/>
          <w:highlight w:val="none"/>
        </w:rPr>
        <w:br w:type="page"/>
      </w:r>
    </w:p>
    <w:p w14:paraId="08E7818D">
      <w:pPr>
        <w:widowControl/>
        <w:shd w:val="clear"/>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8A434AB">
      <w:pPr>
        <w:widowControl/>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1D9E9581">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FCA085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432F43C">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79CE711D">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221C2257">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06062FBB">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78EFDF01">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03B761C8">
      <w:pPr>
        <w:widowControl/>
        <w:shd w:val="clear"/>
        <w:spacing w:line="360" w:lineRule="auto"/>
        <w:ind w:firstLine="420"/>
        <w:rPr>
          <w:rFonts w:ascii="宋体" w:hAnsi="宋体" w:cs="宋体"/>
          <w:color w:val="auto"/>
          <w:kern w:val="1"/>
          <w:sz w:val="24"/>
          <w:szCs w:val="24"/>
          <w:highlight w:val="none"/>
        </w:rPr>
      </w:pPr>
    </w:p>
    <w:p w14:paraId="7DF7B99B">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0EA644FE">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37B08EDB">
      <w:pPr>
        <w:widowControl/>
        <w:shd w:val="clear"/>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728419AC">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4C13520E">
      <w:pPr>
        <w:shd w:val="clear"/>
        <w:spacing w:line="360" w:lineRule="exact"/>
        <w:ind w:firstLine="6720"/>
        <w:rPr>
          <w:rFonts w:ascii="宋体" w:hAnsi="宋体" w:cs="Courier New"/>
          <w:color w:val="auto"/>
          <w:kern w:val="1"/>
          <w:szCs w:val="21"/>
          <w:highlight w:val="none"/>
        </w:rPr>
      </w:pPr>
    </w:p>
    <w:p w14:paraId="2ED45CAD">
      <w:pPr>
        <w:shd w:val="clear"/>
        <w:spacing w:line="360" w:lineRule="exact"/>
        <w:ind w:firstLine="6720"/>
        <w:rPr>
          <w:rFonts w:ascii="宋体" w:hAnsi="宋体" w:cs="Courier New"/>
          <w:color w:val="auto"/>
          <w:kern w:val="1"/>
          <w:szCs w:val="21"/>
          <w:highlight w:val="none"/>
        </w:rPr>
      </w:pPr>
    </w:p>
    <w:p w14:paraId="42C80AED">
      <w:pPr>
        <w:shd w:val="clear"/>
        <w:spacing w:line="360" w:lineRule="exact"/>
        <w:ind w:firstLine="6720"/>
        <w:rPr>
          <w:rFonts w:ascii="宋体" w:hAnsi="宋体" w:cs="Courier New"/>
          <w:color w:val="auto"/>
          <w:kern w:val="1"/>
          <w:szCs w:val="21"/>
          <w:highlight w:val="none"/>
        </w:rPr>
      </w:pPr>
    </w:p>
    <w:p w14:paraId="0BB04DD6">
      <w:pPr>
        <w:shd w:val="clear"/>
        <w:spacing w:line="360" w:lineRule="exact"/>
        <w:ind w:firstLine="6720"/>
        <w:rPr>
          <w:rFonts w:ascii="宋体" w:hAnsi="宋体" w:cs="Courier New"/>
          <w:color w:val="auto"/>
          <w:kern w:val="1"/>
          <w:szCs w:val="21"/>
          <w:highlight w:val="none"/>
        </w:rPr>
      </w:pPr>
    </w:p>
    <w:p w14:paraId="1412D526">
      <w:pPr>
        <w:shd w:val="clea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68BDA962">
      <w:pPr>
        <w:shd w:val="clear"/>
        <w:spacing w:line="588" w:lineRule="exact"/>
        <w:rPr>
          <w:rFonts w:ascii="宋体" w:hAnsi="宋体" w:cs="宋体"/>
          <w:color w:val="auto"/>
          <w:kern w:val="1"/>
          <w:szCs w:val="21"/>
          <w:highlight w:val="none"/>
        </w:rPr>
      </w:pPr>
    </w:p>
    <w:p w14:paraId="2DFA30F1">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B4A2445">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14836C66">
      <w:pPr>
        <w:shd w:val="clear"/>
        <w:spacing w:line="588" w:lineRule="exact"/>
        <w:ind w:firstLine="420"/>
        <w:rPr>
          <w:rFonts w:ascii="宋体" w:hAnsi="宋体" w:cs="宋体"/>
          <w:color w:val="auto"/>
          <w:kern w:val="1"/>
          <w:sz w:val="24"/>
          <w:szCs w:val="24"/>
          <w:highlight w:val="none"/>
        </w:rPr>
      </w:pPr>
    </w:p>
    <w:p w14:paraId="0023C371">
      <w:pPr>
        <w:shd w:val="clear"/>
        <w:spacing w:line="588" w:lineRule="exact"/>
        <w:ind w:firstLine="420"/>
        <w:rPr>
          <w:rFonts w:ascii="宋体" w:hAnsi="宋体" w:cs="宋体"/>
          <w:color w:val="auto"/>
          <w:kern w:val="1"/>
          <w:sz w:val="24"/>
          <w:szCs w:val="24"/>
          <w:highlight w:val="none"/>
        </w:rPr>
      </w:pPr>
    </w:p>
    <w:p w14:paraId="2F51F102">
      <w:pPr>
        <w:shd w:val="clea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3726982D">
      <w:pPr>
        <w:widowControl/>
        <w:shd w:val="clear"/>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04FC8FDA">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116AC0C1">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0B4AA324">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35707726">
      <w:pPr>
        <w:shd w:val="clea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18A7C03E">
      <w:pPr>
        <w:shd w:val="clea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hd w:val="clear"/>
        <w:spacing w:line="320" w:lineRule="exact"/>
        <w:jc w:val="center"/>
        <w:rPr>
          <w:rFonts w:ascii="宋体" w:hAnsi="宋体"/>
          <w:color w:val="auto"/>
          <w:sz w:val="24"/>
          <w:szCs w:val="20"/>
          <w:highlight w:val="none"/>
        </w:rPr>
      </w:pPr>
    </w:p>
    <w:p w14:paraId="059EC9F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shd w:val="clea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hd w:val="clear"/>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hd w:val="clear"/>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shd w:val="clear"/>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hd w:val="clea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hd w:val="clear"/>
        <w:spacing w:line="360" w:lineRule="auto"/>
        <w:contextualSpacing/>
        <w:jc w:val="left"/>
        <w:rPr>
          <w:rFonts w:ascii="宋体" w:hAnsi="宋体" w:cs="宋体"/>
          <w:color w:val="auto"/>
          <w:szCs w:val="21"/>
          <w:highlight w:val="none"/>
        </w:rPr>
      </w:pPr>
    </w:p>
    <w:p w14:paraId="3CD91042">
      <w:pPr>
        <w:shd w:val="clea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hd w:val="clea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shd w:val="clear"/>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shd w:val="clea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hd w:val="clea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hd w:val="clea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hd w:val="clear"/>
        <w:spacing w:line="281" w:lineRule="auto"/>
        <w:rPr>
          <w:rFonts w:ascii="Arial"/>
          <w:color w:val="auto"/>
          <w:sz w:val="21"/>
          <w:highlight w:val="none"/>
        </w:rPr>
      </w:pPr>
    </w:p>
    <w:p w14:paraId="6E8B6ADF">
      <w:pPr>
        <w:shd w:val="clear"/>
        <w:spacing w:line="281" w:lineRule="auto"/>
        <w:rPr>
          <w:rFonts w:ascii="Arial"/>
          <w:color w:val="auto"/>
          <w:sz w:val="21"/>
          <w:highlight w:val="none"/>
        </w:rPr>
      </w:pPr>
    </w:p>
    <w:p w14:paraId="1F1EA72C">
      <w:pPr>
        <w:shd w:val="clear"/>
        <w:spacing w:line="282" w:lineRule="auto"/>
        <w:rPr>
          <w:rFonts w:ascii="Arial"/>
          <w:color w:val="auto"/>
          <w:sz w:val="21"/>
          <w:highlight w:val="none"/>
        </w:rPr>
      </w:pPr>
    </w:p>
    <w:p w14:paraId="2AFAB344">
      <w:pPr>
        <w:shd w:val="clea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hd w:val="clear"/>
        <w:spacing w:line="264" w:lineRule="auto"/>
        <w:rPr>
          <w:rFonts w:ascii="Arial"/>
          <w:color w:val="auto"/>
          <w:sz w:val="21"/>
          <w:highlight w:val="none"/>
        </w:rPr>
      </w:pPr>
    </w:p>
    <w:p w14:paraId="335E3979">
      <w:pPr>
        <w:shd w:val="clear"/>
        <w:spacing w:line="265" w:lineRule="auto"/>
        <w:rPr>
          <w:rFonts w:ascii="Arial"/>
          <w:color w:val="auto"/>
          <w:sz w:val="21"/>
          <w:highlight w:val="none"/>
        </w:rPr>
      </w:pPr>
    </w:p>
    <w:p w14:paraId="46FDD3E4">
      <w:pPr>
        <w:shd w:val="clear"/>
        <w:spacing w:line="265" w:lineRule="auto"/>
        <w:rPr>
          <w:rFonts w:ascii="Arial"/>
          <w:color w:val="auto"/>
          <w:sz w:val="21"/>
          <w:highlight w:val="none"/>
        </w:rPr>
      </w:pPr>
    </w:p>
    <w:p w14:paraId="4DD91BB1">
      <w:pPr>
        <w:shd w:val="clear"/>
        <w:spacing w:line="265" w:lineRule="auto"/>
        <w:rPr>
          <w:rFonts w:ascii="Arial"/>
          <w:color w:val="auto"/>
          <w:sz w:val="21"/>
          <w:highlight w:val="none"/>
        </w:rPr>
      </w:pPr>
    </w:p>
    <w:p w14:paraId="03948C22">
      <w:pPr>
        <w:shd w:val="clea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hd w:val="clear"/>
        <w:spacing w:line="242" w:lineRule="auto"/>
        <w:rPr>
          <w:rFonts w:ascii="Arial"/>
          <w:color w:val="auto"/>
          <w:sz w:val="21"/>
          <w:highlight w:val="none"/>
        </w:rPr>
      </w:pPr>
    </w:p>
    <w:p w14:paraId="4FA5BE2B">
      <w:pPr>
        <w:shd w:val="clear"/>
        <w:spacing w:line="243" w:lineRule="auto"/>
        <w:rPr>
          <w:rFonts w:ascii="Arial"/>
          <w:color w:val="auto"/>
          <w:sz w:val="21"/>
          <w:highlight w:val="none"/>
        </w:rPr>
      </w:pPr>
    </w:p>
    <w:p w14:paraId="12AACE55">
      <w:pPr>
        <w:shd w:val="clear"/>
        <w:spacing w:line="243" w:lineRule="auto"/>
        <w:rPr>
          <w:rFonts w:ascii="Arial"/>
          <w:color w:val="auto"/>
          <w:sz w:val="21"/>
          <w:highlight w:val="none"/>
        </w:rPr>
      </w:pPr>
    </w:p>
    <w:p w14:paraId="32182EF8">
      <w:pPr>
        <w:shd w:val="clear"/>
        <w:spacing w:line="243" w:lineRule="auto"/>
        <w:rPr>
          <w:rFonts w:ascii="Arial"/>
          <w:color w:val="auto"/>
          <w:sz w:val="21"/>
          <w:highlight w:val="none"/>
        </w:rPr>
      </w:pPr>
    </w:p>
    <w:p w14:paraId="585596DE">
      <w:pPr>
        <w:shd w:val="clear"/>
        <w:spacing w:line="243" w:lineRule="auto"/>
        <w:rPr>
          <w:rFonts w:ascii="Arial"/>
          <w:color w:val="auto"/>
          <w:sz w:val="21"/>
          <w:highlight w:val="none"/>
        </w:rPr>
      </w:pPr>
    </w:p>
    <w:p w14:paraId="7D4CE206">
      <w:pPr>
        <w:shd w:val="clear"/>
        <w:spacing w:line="243" w:lineRule="auto"/>
        <w:rPr>
          <w:rFonts w:ascii="Arial"/>
          <w:color w:val="auto"/>
          <w:sz w:val="21"/>
          <w:highlight w:val="none"/>
        </w:rPr>
      </w:pPr>
    </w:p>
    <w:p w14:paraId="0AEC7335">
      <w:pPr>
        <w:shd w:val="clear"/>
        <w:spacing w:line="243" w:lineRule="auto"/>
        <w:rPr>
          <w:rFonts w:ascii="Arial"/>
          <w:color w:val="auto"/>
          <w:sz w:val="21"/>
          <w:highlight w:val="none"/>
        </w:rPr>
      </w:pPr>
    </w:p>
    <w:p w14:paraId="7E250D0F">
      <w:pPr>
        <w:shd w:val="clear"/>
        <w:spacing w:line="243" w:lineRule="auto"/>
        <w:rPr>
          <w:rFonts w:ascii="Arial"/>
          <w:color w:val="auto"/>
          <w:sz w:val="21"/>
          <w:highlight w:val="none"/>
        </w:rPr>
      </w:pPr>
    </w:p>
    <w:p w14:paraId="40DBE0D2">
      <w:pPr>
        <w:shd w:val="clear"/>
        <w:spacing w:line="243" w:lineRule="auto"/>
        <w:rPr>
          <w:rFonts w:ascii="Arial"/>
          <w:color w:val="auto"/>
          <w:sz w:val="21"/>
          <w:highlight w:val="none"/>
        </w:rPr>
      </w:pPr>
    </w:p>
    <w:p w14:paraId="6A14F79E">
      <w:pPr>
        <w:shd w:val="clear"/>
        <w:spacing w:line="243" w:lineRule="auto"/>
        <w:rPr>
          <w:rFonts w:ascii="Arial"/>
          <w:color w:val="auto"/>
          <w:sz w:val="21"/>
          <w:highlight w:val="none"/>
        </w:rPr>
      </w:pPr>
    </w:p>
    <w:p w14:paraId="14597E29">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hd w:val="clear"/>
        <w:spacing w:line="328" w:lineRule="auto"/>
        <w:rPr>
          <w:rFonts w:ascii="Arial"/>
          <w:color w:val="auto"/>
          <w:sz w:val="21"/>
          <w:highlight w:val="none"/>
        </w:rPr>
      </w:pPr>
    </w:p>
    <w:p w14:paraId="2E314441">
      <w:pPr>
        <w:shd w:val="clear"/>
        <w:spacing w:line="328" w:lineRule="auto"/>
        <w:rPr>
          <w:rFonts w:ascii="Arial"/>
          <w:color w:val="auto"/>
          <w:sz w:val="21"/>
          <w:highlight w:val="none"/>
        </w:rPr>
      </w:pPr>
    </w:p>
    <w:p w14:paraId="51BF4868">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hd w:val="clear"/>
        <w:spacing w:line="328" w:lineRule="auto"/>
        <w:rPr>
          <w:rFonts w:ascii="Arial"/>
          <w:color w:val="auto"/>
          <w:sz w:val="21"/>
          <w:highlight w:val="none"/>
        </w:rPr>
      </w:pPr>
    </w:p>
    <w:p w14:paraId="0C85C7A8">
      <w:pPr>
        <w:shd w:val="clear"/>
        <w:spacing w:line="328" w:lineRule="auto"/>
        <w:rPr>
          <w:rFonts w:ascii="Arial"/>
          <w:color w:val="auto"/>
          <w:sz w:val="21"/>
          <w:highlight w:val="none"/>
        </w:rPr>
      </w:pPr>
    </w:p>
    <w:p w14:paraId="2665BB63">
      <w:pPr>
        <w:shd w:val="clea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hd w:val="clear"/>
        <w:spacing w:line="276" w:lineRule="auto"/>
        <w:rPr>
          <w:rFonts w:ascii="Arial"/>
          <w:color w:val="auto"/>
          <w:sz w:val="21"/>
          <w:highlight w:val="none"/>
        </w:rPr>
      </w:pPr>
    </w:p>
    <w:p w14:paraId="5D385587">
      <w:pPr>
        <w:shd w:val="clear"/>
        <w:spacing w:line="276" w:lineRule="auto"/>
        <w:rPr>
          <w:rFonts w:ascii="Arial"/>
          <w:color w:val="auto"/>
          <w:sz w:val="21"/>
          <w:highlight w:val="none"/>
        </w:rPr>
      </w:pPr>
    </w:p>
    <w:p w14:paraId="407F06C8">
      <w:pPr>
        <w:shd w:val="clea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hd w:val="clear"/>
        <w:spacing w:line="242" w:lineRule="auto"/>
        <w:rPr>
          <w:rFonts w:ascii="Arial"/>
          <w:color w:val="auto"/>
          <w:sz w:val="21"/>
          <w:highlight w:val="none"/>
        </w:rPr>
      </w:pPr>
    </w:p>
    <w:p w14:paraId="1EDDA899">
      <w:pPr>
        <w:shd w:val="clear"/>
        <w:spacing w:line="242" w:lineRule="auto"/>
        <w:rPr>
          <w:rFonts w:ascii="Arial"/>
          <w:color w:val="auto"/>
          <w:sz w:val="21"/>
          <w:highlight w:val="none"/>
        </w:rPr>
      </w:pPr>
    </w:p>
    <w:p w14:paraId="2F70FA5A">
      <w:pPr>
        <w:shd w:val="clear"/>
        <w:spacing w:line="242" w:lineRule="auto"/>
        <w:rPr>
          <w:rFonts w:ascii="Arial"/>
          <w:color w:val="auto"/>
          <w:sz w:val="21"/>
          <w:highlight w:val="none"/>
        </w:rPr>
      </w:pPr>
    </w:p>
    <w:p w14:paraId="4BA54688">
      <w:pPr>
        <w:shd w:val="clear"/>
        <w:spacing w:line="242" w:lineRule="auto"/>
        <w:rPr>
          <w:rFonts w:ascii="Arial"/>
          <w:color w:val="auto"/>
          <w:sz w:val="21"/>
          <w:highlight w:val="none"/>
        </w:rPr>
      </w:pPr>
    </w:p>
    <w:p w14:paraId="03B2B111">
      <w:pPr>
        <w:shd w:val="clear"/>
        <w:spacing w:line="243" w:lineRule="auto"/>
        <w:rPr>
          <w:rFonts w:ascii="Arial"/>
          <w:color w:val="auto"/>
          <w:sz w:val="21"/>
          <w:highlight w:val="none"/>
        </w:rPr>
      </w:pPr>
    </w:p>
    <w:p w14:paraId="19DB1880">
      <w:pPr>
        <w:shd w:val="clear"/>
        <w:spacing w:line="243" w:lineRule="auto"/>
        <w:rPr>
          <w:rFonts w:ascii="Arial"/>
          <w:color w:val="auto"/>
          <w:sz w:val="21"/>
          <w:highlight w:val="none"/>
        </w:rPr>
      </w:pPr>
    </w:p>
    <w:p w14:paraId="29E3DCFA">
      <w:pPr>
        <w:shd w:val="clear"/>
        <w:spacing w:line="243" w:lineRule="auto"/>
        <w:rPr>
          <w:rFonts w:ascii="Arial"/>
          <w:color w:val="auto"/>
          <w:sz w:val="21"/>
          <w:highlight w:val="none"/>
        </w:rPr>
      </w:pPr>
    </w:p>
    <w:p w14:paraId="23DD77E2">
      <w:pPr>
        <w:shd w:val="clear"/>
        <w:spacing w:line="243" w:lineRule="auto"/>
        <w:rPr>
          <w:rFonts w:ascii="Arial"/>
          <w:color w:val="auto"/>
          <w:sz w:val="21"/>
          <w:highlight w:val="none"/>
        </w:rPr>
      </w:pPr>
    </w:p>
    <w:p w14:paraId="5A229655">
      <w:pPr>
        <w:shd w:val="clea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hd w:val="clea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NumType w:fmt="decimal" w:start="1"/>
          <w:cols w:space="720" w:num="1"/>
          <w:rtlGutter w:val="0"/>
        </w:sectPr>
      </w:pPr>
    </w:p>
    <w:p w14:paraId="0FC0033D">
      <w:pPr>
        <w:keepNext w:val="0"/>
        <w:keepLines w:val="0"/>
        <w:widowControl/>
        <w:suppressLineNumbers w:val="0"/>
        <w:shd w:val="clear"/>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hd w:val="clear"/>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hd w:val="clea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NumType w:fmt="decimal"/>
          <w:cols w:space="720" w:num="1"/>
          <w:rtlGutter w:val="0"/>
        </w:sectPr>
      </w:pPr>
    </w:p>
    <w:p w14:paraId="5BC2C67E">
      <w:pPr>
        <w:shd w:val="clear"/>
        <w:spacing w:line="292" w:lineRule="auto"/>
        <w:rPr>
          <w:rFonts w:ascii="Arial"/>
          <w:color w:val="auto"/>
          <w:sz w:val="21"/>
          <w:highlight w:val="none"/>
        </w:rPr>
      </w:pPr>
    </w:p>
    <w:p w14:paraId="463BF7D1">
      <w:pPr>
        <w:pStyle w:val="32"/>
        <w:shd w:val="clear"/>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1AC5DA70">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6629FC88">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B5AA61D">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146F0D0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5BA05CA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14D9BCE0">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53C1319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4F1EA3D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3C7DED88">
        <w:tblPrEx>
          <w:tblCellMar>
            <w:top w:w="0" w:type="dxa"/>
            <w:left w:w="108" w:type="dxa"/>
            <w:bottom w:w="0" w:type="dxa"/>
            <w:right w:w="108" w:type="dxa"/>
          </w:tblCellMar>
        </w:tblPrEx>
        <w:trPr>
          <w:trHeight w:val="1171"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40DD6D1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4939F64F">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B29D5CA">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1BD3CDE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A438A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74E608C1">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75CC9F73">
        <w:tblPrEx>
          <w:tblCellMar>
            <w:top w:w="0" w:type="dxa"/>
            <w:left w:w="108" w:type="dxa"/>
            <w:bottom w:w="0" w:type="dxa"/>
            <w:right w:w="108" w:type="dxa"/>
          </w:tblCellMar>
        </w:tblPrEx>
        <w:trPr>
          <w:trHeight w:val="849"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47F1336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125DBE3">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02932650">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6FE2B751">
      <w:pPr>
        <w:shd w:val="clear"/>
        <w:spacing w:line="500" w:lineRule="exact"/>
        <w:rPr>
          <w:rFonts w:ascii="宋体" w:hAnsi="宋体" w:cs="宋体"/>
          <w:color w:val="auto"/>
          <w:kern w:val="1"/>
          <w:sz w:val="24"/>
          <w:szCs w:val="24"/>
          <w:highlight w:val="none"/>
        </w:rPr>
      </w:pPr>
    </w:p>
    <w:p w14:paraId="61C3DF95">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shd w:val="clear"/>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shd w:val="clea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3CD48DE1">
      <w:pPr>
        <w:shd w:val="clea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4BB7A3AF">
      <w:pPr>
        <w:rPr>
          <w:rFonts w:ascii="宋体" w:hAnsi="宋体" w:cs="宋体"/>
          <w:color w:val="auto"/>
          <w:kern w:val="1"/>
          <w:sz w:val="24"/>
          <w:szCs w:val="24"/>
          <w:highlight w:val="none"/>
        </w:rPr>
      </w:pPr>
      <w:r>
        <w:rPr>
          <w:rFonts w:ascii="宋体" w:hAnsi="宋体" w:cs="宋体"/>
          <w:color w:val="auto"/>
          <w:kern w:val="1"/>
          <w:sz w:val="24"/>
          <w:szCs w:val="24"/>
          <w:highlight w:val="none"/>
        </w:rPr>
        <w:br w:type="page"/>
      </w:r>
    </w:p>
    <w:p w14:paraId="06B4D98B">
      <w:pPr>
        <w:shd w:val="clea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hd w:val="clea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hd w:val="clear"/>
        <w:spacing w:line="280" w:lineRule="auto"/>
        <w:rPr>
          <w:rFonts w:ascii="Arial"/>
          <w:color w:val="auto"/>
          <w:sz w:val="21"/>
          <w:highlight w:val="none"/>
        </w:rPr>
      </w:pPr>
    </w:p>
    <w:p w14:paraId="6B013B40">
      <w:pPr>
        <w:shd w:val="clear"/>
        <w:spacing w:line="281" w:lineRule="auto"/>
        <w:rPr>
          <w:rFonts w:ascii="Arial"/>
          <w:color w:val="auto"/>
          <w:sz w:val="21"/>
          <w:highlight w:val="none"/>
        </w:rPr>
      </w:pPr>
    </w:p>
    <w:p w14:paraId="167086D4">
      <w:pPr>
        <w:shd w:val="clear"/>
        <w:spacing w:line="281" w:lineRule="auto"/>
        <w:rPr>
          <w:rFonts w:ascii="Arial"/>
          <w:color w:val="auto"/>
          <w:sz w:val="21"/>
          <w:highlight w:val="none"/>
        </w:rPr>
      </w:pPr>
    </w:p>
    <w:p w14:paraId="17CE2F68">
      <w:pPr>
        <w:shd w:val="clea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hd w:val="clear"/>
        <w:spacing w:line="265" w:lineRule="auto"/>
        <w:rPr>
          <w:rFonts w:ascii="Arial"/>
          <w:color w:val="auto"/>
          <w:sz w:val="21"/>
          <w:highlight w:val="none"/>
        </w:rPr>
      </w:pPr>
    </w:p>
    <w:p w14:paraId="623360FD">
      <w:pPr>
        <w:shd w:val="clear"/>
        <w:spacing w:line="265" w:lineRule="auto"/>
        <w:rPr>
          <w:rFonts w:ascii="Arial"/>
          <w:color w:val="auto"/>
          <w:sz w:val="21"/>
          <w:highlight w:val="none"/>
        </w:rPr>
      </w:pPr>
    </w:p>
    <w:p w14:paraId="656730B7">
      <w:pPr>
        <w:shd w:val="clear"/>
        <w:spacing w:line="266" w:lineRule="auto"/>
        <w:rPr>
          <w:rFonts w:ascii="Arial"/>
          <w:color w:val="auto"/>
          <w:sz w:val="21"/>
          <w:highlight w:val="none"/>
        </w:rPr>
      </w:pPr>
    </w:p>
    <w:p w14:paraId="6DE5B7DD">
      <w:pPr>
        <w:shd w:val="clear"/>
        <w:spacing w:line="266" w:lineRule="auto"/>
        <w:rPr>
          <w:rFonts w:ascii="Arial"/>
          <w:color w:val="auto"/>
          <w:sz w:val="21"/>
          <w:highlight w:val="none"/>
        </w:rPr>
      </w:pPr>
    </w:p>
    <w:p w14:paraId="57986B08">
      <w:pPr>
        <w:shd w:val="clea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hd w:val="clear"/>
        <w:spacing w:line="242" w:lineRule="auto"/>
        <w:rPr>
          <w:rFonts w:ascii="Arial"/>
          <w:color w:val="auto"/>
          <w:sz w:val="21"/>
          <w:highlight w:val="none"/>
        </w:rPr>
      </w:pPr>
    </w:p>
    <w:p w14:paraId="2E72B084">
      <w:pPr>
        <w:shd w:val="clear"/>
        <w:spacing w:line="243" w:lineRule="auto"/>
        <w:rPr>
          <w:rFonts w:ascii="Arial"/>
          <w:color w:val="auto"/>
          <w:sz w:val="21"/>
          <w:highlight w:val="none"/>
        </w:rPr>
      </w:pPr>
    </w:p>
    <w:p w14:paraId="3932725C">
      <w:pPr>
        <w:shd w:val="clear"/>
        <w:spacing w:line="243" w:lineRule="auto"/>
        <w:rPr>
          <w:rFonts w:ascii="Arial"/>
          <w:color w:val="auto"/>
          <w:sz w:val="21"/>
          <w:highlight w:val="none"/>
        </w:rPr>
      </w:pPr>
    </w:p>
    <w:p w14:paraId="2F99C4AF">
      <w:pPr>
        <w:shd w:val="clear"/>
        <w:spacing w:line="243" w:lineRule="auto"/>
        <w:rPr>
          <w:rFonts w:ascii="Arial"/>
          <w:color w:val="auto"/>
          <w:sz w:val="21"/>
          <w:highlight w:val="none"/>
        </w:rPr>
      </w:pPr>
    </w:p>
    <w:p w14:paraId="5807C1A5">
      <w:pPr>
        <w:shd w:val="clear"/>
        <w:spacing w:line="243" w:lineRule="auto"/>
        <w:rPr>
          <w:rFonts w:ascii="Arial"/>
          <w:color w:val="auto"/>
          <w:sz w:val="21"/>
          <w:highlight w:val="none"/>
        </w:rPr>
      </w:pPr>
    </w:p>
    <w:p w14:paraId="302275BC">
      <w:pPr>
        <w:shd w:val="clear"/>
        <w:spacing w:line="243" w:lineRule="auto"/>
        <w:rPr>
          <w:rFonts w:ascii="Arial"/>
          <w:color w:val="auto"/>
          <w:sz w:val="21"/>
          <w:highlight w:val="none"/>
        </w:rPr>
      </w:pPr>
    </w:p>
    <w:p w14:paraId="2BCAA46F">
      <w:pPr>
        <w:shd w:val="clear"/>
        <w:spacing w:line="243" w:lineRule="auto"/>
        <w:rPr>
          <w:rFonts w:ascii="Arial"/>
          <w:color w:val="auto"/>
          <w:sz w:val="21"/>
          <w:highlight w:val="none"/>
        </w:rPr>
      </w:pPr>
    </w:p>
    <w:p w14:paraId="5FBEBC38">
      <w:pPr>
        <w:shd w:val="clear"/>
        <w:spacing w:line="243" w:lineRule="auto"/>
        <w:rPr>
          <w:rFonts w:ascii="Arial"/>
          <w:color w:val="auto"/>
          <w:sz w:val="21"/>
          <w:highlight w:val="none"/>
        </w:rPr>
      </w:pPr>
    </w:p>
    <w:p w14:paraId="443FC182">
      <w:pPr>
        <w:shd w:val="clear"/>
        <w:spacing w:line="243" w:lineRule="auto"/>
        <w:rPr>
          <w:rFonts w:ascii="Arial"/>
          <w:color w:val="auto"/>
          <w:sz w:val="21"/>
          <w:highlight w:val="none"/>
        </w:rPr>
      </w:pPr>
    </w:p>
    <w:p w14:paraId="0FC8D923">
      <w:pPr>
        <w:shd w:val="clear"/>
        <w:spacing w:line="243" w:lineRule="auto"/>
        <w:rPr>
          <w:rFonts w:ascii="Arial"/>
          <w:color w:val="auto"/>
          <w:sz w:val="21"/>
          <w:highlight w:val="none"/>
        </w:rPr>
      </w:pPr>
    </w:p>
    <w:p w14:paraId="0E9F97C9">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hd w:val="clear"/>
        <w:spacing w:line="328" w:lineRule="auto"/>
        <w:rPr>
          <w:rFonts w:ascii="Arial"/>
          <w:color w:val="auto"/>
          <w:sz w:val="21"/>
          <w:highlight w:val="none"/>
        </w:rPr>
      </w:pPr>
    </w:p>
    <w:p w14:paraId="76059816">
      <w:pPr>
        <w:shd w:val="clear"/>
        <w:spacing w:line="328" w:lineRule="auto"/>
        <w:rPr>
          <w:rFonts w:ascii="Arial"/>
          <w:color w:val="auto"/>
          <w:sz w:val="21"/>
          <w:highlight w:val="none"/>
        </w:rPr>
      </w:pPr>
    </w:p>
    <w:p w14:paraId="5891EBEF">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hd w:val="clear"/>
        <w:spacing w:line="328" w:lineRule="auto"/>
        <w:rPr>
          <w:rFonts w:ascii="Arial"/>
          <w:color w:val="auto"/>
          <w:sz w:val="21"/>
          <w:highlight w:val="none"/>
        </w:rPr>
      </w:pPr>
    </w:p>
    <w:p w14:paraId="02F640F2">
      <w:pPr>
        <w:shd w:val="clear"/>
        <w:spacing w:line="328" w:lineRule="auto"/>
        <w:rPr>
          <w:rFonts w:ascii="Arial"/>
          <w:color w:val="auto"/>
          <w:sz w:val="21"/>
          <w:highlight w:val="none"/>
        </w:rPr>
      </w:pPr>
    </w:p>
    <w:p w14:paraId="2BD4DC0B">
      <w:pPr>
        <w:shd w:val="clea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hd w:val="clear"/>
        <w:spacing w:line="276" w:lineRule="auto"/>
        <w:rPr>
          <w:rFonts w:ascii="Arial"/>
          <w:color w:val="auto"/>
          <w:sz w:val="21"/>
          <w:highlight w:val="none"/>
        </w:rPr>
      </w:pPr>
    </w:p>
    <w:p w14:paraId="2A7B9976">
      <w:pPr>
        <w:shd w:val="clear"/>
        <w:spacing w:line="276" w:lineRule="auto"/>
        <w:rPr>
          <w:rFonts w:ascii="Arial"/>
          <w:color w:val="auto"/>
          <w:sz w:val="21"/>
          <w:highlight w:val="none"/>
        </w:rPr>
      </w:pPr>
    </w:p>
    <w:p w14:paraId="46E39E1B">
      <w:pPr>
        <w:shd w:val="clea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hd w:val="clear"/>
        <w:spacing w:line="242" w:lineRule="auto"/>
        <w:rPr>
          <w:rFonts w:ascii="Arial"/>
          <w:color w:val="auto"/>
          <w:sz w:val="21"/>
          <w:highlight w:val="none"/>
        </w:rPr>
      </w:pPr>
    </w:p>
    <w:p w14:paraId="7212C342">
      <w:pPr>
        <w:shd w:val="clear"/>
        <w:spacing w:line="242" w:lineRule="auto"/>
        <w:rPr>
          <w:rFonts w:ascii="Arial"/>
          <w:color w:val="auto"/>
          <w:sz w:val="21"/>
          <w:highlight w:val="none"/>
        </w:rPr>
      </w:pPr>
    </w:p>
    <w:p w14:paraId="0B791AA1">
      <w:pPr>
        <w:shd w:val="clear"/>
        <w:spacing w:line="242" w:lineRule="auto"/>
        <w:rPr>
          <w:rFonts w:ascii="Arial"/>
          <w:color w:val="auto"/>
          <w:sz w:val="21"/>
          <w:highlight w:val="none"/>
        </w:rPr>
      </w:pPr>
    </w:p>
    <w:p w14:paraId="1AD2363E">
      <w:pPr>
        <w:shd w:val="clear"/>
        <w:spacing w:line="242" w:lineRule="auto"/>
        <w:rPr>
          <w:rFonts w:ascii="Arial"/>
          <w:color w:val="auto"/>
          <w:sz w:val="21"/>
          <w:highlight w:val="none"/>
        </w:rPr>
      </w:pPr>
    </w:p>
    <w:p w14:paraId="06929DF5">
      <w:pPr>
        <w:shd w:val="clear"/>
        <w:spacing w:line="243" w:lineRule="auto"/>
        <w:rPr>
          <w:rFonts w:ascii="Arial"/>
          <w:color w:val="auto"/>
          <w:sz w:val="21"/>
          <w:highlight w:val="none"/>
        </w:rPr>
      </w:pPr>
    </w:p>
    <w:p w14:paraId="5F0BB939">
      <w:pPr>
        <w:shd w:val="clear"/>
        <w:spacing w:line="243" w:lineRule="auto"/>
        <w:rPr>
          <w:rFonts w:ascii="Arial"/>
          <w:color w:val="auto"/>
          <w:sz w:val="21"/>
          <w:highlight w:val="none"/>
        </w:rPr>
      </w:pPr>
    </w:p>
    <w:p w14:paraId="22CB2731">
      <w:pPr>
        <w:shd w:val="clear"/>
        <w:spacing w:line="243" w:lineRule="auto"/>
        <w:rPr>
          <w:rFonts w:ascii="Arial"/>
          <w:color w:val="auto"/>
          <w:sz w:val="21"/>
          <w:highlight w:val="none"/>
        </w:rPr>
      </w:pPr>
    </w:p>
    <w:p w14:paraId="299E0A48">
      <w:pPr>
        <w:shd w:val="clear"/>
        <w:spacing w:line="243" w:lineRule="auto"/>
        <w:rPr>
          <w:rFonts w:ascii="Arial"/>
          <w:color w:val="auto"/>
          <w:sz w:val="21"/>
          <w:highlight w:val="none"/>
        </w:rPr>
      </w:pPr>
    </w:p>
    <w:p w14:paraId="0726CE5E">
      <w:pPr>
        <w:shd w:val="clea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hd w:val="clea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NumType w:fmt="decimal"/>
          <w:cols w:space="720" w:num="1"/>
          <w:rtlGutter w:val="0"/>
        </w:sectPr>
      </w:pPr>
    </w:p>
    <w:p w14:paraId="5BD55C1C">
      <w:pPr>
        <w:shd w:val="clea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hd w:val="clear"/>
        <w:spacing w:line="295" w:lineRule="auto"/>
        <w:rPr>
          <w:rFonts w:ascii="Arial"/>
          <w:color w:val="auto"/>
          <w:sz w:val="21"/>
          <w:highlight w:val="none"/>
        </w:rPr>
      </w:pPr>
    </w:p>
    <w:p w14:paraId="0D6DE343">
      <w:pPr>
        <w:shd w:val="clea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hd w:val="clea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hd w:val="clea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NumType w:fmt="decimal"/>
          <w:cols w:space="720" w:num="1"/>
          <w:rtlGutter w:val="0"/>
        </w:sectPr>
      </w:pPr>
    </w:p>
    <w:p w14:paraId="25DF411C">
      <w:pPr>
        <w:shd w:val="clea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hd w:val="clear"/>
        <w:spacing w:line="520" w:lineRule="exact"/>
        <w:jc w:val="center"/>
        <w:rPr>
          <w:rFonts w:ascii="宋体" w:hAnsi="宋体" w:cs="宋体"/>
          <w:b/>
          <w:color w:val="auto"/>
          <w:kern w:val="1"/>
          <w:szCs w:val="21"/>
          <w:highlight w:val="none"/>
        </w:rPr>
      </w:pPr>
    </w:p>
    <w:p w14:paraId="14457641">
      <w:pPr>
        <w:pStyle w:val="32"/>
        <w:shd w:val="clear"/>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hd w:val="clear"/>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hd w:val="clear"/>
        <w:spacing w:line="520" w:lineRule="exact"/>
        <w:ind w:firstLine="480"/>
        <w:rPr>
          <w:color w:val="auto"/>
          <w:sz w:val="24"/>
          <w:szCs w:val="24"/>
          <w:highlight w:val="none"/>
        </w:rPr>
      </w:pPr>
      <w:r>
        <w:rPr>
          <w:color w:val="auto"/>
          <w:sz w:val="24"/>
          <w:szCs w:val="24"/>
          <w:highlight w:val="none"/>
        </w:rPr>
        <w:t>1. 报价表；</w:t>
      </w:r>
    </w:p>
    <w:p w14:paraId="62B9D31C">
      <w:pPr>
        <w:pStyle w:val="32"/>
        <w:shd w:val="clear"/>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hd w:val="clear"/>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hd w:val="clear"/>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hd w:val="clear"/>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hd w:val="clear"/>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hd w:val="clear"/>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hd w:val="clear"/>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hd w:val="clear"/>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hd w:val="clear"/>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hd w:val="clear"/>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hd w:val="clear"/>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hd w:val="clear"/>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hd w:val="clear"/>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hd w:val="clear"/>
        <w:spacing w:line="500" w:lineRule="exact"/>
        <w:rPr>
          <w:rFonts w:ascii="宋体" w:hAnsi="宋体" w:cs="宋体"/>
          <w:color w:val="auto"/>
          <w:kern w:val="1"/>
          <w:szCs w:val="21"/>
          <w:highlight w:val="none"/>
        </w:rPr>
      </w:pPr>
    </w:p>
    <w:p w14:paraId="0C53FC77">
      <w:pPr>
        <w:shd w:val="clea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shd w:val="clear"/>
        <w:ind w:firstLine="640"/>
        <w:jc w:val="left"/>
        <w:rPr>
          <w:rFonts w:ascii="仿宋_GB2312" w:hAnsi="仿宋_GB2312" w:eastAsia="仿宋" w:cs="仿宋_GB2312"/>
          <w:color w:val="auto"/>
          <w:sz w:val="32"/>
          <w:szCs w:val="21"/>
          <w:highlight w:val="none"/>
        </w:rPr>
      </w:pPr>
    </w:p>
    <w:p w14:paraId="2AE0D2F6">
      <w:pPr>
        <w:widowControl/>
        <w:shd w:val="clear"/>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hd w:val="clear"/>
        <w:spacing w:line="300" w:lineRule="auto"/>
        <w:ind w:right="1470"/>
        <w:rPr>
          <w:rFonts w:ascii="宋体" w:hAnsi="宋体" w:cs="宋体"/>
          <w:color w:val="auto"/>
          <w:sz w:val="24"/>
          <w:szCs w:val="24"/>
          <w:highlight w:val="none"/>
        </w:rPr>
      </w:pPr>
    </w:p>
    <w:p w14:paraId="061DFFDC">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hd w:val="clea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hd w:val="clear"/>
        <w:spacing w:line="300" w:lineRule="auto"/>
        <w:rPr>
          <w:rFonts w:ascii="宋体" w:hAnsi="宋体" w:cs="宋体"/>
          <w:color w:val="auto"/>
          <w:kern w:val="1"/>
          <w:szCs w:val="21"/>
          <w:highlight w:val="none"/>
        </w:rPr>
      </w:pPr>
    </w:p>
    <w:p w14:paraId="04C9EFB8">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hd w:val="clea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hd w:val="clea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hd w:val="clea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hd w:val="clear"/>
        <w:spacing w:line="360" w:lineRule="exact"/>
        <w:rPr>
          <w:rFonts w:ascii="宋体" w:hAnsi="宋体" w:cs="Courier New"/>
          <w:color w:val="auto"/>
          <w:kern w:val="1"/>
          <w:sz w:val="24"/>
          <w:szCs w:val="24"/>
          <w:highlight w:val="none"/>
        </w:rPr>
      </w:pPr>
    </w:p>
    <w:p w14:paraId="2CF7E5CF">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hd w:val="clear"/>
        <w:spacing w:line="360" w:lineRule="exact"/>
        <w:ind w:firstLine="6720"/>
        <w:rPr>
          <w:rFonts w:ascii="宋体" w:hAnsi="宋体" w:cs="Courier New"/>
          <w:color w:val="auto"/>
          <w:kern w:val="1"/>
          <w:szCs w:val="21"/>
          <w:highlight w:val="none"/>
        </w:rPr>
      </w:pPr>
    </w:p>
    <w:p w14:paraId="746F4E2B">
      <w:pPr>
        <w:shd w:val="clear"/>
        <w:spacing w:line="300" w:lineRule="auto"/>
        <w:rPr>
          <w:color w:val="auto"/>
          <w:kern w:val="1"/>
          <w:highlight w:val="none"/>
        </w:rPr>
        <w:sectPr>
          <w:pgSz w:w="11906" w:h="16838"/>
          <w:pgMar w:top="1417" w:right="1417" w:bottom="1417" w:left="1417" w:header="851" w:footer="992" w:gutter="0"/>
          <w:pgNumType w:fmt="decimal"/>
          <w:cols w:space="720" w:num="1"/>
          <w:titlePg/>
          <w:rtlGutter w:val="0"/>
        </w:sectPr>
      </w:pPr>
    </w:p>
    <w:p w14:paraId="34A3783F">
      <w:pPr>
        <w:shd w:val="clea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hd w:val="clear"/>
        <w:spacing w:line="360" w:lineRule="auto"/>
        <w:ind w:left="540"/>
        <w:contextualSpacing/>
        <w:rPr>
          <w:rFonts w:ascii="仿宋_GB2312" w:hAnsi="仿宋_GB2312" w:eastAsia="仿宋_GB2312" w:cs="仿宋_GB2312"/>
          <w:color w:val="auto"/>
          <w:sz w:val="32"/>
          <w:szCs w:val="32"/>
          <w:highlight w:val="none"/>
        </w:rPr>
      </w:pPr>
    </w:p>
    <w:p w14:paraId="013EAEEB">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hd w:val="clea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hd w:val="clea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hd w:val="clear"/>
        <w:spacing w:line="360" w:lineRule="auto"/>
        <w:ind w:left="540"/>
        <w:contextualSpacing/>
        <w:rPr>
          <w:rFonts w:ascii="宋体" w:hAnsi="宋体" w:eastAsia="宋体" w:cs="仿宋_GB2312"/>
          <w:color w:val="auto"/>
          <w:sz w:val="24"/>
          <w:highlight w:val="none"/>
        </w:rPr>
      </w:pPr>
    </w:p>
    <w:p w14:paraId="00A85B72">
      <w:pPr>
        <w:shd w:val="clear"/>
        <w:spacing w:line="360" w:lineRule="auto"/>
        <w:ind w:left="540"/>
        <w:contextualSpacing/>
        <w:rPr>
          <w:rFonts w:ascii="宋体" w:hAnsi="宋体" w:eastAsia="宋体" w:cs="仿宋_GB2312"/>
          <w:color w:val="auto"/>
          <w:sz w:val="24"/>
          <w:highlight w:val="none"/>
        </w:rPr>
      </w:pPr>
    </w:p>
    <w:p w14:paraId="3BAA90E8">
      <w:pPr>
        <w:shd w:val="clear"/>
        <w:spacing w:line="360" w:lineRule="auto"/>
        <w:ind w:left="540"/>
        <w:contextualSpacing/>
        <w:rPr>
          <w:rFonts w:ascii="宋体" w:hAnsi="宋体" w:eastAsia="宋体" w:cs="仿宋_GB2312"/>
          <w:color w:val="auto"/>
          <w:sz w:val="24"/>
          <w:highlight w:val="none"/>
        </w:rPr>
      </w:pPr>
    </w:p>
    <w:p w14:paraId="393C44DA">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hd w:val="clear"/>
        <w:spacing w:line="360" w:lineRule="auto"/>
        <w:ind w:left="540"/>
        <w:contextualSpacing/>
        <w:rPr>
          <w:rFonts w:ascii="宋体" w:hAnsi="宋体" w:eastAsia="宋体" w:cs="仿宋_GB2312"/>
          <w:color w:val="auto"/>
          <w:sz w:val="24"/>
          <w:highlight w:val="none"/>
        </w:rPr>
      </w:pPr>
    </w:p>
    <w:p w14:paraId="7B44B548">
      <w:pPr>
        <w:shd w:val="clea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hd w:val="clea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hd w:val="clear"/>
        <w:spacing w:line="360" w:lineRule="auto"/>
        <w:contextualSpacing/>
        <w:jc w:val="center"/>
        <w:rPr>
          <w:rFonts w:ascii="宋体" w:hAnsi="宋体" w:eastAsia="宋体" w:cs="仿宋_GB2312"/>
          <w:b/>
          <w:color w:val="auto"/>
          <w:sz w:val="24"/>
          <w:highlight w:val="none"/>
        </w:rPr>
      </w:pPr>
    </w:p>
    <w:p w14:paraId="362D6D4C">
      <w:pPr>
        <w:shd w:val="clear"/>
        <w:spacing w:line="360" w:lineRule="auto"/>
        <w:contextualSpacing/>
        <w:jc w:val="left"/>
        <w:rPr>
          <w:rFonts w:ascii="宋体" w:hAnsi="宋体" w:eastAsia="宋体" w:cs="仿宋_GB2312"/>
          <w:color w:val="auto"/>
          <w:sz w:val="24"/>
          <w:highlight w:val="none"/>
        </w:rPr>
      </w:pPr>
    </w:p>
    <w:p w14:paraId="00128237">
      <w:pPr>
        <w:shd w:val="clea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shd w:val="clear"/>
        <w:adjustRightInd w:val="0"/>
        <w:snapToGrid w:val="0"/>
        <w:spacing w:line="300" w:lineRule="auto"/>
        <w:jc w:val="left"/>
        <w:rPr>
          <w:rFonts w:ascii="宋体" w:hAnsi="宋体" w:eastAsia="宋体" w:cs="Times New Roman"/>
          <w:b/>
          <w:color w:val="auto"/>
          <w:szCs w:val="21"/>
          <w:highlight w:val="none"/>
        </w:rPr>
      </w:pPr>
    </w:p>
    <w:p w14:paraId="429BBA7D">
      <w:pPr>
        <w:shd w:val="clea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hd w:val="clear"/>
        <w:snapToGrid w:val="0"/>
        <w:spacing w:line="360" w:lineRule="auto"/>
        <w:ind w:firstLine="2872" w:firstLineChars="894"/>
        <w:rPr>
          <w:rFonts w:ascii="宋体" w:hAnsi="宋体" w:cs="宋体"/>
          <w:color w:val="auto"/>
          <w:highlight w:val="none"/>
        </w:rPr>
      </w:pPr>
      <w:bookmarkStart w:id="158"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hd w:val="clea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hd w:val="clea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hd w:val="clea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hd w:val="clea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hd w:val="clea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shd w:val="clear"/>
        <w:adjustRightInd/>
        <w:spacing w:line="360" w:lineRule="auto"/>
        <w:rPr>
          <w:rFonts w:ascii="宋体" w:hAnsi="宋体"/>
          <w:color w:val="auto"/>
          <w:sz w:val="24"/>
          <w:szCs w:val="21"/>
          <w:highlight w:val="none"/>
        </w:rPr>
      </w:pPr>
    </w:p>
    <w:p w14:paraId="0D26181E">
      <w:pPr>
        <w:shd w:val="clea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shd w:val="clear"/>
        <w:rPr>
          <w:rFonts w:ascii="宋体" w:hAnsi="宋体" w:eastAsia="宋体" w:cs="仿宋_GB2312"/>
          <w:color w:val="auto"/>
          <w:sz w:val="24"/>
          <w:highlight w:val="none"/>
        </w:rPr>
      </w:pPr>
    </w:p>
    <w:p w14:paraId="32E71A78">
      <w:pPr>
        <w:shd w:val="clea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hd w:val="clea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shd w:val="clear"/>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shd w:val="clear"/>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shd w:val="clear"/>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5" w:hRule="atLeast"/>
          <w:tblHeader/>
          <w:jc w:val="center"/>
        </w:trPr>
        <w:tc>
          <w:tcPr>
            <w:tcW w:w="2096" w:type="dxa"/>
            <w:vMerge w:val="restart"/>
            <w:noWrap w:val="0"/>
            <w:vAlign w:val="center"/>
          </w:tcPr>
          <w:p w14:paraId="64B0347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4944E65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649629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942E4DE">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096" w:type="dxa"/>
            <w:noWrap w:val="0"/>
            <w:vAlign w:val="center"/>
          </w:tcPr>
          <w:p w14:paraId="5A4D221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shd w:val="clear"/>
        <w:adjustRightInd/>
        <w:spacing w:line="360" w:lineRule="auto"/>
        <w:contextualSpacing/>
        <w:rPr>
          <w:rFonts w:ascii="宋体" w:hAnsi="宋体"/>
          <w:color w:val="auto"/>
          <w:sz w:val="24"/>
          <w:highlight w:val="none"/>
        </w:rPr>
      </w:pPr>
    </w:p>
    <w:p w14:paraId="68941B9F">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hd w:val="clea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bookmarkEnd w:id="158"/>
    <w:p w14:paraId="17F6F947">
      <w:pPr>
        <w:pStyle w:val="393"/>
        <w:shd w:val="clear"/>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59"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59"/>
    </w:p>
    <w:p w14:paraId="3EFE0EB6">
      <w:pPr>
        <w:pStyle w:val="633"/>
        <w:shd w:val="clear"/>
        <w:jc w:val="center"/>
        <w:rPr>
          <w:rFonts w:hint="eastAsia"/>
          <w:b/>
          <w:color w:val="auto"/>
          <w:sz w:val="32"/>
          <w:szCs w:val="32"/>
          <w:highlight w:val="none"/>
        </w:rPr>
      </w:pPr>
      <w:r>
        <w:rPr>
          <w:rFonts w:hint="eastAsia"/>
          <w:b/>
          <w:color w:val="auto"/>
          <w:sz w:val="32"/>
          <w:szCs w:val="32"/>
          <w:highlight w:val="none"/>
        </w:rPr>
        <w:t>（一）报价一览表</w:t>
      </w:r>
    </w:p>
    <w:p w14:paraId="238894F7">
      <w:pPr>
        <w:shd w:val="clea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hd w:val="clea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hd w:val="clea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795"/>
        <w:gridCol w:w="2619"/>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619"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1283" w:hRule="atLeast"/>
          <w:jc w:val="center"/>
        </w:trPr>
        <w:tc>
          <w:tcPr>
            <w:tcW w:w="795"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619"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817"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hd w:val="clea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hd w:val="clea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shd w:val="clea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shd w:val="clea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1F1F159D">
      <w:pPr>
        <w:shd w:val="clea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D10ACF3-6BEC-4AB1-BA00-DCBB585C8FA3}"/>
  </w:font>
  <w:font w:name="Arial">
    <w:panose1 w:val="020B0604020202020204"/>
    <w:charset w:val="01"/>
    <w:family w:val="swiss"/>
    <w:pitch w:val="default"/>
    <w:sig w:usb0="E0002EFF" w:usb1="C000785B" w:usb2="00000009" w:usb3="00000000" w:csb0="400001FF" w:csb1="FFFF0000"/>
    <w:embedRegular r:id="rId2" w:fontKey="{53C42A30-920D-41F4-853C-0912A775B307}"/>
  </w:font>
  <w:font w:name="黑体">
    <w:panose1 w:val="02010609060101010101"/>
    <w:charset w:val="86"/>
    <w:family w:val="auto"/>
    <w:pitch w:val="default"/>
    <w:sig w:usb0="800002BF" w:usb1="38CF7CFA" w:usb2="00000016" w:usb3="00000000" w:csb0="00040001" w:csb1="00000000"/>
    <w:embedRegular r:id="rId3" w:fontKey="{FB48F7C7-D617-4242-9160-309974536721}"/>
  </w:font>
  <w:font w:name="Courier New">
    <w:panose1 w:val="02070309020205020404"/>
    <w:charset w:val="01"/>
    <w:family w:val="modern"/>
    <w:pitch w:val="default"/>
    <w:sig w:usb0="E0002EFF" w:usb1="C0007843" w:usb2="00000009" w:usb3="00000000" w:csb0="400001FF" w:csb1="FFFF0000"/>
    <w:embedRegular r:id="rId4" w:fontKey="{CDA46338-7566-4802-B952-1DCC108AB4D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62EA306E-FEF0-4173-AEE2-46F564C1B3EC}"/>
  </w:font>
  <w:font w:name="仿宋_GB2312">
    <w:panose1 w:val="02010609030101010101"/>
    <w:charset w:val="86"/>
    <w:family w:val="modern"/>
    <w:pitch w:val="default"/>
    <w:sig w:usb0="00000001" w:usb1="080E0000" w:usb2="00000000" w:usb3="00000000" w:csb0="00040000" w:csb1="00000000"/>
    <w:embedRegular r:id="rId6" w:fontKey="{7636EBBF-4783-4C9B-A42F-D19318975E9B}"/>
  </w:font>
  <w:font w:name="仿宋">
    <w:panose1 w:val="02010609060101010101"/>
    <w:charset w:val="86"/>
    <w:family w:val="modern"/>
    <w:pitch w:val="default"/>
    <w:sig w:usb0="800002BF" w:usb1="38CF7CFA" w:usb2="00000016" w:usb3="00000000" w:csb0="00040001" w:csb1="00000000"/>
    <w:embedRegular r:id="rId7" w:fontKey="{BCF5F732-0195-4B79-AB81-5CD1B33EF85F}"/>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CD761702-1C67-436E-AECC-B31D64EF3098}"/>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70F9C867-4E62-48EE-9656-6DDDA32F0586}"/>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A21238EC-4D21-43FB-99C1-953BC2929EC5}"/>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B61F90FD-A8E7-4C05-B358-38A8D422A3F4}"/>
  </w:font>
  <w:font w:name="方正小标宋简体">
    <w:panose1 w:val="02000000000000000000"/>
    <w:charset w:val="86"/>
    <w:family w:val="auto"/>
    <w:pitch w:val="default"/>
    <w:sig w:usb0="00000001" w:usb1="08000000" w:usb2="00000000" w:usb3="00000000" w:csb0="00040000" w:csb1="00000000"/>
    <w:embedRegular r:id="rId12" w:fontKey="{22D862E1-F2C6-4804-B874-F9E23E8E8C1B}"/>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D105C"/>
    <w:multiLevelType w:val="singleLevel"/>
    <w:tmpl w:val="80FD105C"/>
    <w:lvl w:ilvl="0" w:tentative="0">
      <w:start w:val="4"/>
      <w:numFmt w:val="chineseCounting"/>
      <w:suff w:val="nothing"/>
      <w:lvlText w:val="%1、"/>
      <w:lvlJc w:val="left"/>
      <w:rPr>
        <w:rFonts w:hint="eastAsia"/>
      </w:rPr>
    </w:lvl>
  </w:abstractNum>
  <w:abstractNum w:abstractNumId="1">
    <w:nsid w:val="BCC4A910"/>
    <w:multiLevelType w:val="singleLevel"/>
    <w:tmpl w:val="BCC4A910"/>
    <w:lvl w:ilvl="0" w:tentative="0">
      <w:start w:val="5"/>
      <w:numFmt w:val="chineseCounting"/>
      <w:suff w:val="nothing"/>
      <w:lvlText w:val="（%1）"/>
      <w:lvlJc w:val="left"/>
      <w:rPr>
        <w:rFonts w:hint="eastAsia"/>
      </w:rPr>
    </w:lvl>
  </w:abstractNum>
  <w:abstractNum w:abstractNumId="2">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4">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2087A6E4"/>
    <w:multiLevelType w:val="singleLevel"/>
    <w:tmpl w:val="2087A6E4"/>
    <w:lvl w:ilvl="0" w:tentative="0">
      <w:start w:val="6"/>
      <w:numFmt w:val="chineseCounting"/>
      <w:suff w:val="nothing"/>
      <w:lvlText w:val="（%1）"/>
      <w:lvlJc w:val="left"/>
      <w:rPr>
        <w:rFonts w:hint="eastAsia"/>
      </w:rPr>
    </w:lvl>
  </w:abstractNum>
  <w:abstractNum w:abstractNumId="7">
    <w:nsid w:val="23F163C2"/>
    <w:multiLevelType w:val="singleLevel"/>
    <w:tmpl w:val="23F163C2"/>
    <w:lvl w:ilvl="0" w:tentative="0">
      <w:start w:val="1"/>
      <w:numFmt w:val="decimal"/>
      <w:lvlText w:val="%1."/>
      <w:lvlJc w:val="left"/>
      <w:pPr>
        <w:tabs>
          <w:tab w:val="left" w:pos="312"/>
        </w:tabs>
      </w:pPr>
    </w:lvl>
  </w:abstractNum>
  <w:abstractNum w:abstractNumId="8">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8"/>
  </w:num>
  <w:num w:numId="6">
    <w:abstractNumId w:val="9"/>
  </w:num>
  <w:num w:numId="7">
    <w:abstractNumId w:val="1"/>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np2Y/ypS4mxwr8poZNbz6xCiRtM=" w:salt="LvHISkFk+OOPddAGpH99kA=="/>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7D53B9"/>
    <w:rsid w:val="02A94CC1"/>
    <w:rsid w:val="02DA0C0E"/>
    <w:rsid w:val="03315CCB"/>
    <w:rsid w:val="039F5D5C"/>
    <w:rsid w:val="03DD35E4"/>
    <w:rsid w:val="03E5160F"/>
    <w:rsid w:val="04207E21"/>
    <w:rsid w:val="04452310"/>
    <w:rsid w:val="04EA1675"/>
    <w:rsid w:val="050B6D23"/>
    <w:rsid w:val="0575419C"/>
    <w:rsid w:val="05880374"/>
    <w:rsid w:val="065A6178"/>
    <w:rsid w:val="065C6F27"/>
    <w:rsid w:val="06D06CB4"/>
    <w:rsid w:val="0711386E"/>
    <w:rsid w:val="07337610"/>
    <w:rsid w:val="075562B7"/>
    <w:rsid w:val="07B63510"/>
    <w:rsid w:val="07F6164B"/>
    <w:rsid w:val="080418C3"/>
    <w:rsid w:val="081245FF"/>
    <w:rsid w:val="087A1B7A"/>
    <w:rsid w:val="09396AE2"/>
    <w:rsid w:val="096B2097"/>
    <w:rsid w:val="099F12A5"/>
    <w:rsid w:val="0A3544BF"/>
    <w:rsid w:val="0A5B7E63"/>
    <w:rsid w:val="0A945D6F"/>
    <w:rsid w:val="0AC66A54"/>
    <w:rsid w:val="0BA332B2"/>
    <w:rsid w:val="0BB023D2"/>
    <w:rsid w:val="0BC1638D"/>
    <w:rsid w:val="0BC33EB3"/>
    <w:rsid w:val="0C0E2FD9"/>
    <w:rsid w:val="0C87121B"/>
    <w:rsid w:val="0DF702FE"/>
    <w:rsid w:val="0E090A60"/>
    <w:rsid w:val="0E3F698B"/>
    <w:rsid w:val="0E511C4A"/>
    <w:rsid w:val="0EC71759"/>
    <w:rsid w:val="0F0C62E5"/>
    <w:rsid w:val="0F21508F"/>
    <w:rsid w:val="0F711E78"/>
    <w:rsid w:val="0F816ACD"/>
    <w:rsid w:val="0FB94501"/>
    <w:rsid w:val="0FE13153"/>
    <w:rsid w:val="10675755"/>
    <w:rsid w:val="10B047CF"/>
    <w:rsid w:val="10CF6E57"/>
    <w:rsid w:val="10FC16EA"/>
    <w:rsid w:val="11494E5B"/>
    <w:rsid w:val="11646051"/>
    <w:rsid w:val="11755C50"/>
    <w:rsid w:val="118963A1"/>
    <w:rsid w:val="125924A8"/>
    <w:rsid w:val="127723A9"/>
    <w:rsid w:val="13072A44"/>
    <w:rsid w:val="130F3E82"/>
    <w:rsid w:val="14105EEE"/>
    <w:rsid w:val="14362FF1"/>
    <w:rsid w:val="145044FA"/>
    <w:rsid w:val="14A1100E"/>
    <w:rsid w:val="15DA0777"/>
    <w:rsid w:val="1742023F"/>
    <w:rsid w:val="17C865A3"/>
    <w:rsid w:val="18461624"/>
    <w:rsid w:val="186742B0"/>
    <w:rsid w:val="18E13BCB"/>
    <w:rsid w:val="19393A07"/>
    <w:rsid w:val="195245AB"/>
    <w:rsid w:val="19C177A8"/>
    <w:rsid w:val="1AEB4AD1"/>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A85442"/>
    <w:rsid w:val="1FE868A9"/>
    <w:rsid w:val="20937EA1"/>
    <w:rsid w:val="211E26D6"/>
    <w:rsid w:val="21283D08"/>
    <w:rsid w:val="21A4660B"/>
    <w:rsid w:val="21AA6172"/>
    <w:rsid w:val="22C30ADD"/>
    <w:rsid w:val="22C456A9"/>
    <w:rsid w:val="235C0A1E"/>
    <w:rsid w:val="243279D1"/>
    <w:rsid w:val="247F2675"/>
    <w:rsid w:val="24B81507"/>
    <w:rsid w:val="25475B5F"/>
    <w:rsid w:val="25847A9B"/>
    <w:rsid w:val="25B440B3"/>
    <w:rsid w:val="261A4BC0"/>
    <w:rsid w:val="26272B27"/>
    <w:rsid w:val="262B0B7B"/>
    <w:rsid w:val="26A12BEB"/>
    <w:rsid w:val="26AA5F44"/>
    <w:rsid w:val="26B046EA"/>
    <w:rsid w:val="272917D9"/>
    <w:rsid w:val="27646D45"/>
    <w:rsid w:val="278A3680"/>
    <w:rsid w:val="27CB6172"/>
    <w:rsid w:val="28144532"/>
    <w:rsid w:val="284C757B"/>
    <w:rsid w:val="285A6198"/>
    <w:rsid w:val="28C72DDD"/>
    <w:rsid w:val="292579B5"/>
    <w:rsid w:val="2A063491"/>
    <w:rsid w:val="2A20167B"/>
    <w:rsid w:val="2AA1365A"/>
    <w:rsid w:val="2B720081"/>
    <w:rsid w:val="2C7936C6"/>
    <w:rsid w:val="2D3D783D"/>
    <w:rsid w:val="2DD15014"/>
    <w:rsid w:val="2DF857E7"/>
    <w:rsid w:val="2EC92CDF"/>
    <w:rsid w:val="2F523966"/>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42E63AB"/>
    <w:rsid w:val="345D260B"/>
    <w:rsid w:val="34961A70"/>
    <w:rsid w:val="34C82096"/>
    <w:rsid w:val="34DFABBF"/>
    <w:rsid w:val="354143D0"/>
    <w:rsid w:val="35C73043"/>
    <w:rsid w:val="35F40F8A"/>
    <w:rsid w:val="36136406"/>
    <w:rsid w:val="363946D8"/>
    <w:rsid w:val="365302AE"/>
    <w:rsid w:val="370D28C1"/>
    <w:rsid w:val="375009D7"/>
    <w:rsid w:val="37D7741A"/>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5D0BF6"/>
    <w:rsid w:val="3EB219E2"/>
    <w:rsid w:val="3F1757A8"/>
    <w:rsid w:val="3F450160"/>
    <w:rsid w:val="3F7B287D"/>
    <w:rsid w:val="3FFF72A6"/>
    <w:rsid w:val="4038198F"/>
    <w:rsid w:val="416E62DC"/>
    <w:rsid w:val="417711C1"/>
    <w:rsid w:val="41E940F1"/>
    <w:rsid w:val="420E1545"/>
    <w:rsid w:val="42CF228D"/>
    <w:rsid w:val="42D64FF5"/>
    <w:rsid w:val="42E1381E"/>
    <w:rsid w:val="434C5E8F"/>
    <w:rsid w:val="43B753A5"/>
    <w:rsid w:val="43E3402A"/>
    <w:rsid w:val="43FB717C"/>
    <w:rsid w:val="451E447A"/>
    <w:rsid w:val="45345B76"/>
    <w:rsid w:val="45EA6BA0"/>
    <w:rsid w:val="45F71264"/>
    <w:rsid w:val="463E1738"/>
    <w:rsid w:val="469851D1"/>
    <w:rsid w:val="46A9614D"/>
    <w:rsid w:val="46DC530D"/>
    <w:rsid w:val="470740ED"/>
    <w:rsid w:val="471373E8"/>
    <w:rsid w:val="47307808"/>
    <w:rsid w:val="47544185"/>
    <w:rsid w:val="486F747C"/>
    <w:rsid w:val="491D6A75"/>
    <w:rsid w:val="49DD673C"/>
    <w:rsid w:val="4A244932"/>
    <w:rsid w:val="4AC9433B"/>
    <w:rsid w:val="4B227705"/>
    <w:rsid w:val="4C98502D"/>
    <w:rsid w:val="4CF47B53"/>
    <w:rsid w:val="4D861CF6"/>
    <w:rsid w:val="4EC31F2F"/>
    <w:rsid w:val="4F036B23"/>
    <w:rsid w:val="4F103A13"/>
    <w:rsid w:val="4F292918"/>
    <w:rsid w:val="505D4E55"/>
    <w:rsid w:val="516C5A20"/>
    <w:rsid w:val="51A0432A"/>
    <w:rsid w:val="527140E5"/>
    <w:rsid w:val="5292508F"/>
    <w:rsid w:val="529C2335"/>
    <w:rsid w:val="52A96B6F"/>
    <w:rsid w:val="532822B7"/>
    <w:rsid w:val="54041F40"/>
    <w:rsid w:val="541D3690"/>
    <w:rsid w:val="54991EC3"/>
    <w:rsid w:val="550764A4"/>
    <w:rsid w:val="551926E0"/>
    <w:rsid w:val="561279B9"/>
    <w:rsid w:val="56363B92"/>
    <w:rsid w:val="56515F3B"/>
    <w:rsid w:val="56834E90"/>
    <w:rsid w:val="572B71CA"/>
    <w:rsid w:val="5741191B"/>
    <w:rsid w:val="57627542"/>
    <w:rsid w:val="57E958DA"/>
    <w:rsid w:val="58495567"/>
    <w:rsid w:val="587D7756"/>
    <w:rsid w:val="58810003"/>
    <w:rsid w:val="589672D6"/>
    <w:rsid w:val="58AE4F0C"/>
    <w:rsid w:val="58B22DEB"/>
    <w:rsid w:val="58C0677E"/>
    <w:rsid w:val="594D25DB"/>
    <w:rsid w:val="59816B33"/>
    <w:rsid w:val="598D4D94"/>
    <w:rsid w:val="59FA153A"/>
    <w:rsid w:val="5A0504B5"/>
    <w:rsid w:val="5A117165"/>
    <w:rsid w:val="5A2A7C7B"/>
    <w:rsid w:val="5A522C07"/>
    <w:rsid w:val="5AB23368"/>
    <w:rsid w:val="5BAC3B14"/>
    <w:rsid w:val="5C80234E"/>
    <w:rsid w:val="5C8210D4"/>
    <w:rsid w:val="5C8618C3"/>
    <w:rsid w:val="5CE64FEF"/>
    <w:rsid w:val="5CED695D"/>
    <w:rsid w:val="5D131446"/>
    <w:rsid w:val="5D8C1586"/>
    <w:rsid w:val="5D9C6476"/>
    <w:rsid w:val="5DBF62A8"/>
    <w:rsid w:val="5E261785"/>
    <w:rsid w:val="5E304667"/>
    <w:rsid w:val="5E4B7FE7"/>
    <w:rsid w:val="5FCC5339"/>
    <w:rsid w:val="5FCF0764"/>
    <w:rsid w:val="5FE70807"/>
    <w:rsid w:val="60267922"/>
    <w:rsid w:val="60483AFC"/>
    <w:rsid w:val="6093384F"/>
    <w:rsid w:val="60E53485"/>
    <w:rsid w:val="61054A27"/>
    <w:rsid w:val="611D2366"/>
    <w:rsid w:val="625613A5"/>
    <w:rsid w:val="62885958"/>
    <w:rsid w:val="62A56FE4"/>
    <w:rsid w:val="63144820"/>
    <w:rsid w:val="6453752A"/>
    <w:rsid w:val="648A46E4"/>
    <w:rsid w:val="64CE2EAA"/>
    <w:rsid w:val="64E930D8"/>
    <w:rsid w:val="660D267B"/>
    <w:rsid w:val="662E75B1"/>
    <w:rsid w:val="66342C2E"/>
    <w:rsid w:val="663E784C"/>
    <w:rsid w:val="66650FE6"/>
    <w:rsid w:val="67AA7DA2"/>
    <w:rsid w:val="67BF6A43"/>
    <w:rsid w:val="68064B3E"/>
    <w:rsid w:val="68144827"/>
    <w:rsid w:val="685867EC"/>
    <w:rsid w:val="68A35D74"/>
    <w:rsid w:val="69102733"/>
    <w:rsid w:val="69943834"/>
    <w:rsid w:val="69A27DD9"/>
    <w:rsid w:val="69EA0EC0"/>
    <w:rsid w:val="69EA7CF6"/>
    <w:rsid w:val="6AAD27D4"/>
    <w:rsid w:val="6AF85FCE"/>
    <w:rsid w:val="6B9145AA"/>
    <w:rsid w:val="6BA43AA1"/>
    <w:rsid w:val="6BDF70C3"/>
    <w:rsid w:val="6C04327E"/>
    <w:rsid w:val="6C077E73"/>
    <w:rsid w:val="6CB5278A"/>
    <w:rsid w:val="6CB96113"/>
    <w:rsid w:val="6CCA7D73"/>
    <w:rsid w:val="6D0F0AFD"/>
    <w:rsid w:val="6D4E0208"/>
    <w:rsid w:val="6D581C9A"/>
    <w:rsid w:val="6E8E12EF"/>
    <w:rsid w:val="6F58599B"/>
    <w:rsid w:val="6FF13959"/>
    <w:rsid w:val="703A503B"/>
    <w:rsid w:val="706202C3"/>
    <w:rsid w:val="706525A2"/>
    <w:rsid w:val="70745789"/>
    <w:rsid w:val="71557E27"/>
    <w:rsid w:val="71883B65"/>
    <w:rsid w:val="71D43752"/>
    <w:rsid w:val="727D26A3"/>
    <w:rsid w:val="733D0DD5"/>
    <w:rsid w:val="739A7D73"/>
    <w:rsid w:val="73BB0416"/>
    <w:rsid w:val="73DD6243"/>
    <w:rsid w:val="743B50B2"/>
    <w:rsid w:val="746C2532"/>
    <w:rsid w:val="747405C4"/>
    <w:rsid w:val="749C4185"/>
    <w:rsid w:val="74EC6B9B"/>
    <w:rsid w:val="75DA2C18"/>
    <w:rsid w:val="76FF2D0F"/>
    <w:rsid w:val="774322F8"/>
    <w:rsid w:val="775319EF"/>
    <w:rsid w:val="77BE04D4"/>
    <w:rsid w:val="78D81199"/>
    <w:rsid w:val="790F1C77"/>
    <w:rsid w:val="79180FAF"/>
    <w:rsid w:val="7A67303B"/>
    <w:rsid w:val="7A684727"/>
    <w:rsid w:val="7A8552D9"/>
    <w:rsid w:val="7AAA11E4"/>
    <w:rsid w:val="7AAB1D04"/>
    <w:rsid w:val="7ABA4368"/>
    <w:rsid w:val="7B23367A"/>
    <w:rsid w:val="7B257FFD"/>
    <w:rsid w:val="7C2B1DA5"/>
    <w:rsid w:val="7DBC5841"/>
    <w:rsid w:val="7DF4317E"/>
    <w:rsid w:val="7E64308B"/>
    <w:rsid w:val="7E784333"/>
    <w:rsid w:val="7F546FE2"/>
    <w:rsid w:val="7F6A0F42"/>
    <w:rsid w:val="7F9C6ED1"/>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4230</Words>
  <Characters>5145</Characters>
  <Lines>364</Lines>
  <Paragraphs>102</Paragraphs>
  <TotalTime>12</TotalTime>
  <ScaleCrop>false</ScaleCrop>
  <LinksUpToDate>false</LinksUpToDate>
  <CharactersWithSpaces>5229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清华儿</cp:lastModifiedBy>
  <cp:lastPrinted>2025-12-25T16:37:00Z</cp:lastPrinted>
  <dcterms:modified xsi:type="dcterms:W3CDTF">2026-09-04T10:00:37Z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D6BE3B3F7A964C908EF0D7A3E0568661_13</vt:lpwstr>
  </property>
  <property fmtid="{D5CDD505-2E9C-101B-9397-08002B2CF9AE}" pid="4" name="KSOTemplateDocerSaveRecord">
    <vt:lpwstr>eyJoZGlkIjoiOWNmZjQzOTk1YzU1MDQ1NDgwZmI2NzYzNzhhNjUyNGQiLCJ1c2VySWQiOiIyNzA0NDc0NjcifQ==</vt:lpwstr>
  </property>
</Properties>
</file>