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C1B130">
      <w:pPr>
        <w:wordWrap w:val="0"/>
        <w:spacing w:line="1400" w:lineRule="exact"/>
        <w:jc w:val="center"/>
        <w:rPr>
          <w:rFonts w:ascii="宋体" w:hAnsi="宋体"/>
          <w:b/>
          <w:spacing w:val="60"/>
          <w:kern w:val="2"/>
          <w:sz w:val="28"/>
          <w:szCs w:val="28"/>
        </w:rPr>
      </w:pPr>
    </w:p>
    <w:p w14:paraId="11CF68EE">
      <w:pPr>
        <w:wordWrap w:val="0"/>
        <w:spacing w:line="1400" w:lineRule="exact"/>
        <w:jc w:val="center"/>
        <w:rPr>
          <w:rFonts w:hint="eastAsia" w:ascii="宋体" w:hAnsi="宋体"/>
          <w:b/>
          <w:kern w:val="2"/>
          <w:sz w:val="52"/>
          <w:szCs w:val="52"/>
          <w:u w:val="single"/>
          <w:lang w:eastAsia="zh-CN"/>
        </w:rPr>
      </w:pPr>
      <w:r>
        <w:rPr>
          <w:rFonts w:hint="eastAsia" w:ascii="宋体" w:hAnsi="宋体"/>
          <w:b/>
          <w:kern w:val="2"/>
          <w:sz w:val="52"/>
          <w:szCs w:val="52"/>
          <w:u w:val="single"/>
          <w:lang w:eastAsia="zh-CN"/>
        </w:rPr>
        <w:t>广西北部湾宏亚建设管理有限公司</w:t>
      </w:r>
    </w:p>
    <w:p w14:paraId="5B5EF6EB">
      <w:pPr>
        <w:wordWrap w:val="0"/>
        <w:spacing w:line="1400" w:lineRule="exact"/>
        <w:jc w:val="center"/>
        <w:rPr>
          <w:rFonts w:hint="eastAsia"/>
        </w:rPr>
      </w:pPr>
    </w:p>
    <w:p w14:paraId="3C1CF9CB">
      <w:pPr>
        <w:wordWrap w:val="0"/>
        <w:spacing w:line="1400" w:lineRule="exact"/>
        <w:jc w:val="center"/>
        <w:rPr>
          <w:rFonts w:ascii="宋体" w:hAnsi="宋体"/>
          <w:b/>
          <w:spacing w:val="60"/>
          <w:kern w:val="2"/>
          <w:sz w:val="132"/>
          <w:szCs w:val="132"/>
        </w:rPr>
      </w:pPr>
      <w:r>
        <w:rPr>
          <w:rFonts w:hint="eastAsia" w:ascii="宋体" w:hAnsi="宋体"/>
          <w:b/>
          <w:spacing w:val="60"/>
          <w:kern w:val="2"/>
          <w:sz w:val="132"/>
          <w:szCs w:val="132"/>
        </w:rPr>
        <w:t>招 标 文 件</w:t>
      </w:r>
    </w:p>
    <w:p w14:paraId="33D549CD">
      <w:pPr>
        <w:wordWrap w:val="0"/>
        <w:spacing w:line="1400" w:lineRule="exact"/>
        <w:jc w:val="center"/>
        <w:rPr>
          <w:rFonts w:ascii="宋体" w:hAnsi="宋体" w:eastAsia="宋体" w:cs="Times New Roman"/>
          <w:b/>
          <w:spacing w:val="60"/>
          <w:kern w:val="2"/>
          <w:sz w:val="132"/>
          <w:szCs w:val="132"/>
        </w:rPr>
      </w:pPr>
    </w:p>
    <w:p w14:paraId="0434EF40">
      <w:pPr>
        <w:wordWrap w:val="0"/>
        <w:spacing w:line="600" w:lineRule="exact"/>
        <w:ind w:left="1835" w:leftChars="419" w:right="225" w:rightChars="107" w:hanging="955" w:hangingChars="317"/>
        <w:rPr>
          <w:rFonts w:ascii="宋体" w:hAnsi="宋体"/>
          <w:b/>
          <w:kern w:val="2"/>
          <w:sz w:val="30"/>
          <w:szCs w:val="30"/>
        </w:rPr>
      </w:pPr>
      <w:r>
        <w:rPr>
          <w:rFonts w:hint="eastAsia" w:ascii="宋体" w:hAnsi="宋体"/>
          <w:b/>
          <w:kern w:val="2"/>
          <w:sz w:val="30"/>
          <w:szCs w:val="30"/>
        </w:rPr>
        <w:t>项目名称：灌阳县雪亮工程一期到期后运维服务项目</w:t>
      </w:r>
    </w:p>
    <w:p w14:paraId="60ADDDEC">
      <w:pPr>
        <w:wordWrap w:val="0"/>
        <w:spacing w:line="600" w:lineRule="exact"/>
        <w:ind w:firstLine="885" w:firstLineChars="294"/>
        <w:rPr>
          <w:rFonts w:hint="eastAsia" w:ascii="宋体" w:hAnsi="宋体" w:eastAsia="宋体"/>
          <w:b/>
          <w:kern w:val="2"/>
          <w:sz w:val="30"/>
          <w:szCs w:val="30"/>
          <w:lang w:eastAsia="zh-CN"/>
        </w:rPr>
      </w:pPr>
      <w:r>
        <w:rPr>
          <w:rFonts w:hint="eastAsia" w:ascii="宋体" w:hAnsi="宋体"/>
          <w:b/>
          <w:kern w:val="2"/>
          <w:sz w:val="30"/>
          <w:szCs w:val="30"/>
        </w:rPr>
        <w:t>项目编号：</w:t>
      </w:r>
      <w:r>
        <w:rPr>
          <w:rFonts w:hint="eastAsia" w:ascii="宋体" w:hAnsi="宋体"/>
          <w:b/>
          <w:bCs/>
          <w:kern w:val="2"/>
          <w:sz w:val="30"/>
          <w:szCs w:val="30"/>
          <w:lang w:eastAsia="zh-CN"/>
        </w:rPr>
        <w:t>GLZC2026-G3-270058-BBWH</w:t>
      </w:r>
    </w:p>
    <w:p w14:paraId="240F9B4D">
      <w:pPr>
        <w:wordWrap w:val="0"/>
        <w:spacing w:line="1400" w:lineRule="exact"/>
        <w:jc w:val="center"/>
        <w:rPr>
          <w:rFonts w:hint="eastAsia" w:ascii="宋体" w:hAnsi="宋体" w:eastAsia="宋体" w:cs="Times New Roman"/>
          <w:b/>
          <w:spacing w:val="60"/>
          <w:kern w:val="2"/>
          <w:sz w:val="132"/>
          <w:szCs w:val="132"/>
        </w:rPr>
      </w:pPr>
    </w:p>
    <w:p w14:paraId="37B6E98B">
      <w:pPr>
        <w:wordWrap w:val="0"/>
        <w:spacing w:line="1400" w:lineRule="exact"/>
        <w:jc w:val="center"/>
        <w:rPr>
          <w:rFonts w:hint="eastAsia" w:ascii="宋体" w:hAnsi="宋体" w:eastAsia="宋体" w:cs="Times New Roman"/>
          <w:b/>
          <w:spacing w:val="60"/>
          <w:kern w:val="2"/>
          <w:sz w:val="132"/>
          <w:szCs w:val="132"/>
        </w:rPr>
      </w:pPr>
    </w:p>
    <w:p w14:paraId="23421A6A">
      <w:pPr>
        <w:wordWrap w:val="0"/>
        <w:spacing w:line="600" w:lineRule="exact"/>
        <w:jc w:val="center"/>
        <w:rPr>
          <w:rFonts w:hint="eastAsia" w:ascii="宋体" w:hAnsi="宋体" w:eastAsia="宋体"/>
          <w:b/>
          <w:kern w:val="2"/>
          <w:sz w:val="30"/>
          <w:szCs w:val="30"/>
          <w:lang w:eastAsia="zh-CN"/>
        </w:rPr>
      </w:pPr>
      <w:r>
        <w:rPr>
          <w:rFonts w:hint="eastAsia" w:ascii="宋体" w:hAnsi="宋体"/>
          <w:b/>
          <w:kern w:val="2"/>
          <w:sz w:val="30"/>
          <w:szCs w:val="30"/>
        </w:rPr>
        <w:t>采购代理机构：</w:t>
      </w:r>
      <w:r>
        <w:rPr>
          <w:rFonts w:hint="eastAsia" w:ascii="宋体" w:hAnsi="宋体"/>
          <w:b/>
          <w:kern w:val="2"/>
          <w:sz w:val="32"/>
          <w:szCs w:val="32"/>
          <w:lang w:eastAsia="zh-CN"/>
        </w:rPr>
        <w:t>广西北部湾宏亚建设管理有限公司</w:t>
      </w:r>
    </w:p>
    <w:p w14:paraId="0E3CDECD">
      <w:pPr>
        <w:wordWrap w:val="0"/>
        <w:spacing w:line="600" w:lineRule="exact"/>
        <w:ind w:left="103" w:leftChars="49"/>
        <w:jc w:val="center"/>
        <w:rPr>
          <w:rFonts w:ascii="宋体" w:hAnsi="宋体"/>
          <w:b/>
          <w:kern w:val="2"/>
          <w:sz w:val="30"/>
          <w:szCs w:val="30"/>
        </w:rPr>
      </w:pPr>
      <w:r>
        <w:rPr>
          <w:rFonts w:hint="eastAsia" w:ascii="宋体" w:hAnsi="宋体"/>
          <w:b/>
          <w:kern w:val="2"/>
          <w:sz w:val="30"/>
          <w:szCs w:val="30"/>
        </w:rPr>
        <w:t>2026年</w:t>
      </w:r>
      <w:r>
        <w:rPr>
          <w:rFonts w:hint="eastAsia" w:ascii="宋体" w:hAnsi="宋体"/>
          <w:b/>
          <w:kern w:val="2"/>
          <w:sz w:val="30"/>
          <w:szCs w:val="30"/>
          <w:lang w:val="en-US" w:eastAsia="zh-CN"/>
        </w:rPr>
        <w:t>11</w:t>
      </w:r>
      <w:r>
        <w:rPr>
          <w:rFonts w:hint="eastAsia" w:ascii="宋体" w:hAnsi="宋体"/>
          <w:b/>
          <w:kern w:val="2"/>
          <w:sz w:val="30"/>
          <w:szCs w:val="30"/>
        </w:rPr>
        <w:t>月</w:t>
      </w:r>
    </w:p>
    <w:p w14:paraId="2FFAF49E">
      <w:pPr>
        <w:jc w:val="center"/>
        <w:rPr>
          <w:rFonts w:ascii="宋体" w:hAnsi="宋体" w:cs="宋体"/>
          <w:bCs/>
          <w:sz w:val="30"/>
          <w:szCs w:val="30"/>
        </w:rPr>
      </w:pPr>
    </w:p>
    <w:p w14:paraId="148C80B7">
      <w:pPr>
        <w:wordWrap w:val="0"/>
        <w:spacing w:line="1400" w:lineRule="exact"/>
        <w:jc w:val="center"/>
        <w:rPr>
          <w:rFonts w:ascii="宋体" w:hAnsi="宋体" w:eastAsia="宋体" w:cs="宋体"/>
          <w:color w:val="auto"/>
          <w:lang w:val="zh-CN"/>
        </w:rPr>
        <w:sectPr>
          <w:footerReference r:id="rId3" w:type="default"/>
          <w:pgSz w:w="11906" w:h="16838"/>
          <w:pgMar w:top="1417" w:right="1361" w:bottom="1417" w:left="1417" w:header="851" w:footer="992" w:gutter="0"/>
          <w:cols w:space="0" w:num="1"/>
          <w:rtlGutter w:val="0"/>
          <w:docGrid w:linePitch="286" w:charSpace="0"/>
        </w:sectPr>
      </w:pPr>
    </w:p>
    <w:p w14:paraId="4BDF1BFC">
      <w:pPr>
        <w:jc w:val="center"/>
        <w:rPr>
          <w:rFonts w:ascii="宋体" w:hAnsi="宋体" w:cs="宋体"/>
          <w:b/>
          <w:bCs/>
          <w:sz w:val="52"/>
          <w:szCs w:val="52"/>
        </w:rPr>
      </w:pPr>
      <w:r>
        <w:rPr>
          <w:rFonts w:hint="eastAsia" w:ascii="宋体" w:hAnsi="宋体" w:cs="宋体"/>
          <w:b/>
          <w:bCs/>
          <w:sz w:val="52"/>
          <w:szCs w:val="52"/>
        </w:rPr>
        <w:t>目 录</w:t>
      </w:r>
    </w:p>
    <w:p w14:paraId="74FB7341">
      <w:pPr>
        <w:rPr>
          <w:rFonts w:ascii="宋体" w:hAnsi="宋体" w:cs="宋体"/>
          <w:szCs w:val="21"/>
        </w:rPr>
      </w:pPr>
    </w:p>
    <w:p w14:paraId="69F7121B">
      <w:pPr>
        <w:rPr>
          <w:rFonts w:ascii="宋体" w:hAnsi="宋体" w:cs="宋体"/>
          <w:szCs w:val="21"/>
        </w:rPr>
      </w:pPr>
    </w:p>
    <w:p w14:paraId="05B40A2F">
      <w:pPr>
        <w:rPr>
          <w:rFonts w:ascii="宋体" w:hAnsi="宋体" w:cs="宋体"/>
          <w:szCs w:val="21"/>
        </w:rPr>
      </w:pPr>
    </w:p>
    <w:p w14:paraId="672106AC">
      <w:pPr>
        <w:pStyle w:val="26"/>
        <w:keepNext w:val="0"/>
        <w:keepLines w:val="0"/>
        <w:pageBreakBefore w:val="0"/>
        <w:widowControl w:val="0"/>
        <w:tabs>
          <w:tab w:val="right" w:leader="dot" w:pos="8820"/>
        </w:tabs>
        <w:kinsoku/>
        <w:wordWrap/>
        <w:overflowPunct/>
        <w:topLinePunct w:val="0"/>
        <w:autoSpaceDE/>
        <w:autoSpaceDN/>
        <w:bidi w:val="0"/>
        <w:adjustRightInd/>
        <w:snapToGrid/>
        <w:spacing w:line="600" w:lineRule="auto"/>
        <w:textAlignment w:val="auto"/>
        <w:rPr>
          <w:rFonts w:asciiTheme="minorHAnsi" w:hAnsiTheme="minorHAnsi" w:eastAsiaTheme="minorEastAsia" w:cstheme="minorBidi"/>
          <w:b/>
          <w:kern w:val="2"/>
          <w:sz w:val="32"/>
          <w:szCs w:val="32"/>
        </w:rPr>
      </w:pPr>
      <w:r>
        <w:rPr>
          <w:rFonts w:hint="eastAsia" w:ascii="宋体" w:hAnsi="宋体" w:cs="宋体"/>
          <w:b/>
          <w:sz w:val="32"/>
          <w:szCs w:val="32"/>
        </w:rPr>
        <w:fldChar w:fldCharType="begin"/>
      </w:r>
      <w:r>
        <w:rPr>
          <w:rFonts w:hint="eastAsia" w:ascii="宋体" w:hAnsi="宋体" w:cs="宋体"/>
          <w:b/>
          <w:sz w:val="32"/>
          <w:szCs w:val="32"/>
        </w:rPr>
        <w:instrText xml:space="preserve">TOC \o "1-3" \h \u </w:instrText>
      </w:r>
      <w:r>
        <w:rPr>
          <w:rFonts w:hint="eastAsia" w:ascii="宋体" w:hAnsi="宋体" w:cs="宋体"/>
          <w:b/>
          <w:sz w:val="32"/>
          <w:szCs w:val="32"/>
        </w:rPr>
        <w:fldChar w:fldCharType="separate"/>
      </w:r>
      <w:r>
        <w:rPr>
          <w:sz w:val="32"/>
          <w:szCs w:val="32"/>
        </w:rPr>
        <w:fldChar w:fldCharType="begin"/>
      </w:r>
      <w:r>
        <w:rPr>
          <w:sz w:val="32"/>
          <w:szCs w:val="32"/>
        </w:rPr>
        <w:instrText xml:space="preserve"> HYPERLINK \l "_Toc240644488" </w:instrText>
      </w:r>
      <w:r>
        <w:rPr>
          <w:sz w:val="32"/>
          <w:szCs w:val="32"/>
        </w:rPr>
        <w:fldChar w:fldCharType="separate"/>
      </w:r>
      <w:r>
        <w:rPr>
          <w:rStyle w:val="42"/>
          <w:rFonts w:hint="eastAsia" w:ascii="宋体" w:hAnsi="宋体" w:cs="宋体"/>
          <w:b/>
          <w:color w:val="auto"/>
          <w:sz w:val="32"/>
          <w:szCs w:val="32"/>
        </w:rPr>
        <w:t>第一章  公开招标公告</w:t>
      </w:r>
      <w:r>
        <w:rPr>
          <w:b/>
          <w:sz w:val="32"/>
          <w:szCs w:val="32"/>
        </w:rPr>
        <w:tab/>
      </w:r>
      <w:r>
        <w:rPr>
          <w:b/>
          <w:sz w:val="32"/>
          <w:szCs w:val="32"/>
        </w:rPr>
        <w:fldChar w:fldCharType="begin"/>
      </w:r>
      <w:r>
        <w:rPr>
          <w:b/>
          <w:sz w:val="32"/>
          <w:szCs w:val="32"/>
        </w:rPr>
        <w:instrText xml:space="preserve"> PAGEREF _Toc240644488 \h </w:instrText>
      </w:r>
      <w:r>
        <w:rPr>
          <w:b/>
          <w:sz w:val="32"/>
          <w:szCs w:val="32"/>
        </w:rPr>
        <w:fldChar w:fldCharType="separate"/>
      </w:r>
      <w:r>
        <w:rPr>
          <w:b/>
          <w:sz w:val="32"/>
          <w:szCs w:val="32"/>
        </w:rPr>
        <w:t>1</w:t>
      </w:r>
      <w:r>
        <w:rPr>
          <w:b/>
          <w:sz w:val="32"/>
          <w:szCs w:val="32"/>
        </w:rPr>
        <w:fldChar w:fldCharType="end"/>
      </w:r>
      <w:r>
        <w:rPr>
          <w:b/>
          <w:sz w:val="32"/>
          <w:szCs w:val="32"/>
        </w:rPr>
        <w:fldChar w:fldCharType="end"/>
      </w:r>
    </w:p>
    <w:p w14:paraId="5A63F893">
      <w:pPr>
        <w:pStyle w:val="26"/>
        <w:keepNext w:val="0"/>
        <w:keepLines w:val="0"/>
        <w:pageBreakBefore w:val="0"/>
        <w:widowControl w:val="0"/>
        <w:tabs>
          <w:tab w:val="right" w:leader="dot" w:pos="8820"/>
        </w:tabs>
        <w:kinsoku/>
        <w:wordWrap/>
        <w:overflowPunct/>
        <w:topLinePunct w:val="0"/>
        <w:autoSpaceDE/>
        <w:autoSpaceDN/>
        <w:bidi w:val="0"/>
        <w:adjustRightInd/>
        <w:snapToGrid/>
        <w:spacing w:line="600" w:lineRule="auto"/>
        <w:textAlignment w:val="auto"/>
        <w:rPr>
          <w:rFonts w:asciiTheme="minorHAnsi" w:hAnsiTheme="minorHAnsi" w:eastAsiaTheme="minorEastAsia" w:cstheme="minorBidi"/>
          <w:b/>
          <w:kern w:val="2"/>
          <w:sz w:val="32"/>
          <w:szCs w:val="32"/>
        </w:rPr>
      </w:pPr>
      <w:r>
        <w:rPr>
          <w:sz w:val="32"/>
          <w:szCs w:val="32"/>
        </w:rPr>
        <w:fldChar w:fldCharType="begin"/>
      </w:r>
      <w:r>
        <w:rPr>
          <w:sz w:val="32"/>
          <w:szCs w:val="32"/>
        </w:rPr>
        <w:instrText xml:space="preserve"> HYPERLINK \l "_Toc240644489" </w:instrText>
      </w:r>
      <w:r>
        <w:rPr>
          <w:sz w:val="32"/>
          <w:szCs w:val="32"/>
        </w:rPr>
        <w:fldChar w:fldCharType="separate"/>
      </w:r>
      <w:r>
        <w:rPr>
          <w:rStyle w:val="42"/>
          <w:rFonts w:hint="eastAsia" w:ascii="宋体" w:hAnsi="宋体" w:cs="宋体"/>
          <w:b/>
          <w:bCs/>
          <w:color w:val="auto"/>
          <w:sz w:val="32"/>
          <w:szCs w:val="32"/>
        </w:rPr>
        <w:t>第二章</w:t>
      </w:r>
      <w:r>
        <w:rPr>
          <w:rStyle w:val="42"/>
          <w:rFonts w:ascii="宋体" w:hAnsi="宋体" w:cs="宋体"/>
          <w:b/>
          <w:bCs/>
          <w:color w:val="auto"/>
          <w:sz w:val="32"/>
          <w:szCs w:val="32"/>
        </w:rPr>
        <w:t xml:space="preserve">  </w:t>
      </w:r>
      <w:r>
        <w:rPr>
          <w:rStyle w:val="42"/>
          <w:rFonts w:hint="eastAsia" w:ascii="宋体" w:hAnsi="宋体" w:cs="宋体"/>
          <w:b/>
          <w:bCs/>
          <w:color w:val="auto"/>
          <w:sz w:val="32"/>
          <w:szCs w:val="32"/>
        </w:rPr>
        <w:t>投标人须知</w:t>
      </w:r>
      <w:r>
        <w:rPr>
          <w:b/>
          <w:sz w:val="32"/>
          <w:szCs w:val="32"/>
        </w:rPr>
        <w:tab/>
      </w:r>
      <w:r>
        <w:rPr>
          <w:b/>
          <w:sz w:val="32"/>
          <w:szCs w:val="32"/>
        </w:rPr>
        <w:fldChar w:fldCharType="begin"/>
      </w:r>
      <w:r>
        <w:rPr>
          <w:b/>
          <w:sz w:val="32"/>
          <w:szCs w:val="32"/>
        </w:rPr>
        <w:instrText xml:space="preserve"> PAGEREF _Toc240644489 \h </w:instrText>
      </w:r>
      <w:r>
        <w:rPr>
          <w:b/>
          <w:sz w:val="32"/>
          <w:szCs w:val="32"/>
        </w:rPr>
        <w:fldChar w:fldCharType="separate"/>
      </w:r>
      <w:r>
        <w:rPr>
          <w:b/>
          <w:sz w:val="32"/>
          <w:szCs w:val="32"/>
        </w:rPr>
        <w:t>4</w:t>
      </w:r>
      <w:r>
        <w:rPr>
          <w:b/>
          <w:sz w:val="32"/>
          <w:szCs w:val="32"/>
        </w:rPr>
        <w:fldChar w:fldCharType="end"/>
      </w:r>
      <w:r>
        <w:rPr>
          <w:b/>
          <w:sz w:val="32"/>
          <w:szCs w:val="32"/>
        </w:rPr>
        <w:fldChar w:fldCharType="end"/>
      </w:r>
    </w:p>
    <w:p w14:paraId="53319DEA">
      <w:pPr>
        <w:pStyle w:val="26"/>
        <w:keepNext w:val="0"/>
        <w:keepLines w:val="0"/>
        <w:pageBreakBefore w:val="0"/>
        <w:widowControl w:val="0"/>
        <w:tabs>
          <w:tab w:val="right" w:leader="dot" w:pos="8820"/>
        </w:tabs>
        <w:kinsoku/>
        <w:wordWrap/>
        <w:overflowPunct/>
        <w:topLinePunct w:val="0"/>
        <w:autoSpaceDE/>
        <w:autoSpaceDN/>
        <w:bidi w:val="0"/>
        <w:adjustRightInd/>
        <w:snapToGrid/>
        <w:spacing w:line="600" w:lineRule="auto"/>
        <w:textAlignment w:val="auto"/>
        <w:rPr>
          <w:rFonts w:asciiTheme="minorHAnsi" w:hAnsiTheme="minorHAnsi" w:eastAsiaTheme="minorEastAsia" w:cstheme="minorBidi"/>
          <w:b/>
          <w:kern w:val="2"/>
          <w:sz w:val="32"/>
          <w:szCs w:val="32"/>
        </w:rPr>
      </w:pPr>
      <w:r>
        <w:rPr>
          <w:sz w:val="32"/>
          <w:szCs w:val="32"/>
        </w:rPr>
        <w:fldChar w:fldCharType="begin"/>
      </w:r>
      <w:r>
        <w:rPr>
          <w:sz w:val="32"/>
          <w:szCs w:val="32"/>
        </w:rPr>
        <w:instrText xml:space="preserve"> HYPERLINK \l "_Toc240644539" </w:instrText>
      </w:r>
      <w:r>
        <w:rPr>
          <w:sz w:val="32"/>
          <w:szCs w:val="32"/>
        </w:rPr>
        <w:fldChar w:fldCharType="separate"/>
      </w:r>
      <w:r>
        <w:rPr>
          <w:rStyle w:val="42"/>
          <w:rFonts w:hint="eastAsia" w:ascii="宋体" w:hAnsi="宋体" w:cs="宋体"/>
          <w:b/>
          <w:bCs/>
          <w:color w:val="auto"/>
          <w:sz w:val="32"/>
          <w:szCs w:val="32"/>
        </w:rPr>
        <w:t>第三章</w:t>
      </w:r>
      <w:r>
        <w:rPr>
          <w:rStyle w:val="42"/>
          <w:rFonts w:ascii="宋体" w:hAnsi="宋体" w:cs="宋体"/>
          <w:b/>
          <w:bCs/>
          <w:color w:val="auto"/>
          <w:sz w:val="32"/>
          <w:szCs w:val="32"/>
        </w:rPr>
        <w:t xml:space="preserve">  </w:t>
      </w:r>
      <w:r>
        <w:rPr>
          <w:rStyle w:val="42"/>
          <w:rFonts w:hint="eastAsia" w:ascii="宋体" w:hAnsi="宋体" w:cs="宋体"/>
          <w:b/>
          <w:bCs/>
          <w:color w:val="auto"/>
          <w:sz w:val="32"/>
          <w:szCs w:val="32"/>
        </w:rPr>
        <w:t>采购需求</w:t>
      </w:r>
      <w:r>
        <w:rPr>
          <w:b/>
          <w:sz w:val="32"/>
          <w:szCs w:val="32"/>
        </w:rPr>
        <w:tab/>
      </w:r>
      <w:r>
        <w:rPr>
          <w:b/>
          <w:sz w:val="32"/>
          <w:szCs w:val="32"/>
        </w:rPr>
        <w:fldChar w:fldCharType="begin"/>
      </w:r>
      <w:r>
        <w:rPr>
          <w:b/>
          <w:sz w:val="32"/>
          <w:szCs w:val="32"/>
        </w:rPr>
        <w:instrText xml:space="preserve"> PAGEREF _Toc240644539 \h </w:instrText>
      </w:r>
      <w:r>
        <w:rPr>
          <w:b/>
          <w:sz w:val="32"/>
          <w:szCs w:val="32"/>
        </w:rPr>
        <w:fldChar w:fldCharType="separate"/>
      </w:r>
      <w:r>
        <w:rPr>
          <w:b/>
          <w:sz w:val="32"/>
          <w:szCs w:val="32"/>
        </w:rPr>
        <w:t>20</w:t>
      </w:r>
      <w:r>
        <w:rPr>
          <w:b/>
          <w:sz w:val="32"/>
          <w:szCs w:val="32"/>
        </w:rPr>
        <w:fldChar w:fldCharType="end"/>
      </w:r>
      <w:r>
        <w:rPr>
          <w:b/>
          <w:sz w:val="32"/>
          <w:szCs w:val="32"/>
        </w:rPr>
        <w:fldChar w:fldCharType="end"/>
      </w:r>
    </w:p>
    <w:p w14:paraId="2AAF2B35">
      <w:pPr>
        <w:pStyle w:val="26"/>
        <w:keepNext w:val="0"/>
        <w:keepLines w:val="0"/>
        <w:pageBreakBefore w:val="0"/>
        <w:widowControl w:val="0"/>
        <w:tabs>
          <w:tab w:val="right" w:leader="dot" w:pos="8820"/>
        </w:tabs>
        <w:kinsoku/>
        <w:wordWrap/>
        <w:overflowPunct/>
        <w:topLinePunct w:val="0"/>
        <w:autoSpaceDE/>
        <w:autoSpaceDN/>
        <w:bidi w:val="0"/>
        <w:adjustRightInd/>
        <w:snapToGrid/>
        <w:spacing w:line="600" w:lineRule="auto"/>
        <w:textAlignment w:val="auto"/>
        <w:rPr>
          <w:rFonts w:asciiTheme="minorHAnsi" w:hAnsiTheme="minorHAnsi" w:eastAsiaTheme="minorEastAsia" w:cstheme="minorBidi"/>
          <w:b/>
          <w:kern w:val="2"/>
          <w:sz w:val="32"/>
          <w:szCs w:val="32"/>
        </w:rPr>
      </w:pPr>
      <w:r>
        <w:rPr>
          <w:sz w:val="32"/>
          <w:szCs w:val="32"/>
        </w:rPr>
        <w:fldChar w:fldCharType="begin"/>
      </w:r>
      <w:r>
        <w:rPr>
          <w:sz w:val="32"/>
          <w:szCs w:val="32"/>
        </w:rPr>
        <w:instrText xml:space="preserve"> HYPERLINK \l "_Toc240644546" </w:instrText>
      </w:r>
      <w:r>
        <w:rPr>
          <w:sz w:val="32"/>
          <w:szCs w:val="32"/>
        </w:rPr>
        <w:fldChar w:fldCharType="separate"/>
      </w:r>
      <w:r>
        <w:rPr>
          <w:rStyle w:val="42"/>
          <w:rFonts w:hint="eastAsia" w:ascii="宋体" w:hAnsi="宋体" w:cs="宋体"/>
          <w:b/>
          <w:bCs/>
          <w:color w:val="auto"/>
          <w:sz w:val="32"/>
          <w:szCs w:val="32"/>
        </w:rPr>
        <w:t>第四章</w:t>
      </w:r>
      <w:r>
        <w:rPr>
          <w:rStyle w:val="42"/>
          <w:rFonts w:ascii="宋体" w:hAnsi="宋体" w:cs="宋体"/>
          <w:b/>
          <w:bCs/>
          <w:color w:val="auto"/>
          <w:sz w:val="32"/>
          <w:szCs w:val="32"/>
        </w:rPr>
        <w:t xml:space="preserve">  </w:t>
      </w:r>
      <w:r>
        <w:rPr>
          <w:rStyle w:val="42"/>
          <w:rFonts w:hint="eastAsia" w:ascii="宋体" w:hAnsi="宋体" w:cs="宋体"/>
          <w:b/>
          <w:bCs/>
          <w:color w:val="auto"/>
          <w:sz w:val="32"/>
          <w:szCs w:val="32"/>
        </w:rPr>
        <w:t>评标办法</w:t>
      </w:r>
      <w:r>
        <w:rPr>
          <w:b/>
          <w:sz w:val="32"/>
          <w:szCs w:val="32"/>
        </w:rPr>
        <w:tab/>
      </w:r>
      <w:r>
        <w:rPr>
          <w:b/>
          <w:sz w:val="32"/>
          <w:szCs w:val="32"/>
        </w:rPr>
        <w:fldChar w:fldCharType="begin"/>
      </w:r>
      <w:r>
        <w:rPr>
          <w:b/>
          <w:sz w:val="32"/>
          <w:szCs w:val="32"/>
        </w:rPr>
        <w:instrText xml:space="preserve"> PAGEREF _Toc240644546 \h </w:instrText>
      </w:r>
      <w:r>
        <w:rPr>
          <w:b/>
          <w:sz w:val="32"/>
          <w:szCs w:val="32"/>
        </w:rPr>
        <w:fldChar w:fldCharType="separate"/>
      </w:r>
      <w:r>
        <w:rPr>
          <w:b/>
          <w:sz w:val="32"/>
          <w:szCs w:val="32"/>
        </w:rPr>
        <w:t>29</w:t>
      </w:r>
      <w:r>
        <w:rPr>
          <w:b/>
          <w:sz w:val="32"/>
          <w:szCs w:val="32"/>
        </w:rPr>
        <w:fldChar w:fldCharType="end"/>
      </w:r>
      <w:r>
        <w:rPr>
          <w:b/>
          <w:sz w:val="32"/>
          <w:szCs w:val="32"/>
        </w:rPr>
        <w:fldChar w:fldCharType="end"/>
      </w:r>
    </w:p>
    <w:p w14:paraId="6FBC0D07">
      <w:pPr>
        <w:pStyle w:val="26"/>
        <w:keepNext w:val="0"/>
        <w:keepLines w:val="0"/>
        <w:pageBreakBefore w:val="0"/>
        <w:widowControl w:val="0"/>
        <w:tabs>
          <w:tab w:val="right" w:leader="dot" w:pos="8820"/>
        </w:tabs>
        <w:kinsoku/>
        <w:wordWrap/>
        <w:overflowPunct/>
        <w:topLinePunct w:val="0"/>
        <w:autoSpaceDE/>
        <w:autoSpaceDN/>
        <w:bidi w:val="0"/>
        <w:adjustRightInd/>
        <w:snapToGrid/>
        <w:spacing w:line="600" w:lineRule="auto"/>
        <w:textAlignment w:val="auto"/>
        <w:rPr>
          <w:rFonts w:asciiTheme="minorHAnsi" w:hAnsiTheme="minorHAnsi" w:eastAsiaTheme="minorEastAsia" w:cstheme="minorBidi"/>
          <w:b/>
          <w:kern w:val="2"/>
          <w:sz w:val="32"/>
          <w:szCs w:val="32"/>
        </w:rPr>
      </w:pPr>
      <w:r>
        <w:rPr>
          <w:sz w:val="32"/>
          <w:szCs w:val="32"/>
        </w:rPr>
        <w:fldChar w:fldCharType="begin"/>
      </w:r>
      <w:r>
        <w:rPr>
          <w:sz w:val="32"/>
          <w:szCs w:val="32"/>
        </w:rPr>
        <w:instrText xml:space="preserve"> HYPERLINK \l "_Toc240644547" </w:instrText>
      </w:r>
      <w:r>
        <w:rPr>
          <w:sz w:val="32"/>
          <w:szCs w:val="32"/>
        </w:rPr>
        <w:fldChar w:fldCharType="separate"/>
      </w:r>
      <w:r>
        <w:rPr>
          <w:rStyle w:val="42"/>
          <w:rFonts w:hint="eastAsia" w:ascii="宋体" w:hAnsi="宋体" w:cs="宋体"/>
          <w:b/>
          <w:bCs/>
          <w:color w:val="auto"/>
          <w:sz w:val="32"/>
          <w:szCs w:val="32"/>
        </w:rPr>
        <w:t>第五章</w:t>
      </w:r>
      <w:r>
        <w:rPr>
          <w:rStyle w:val="42"/>
          <w:rFonts w:ascii="宋体" w:hAnsi="宋体" w:cs="宋体"/>
          <w:b/>
          <w:bCs/>
          <w:color w:val="auto"/>
          <w:sz w:val="32"/>
          <w:szCs w:val="32"/>
        </w:rPr>
        <w:t xml:space="preserve">  </w:t>
      </w:r>
      <w:r>
        <w:rPr>
          <w:rStyle w:val="42"/>
          <w:rFonts w:hint="eastAsia" w:ascii="宋体" w:hAnsi="宋体" w:cs="宋体"/>
          <w:b/>
          <w:bCs/>
          <w:color w:val="auto"/>
          <w:sz w:val="32"/>
          <w:szCs w:val="32"/>
        </w:rPr>
        <w:t>采购合同（合同主要条款及格式）</w:t>
      </w:r>
      <w:r>
        <w:rPr>
          <w:b/>
          <w:sz w:val="32"/>
          <w:szCs w:val="32"/>
        </w:rPr>
        <w:tab/>
      </w:r>
      <w:r>
        <w:rPr>
          <w:b/>
          <w:sz w:val="32"/>
          <w:szCs w:val="32"/>
        </w:rPr>
        <w:fldChar w:fldCharType="begin"/>
      </w:r>
      <w:r>
        <w:rPr>
          <w:b/>
          <w:sz w:val="32"/>
          <w:szCs w:val="32"/>
        </w:rPr>
        <w:instrText xml:space="preserve"> PAGEREF _Toc240644547 \h </w:instrText>
      </w:r>
      <w:r>
        <w:rPr>
          <w:b/>
          <w:sz w:val="32"/>
          <w:szCs w:val="32"/>
        </w:rPr>
        <w:fldChar w:fldCharType="separate"/>
      </w:r>
      <w:r>
        <w:rPr>
          <w:b/>
          <w:sz w:val="32"/>
          <w:szCs w:val="32"/>
        </w:rPr>
        <w:t>32</w:t>
      </w:r>
      <w:r>
        <w:rPr>
          <w:b/>
          <w:sz w:val="32"/>
          <w:szCs w:val="32"/>
        </w:rPr>
        <w:fldChar w:fldCharType="end"/>
      </w:r>
      <w:r>
        <w:rPr>
          <w:b/>
          <w:sz w:val="32"/>
          <w:szCs w:val="32"/>
        </w:rPr>
        <w:fldChar w:fldCharType="end"/>
      </w:r>
    </w:p>
    <w:p w14:paraId="43F23D19">
      <w:pPr>
        <w:pStyle w:val="26"/>
        <w:keepNext w:val="0"/>
        <w:keepLines w:val="0"/>
        <w:pageBreakBefore w:val="0"/>
        <w:widowControl w:val="0"/>
        <w:tabs>
          <w:tab w:val="right" w:leader="dot" w:pos="8820"/>
        </w:tabs>
        <w:kinsoku/>
        <w:wordWrap/>
        <w:overflowPunct/>
        <w:topLinePunct w:val="0"/>
        <w:autoSpaceDE/>
        <w:autoSpaceDN/>
        <w:bidi w:val="0"/>
        <w:adjustRightInd/>
        <w:snapToGrid/>
        <w:spacing w:line="600" w:lineRule="auto"/>
        <w:textAlignment w:val="auto"/>
        <w:rPr>
          <w:rFonts w:asciiTheme="minorHAnsi" w:hAnsiTheme="minorHAnsi" w:eastAsiaTheme="minorEastAsia" w:cstheme="minorBidi"/>
          <w:b/>
          <w:kern w:val="2"/>
          <w:sz w:val="32"/>
          <w:szCs w:val="32"/>
        </w:rPr>
      </w:pPr>
      <w:r>
        <w:rPr>
          <w:sz w:val="32"/>
          <w:szCs w:val="32"/>
        </w:rPr>
        <w:fldChar w:fldCharType="begin"/>
      </w:r>
      <w:r>
        <w:rPr>
          <w:sz w:val="32"/>
          <w:szCs w:val="32"/>
        </w:rPr>
        <w:instrText xml:space="preserve"> HYPERLINK \l "_Toc240644571" </w:instrText>
      </w:r>
      <w:r>
        <w:rPr>
          <w:sz w:val="32"/>
          <w:szCs w:val="32"/>
        </w:rPr>
        <w:fldChar w:fldCharType="separate"/>
      </w:r>
      <w:r>
        <w:rPr>
          <w:rStyle w:val="42"/>
          <w:rFonts w:hint="eastAsia" w:ascii="宋体" w:hAnsi="宋体" w:cs="宋体"/>
          <w:b/>
          <w:bCs/>
          <w:color w:val="auto"/>
          <w:sz w:val="32"/>
          <w:szCs w:val="32"/>
        </w:rPr>
        <w:t>第六章</w:t>
      </w:r>
      <w:r>
        <w:rPr>
          <w:rStyle w:val="42"/>
          <w:rFonts w:ascii="宋体" w:hAnsi="宋体" w:cs="宋体"/>
          <w:b/>
          <w:bCs/>
          <w:color w:val="auto"/>
          <w:sz w:val="32"/>
          <w:szCs w:val="32"/>
        </w:rPr>
        <w:t xml:space="preserve">  </w:t>
      </w:r>
      <w:r>
        <w:rPr>
          <w:rStyle w:val="42"/>
          <w:rFonts w:hint="eastAsia" w:ascii="宋体" w:hAnsi="宋体" w:cs="宋体"/>
          <w:b/>
          <w:bCs/>
          <w:color w:val="auto"/>
          <w:sz w:val="32"/>
          <w:szCs w:val="32"/>
        </w:rPr>
        <w:t>投标文件（格式）</w:t>
      </w:r>
      <w:r>
        <w:rPr>
          <w:b/>
          <w:sz w:val="32"/>
          <w:szCs w:val="32"/>
        </w:rPr>
        <w:tab/>
      </w:r>
      <w:r>
        <w:rPr>
          <w:b/>
          <w:sz w:val="32"/>
          <w:szCs w:val="32"/>
        </w:rPr>
        <w:fldChar w:fldCharType="begin"/>
      </w:r>
      <w:r>
        <w:rPr>
          <w:b/>
          <w:sz w:val="32"/>
          <w:szCs w:val="32"/>
        </w:rPr>
        <w:instrText xml:space="preserve"> PAGEREF _Toc240644571 \h </w:instrText>
      </w:r>
      <w:r>
        <w:rPr>
          <w:b/>
          <w:sz w:val="32"/>
          <w:szCs w:val="32"/>
        </w:rPr>
        <w:fldChar w:fldCharType="separate"/>
      </w:r>
      <w:r>
        <w:rPr>
          <w:b/>
          <w:sz w:val="32"/>
          <w:szCs w:val="32"/>
        </w:rPr>
        <w:t>35</w:t>
      </w:r>
      <w:r>
        <w:rPr>
          <w:b/>
          <w:sz w:val="32"/>
          <w:szCs w:val="32"/>
        </w:rPr>
        <w:fldChar w:fldCharType="end"/>
      </w:r>
      <w:r>
        <w:rPr>
          <w:b/>
          <w:sz w:val="32"/>
          <w:szCs w:val="32"/>
        </w:rPr>
        <w:fldChar w:fldCharType="end"/>
      </w:r>
    </w:p>
    <w:p w14:paraId="7480A5B6">
      <w:pPr>
        <w:keepNext w:val="0"/>
        <w:keepLines w:val="0"/>
        <w:pageBreakBefore w:val="0"/>
        <w:widowControl w:val="0"/>
        <w:kinsoku/>
        <w:wordWrap/>
        <w:overflowPunct/>
        <w:topLinePunct w:val="0"/>
        <w:autoSpaceDE/>
        <w:autoSpaceDN/>
        <w:bidi w:val="0"/>
        <w:adjustRightInd/>
        <w:snapToGrid/>
        <w:spacing w:line="600" w:lineRule="auto"/>
        <w:jc w:val="center"/>
        <w:textAlignment w:val="auto"/>
        <w:outlineLvl w:val="0"/>
        <w:rPr>
          <w:rFonts w:ascii="宋体" w:hAnsi="宋体" w:cs="宋体"/>
          <w:sz w:val="32"/>
          <w:szCs w:val="32"/>
        </w:rPr>
        <w:sectPr>
          <w:pgSz w:w="11906" w:h="16838"/>
          <w:pgMar w:top="1417" w:right="1361" w:bottom="1417" w:left="1417" w:header="851" w:footer="992" w:gutter="0"/>
          <w:pgNumType w:start="1"/>
          <w:cols w:space="0" w:num="1"/>
          <w:rtlGutter w:val="0"/>
          <w:docGrid w:linePitch="286" w:charSpace="0"/>
        </w:sectPr>
      </w:pPr>
      <w:r>
        <w:rPr>
          <w:rFonts w:hint="eastAsia" w:ascii="宋体" w:hAnsi="宋体" w:cs="宋体"/>
          <w:b/>
          <w:sz w:val="32"/>
          <w:szCs w:val="32"/>
        </w:rPr>
        <w:fldChar w:fldCharType="end"/>
      </w:r>
    </w:p>
    <w:p w14:paraId="2E36FFE9">
      <w:pPr>
        <w:jc w:val="center"/>
        <w:outlineLvl w:val="0"/>
        <w:rPr>
          <w:rFonts w:ascii="宋体" w:hAnsi="宋体" w:cs="宋体"/>
          <w:b/>
          <w:bCs/>
          <w:sz w:val="32"/>
          <w:szCs w:val="32"/>
        </w:rPr>
      </w:pPr>
      <w:bookmarkStart w:id="0" w:name="_Toc28359001"/>
      <w:bookmarkStart w:id="1" w:name="_Toc35393789"/>
      <w:r>
        <w:rPr>
          <w:rFonts w:hint="eastAsia" w:ascii="宋体" w:hAnsi="宋体" w:cs="宋体"/>
          <w:b/>
          <w:bCs/>
          <w:sz w:val="32"/>
          <w:szCs w:val="32"/>
        </w:rPr>
        <w:t xml:space="preserve">第一章  </w:t>
      </w:r>
      <w:bookmarkStart w:id="2" w:name="_Toc8183"/>
      <w:bookmarkStart w:id="3" w:name="_Toc240644488"/>
      <w:r>
        <w:rPr>
          <w:rFonts w:hint="eastAsia" w:ascii="宋体" w:hAnsi="宋体" w:cs="宋体"/>
          <w:b/>
          <w:bCs/>
          <w:sz w:val="32"/>
          <w:szCs w:val="32"/>
        </w:rPr>
        <w:t>公开招标公告</w:t>
      </w:r>
      <w:bookmarkEnd w:id="0"/>
      <w:bookmarkEnd w:id="1"/>
      <w:bookmarkEnd w:id="2"/>
      <w:bookmarkEnd w:id="3"/>
    </w:p>
    <w:tbl>
      <w:tblPr>
        <w:tblStyle w:val="35"/>
        <w:tblpPr w:leftFromText="180" w:rightFromText="180" w:vertAnchor="text" w:tblpX="38" w:tblpY="134"/>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44"/>
      </w:tblGrid>
      <w:tr w14:paraId="23BB0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5000" w:type="pct"/>
            <w:tcBorders>
              <w:top w:val="single" w:color="auto" w:sz="4" w:space="0"/>
              <w:left w:val="single" w:color="auto" w:sz="4" w:space="0"/>
              <w:bottom w:val="single" w:color="auto" w:sz="4" w:space="0"/>
              <w:right w:val="single" w:color="auto" w:sz="4" w:space="0"/>
            </w:tcBorders>
          </w:tcPr>
          <w:p w14:paraId="5FC73E4E">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Cs w:val="21"/>
              </w:rPr>
            </w:pPr>
            <w:r>
              <w:rPr>
                <w:rFonts w:hint="eastAsia" w:ascii="宋体" w:hAnsi="宋体" w:cs="宋体"/>
                <w:szCs w:val="21"/>
              </w:rPr>
              <w:t>项目概况</w:t>
            </w:r>
          </w:p>
          <w:p w14:paraId="13CFBDEA">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ascii="宋体" w:hAnsi="宋体" w:cs="宋体"/>
                <w:szCs w:val="21"/>
              </w:rPr>
            </w:pPr>
            <w:r>
              <w:rPr>
                <w:rFonts w:hint="eastAsia" w:ascii="宋体" w:hAnsi="宋体" w:cs="宋体"/>
                <w:szCs w:val="21"/>
                <w:u w:val="single"/>
                <w:lang w:eastAsia="zh-CN"/>
              </w:rPr>
              <w:t>灌阳县雪亮工程一期到期后运维服务项目</w:t>
            </w:r>
            <w:r>
              <w:rPr>
                <w:rFonts w:hint="eastAsia" w:ascii="宋体" w:hAnsi="宋体" w:cs="宋体"/>
                <w:szCs w:val="21"/>
                <w:u w:val="none"/>
                <w:lang w:val="en-US" w:eastAsia="zh-CN"/>
              </w:rPr>
              <w:t>招标</w:t>
            </w:r>
            <w:r>
              <w:rPr>
                <w:rFonts w:hint="eastAsia" w:ascii="宋体" w:hAnsi="宋体" w:cs="宋体"/>
                <w:szCs w:val="21"/>
              </w:rPr>
              <w:t>项目的</w:t>
            </w:r>
            <w:r>
              <w:rPr>
                <w:rFonts w:hint="eastAsia" w:ascii="宋体" w:hAnsi="宋体"/>
                <w:szCs w:val="21"/>
              </w:rPr>
              <w:t>潜在投标人应在</w:t>
            </w:r>
            <w:r>
              <w:rPr>
                <w:rFonts w:hint="eastAsia" w:ascii="宋体" w:hAnsi="宋体"/>
                <w:szCs w:val="21"/>
                <w:u w:val="single"/>
              </w:rPr>
              <w:t>广西政府采购云平台（https://www.gcy.zfcg.gxzf.gov.cn/）</w:t>
            </w:r>
            <w:r>
              <w:rPr>
                <w:rFonts w:hint="eastAsia" w:ascii="宋体" w:hAnsi="宋体"/>
                <w:szCs w:val="21"/>
              </w:rPr>
              <w:t>获取招标文件</w:t>
            </w:r>
            <w:r>
              <w:rPr>
                <w:rFonts w:hint="eastAsia" w:ascii="宋体" w:hAnsi="宋体" w:cs="宋体"/>
                <w:szCs w:val="21"/>
              </w:rPr>
              <w:t xml:space="preserve">，并于 </w:t>
            </w:r>
            <w:r>
              <w:rPr>
                <w:rFonts w:hint="eastAsia" w:ascii="宋体" w:hAnsi="宋体" w:cs="宋体"/>
                <w:szCs w:val="21"/>
                <w:u w:val="single"/>
                <w:lang w:eastAsia="zh-CN"/>
              </w:rPr>
              <w:t>2026年11月24日</w:t>
            </w:r>
            <w:r>
              <w:rPr>
                <w:rFonts w:hint="eastAsia" w:ascii="宋体" w:hAnsi="宋体" w:cs="宋体"/>
                <w:szCs w:val="21"/>
                <w:u w:val="single"/>
              </w:rPr>
              <w:t>09时30分</w:t>
            </w:r>
            <w:r>
              <w:rPr>
                <w:rFonts w:hint="eastAsia" w:ascii="宋体" w:hAnsi="宋体" w:cs="宋体"/>
                <w:szCs w:val="21"/>
              </w:rPr>
              <w:t xml:space="preserve">（北京时间）前递交投标文件。   </w:t>
            </w:r>
          </w:p>
        </w:tc>
      </w:tr>
    </w:tbl>
    <w:p w14:paraId="1AE02BEE">
      <w:pPr>
        <w:keepNext w:val="0"/>
        <w:keepLines w:val="0"/>
        <w:pageBreakBefore w:val="0"/>
        <w:kinsoku/>
        <w:wordWrap/>
        <w:overflowPunct/>
        <w:topLinePunct w:val="0"/>
        <w:autoSpaceDE/>
        <w:autoSpaceDN/>
        <w:bidi w:val="0"/>
        <w:adjustRightInd/>
        <w:snapToGrid/>
        <w:spacing w:line="360" w:lineRule="auto"/>
        <w:textAlignment w:val="auto"/>
        <w:rPr>
          <w:rFonts w:ascii="宋体" w:hAnsi="宋体" w:cs="宋体"/>
          <w:b/>
          <w:szCs w:val="21"/>
        </w:rPr>
      </w:pPr>
      <w:bookmarkStart w:id="4" w:name="_Toc28359079"/>
      <w:bookmarkStart w:id="5" w:name="_Toc35393790"/>
      <w:bookmarkStart w:id="6" w:name="_Toc28359002"/>
      <w:bookmarkStart w:id="7" w:name="_Toc35393621"/>
      <w:bookmarkStart w:id="8" w:name="_Hlk24379207"/>
      <w:r>
        <w:rPr>
          <w:rFonts w:hint="eastAsia" w:ascii="宋体" w:hAnsi="宋体" w:cs="宋体"/>
          <w:b/>
          <w:szCs w:val="21"/>
        </w:rPr>
        <w:t>一、项目基本情况</w:t>
      </w:r>
      <w:bookmarkEnd w:id="4"/>
      <w:bookmarkEnd w:id="5"/>
      <w:bookmarkEnd w:id="6"/>
      <w:bookmarkEnd w:id="7"/>
    </w:p>
    <w:p w14:paraId="71DF88AD">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cs="宋体"/>
          <w:szCs w:val="21"/>
          <w:lang w:eastAsia="zh-CN"/>
        </w:rPr>
      </w:pPr>
      <w:r>
        <w:rPr>
          <w:rFonts w:hint="eastAsia" w:ascii="宋体" w:hAnsi="宋体" w:cs="宋体"/>
          <w:szCs w:val="21"/>
        </w:rPr>
        <w:t>项目编号：</w:t>
      </w:r>
      <w:r>
        <w:rPr>
          <w:rFonts w:hint="eastAsia" w:ascii="宋体" w:hAnsi="宋体" w:cs="宋体"/>
          <w:szCs w:val="21"/>
          <w:lang w:eastAsia="zh-CN"/>
        </w:rPr>
        <w:t>GLZC2026-G3-270058-BBWH</w:t>
      </w:r>
    </w:p>
    <w:p w14:paraId="7A74D75B">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cs="宋体"/>
          <w:szCs w:val="21"/>
        </w:rPr>
      </w:pPr>
      <w:r>
        <w:rPr>
          <w:rFonts w:hint="eastAsia" w:ascii="宋体" w:hAnsi="宋体" w:cs="宋体"/>
          <w:szCs w:val="21"/>
        </w:rPr>
        <w:t>项目名称：</w:t>
      </w:r>
      <w:r>
        <w:rPr>
          <w:rFonts w:hint="eastAsia" w:ascii="宋体" w:hAnsi="宋体" w:cs="宋体"/>
          <w:szCs w:val="21"/>
          <w:lang w:eastAsia="zh-CN"/>
        </w:rPr>
        <w:t>灌阳县雪亮工程一期到期后运维服务项目</w:t>
      </w:r>
      <w:bookmarkEnd w:id="8"/>
    </w:p>
    <w:p w14:paraId="1EB6A55F">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cs="宋体"/>
          <w:szCs w:val="21"/>
        </w:rPr>
      </w:pPr>
      <w:r>
        <w:rPr>
          <w:rFonts w:hint="eastAsia" w:ascii="宋体" w:hAnsi="宋体" w:cs="宋体"/>
          <w:szCs w:val="21"/>
        </w:rPr>
        <w:t>预</w:t>
      </w:r>
      <w:r>
        <w:rPr>
          <w:rFonts w:hint="eastAsia" w:ascii="宋体" w:hAnsi="宋体"/>
          <w:szCs w:val="21"/>
        </w:rPr>
        <w:t>算总金额（元）：</w:t>
      </w:r>
      <w:bookmarkStart w:id="9" w:name="OLE_LINK11"/>
      <w:bookmarkStart w:id="10" w:name="OLE_LINK10"/>
      <w:r>
        <w:rPr>
          <w:rFonts w:hint="eastAsia" w:ascii="宋体" w:hAnsi="宋体" w:cs="宋体"/>
          <w:szCs w:val="21"/>
          <w:lang w:eastAsia="zh-CN"/>
        </w:rPr>
        <w:t>2150000</w:t>
      </w:r>
      <w:r>
        <w:rPr>
          <w:rFonts w:hint="eastAsia" w:ascii="宋体" w:hAnsi="宋体" w:cs="宋体"/>
          <w:szCs w:val="21"/>
        </w:rPr>
        <w:t>.00</w:t>
      </w:r>
      <w:bookmarkEnd w:id="9"/>
      <w:bookmarkEnd w:id="10"/>
    </w:p>
    <w:p w14:paraId="1CB4EF48">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cs="宋体"/>
          <w:b/>
          <w:szCs w:val="21"/>
        </w:rPr>
      </w:pPr>
      <w:r>
        <w:rPr>
          <w:rFonts w:hint="eastAsia" w:ascii="宋体" w:hAnsi="宋体" w:cs="宋体"/>
          <w:b/>
          <w:szCs w:val="21"/>
        </w:rPr>
        <w:t>采购需求：</w:t>
      </w:r>
    </w:p>
    <w:p w14:paraId="3301265F">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cs="宋体"/>
          <w:szCs w:val="21"/>
          <w:lang w:eastAsia="zh-CN"/>
        </w:rPr>
      </w:pPr>
      <w:bookmarkStart w:id="11" w:name="_Toc35393791"/>
      <w:bookmarkStart w:id="12" w:name="_Toc28359003"/>
      <w:bookmarkStart w:id="13" w:name="_Toc35393622"/>
      <w:bookmarkStart w:id="14" w:name="_Toc28359080"/>
      <w:r>
        <w:rPr>
          <w:rFonts w:hint="eastAsia" w:ascii="宋体" w:hAnsi="宋体" w:cs="宋体"/>
          <w:szCs w:val="21"/>
        </w:rPr>
        <w:t>标项名称：</w:t>
      </w:r>
      <w:r>
        <w:rPr>
          <w:rFonts w:hint="eastAsia" w:ascii="宋体" w:hAnsi="宋体" w:cs="宋体"/>
          <w:szCs w:val="21"/>
          <w:lang w:eastAsia="zh-CN"/>
        </w:rPr>
        <w:t>灌阳县雪亮工程一期到期后运维服务项目</w:t>
      </w:r>
    </w:p>
    <w:p w14:paraId="68332526">
      <w:pPr>
        <w:keepNext w:val="0"/>
        <w:keepLines w:val="0"/>
        <w:pageBreakBefore w:val="0"/>
        <w:kinsoku/>
        <w:wordWrap/>
        <w:overflowPunct/>
        <w:topLinePunct w:val="0"/>
        <w:autoSpaceDE/>
        <w:autoSpaceDN/>
        <w:bidi w:val="0"/>
        <w:adjustRightInd/>
        <w:snapToGrid/>
        <w:spacing w:line="360" w:lineRule="auto"/>
        <w:ind w:firstLine="480"/>
        <w:textAlignment w:val="auto"/>
        <w:rPr>
          <w:rFonts w:hint="default" w:ascii="宋体" w:hAnsi="宋体" w:eastAsia="宋体" w:cs="宋体"/>
          <w:szCs w:val="21"/>
          <w:lang w:val="en-US" w:eastAsia="zh-CN"/>
        </w:rPr>
      </w:pPr>
      <w:r>
        <w:rPr>
          <w:rFonts w:hint="eastAsia" w:ascii="宋体" w:hAnsi="宋体" w:cs="宋体"/>
          <w:szCs w:val="21"/>
        </w:rPr>
        <w:t>数量：</w:t>
      </w:r>
      <w:r>
        <w:rPr>
          <w:rFonts w:hint="eastAsia" w:ascii="宋体" w:hAnsi="宋体" w:cs="宋体"/>
          <w:szCs w:val="21"/>
          <w:lang w:val="en-US" w:eastAsia="zh-CN"/>
        </w:rPr>
        <w:t>不限</w:t>
      </w:r>
    </w:p>
    <w:p w14:paraId="0451DD06">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cs="宋体"/>
          <w:szCs w:val="21"/>
        </w:rPr>
      </w:pPr>
      <w:r>
        <w:rPr>
          <w:rFonts w:hint="eastAsia" w:ascii="宋体" w:hAnsi="宋体" w:cs="宋体"/>
          <w:szCs w:val="21"/>
        </w:rPr>
        <w:t>预算金额（元）：</w:t>
      </w:r>
      <w:r>
        <w:rPr>
          <w:rFonts w:hint="eastAsia" w:ascii="宋体" w:hAnsi="宋体" w:cs="宋体"/>
          <w:szCs w:val="21"/>
          <w:lang w:eastAsia="zh-CN"/>
        </w:rPr>
        <w:t>2150000</w:t>
      </w:r>
      <w:r>
        <w:rPr>
          <w:rFonts w:hint="eastAsia" w:ascii="宋体" w:hAnsi="宋体" w:cs="宋体"/>
          <w:szCs w:val="21"/>
        </w:rPr>
        <w:t>.00</w:t>
      </w:r>
    </w:p>
    <w:p w14:paraId="26480EC3">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cs="宋体"/>
          <w:szCs w:val="21"/>
        </w:rPr>
      </w:pPr>
      <w:r>
        <w:rPr>
          <w:rFonts w:hint="eastAsia" w:ascii="宋体" w:hAnsi="宋体" w:cs="宋体"/>
          <w:szCs w:val="21"/>
        </w:rPr>
        <w:t>简要规格描述或项目基本概况介绍、用途：1.提供3200路视频采集服务及运维服务。2.提供171路天网类人像、卡口及违停运维服务。3.提供</w:t>
      </w:r>
      <w:r>
        <w:rPr>
          <w:rFonts w:hint="eastAsia" w:ascii="宋体" w:hAnsi="宋体" w:cs="宋体"/>
          <w:szCs w:val="21"/>
          <w:lang w:val="en-US" w:eastAsia="zh-CN"/>
        </w:rPr>
        <w:t>2</w:t>
      </w:r>
      <w:r>
        <w:rPr>
          <w:rFonts w:hint="eastAsia" w:ascii="宋体" w:hAnsi="宋体" w:cs="宋体"/>
          <w:szCs w:val="21"/>
        </w:rPr>
        <w:t>套大模型球机视频画面抓拍升级服务。4.综合监控应用平台服务。5.提供智慧广播管理平台服务</w:t>
      </w:r>
      <w:r>
        <w:rPr>
          <w:rFonts w:hint="eastAsia" w:ascii="宋体" w:hAnsi="宋体" w:cs="宋体"/>
          <w:szCs w:val="21"/>
          <w:lang w:eastAsia="zh-CN"/>
        </w:rPr>
        <w:t>。</w:t>
      </w:r>
      <w:r>
        <w:rPr>
          <w:rFonts w:hint="eastAsia" w:ascii="宋体" w:hAnsi="宋体" w:cs="宋体"/>
          <w:szCs w:val="21"/>
          <w:lang w:val="en-US" w:eastAsia="zh-CN"/>
        </w:rPr>
        <w:t>6.</w:t>
      </w:r>
      <w:r>
        <w:rPr>
          <w:rFonts w:hint="eastAsia" w:ascii="宋体" w:hAnsi="宋体" w:cs="宋体"/>
          <w:szCs w:val="21"/>
        </w:rPr>
        <w:t>网络传输</w:t>
      </w:r>
      <w:r>
        <w:rPr>
          <w:rFonts w:hint="eastAsia" w:ascii="宋体" w:hAnsi="宋体" w:cs="宋体"/>
          <w:szCs w:val="21"/>
          <w:lang w:eastAsia="zh-CN"/>
        </w:rPr>
        <w:t>、</w:t>
      </w:r>
      <w:r>
        <w:rPr>
          <w:rFonts w:hint="eastAsia" w:ascii="宋体" w:hAnsi="宋体" w:cs="宋体"/>
          <w:szCs w:val="21"/>
          <w:lang w:val="en-US" w:eastAsia="zh-CN"/>
        </w:rPr>
        <w:t>应急保障及智算</w:t>
      </w:r>
      <w:r>
        <w:rPr>
          <w:rFonts w:hint="eastAsia" w:ascii="宋体" w:hAnsi="宋体" w:cs="宋体"/>
          <w:szCs w:val="21"/>
        </w:rPr>
        <w:t>服务。如需进一步了解详细内容，详见招标文件中《采购需求》</w:t>
      </w:r>
    </w:p>
    <w:p w14:paraId="1A9A3E6E">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cs="宋体"/>
          <w:szCs w:val="21"/>
        </w:rPr>
      </w:pPr>
      <w:r>
        <w:rPr>
          <w:rFonts w:hint="eastAsia" w:ascii="宋体" w:hAnsi="宋体" w:cs="宋体"/>
          <w:szCs w:val="21"/>
        </w:rPr>
        <w:t>最高限价（元）：</w:t>
      </w:r>
      <w:r>
        <w:rPr>
          <w:rFonts w:hint="eastAsia" w:ascii="宋体" w:hAnsi="宋体" w:cs="宋体"/>
          <w:szCs w:val="21"/>
          <w:lang w:eastAsia="zh-CN"/>
        </w:rPr>
        <w:t>2150000</w:t>
      </w:r>
      <w:r>
        <w:rPr>
          <w:rFonts w:hint="eastAsia" w:ascii="宋体" w:hAnsi="宋体" w:cs="宋体"/>
          <w:szCs w:val="21"/>
        </w:rPr>
        <w:t>.00</w:t>
      </w:r>
      <w:r>
        <w:rPr>
          <w:rFonts w:ascii="宋体" w:hAnsi="宋体" w:cs="宋体"/>
          <w:szCs w:val="21"/>
        </w:rPr>
        <w:t xml:space="preserve"> </w:t>
      </w:r>
    </w:p>
    <w:p w14:paraId="1ABCC988">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cs="宋体"/>
          <w:szCs w:val="21"/>
        </w:rPr>
      </w:pPr>
      <w:r>
        <w:rPr>
          <w:rFonts w:hint="eastAsia" w:ascii="宋体" w:hAnsi="宋体" w:cs="宋体"/>
          <w:szCs w:val="21"/>
        </w:rPr>
        <w:t>合同履行期限：</w:t>
      </w:r>
      <w:r>
        <w:rPr>
          <w:rFonts w:hint="eastAsia" w:ascii="宋体" w:hAnsi="宋体" w:cs="宋体"/>
          <w:szCs w:val="21"/>
          <w:lang w:eastAsia="zh-CN"/>
        </w:rPr>
        <w:t>自验收合格并交付使用之日起36个月</w:t>
      </w:r>
    </w:p>
    <w:p w14:paraId="25897871">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cs="宋体"/>
          <w:szCs w:val="21"/>
        </w:rPr>
      </w:pPr>
      <w:r>
        <w:rPr>
          <w:rFonts w:hint="eastAsia" w:ascii="宋体" w:hAnsi="宋体" w:cs="宋体"/>
          <w:szCs w:val="21"/>
        </w:rPr>
        <w:t>本标项</w:t>
      </w:r>
      <w:r>
        <w:rPr>
          <w:rFonts w:hint="eastAsia" w:ascii="宋体" w:hAnsi="宋体" w:cs="宋体"/>
          <w:szCs w:val="21"/>
          <w:lang w:eastAsia="zh-CN"/>
        </w:rPr>
        <w:t>（</w:t>
      </w:r>
      <w:r>
        <w:rPr>
          <w:rFonts w:hint="eastAsia" w:ascii="宋体" w:hAnsi="宋体" w:cs="宋体"/>
          <w:szCs w:val="21"/>
        </w:rPr>
        <w:t>否</w:t>
      </w:r>
      <w:r>
        <w:rPr>
          <w:rFonts w:hint="eastAsia" w:ascii="宋体" w:hAnsi="宋体" w:cs="宋体"/>
          <w:szCs w:val="21"/>
          <w:lang w:eastAsia="zh-CN"/>
        </w:rPr>
        <w:t>）</w:t>
      </w:r>
      <w:r>
        <w:rPr>
          <w:rFonts w:hint="eastAsia" w:ascii="宋体" w:hAnsi="宋体" w:cs="宋体"/>
          <w:szCs w:val="21"/>
        </w:rPr>
        <w:t>接受联合体投标</w:t>
      </w:r>
    </w:p>
    <w:p w14:paraId="5D9FDADF">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szCs w:val="21"/>
        </w:rPr>
      </w:pPr>
      <w:r>
        <w:rPr>
          <w:rFonts w:hint="eastAsia" w:ascii="宋体" w:hAnsi="宋体" w:cs="宋体"/>
          <w:szCs w:val="21"/>
        </w:rPr>
        <w:t>备注：</w:t>
      </w:r>
      <w:r>
        <w:rPr>
          <w:rFonts w:hint="eastAsia" w:ascii="宋体" w:hAnsi="宋体"/>
          <w:szCs w:val="21"/>
        </w:rPr>
        <w:t>/</w:t>
      </w:r>
    </w:p>
    <w:p w14:paraId="00DABEB7">
      <w:pPr>
        <w:keepNext w:val="0"/>
        <w:keepLines w:val="0"/>
        <w:pageBreakBefore w:val="0"/>
        <w:kinsoku/>
        <w:wordWrap/>
        <w:overflowPunct/>
        <w:topLinePunct w:val="0"/>
        <w:autoSpaceDE/>
        <w:autoSpaceDN/>
        <w:bidi w:val="0"/>
        <w:adjustRightInd/>
        <w:snapToGrid/>
        <w:spacing w:line="360" w:lineRule="auto"/>
        <w:textAlignment w:val="auto"/>
        <w:rPr>
          <w:rFonts w:ascii="宋体" w:hAnsi="宋体" w:cs="宋体"/>
          <w:b/>
          <w:szCs w:val="21"/>
        </w:rPr>
      </w:pPr>
      <w:r>
        <w:rPr>
          <w:rFonts w:hint="eastAsia" w:ascii="宋体" w:hAnsi="宋体" w:cs="宋体"/>
          <w:b/>
          <w:szCs w:val="21"/>
        </w:rPr>
        <w:t>二、申请人的资格要求：</w:t>
      </w:r>
      <w:bookmarkEnd w:id="11"/>
      <w:bookmarkEnd w:id="12"/>
      <w:bookmarkEnd w:id="13"/>
      <w:bookmarkEnd w:id="14"/>
    </w:p>
    <w:p w14:paraId="3C933992">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cs="宋体"/>
          <w:szCs w:val="21"/>
        </w:rPr>
      </w:pPr>
      <w:r>
        <w:rPr>
          <w:rFonts w:hint="eastAsia" w:ascii="宋体" w:hAnsi="宋体" w:cs="宋体"/>
          <w:szCs w:val="21"/>
        </w:rPr>
        <w:t>1.</w:t>
      </w:r>
      <w:bookmarkStart w:id="15" w:name="OLE_LINK31"/>
      <w:bookmarkStart w:id="16" w:name="OLE_LINK32"/>
      <w:r>
        <w:rPr>
          <w:rFonts w:hint="eastAsia" w:ascii="宋体" w:hAnsi="宋体" w:cs="宋体"/>
          <w:szCs w:val="21"/>
        </w:rPr>
        <w:t>满足《中华人民共和国政府采购法》第二十二条规定；</w:t>
      </w:r>
      <w:bookmarkEnd w:id="15"/>
      <w:bookmarkEnd w:id="16"/>
      <w:bookmarkStart w:id="17" w:name="_Toc28359004"/>
      <w:bookmarkStart w:id="18" w:name="_Toc28359081"/>
    </w:p>
    <w:p w14:paraId="0AB4F807">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szCs w:val="21"/>
          <w:lang w:eastAsia="zh-CN"/>
        </w:rPr>
      </w:pPr>
      <w:r>
        <w:rPr>
          <w:rFonts w:hint="eastAsia" w:ascii="宋体" w:hAnsi="宋体" w:cs="宋体"/>
          <w:szCs w:val="21"/>
        </w:rPr>
        <w:t>2.</w:t>
      </w:r>
      <w:bookmarkStart w:id="19" w:name="OLE_LINK33"/>
      <w:bookmarkStart w:id="20" w:name="OLE_LINK34"/>
      <w:r>
        <w:rPr>
          <w:rFonts w:hint="eastAsia" w:ascii="宋体" w:hAnsi="宋体" w:cs="宋体"/>
          <w:szCs w:val="21"/>
        </w:rPr>
        <w:t>落实政府采购政策需满足的资格要求：</w:t>
      </w:r>
      <w:bookmarkEnd w:id="19"/>
      <w:bookmarkEnd w:id="20"/>
      <w:r>
        <w:rPr>
          <w:rFonts w:ascii="宋体" w:hAnsi="宋体" w:cs="宋体"/>
          <w:szCs w:val="21"/>
        </w:rPr>
        <w:t>无</w:t>
      </w:r>
      <w:r>
        <w:rPr>
          <w:rFonts w:hint="eastAsia" w:ascii="宋体" w:hAnsi="宋体" w:cs="宋体"/>
          <w:szCs w:val="21"/>
          <w:lang w:val="en-US" w:eastAsia="zh-CN"/>
        </w:rPr>
        <w:t>；</w:t>
      </w:r>
    </w:p>
    <w:p w14:paraId="378552A3">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cs="宋体"/>
          <w:kern w:val="2"/>
          <w:szCs w:val="21"/>
        </w:rPr>
      </w:pPr>
      <w:r>
        <w:rPr>
          <w:rFonts w:hint="eastAsia" w:ascii="宋体" w:hAnsi="宋体" w:cs="宋体"/>
          <w:szCs w:val="21"/>
        </w:rPr>
        <w:t>3.</w:t>
      </w:r>
      <w:bookmarkStart w:id="21" w:name="OLE_LINK37"/>
      <w:bookmarkStart w:id="22" w:name="OLE_LINK38"/>
      <w:r>
        <w:rPr>
          <w:rFonts w:hint="eastAsia" w:ascii="宋体" w:hAnsi="宋体" w:cs="宋体"/>
          <w:szCs w:val="21"/>
        </w:rPr>
        <w:t>本项目的特定资格要求：</w:t>
      </w:r>
      <w:bookmarkEnd w:id="21"/>
      <w:bookmarkEnd w:id="22"/>
      <w:r>
        <w:rPr>
          <w:rFonts w:hint="eastAsia" w:ascii="宋体" w:hAnsi="宋体" w:cs="宋体"/>
          <w:szCs w:val="21"/>
          <w:lang w:val="en-US" w:eastAsia="zh-CN"/>
        </w:rPr>
        <w:t>分标1：</w:t>
      </w:r>
      <w:r>
        <w:rPr>
          <w:rFonts w:ascii="宋体" w:hAnsi="宋体"/>
          <w:szCs w:val="21"/>
        </w:rPr>
        <w:t>无。</w:t>
      </w:r>
    </w:p>
    <w:p w14:paraId="63158692">
      <w:pPr>
        <w:keepNext w:val="0"/>
        <w:keepLines w:val="0"/>
        <w:pageBreakBefore w:val="0"/>
        <w:kinsoku/>
        <w:wordWrap/>
        <w:overflowPunct/>
        <w:topLinePunct w:val="0"/>
        <w:autoSpaceDE/>
        <w:autoSpaceDN/>
        <w:bidi w:val="0"/>
        <w:adjustRightInd/>
        <w:snapToGrid/>
        <w:spacing w:line="360" w:lineRule="auto"/>
        <w:textAlignment w:val="auto"/>
        <w:rPr>
          <w:rFonts w:ascii="宋体" w:hAnsi="宋体" w:cs="宋体"/>
          <w:b/>
          <w:szCs w:val="21"/>
        </w:rPr>
      </w:pPr>
      <w:bookmarkStart w:id="23" w:name="_Toc35393623"/>
      <w:bookmarkStart w:id="24" w:name="_Toc35393792"/>
      <w:r>
        <w:rPr>
          <w:rFonts w:hint="eastAsia" w:ascii="宋体" w:hAnsi="宋体" w:cs="宋体"/>
          <w:b/>
          <w:szCs w:val="21"/>
        </w:rPr>
        <w:t>三、获取招标文件</w:t>
      </w:r>
      <w:bookmarkEnd w:id="17"/>
      <w:bookmarkEnd w:id="18"/>
      <w:bookmarkEnd w:id="23"/>
      <w:bookmarkEnd w:id="24"/>
    </w:p>
    <w:p w14:paraId="779834DB">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kern w:val="2"/>
          <w:szCs w:val="21"/>
        </w:rPr>
      </w:pPr>
      <w:r>
        <w:rPr>
          <w:rFonts w:hint="eastAsia" w:ascii="宋体" w:hAnsi="宋体"/>
          <w:kern w:val="2"/>
          <w:szCs w:val="21"/>
        </w:rPr>
        <w:t>时间：</w:t>
      </w:r>
      <w:r>
        <w:rPr>
          <w:rFonts w:hint="eastAsia" w:ascii="宋体" w:hAnsi="宋体" w:cs="宋体"/>
          <w:szCs w:val="21"/>
          <w:lang w:eastAsia="zh-CN"/>
        </w:rPr>
        <w:t>2026年</w:t>
      </w:r>
      <w:r>
        <w:rPr>
          <w:rFonts w:hint="eastAsia" w:ascii="宋体" w:hAnsi="宋体" w:cs="宋体"/>
          <w:szCs w:val="21"/>
          <w:lang w:val="en-US" w:eastAsia="zh-CN"/>
        </w:rPr>
        <w:t>11月03日</w:t>
      </w:r>
      <w:r>
        <w:rPr>
          <w:rFonts w:hint="eastAsia" w:ascii="宋体" w:hAnsi="宋体"/>
          <w:kern w:val="2"/>
          <w:szCs w:val="21"/>
        </w:rPr>
        <w:t>至2026年11月</w:t>
      </w:r>
      <w:r>
        <w:rPr>
          <w:rFonts w:hint="eastAsia" w:ascii="宋体" w:hAnsi="宋体"/>
          <w:kern w:val="2"/>
          <w:szCs w:val="21"/>
          <w:lang w:val="en-US" w:eastAsia="zh-CN"/>
        </w:rPr>
        <w:t>24</w:t>
      </w:r>
      <w:r>
        <w:rPr>
          <w:rFonts w:hint="eastAsia" w:ascii="宋体" w:hAnsi="宋体"/>
          <w:kern w:val="2"/>
          <w:szCs w:val="21"/>
        </w:rPr>
        <w:t>日，每天上午00:00至11:59，下午12:00至23:59（北京时间，法定节假日除外）</w:t>
      </w:r>
    </w:p>
    <w:p w14:paraId="40350F65">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kern w:val="2"/>
          <w:szCs w:val="21"/>
          <w:u w:val="single"/>
          <w:lang w:val="en-US" w:eastAsia="zh-CN"/>
        </w:rPr>
      </w:pPr>
      <w:r>
        <w:rPr>
          <w:rFonts w:hint="eastAsia" w:ascii="宋体" w:hAnsi="宋体" w:cs="宋体"/>
          <w:szCs w:val="21"/>
        </w:rPr>
        <w:t>地点</w:t>
      </w:r>
      <w:r>
        <w:rPr>
          <w:rFonts w:hint="eastAsia" w:ascii="宋体" w:hAnsi="宋体"/>
          <w:kern w:val="2"/>
          <w:szCs w:val="21"/>
        </w:rPr>
        <w:t>（网址）：广西政府采购云平台（https://www.gcy.zfcg.gxzf.gov.cn/）</w:t>
      </w:r>
    </w:p>
    <w:p w14:paraId="6CA18F4E">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kern w:val="2"/>
          <w:szCs w:val="21"/>
        </w:rPr>
      </w:pPr>
      <w:r>
        <w:rPr>
          <w:rFonts w:hint="eastAsia" w:ascii="宋体" w:hAnsi="宋体" w:cs="宋体"/>
          <w:szCs w:val="21"/>
        </w:rPr>
        <w:t>方式</w:t>
      </w:r>
      <w:r>
        <w:rPr>
          <w:rFonts w:hint="eastAsia" w:ascii="宋体" w:hAnsi="宋体"/>
          <w:kern w:val="2"/>
          <w:szCs w:val="21"/>
        </w:rPr>
        <w:t>：</w:t>
      </w:r>
      <w:r>
        <w:rPr>
          <w:rFonts w:hint="eastAsia" w:ascii="宋体" w:hAnsi="宋体" w:eastAsia="宋体" w:cs="宋体"/>
          <w:bCs/>
          <w:color w:val="auto"/>
          <w:sz w:val="21"/>
          <w:szCs w:val="21"/>
          <w:highlight w:val="none"/>
          <w:lang w:eastAsia="zh-CN"/>
        </w:rPr>
        <w:t>供应商登录广西政府采购云平台在线申请获取采购文件（进入“项目采购”应用，在获取采购文件菜单中选择项目，申请获取采购文件）</w:t>
      </w:r>
    </w:p>
    <w:p w14:paraId="12ADE2AE">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宋体" w:hAnsi="宋体"/>
          <w:kern w:val="2"/>
          <w:szCs w:val="21"/>
        </w:rPr>
      </w:pPr>
      <w:r>
        <w:rPr>
          <w:rFonts w:hint="eastAsia" w:ascii="宋体" w:hAnsi="宋体"/>
          <w:kern w:val="2"/>
          <w:szCs w:val="21"/>
        </w:rPr>
        <w:t xml:space="preserve">售价（元）：0 </w:t>
      </w:r>
    </w:p>
    <w:p w14:paraId="7F307DCB">
      <w:pPr>
        <w:keepNext w:val="0"/>
        <w:keepLines w:val="0"/>
        <w:pageBreakBefore w:val="0"/>
        <w:kinsoku/>
        <w:wordWrap/>
        <w:overflowPunct/>
        <w:topLinePunct w:val="0"/>
        <w:autoSpaceDE/>
        <w:autoSpaceDN/>
        <w:bidi w:val="0"/>
        <w:adjustRightInd/>
        <w:snapToGrid/>
        <w:spacing w:line="360" w:lineRule="auto"/>
        <w:textAlignment w:val="auto"/>
        <w:rPr>
          <w:rFonts w:ascii="宋体" w:hAnsi="宋体" w:cs="宋体"/>
          <w:b/>
          <w:szCs w:val="21"/>
        </w:rPr>
      </w:pPr>
      <w:bookmarkStart w:id="25" w:name="_Toc28359082"/>
      <w:bookmarkStart w:id="26" w:name="_Toc28359005"/>
      <w:bookmarkStart w:id="27" w:name="_Toc35393624"/>
      <w:bookmarkStart w:id="28" w:name="_Toc35393793"/>
      <w:r>
        <w:rPr>
          <w:rFonts w:hint="eastAsia" w:ascii="宋体" w:hAnsi="宋体" w:cs="宋体"/>
          <w:b/>
          <w:szCs w:val="21"/>
        </w:rPr>
        <w:t>四、提交投标文件</w:t>
      </w:r>
      <w:bookmarkEnd w:id="25"/>
      <w:bookmarkEnd w:id="26"/>
      <w:r>
        <w:rPr>
          <w:rFonts w:hint="eastAsia" w:ascii="宋体" w:hAnsi="宋体" w:cs="宋体"/>
          <w:b/>
          <w:szCs w:val="21"/>
        </w:rPr>
        <w:t>截止时间、开标时间和地点</w:t>
      </w:r>
      <w:bookmarkEnd w:id="27"/>
      <w:bookmarkEnd w:id="28"/>
    </w:p>
    <w:p w14:paraId="51790073">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cs="宋体"/>
          <w:bCs/>
          <w:szCs w:val="21"/>
        </w:rPr>
      </w:pPr>
      <w:r>
        <w:rPr>
          <w:rFonts w:ascii="宋体" w:hAnsi="宋体" w:cs="宋体"/>
          <w:bCs/>
          <w:szCs w:val="21"/>
        </w:rPr>
        <w:t>提交投标文件截止时间</w:t>
      </w:r>
      <w:r>
        <w:rPr>
          <w:rFonts w:hint="eastAsia" w:ascii="宋体" w:hAnsi="宋体" w:cs="宋体"/>
          <w:bCs/>
          <w:szCs w:val="21"/>
        </w:rPr>
        <w:t>：</w:t>
      </w:r>
      <w:r>
        <w:rPr>
          <w:rFonts w:hint="eastAsia" w:ascii="宋体" w:hAnsi="宋体" w:cs="宋体"/>
          <w:szCs w:val="21"/>
          <w:lang w:eastAsia="zh-CN"/>
        </w:rPr>
        <w:t>2026年11月24日</w:t>
      </w:r>
      <w:r>
        <w:rPr>
          <w:rFonts w:hint="eastAsia" w:ascii="宋体" w:hAnsi="宋体" w:cs="宋体"/>
          <w:szCs w:val="21"/>
        </w:rPr>
        <w:t>09时30分</w:t>
      </w:r>
      <w:r>
        <w:rPr>
          <w:rFonts w:hint="eastAsia" w:ascii="宋体" w:hAnsi="宋体" w:cs="宋体"/>
          <w:bCs/>
          <w:szCs w:val="21"/>
        </w:rPr>
        <w:t>（北京时间）</w:t>
      </w:r>
    </w:p>
    <w:p w14:paraId="39C25271">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szCs w:val="21"/>
          <w:lang w:val="en-US" w:eastAsia="zh-CN"/>
        </w:rPr>
      </w:pPr>
      <w:r>
        <w:rPr>
          <w:rFonts w:ascii="宋体" w:hAnsi="宋体" w:cs="宋体"/>
          <w:szCs w:val="21"/>
        </w:rPr>
        <w:t>投标地点</w:t>
      </w:r>
      <w:r>
        <w:rPr>
          <w:rFonts w:hint="eastAsia" w:ascii="宋体" w:hAnsi="宋体" w:cs="宋体"/>
          <w:szCs w:val="21"/>
        </w:rPr>
        <w:t>（网址）：请登录广西政府采购云平台（https：//www.gcy.zfcg.gxzf.gov.cn/）投标客户端投标</w:t>
      </w:r>
    </w:p>
    <w:p w14:paraId="714B1616">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cs="宋体"/>
          <w:bCs/>
          <w:szCs w:val="21"/>
          <w:u w:val="single"/>
        </w:rPr>
      </w:pPr>
      <w:r>
        <w:rPr>
          <w:rFonts w:hint="eastAsia" w:ascii="宋体" w:hAnsi="宋体" w:cs="宋体"/>
          <w:bCs/>
          <w:szCs w:val="21"/>
        </w:rPr>
        <w:t>开标时间：</w:t>
      </w:r>
      <w:r>
        <w:rPr>
          <w:rFonts w:hint="eastAsia" w:ascii="宋体" w:hAnsi="宋体" w:cs="宋体"/>
          <w:szCs w:val="21"/>
          <w:lang w:eastAsia="zh-CN"/>
        </w:rPr>
        <w:t>2026年11月24日</w:t>
      </w:r>
      <w:r>
        <w:rPr>
          <w:rFonts w:hint="eastAsia" w:ascii="宋体" w:hAnsi="宋体" w:cs="宋体"/>
          <w:szCs w:val="21"/>
        </w:rPr>
        <w:t>09时30分</w:t>
      </w:r>
    </w:p>
    <w:p w14:paraId="75951BAF">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szCs w:val="21"/>
          <w:lang w:val="en-US" w:eastAsia="zh-CN"/>
        </w:rPr>
      </w:pPr>
      <w:r>
        <w:rPr>
          <w:rFonts w:hint="eastAsia" w:ascii="宋体" w:hAnsi="宋体"/>
          <w:szCs w:val="21"/>
        </w:rPr>
        <w:t>开标地点：请登录广西政府采购云平台实行在线开标</w:t>
      </w:r>
    </w:p>
    <w:p w14:paraId="23F11720">
      <w:pPr>
        <w:keepNext w:val="0"/>
        <w:keepLines w:val="0"/>
        <w:pageBreakBefore w:val="0"/>
        <w:kinsoku/>
        <w:wordWrap/>
        <w:overflowPunct/>
        <w:topLinePunct w:val="0"/>
        <w:autoSpaceDE/>
        <w:autoSpaceDN/>
        <w:bidi w:val="0"/>
        <w:adjustRightInd/>
        <w:snapToGrid/>
        <w:spacing w:line="360" w:lineRule="auto"/>
        <w:textAlignment w:val="auto"/>
        <w:rPr>
          <w:rFonts w:ascii="宋体" w:hAnsi="宋体" w:cs="宋体"/>
          <w:b/>
          <w:szCs w:val="21"/>
        </w:rPr>
      </w:pPr>
      <w:bookmarkStart w:id="29" w:name="_Toc35393794"/>
      <w:bookmarkStart w:id="30" w:name="_Toc28359007"/>
      <w:bookmarkStart w:id="31" w:name="_Toc28359084"/>
      <w:bookmarkStart w:id="32" w:name="_Toc35393625"/>
      <w:r>
        <w:rPr>
          <w:rFonts w:hint="eastAsia" w:ascii="宋体" w:hAnsi="宋体" w:cs="宋体"/>
          <w:b/>
          <w:szCs w:val="21"/>
        </w:rPr>
        <w:t>五、公告期限</w:t>
      </w:r>
      <w:bookmarkEnd w:id="29"/>
      <w:bookmarkEnd w:id="30"/>
      <w:bookmarkEnd w:id="31"/>
      <w:bookmarkEnd w:id="32"/>
    </w:p>
    <w:p w14:paraId="04CEE289">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cs="宋体"/>
          <w:szCs w:val="21"/>
        </w:rPr>
      </w:pPr>
      <w:r>
        <w:rPr>
          <w:rFonts w:hint="eastAsia" w:ascii="宋体" w:hAnsi="宋体" w:cs="宋体"/>
          <w:szCs w:val="21"/>
        </w:rPr>
        <w:t>自本公告发布之日起5个工作日。</w:t>
      </w:r>
    </w:p>
    <w:p w14:paraId="673018AD">
      <w:pPr>
        <w:keepNext w:val="0"/>
        <w:keepLines w:val="0"/>
        <w:pageBreakBefore w:val="0"/>
        <w:kinsoku/>
        <w:wordWrap/>
        <w:overflowPunct/>
        <w:topLinePunct w:val="0"/>
        <w:autoSpaceDE/>
        <w:autoSpaceDN/>
        <w:bidi w:val="0"/>
        <w:adjustRightInd/>
        <w:snapToGrid/>
        <w:spacing w:line="360" w:lineRule="auto"/>
        <w:textAlignment w:val="auto"/>
        <w:rPr>
          <w:rFonts w:ascii="宋体" w:hAnsi="宋体" w:cs="宋体"/>
          <w:b/>
          <w:szCs w:val="21"/>
        </w:rPr>
      </w:pPr>
      <w:bookmarkStart w:id="33" w:name="_Toc35393795"/>
      <w:bookmarkStart w:id="34" w:name="_Toc35393626"/>
      <w:r>
        <w:rPr>
          <w:rFonts w:hint="eastAsia" w:ascii="宋体" w:hAnsi="宋体" w:cs="宋体"/>
          <w:b/>
          <w:szCs w:val="21"/>
        </w:rPr>
        <w:t>六、其他补充事宜</w:t>
      </w:r>
      <w:bookmarkEnd w:id="33"/>
      <w:bookmarkEnd w:id="34"/>
    </w:p>
    <w:p w14:paraId="5D5007F3">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cs="宋体"/>
          <w:szCs w:val="21"/>
        </w:rPr>
      </w:pPr>
      <w:r>
        <w:rPr>
          <w:rFonts w:ascii="宋体" w:hAnsi="宋体" w:cs="宋体"/>
          <w:szCs w:val="21"/>
          <w:lang w:val="en-US" w:eastAsia="zh-CN"/>
        </w:rPr>
        <w:t>1.</w:t>
      </w:r>
      <w:r>
        <w:rPr>
          <w:rFonts w:hint="eastAsia" w:ascii="宋体" w:hAnsi="宋体" w:cs="宋体"/>
          <w:szCs w:val="21"/>
        </w:rPr>
        <w:t>本项目无需缴纳投标保证金。</w:t>
      </w:r>
    </w:p>
    <w:p w14:paraId="19C97598">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cs="宋体"/>
          <w:szCs w:val="21"/>
        </w:rPr>
      </w:pPr>
      <w:r>
        <w:rPr>
          <w:rFonts w:cs="宋体" w:asciiTheme="minorEastAsia" w:hAnsiTheme="minorEastAsia" w:eastAsiaTheme="minorEastAsia"/>
          <w:sz w:val="21"/>
          <w:szCs w:val="21"/>
          <w:lang w:val="en-US" w:eastAsia="zh-CN" w:bidi="ar-SA"/>
        </w:rPr>
        <w:t>2.</w:t>
      </w:r>
      <w:r>
        <w:rPr>
          <w:rFonts w:ascii="宋体" w:hAnsi="宋体" w:cs="宋体"/>
          <w:bCs/>
          <w:szCs w:val="21"/>
        </w:rPr>
        <w:t>本项目需要落实的政府采购政策：</w:t>
      </w:r>
    </w:p>
    <w:p w14:paraId="122B2051">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cs="宋体"/>
          <w:b/>
          <w:bCs/>
          <w:szCs w:val="21"/>
        </w:rPr>
      </w:pPr>
      <w:r>
        <w:rPr>
          <w:rFonts w:hint="eastAsia" w:ascii="宋体" w:hAnsi="宋体" w:cs="宋体"/>
          <w:b/>
          <w:szCs w:val="21"/>
        </w:rPr>
        <w:t>①本项目非专门面向中小企业采购；</w:t>
      </w:r>
      <w:r>
        <w:rPr>
          <w:rFonts w:hint="eastAsia" w:ascii="宋体" w:hAnsi="宋体" w:cs="宋体"/>
          <w:b/>
          <w:bCs/>
          <w:szCs w:val="21"/>
        </w:rPr>
        <w:t>本项目所属行业为</w:t>
      </w:r>
      <w:r>
        <w:rPr>
          <w:rFonts w:hint="eastAsia" w:ascii="宋体" w:hAnsi="宋体" w:cs="宋体"/>
          <w:b/>
          <w:bCs/>
          <w:szCs w:val="21"/>
          <w:u w:val="single"/>
        </w:rPr>
        <w:t xml:space="preserve"> </w:t>
      </w:r>
      <w:r>
        <w:rPr>
          <w:rFonts w:hint="eastAsia" w:ascii="宋体" w:hAnsi="宋体" w:cs="宋体"/>
          <w:b/>
          <w:bCs/>
          <w:szCs w:val="21"/>
          <w:u w:val="single"/>
          <w:lang w:eastAsia="zh-CN"/>
        </w:rPr>
        <w:t>软件和信息技术服务业</w:t>
      </w:r>
      <w:r>
        <w:rPr>
          <w:rFonts w:hint="eastAsia" w:ascii="宋体" w:hAnsi="宋体" w:cs="宋体"/>
          <w:b/>
          <w:bCs/>
          <w:szCs w:val="21"/>
        </w:rPr>
        <w:t>。</w:t>
      </w:r>
    </w:p>
    <w:p w14:paraId="79854B54">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cs="宋体"/>
          <w:szCs w:val="21"/>
        </w:rPr>
      </w:pPr>
      <w:r>
        <w:rPr>
          <w:rFonts w:hint="eastAsia" w:ascii="宋体" w:hAnsi="宋体" w:cs="宋体"/>
          <w:szCs w:val="21"/>
        </w:rPr>
        <w:t>②《政府采购促进中小企业发展管理办法》（财库[2020]46号）、</w:t>
      </w:r>
      <w:bookmarkStart w:id="35" w:name="OLE_LINK103"/>
      <w:bookmarkStart w:id="36" w:name="OLE_LINK104"/>
      <w:r>
        <w:rPr>
          <w:rFonts w:hint="eastAsia" w:ascii="宋体" w:hAnsi="宋体" w:cs="宋体"/>
          <w:szCs w:val="21"/>
        </w:rPr>
        <w:t>《广西壮族自治区财政厅关于贯彻落实政府采购支持中小企业发展政策的通知》（桂财采〔2022〕31号）</w:t>
      </w:r>
      <w:bookmarkEnd w:id="35"/>
      <w:bookmarkEnd w:id="36"/>
      <w:r>
        <w:rPr>
          <w:rFonts w:hint="eastAsia" w:ascii="宋体" w:hAnsi="宋体" w:cs="宋体"/>
          <w:szCs w:val="21"/>
        </w:rPr>
        <w:t>。</w:t>
      </w:r>
    </w:p>
    <w:p w14:paraId="2BFCCA42">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cs="宋体"/>
          <w:szCs w:val="21"/>
        </w:rPr>
      </w:pPr>
      <w:r>
        <w:rPr>
          <w:rFonts w:hint="eastAsia" w:ascii="宋体" w:hAnsi="宋体" w:cs="宋体"/>
          <w:szCs w:val="21"/>
        </w:rPr>
        <w:t xml:space="preserve">③《关于政府采购支持监狱企业发展有关问题的通知》（财库[2014]68号）。 </w:t>
      </w:r>
    </w:p>
    <w:p w14:paraId="2B8F7F7C">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cs="宋体"/>
          <w:szCs w:val="21"/>
        </w:rPr>
      </w:pPr>
      <w:r>
        <w:rPr>
          <w:rFonts w:hint="eastAsia" w:ascii="宋体" w:hAnsi="宋体" w:cs="宋体"/>
          <w:szCs w:val="21"/>
        </w:rPr>
        <w:t>④《关于促进残疾人就业政府采购政策的通知》（财库[2017]141号）。</w:t>
      </w:r>
    </w:p>
    <w:p w14:paraId="4F1A7C0C">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cs="宋体"/>
          <w:szCs w:val="21"/>
        </w:rPr>
      </w:pPr>
      <w:r>
        <w:rPr>
          <w:rFonts w:hint="eastAsia" w:ascii="宋体" w:hAnsi="宋体" w:cs="宋体"/>
          <w:szCs w:val="21"/>
        </w:rPr>
        <w:t>⑤</w:t>
      </w:r>
      <w:r>
        <w:rPr>
          <w:rFonts w:ascii="宋体" w:hAnsi="宋体" w:cs="宋体"/>
          <w:szCs w:val="21"/>
        </w:rPr>
        <w:t>优先采购节能产品、环境标志产品。</w:t>
      </w:r>
    </w:p>
    <w:p w14:paraId="06DD5482">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cs="宋体"/>
          <w:szCs w:val="21"/>
        </w:rPr>
      </w:pPr>
      <w:r>
        <w:rPr>
          <w:rFonts w:hint="eastAsia" w:ascii="宋体" w:hAnsi="宋体" w:cs="宋体"/>
          <w:szCs w:val="21"/>
        </w:rPr>
        <w:t>⑥</w:t>
      </w:r>
      <w:r>
        <w:rPr>
          <w:rFonts w:ascii="宋体" w:hAnsi="宋体" w:cs="宋体"/>
          <w:szCs w:val="21"/>
        </w:rPr>
        <w:t>政府采购支持采用本国产品的政策。</w:t>
      </w:r>
    </w:p>
    <w:p w14:paraId="58F5C11A">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cs="宋体"/>
          <w:szCs w:val="21"/>
        </w:rPr>
      </w:pPr>
      <w:r>
        <w:rPr>
          <w:rFonts w:cs="宋体" w:asciiTheme="minorEastAsia" w:hAnsiTheme="minorEastAsia" w:eastAsiaTheme="minorEastAsia"/>
          <w:sz w:val="21"/>
          <w:szCs w:val="21"/>
          <w:lang w:val="en-US" w:eastAsia="zh-CN" w:bidi="ar-SA"/>
        </w:rPr>
        <w:t>3.</w:t>
      </w:r>
      <w:r>
        <w:rPr>
          <w:rFonts w:ascii="宋体" w:hAnsi="宋体" w:cs="宋体"/>
          <w:bCs/>
          <w:szCs w:val="21"/>
        </w:rPr>
        <w:t>资格条件特别说明：</w:t>
      </w:r>
    </w:p>
    <w:p w14:paraId="228FEEC7">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cs="宋体"/>
          <w:szCs w:val="21"/>
        </w:rPr>
      </w:pPr>
      <w:r>
        <w:rPr>
          <w:rFonts w:hint="eastAsia" w:ascii="宋体" w:hAnsi="宋体" w:cs="宋体"/>
          <w:szCs w:val="21"/>
        </w:rPr>
        <w:t>3.1</w:t>
      </w:r>
      <w:r>
        <w:rPr>
          <w:rFonts w:ascii="宋体" w:hAnsi="宋体" w:cs="宋体"/>
          <w:szCs w:val="21"/>
        </w:rPr>
        <w:t>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247108F7">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cs="宋体"/>
          <w:szCs w:val="21"/>
        </w:rPr>
      </w:pPr>
      <w:r>
        <w:rPr>
          <w:rFonts w:hint="eastAsia" w:ascii="宋体" w:hAnsi="宋体" w:cs="宋体"/>
          <w:szCs w:val="21"/>
        </w:rPr>
        <w:t>3.2</w:t>
      </w:r>
      <w:r>
        <w:rPr>
          <w:rFonts w:ascii="宋体" w:hAnsi="宋体" w:cs="宋体"/>
          <w:szCs w:val="21"/>
        </w:rPr>
        <w:t>对在“信用中国”网站(https://www.creditchina.gov.cn) 、中国政府采购网(https://www.ccgp.gov.cn)被列入失信被执行人、重大税收违法失信主体、政府采购严重违法失信行为记录名单及其他不符合《中华人民共和国政府采购法》第二十二条规定条件的供应商，不得参与政府采购活动。</w:t>
      </w:r>
    </w:p>
    <w:p w14:paraId="675EF97C">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cs="宋体"/>
          <w:szCs w:val="21"/>
        </w:rPr>
      </w:pPr>
      <w:r>
        <w:rPr>
          <w:rFonts w:ascii="宋体" w:hAnsi="宋体" w:cs="宋体"/>
          <w:szCs w:val="21"/>
          <w:lang w:val="en-US" w:eastAsia="zh-CN"/>
        </w:rPr>
        <w:t>4.</w:t>
      </w:r>
      <w:r>
        <w:rPr>
          <w:rFonts w:hint="eastAsia" w:ascii="宋体" w:hAnsi="宋体" w:cs="宋体"/>
          <w:szCs w:val="21"/>
        </w:rPr>
        <w:t>本项目信息发布媒体：</w:t>
      </w:r>
    </w:p>
    <w:p w14:paraId="3CA6B7AF">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cs="宋体"/>
          <w:szCs w:val="21"/>
        </w:rPr>
      </w:pPr>
      <w:r>
        <w:rPr>
          <w:rFonts w:hint="eastAsia" w:ascii="宋体" w:hAnsi="宋体" w:cs="宋体"/>
          <w:szCs w:val="21"/>
        </w:rPr>
        <w:t>中国政府采购网、广西壮族自治区政府采购网、桂林市政府采购网</w:t>
      </w:r>
    </w:p>
    <w:p w14:paraId="7E3EA78A">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eastAsia="宋体" w:cs="宋体"/>
          <w:color w:val="auto"/>
          <w:sz w:val="21"/>
          <w:szCs w:val="21"/>
        </w:rPr>
      </w:pPr>
      <w:r>
        <w:rPr>
          <w:rFonts w:ascii="宋体" w:hAnsi="宋体" w:cs="宋体"/>
          <w:szCs w:val="21"/>
          <w:lang w:val="en-US" w:eastAsia="zh-CN"/>
        </w:rPr>
        <w:t>5.</w:t>
      </w:r>
      <w:r>
        <w:rPr>
          <w:rFonts w:hint="eastAsia" w:ascii="宋体" w:hAnsi="宋体" w:cs="宋体"/>
          <w:szCs w:val="21"/>
        </w:rPr>
        <w:t>投标文件解密时间：截标时间后30分钟内投标人可以登录广西政府采购云平台，用“项目采购-</w:t>
      </w:r>
      <w:r>
        <w:rPr>
          <w:rFonts w:hint="eastAsia" w:ascii="宋体" w:hAnsi="宋体" w:eastAsia="宋体" w:cs="宋体"/>
          <w:color w:val="auto"/>
          <w:sz w:val="21"/>
          <w:szCs w:val="21"/>
        </w:rPr>
        <w:t>开标评标”功能进行解密投标文件。</w:t>
      </w:r>
    </w:p>
    <w:p w14:paraId="0DC116FE">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eastAsia="宋体" w:cs="宋体"/>
          <w:color w:val="auto"/>
          <w:sz w:val="21"/>
          <w:szCs w:val="21"/>
        </w:rPr>
      </w:pPr>
      <w:r>
        <w:rPr>
          <w:rFonts w:hint="eastAsia" w:ascii="宋体" w:hAnsi="宋体" w:eastAsia="宋体" w:cs="宋体"/>
          <w:b/>
          <w:bCs/>
          <w:color w:val="auto"/>
          <w:sz w:val="21"/>
          <w:szCs w:val="21"/>
        </w:rPr>
        <w:t>注：投标文件网上递交截止时间后，各投标人须在解密时限内对上传广西政府采购云平台的投标文件进行解密，所有投标人在规定的解密时限内解密完成或解密时限结束后，采购代理机构开启已解密的投标文件。投标人超过解密时限未解密的，系统默认自动放弃，造成投标无效的后果由投标人自行承担。解密投标文件后，30分钟内在线签字确认，超过时间没有在线签字确认的系统将自动视为投标人认可。</w:t>
      </w:r>
    </w:p>
    <w:p w14:paraId="54468AAA">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cs="宋体"/>
          <w:szCs w:val="21"/>
        </w:rPr>
      </w:pPr>
      <w:r>
        <w:rPr>
          <w:rFonts w:cs="宋体" w:asciiTheme="minorEastAsia" w:hAnsiTheme="minorEastAsia" w:eastAsiaTheme="minorEastAsia"/>
          <w:sz w:val="21"/>
          <w:szCs w:val="21"/>
          <w:lang w:val="en-US" w:eastAsia="zh-CN" w:bidi="ar-SA"/>
        </w:rPr>
        <w:t>6.</w:t>
      </w:r>
      <w:r>
        <w:rPr>
          <w:rFonts w:hint="eastAsia" w:ascii="宋体" w:hAnsi="宋体" w:cs="宋体"/>
          <w:szCs w:val="21"/>
        </w:rPr>
        <w:t>在线投标（电子投标）说明</w:t>
      </w:r>
    </w:p>
    <w:p w14:paraId="38F64F98">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cs="宋体"/>
          <w:szCs w:val="21"/>
        </w:rPr>
      </w:pPr>
      <w:r>
        <w:rPr>
          <w:rFonts w:hint="eastAsia" w:ascii="宋体" w:hAnsi="宋体" w:cs="宋体"/>
          <w:szCs w:val="21"/>
        </w:rPr>
        <w:t>①本项目通过广西政府采购云平台实行在线投标响应（电子投标），投标人需要先安装“广西政府采购云平台电子交易客户端”，并按照本招标文件和广西政府采购云平台的要求，通过“广西政府采购云平台电子交易客户端”编制并加密投标文件。投标人未按规定编制并加密的投标文件，广西政府采购云平台将予以拒收。</w:t>
      </w:r>
    </w:p>
    <w:p w14:paraId="553DB5F4">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cs="宋体"/>
          <w:szCs w:val="21"/>
        </w:rPr>
      </w:pPr>
      <w:r>
        <w:rPr>
          <w:rFonts w:hint="eastAsia" w:ascii="宋体" w:hAnsi="宋体" w:cs="宋体"/>
          <w:szCs w:val="21"/>
        </w:rPr>
        <w:t>“广西政府采购云平台电子交易客户端”请自行前往广西政府采购网下载并安装；电子投标具体操作流程参考《政府采购项目电子交易管理操作指南-供应商》；在使用广西政府采购云平台投标客户端时，建议使用WIN7及以上操作系统，通过广西政府采购云平台参与在线投标时如遇平台技术问题详询95763。</w:t>
      </w:r>
    </w:p>
    <w:p w14:paraId="453F52A2">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cs="宋体"/>
          <w:szCs w:val="21"/>
        </w:rPr>
      </w:pPr>
      <w:r>
        <w:rPr>
          <w:rFonts w:hint="eastAsia" w:ascii="宋体" w:hAnsi="宋体" w:cs="宋体"/>
          <w:szCs w:val="21"/>
        </w:rPr>
        <w:t>②为确保网上操作合法、有效和安全，投标人应当在投标截止时间前完成在“广西政府采购云平台”的身份认证，确保在电子投标过程中能够对相关数据电子文件进行加密和使用电子签章。使用“广西政府采购云平台电子交易客户端”需要提前申领CA数字证书，申领流程请自行前往广西政府采购云平台网站进行查阅；</w:t>
      </w:r>
      <w:r>
        <w:rPr>
          <w:rFonts w:hint="eastAsia" w:ascii="宋体" w:hAnsi="宋体" w:cs="宋体"/>
          <w:b/>
          <w:bCs/>
          <w:szCs w:val="21"/>
        </w:rPr>
        <w:t>（完成CA数字证书办理预计一周左右，建议供应商获取投标文件后立即办理）</w:t>
      </w:r>
    </w:p>
    <w:p w14:paraId="38E5039A">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cs="宋体"/>
          <w:szCs w:val="21"/>
        </w:rPr>
      </w:pPr>
      <w:r>
        <w:rPr>
          <w:rFonts w:hint="eastAsia" w:ascii="宋体" w:hAnsi="宋体" w:cs="宋体"/>
          <w:szCs w:val="21"/>
        </w:rPr>
        <w:t>③投标人应当在投标截止时间前，将生成的“投标文件”上传递交至广西政府采购云平台。投标文件递交截止时间前可以撤回电子投标文件。补充或者修改电子投标文件的，应当先行撤回原文件，补充、修改后重新传输递交，投标文件递交截止时间前未完成传输的，视为撤回投标文件。</w:t>
      </w:r>
    </w:p>
    <w:p w14:paraId="49276418">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eastAsia="宋体" w:cs="宋体"/>
          <w:color w:val="auto"/>
          <w:sz w:val="21"/>
          <w:szCs w:val="21"/>
        </w:rPr>
      </w:pPr>
      <w:r>
        <w:rPr>
          <w:rFonts w:hint="eastAsia" w:ascii="宋体" w:hAnsi="宋体" w:eastAsia="宋体" w:cs="宋体"/>
          <w:color w:val="auto"/>
          <w:sz w:val="21"/>
          <w:szCs w:val="21"/>
        </w:rPr>
        <w:t>④本采购项目为广西政府采购云平台全流程电子化操作，参与投标的供应商需自备计算机和网络设备（设备需可视频通话和读取广西政府采购云平台CA数字证书），确保投标过程顺利进行；因供应商自身设备或网络原因造成的一切后果，由供应商自行承担。</w:t>
      </w:r>
    </w:p>
    <w:p w14:paraId="4AC4FCCC">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cs="宋体"/>
          <w:szCs w:val="21"/>
        </w:rPr>
      </w:pPr>
      <w:r>
        <w:rPr>
          <w:rFonts w:cs="宋体" w:asciiTheme="minorEastAsia" w:hAnsiTheme="minorEastAsia" w:eastAsiaTheme="minorEastAsia"/>
          <w:sz w:val="21"/>
          <w:szCs w:val="21"/>
          <w:lang w:val="en-US" w:eastAsia="zh-CN" w:bidi="ar-SA"/>
        </w:rPr>
        <w:t>7.</w:t>
      </w:r>
      <w:r>
        <w:rPr>
          <w:rFonts w:hint="eastAsia" w:ascii="宋体" w:hAnsi="宋体" w:cs="宋体"/>
          <w:szCs w:val="21"/>
        </w:rPr>
        <w:t>监督管理机构</w:t>
      </w:r>
    </w:p>
    <w:p w14:paraId="69404057">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cs="宋体"/>
          <w:szCs w:val="21"/>
        </w:rPr>
      </w:pPr>
      <w:r>
        <w:rPr>
          <w:rFonts w:hint="eastAsia" w:ascii="宋体" w:hAnsi="宋体" w:cs="宋体"/>
          <w:szCs w:val="21"/>
        </w:rPr>
        <w:t>名 称：</w:t>
      </w:r>
      <w:r>
        <w:rPr>
          <w:rFonts w:hint="eastAsia" w:ascii="宋体" w:hAnsi="宋体" w:cs="宋体"/>
          <w:szCs w:val="21"/>
          <w:lang w:eastAsia="zh-CN"/>
        </w:rPr>
        <w:t>灌阳县财政局；电话：0773-4250206</w:t>
      </w:r>
    </w:p>
    <w:p w14:paraId="41080F77">
      <w:pPr>
        <w:keepNext w:val="0"/>
        <w:keepLines w:val="0"/>
        <w:pageBreakBefore w:val="0"/>
        <w:kinsoku/>
        <w:wordWrap/>
        <w:overflowPunct/>
        <w:topLinePunct w:val="0"/>
        <w:autoSpaceDE/>
        <w:autoSpaceDN/>
        <w:bidi w:val="0"/>
        <w:adjustRightInd/>
        <w:snapToGrid/>
        <w:spacing w:line="360" w:lineRule="auto"/>
        <w:textAlignment w:val="auto"/>
        <w:rPr>
          <w:rFonts w:ascii="宋体" w:hAnsi="宋体" w:cs="宋体"/>
          <w:b/>
          <w:szCs w:val="21"/>
        </w:rPr>
      </w:pPr>
      <w:r>
        <w:rPr>
          <w:rFonts w:hint="eastAsia" w:ascii="宋体" w:hAnsi="宋体" w:cs="宋体"/>
          <w:b/>
          <w:szCs w:val="21"/>
        </w:rPr>
        <w:t>七、对本次招标提出询问，请按以下方式联系</w:t>
      </w:r>
    </w:p>
    <w:p w14:paraId="3CFCDC94">
      <w:pPr>
        <w:keepNext w:val="0"/>
        <w:keepLines w:val="0"/>
        <w:pageBreakBefore w:val="0"/>
        <w:widowControl/>
        <w:kinsoku/>
        <w:wordWrap/>
        <w:overflowPunct/>
        <w:topLinePunct w:val="0"/>
        <w:autoSpaceDE/>
        <w:autoSpaceDN/>
        <w:bidi w:val="0"/>
        <w:adjustRightInd/>
        <w:snapToGrid/>
        <w:spacing w:line="360" w:lineRule="auto"/>
        <w:ind w:firstLine="420"/>
        <w:jc w:val="left"/>
        <w:textAlignment w:val="auto"/>
        <w:rPr>
          <w:rFonts w:ascii="宋体" w:hAnsi="宋体" w:cs="宋体"/>
          <w:szCs w:val="21"/>
        </w:rPr>
      </w:pPr>
      <w:r>
        <w:rPr>
          <w:rFonts w:hint="eastAsia" w:ascii="宋体" w:hAnsi="宋体" w:cs="宋体"/>
          <w:szCs w:val="21"/>
        </w:rPr>
        <w:t>1.采购人信息</w:t>
      </w:r>
    </w:p>
    <w:p w14:paraId="740B8A84">
      <w:pPr>
        <w:keepNext w:val="0"/>
        <w:keepLines w:val="0"/>
        <w:pageBreakBefore w:val="0"/>
        <w:kinsoku/>
        <w:wordWrap/>
        <w:overflowPunct/>
        <w:topLinePunct w:val="0"/>
        <w:autoSpaceDE/>
        <w:autoSpaceDN/>
        <w:bidi w:val="0"/>
        <w:adjustRightInd/>
        <w:snapToGrid/>
        <w:spacing w:line="360" w:lineRule="auto"/>
        <w:ind w:firstLine="420"/>
        <w:jc w:val="left"/>
        <w:textAlignment w:val="auto"/>
        <w:rPr>
          <w:rFonts w:hint="eastAsia" w:ascii="宋体" w:hAnsi="宋体" w:eastAsia="宋体" w:cs="宋体"/>
          <w:szCs w:val="21"/>
          <w:u w:val="none"/>
          <w:lang w:eastAsia="zh-CN"/>
        </w:rPr>
      </w:pPr>
      <w:r>
        <w:rPr>
          <w:rFonts w:hint="eastAsia" w:ascii="宋体" w:hAnsi="宋体" w:cs="宋体"/>
          <w:szCs w:val="21"/>
          <w:u w:val="none"/>
        </w:rPr>
        <w:t>名 称：</w:t>
      </w:r>
      <w:r>
        <w:rPr>
          <w:rFonts w:hint="eastAsia" w:ascii="宋体" w:hAnsi="宋体" w:cs="宋体"/>
          <w:szCs w:val="21"/>
          <w:u w:val="none"/>
          <w:lang w:eastAsia="zh-CN"/>
        </w:rPr>
        <w:t>灌阳县公安局</w:t>
      </w:r>
    </w:p>
    <w:p w14:paraId="257CCAF3">
      <w:pPr>
        <w:keepNext w:val="0"/>
        <w:keepLines w:val="0"/>
        <w:pageBreakBefore w:val="0"/>
        <w:kinsoku/>
        <w:wordWrap/>
        <w:overflowPunct/>
        <w:topLinePunct w:val="0"/>
        <w:autoSpaceDE/>
        <w:autoSpaceDN/>
        <w:bidi w:val="0"/>
        <w:adjustRightInd/>
        <w:snapToGrid/>
        <w:spacing w:line="360" w:lineRule="auto"/>
        <w:ind w:firstLine="420"/>
        <w:jc w:val="left"/>
        <w:textAlignment w:val="auto"/>
        <w:rPr>
          <w:rFonts w:ascii="宋体" w:hAnsi="宋体" w:cs="宋体"/>
          <w:szCs w:val="21"/>
          <w:u w:val="none"/>
        </w:rPr>
      </w:pPr>
      <w:bookmarkStart w:id="37" w:name="_Toc28359009"/>
      <w:bookmarkStart w:id="38" w:name="_Toc28359086"/>
      <w:r>
        <w:rPr>
          <w:rFonts w:hint="eastAsia" w:ascii="宋体" w:hAnsi="宋体" w:cs="宋体"/>
          <w:szCs w:val="21"/>
          <w:u w:val="none"/>
        </w:rPr>
        <w:t>地 址：灌阳县灌阳镇创业路16号</w:t>
      </w:r>
    </w:p>
    <w:p w14:paraId="5A54F91D">
      <w:pPr>
        <w:keepNext w:val="0"/>
        <w:keepLines w:val="0"/>
        <w:pageBreakBefore w:val="0"/>
        <w:kinsoku/>
        <w:wordWrap/>
        <w:overflowPunct/>
        <w:topLinePunct w:val="0"/>
        <w:autoSpaceDE/>
        <w:autoSpaceDN/>
        <w:bidi w:val="0"/>
        <w:adjustRightInd/>
        <w:snapToGrid/>
        <w:spacing w:line="360" w:lineRule="auto"/>
        <w:ind w:firstLine="420"/>
        <w:jc w:val="left"/>
        <w:textAlignment w:val="auto"/>
        <w:rPr>
          <w:rFonts w:ascii="宋体" w:hAnsi="宋体" w:cs="宋体"/>
          <w:szCs w:val="21"/>
          <w:u w:val="none"/>
        </w:rPr>
      </w:pPr>
      <w:r>
        <w:rPr>
          <w:rFonts w:hint="eastAsia" w:ascii="宋体" w:hAnsi="宋体" w:cs="宋体"/>
          <w:szCs w:val="21"/>
          <w:u w:val="none"/>
        </w:rPr>
        <w:t>项目联系人：邓伟</w:t>
      </w:r>
    </w:p>
    <w:p w14:paraId="7B8F5EA3">
      <w:pPr>
        <w:keepNext w:val="0"/>
        <w:keepLines w:val="0"/>
        <w:pageBreakBefore w:val="0"/>
        <w:kinsoku/>
        <w:wordWrap/>
        <w:overflowPunct/>
        <w:topLinePunct w:val="0"/>
        <w:autoSpaceDE/>
        <w:autoSpaceDN/>
        <w:bidi w:val="0"/>
        <w:adjustRightInd/>
        <w:snapToGrid/>
        <w:spacing w:line="360" w:lineRule="auto"/>
        <w:ind w:firstLine="420"/>
        <w:jc w:val="left"/>
        <w:textAlignment w:val="auto"/>
        <w:rPr>
          <w:rFonts w:ascii="宋体" w:hAnsi="宋体" w:cs="宋体"/>
          <w:szCs w:val="21"/>
          <w:u w:val="none"/>
        </w:rPr>
      </w:pPr>
      <w:r>
        <w:rPr>
          <w:rFonts w:hint="eastAsia" w:ascii="宋体" w:hAnsi="宋体" w:cs="宋体"/>
          <w:szCs w:val="21"/>
          <w:u w:val="none"/>
        </w:rPr>
        <w:t>联系方式：</w:t>
      </w:r>
      <w:r>
        <w:rPr>
          <w:rFonts w:ascii="宋体" w:hAnsi="宋体" w:cs="宋体"/>
          <w:szCs w:val="21"/>
          <w:u w:val="none"/>
        </w:rPr>
        <w:t>0773-</w:t>
      </w:r>
      <w:r>
        <w:rPr>
          <w:rFonts w:hint="eastAsia" w:ascii="宋体" w:hAnsi="宋体" w:eastAsia="宋体" w:cs="宋体"/>
          <w:color w:val="auto"/>
          <w:sz w:val="21"/>
          <w:szCs w:val="21"/>
          <w:lang w:val="en-US" w:eastAsia="zh-CN"/>
        </w:rPr>
        <w:t>4211556</w:t>
      </w:r>
    </w:p>
    <w:p w14:paraId="2C35CDC7">
      <w:pPr>
        <w:keepNext w:val="0"/>
        <w:keepLines w:val="0"/>
        <w:pageBreakBefore w:val="0"/>
        <w:kinsoku/>
        <w:wordWrap/>
        <w:overflowPunct/>
        <w:topLinePunct w:val="0"/>
        <w:autoSpaceDE/>
        <w:autoSpaceDN/>
        <w:bidi w:val="0"/>
        <w:adjustRightInd/>
        <w:snapToGrid/>
        <w:spacing w:line="360" w:lineRule="auto"/>
        <w:ind w:firstLine="420"/>
        <w:jc w:val="left"/>
        <w:textAlignment w:val="auto"/>
        <w:rPr>
          <w:rFonts w:ascii="宋体" w:hAnsi="宋体" w:cs="宋体"/>
          <w:szCs w:val="21"/>
          <w:u w:val="none"/>
        </w:rPr>
      </w:pPr>
      <w:r>
        <w:rPr>
          <w:rFonts w:hint="eastAsia" w:ascii="宋体" w:hAnsi="宋体" w:cs="宋体"/>
          <w:szCs w:val="21"/>
          <w:u w:val="none"/>
        </w:rPr>
        <w:t>2.采购代理机构信息</w:t>
      </w:r>
      <w:bookmarkEnd w:id="37"/>
      <w:bookmarkEnd w:id="38"/>
    </w:p>
    <w:p w14:paraId="51219BCE">
      <w:pPr>
        <w:keepNext w:val="0"/>
        <w:keepLines w:val="0"/>
        <w:pageBreakBefore w:val="0"/>
        <w:kinsoku/>
        <w:wordWrap/>
        <w:overflowPunct/>
        <w:topLinePunct w:val="0"/>
        <w:autoSpaceDE/>
        <w:autoSpaceDN/>
        <w:bidi w:val="0"/>
        <w:adjustRightInd/>
        <w:snapToGrid/>
        <w:spacing w:line="360" w:lineRule="auto"/>
        <w:ind w:firstLine="420"/>
        <w:jc w:val="left"/>
        <w:textAlignment w:val="auto"/>
        <w:rPr>
          <w:rFonts w:hint="eastAsia" w:ascii="宋体" w:hAnsi="宋体" w:eastAsia="宋体" w:cs="宋体"/>
          <w:szCs w:val="21"/>
          <w:u w:val="none"/>
          <w:lang w:eastAsia="zh-CN"/>
        </w:rPr>
      </w:pPr>
      <w:bookmarkStart w:id="39" w:name="_Toc28359010"/>
      <w:bookmarkStart w:id="40" w:name="_Toc28359087"/>
      <w:r>
        <w:rPr>
          <w:rFonts w:hint="eastAsia" w:ascii="宋体" w:hAnsi="宋体" w:cs="宋体"/>
          <w:szCs w:val="21"/>
          <w:u w:val="none"/>
        </w:rPr>
        <w:t>名  称：</w:t>
      </w:r>
      <w:r>
        <w:rPr>
          <w:rFonts w:hint="eastAsia" w:ascii="宋体" w:hAnsi="宋体" w:cs="宋体"/>
          <w:szCs w:val="21"/>
          <w:u w:val="none"/>
          <w:lang w:eastAsia="zh-CN"/>
        </w:rPr>
        <w:t>广西北部湾宏亚建设管理有限公司</w:t>
      </w:r>
    </w:p>
    <w:p w14:paraId="57F473AD">
      <w:pPr>
        <w:keepNext w:val="0"/>
        <w:keepLines w:val="0"/>
        <w:pageBreakBefore w:val="0"/>
        <w:kinsoku/>
        <w:wordWrap/>
        <w:overflowPunct/>
        <w:topLinePunct w:val="0"/>
        <w:autoSpaceDE/>
        <w:autoSpaceDN/>
        <w:bidi w:val="0"/>
        <w:adjustRightInd/>
        <w:snapToGrid/>
        <w:spacing w:line="360" w:lineRule="auto"/>
        <w:ind w:firstLine="420"/>
        <w:jc w:val="left"/>
        <w:textAlignment w:val="auto"/>
        <w:rPr>
          <w:rFonts w:hint="default" w:ascii="宋体" w:hAnsi="宋体" w:eastAsia="宋体" w:cs="宋体"/>
          <w:szCs w:val="21"/>
          <w:u w:val="none"/>
          <w:lang w:val="en-US" w:eastAsia="zh-CN"/>
        </w:rPr>
      </w:pPr>
      <w:r>
        <w:rPr>
          <w:rFonts w:hint="eastAsia" w:ascii="宋体" w:hAnsi="宋体" w:cs="宋体"/>
          <w:szCs w:val="21"/>
          <w:u w:val="none"/>
        </w:rPr>
        <w:t>地　址：桂林市中山中路4号1-5-8#</w:t>
      </w:r>
      <w:r>
        <w:rPr>
          <w:rFonts w:hint="eastAsia" w:ascii="宋体" w:hAnsi="宋体" w:cs="宋体"/>
          <w:szCs w:val="21"/>
          <w:u w:val="none"/>
          <w:lang w:val="en-US" w:eastAsia="zh-CN"/>
        </w:rPr>
        <w:t>办公用房</w:t>
      </w:r>
    </w:p>
    <w:p w14:paraId="4D216EF4">
      <w:pPr>
        <w:keepNext w:val="0"/>
        <w:keepLines w:val="0"/>
        <w:pageBreakBefore w:val="0"/>
        <w:kinsoku/>
        <w:wordWrap/>
        <w:overflowPunct/>
        <w:topLinePunct w:val="0"/>
        <w:autoSpaceDE/>
        <w:autoSpaceDN/>
        <w:bidi w:val="0"/>
        <w:adjustRightInd/>
        <w:snapToGrid/>
        <w:spacing w:line="360" w:lineRule="auto"/>
        <w:ind w:firstLine="420"/>
        <w:jc w:val="left"/>
        <w:textAlignment w:val="auto"/>
        <w:rPr>
          <w:rFonts w:hint="default" w:hAnsi="宋体" w:eastAsia="宋体" w:cs="宋体"/>
          <w:szCs w:val="21"/>
          <w:u w:val="none"/>
          <w:lang w:val="en-US" w:eastAsia="zh-CN"/>
        </w:rPr>
      </w:pPr>
      <w:r>
        <w:rPr>
          <w:rFonts w:hint="eastAsia" w:hAnsi="宋体" w:cs="宋体"/>
          <w:szCs w:val="21"/>
          <w:u w:val="none"/>
        </w:rPr>
        <w:t>项目联系人：</w:t>
      </w:r>
      <w:r>
        <w:rPr>
          <w:rFonts w:hint="eastAsia" w:hAnsi="宋体" w:cs="宋体"/>
          <w:szCs w:val="21"/>
          <w:u w:val="none"/>
          <w:lang w:val="en-US" w:eastAsia="zh-CN"/>
        </w:rPr>
        <w:t>周润强</w:t>
      </w:r>
      <w:bookmarkStart w:id="362" w:name="_GoBack"/>
      <w:bookmarkEnd w:id="362"/>
    </w:p>
    <w:p w14:paraId="5611B776">
      <w:pPr>
        <w:keepNext w:val="0"/>
        <w:keepLines w:val="0"/>
        <w:pageBreakBefore w:val="0"/>
        <w:kinsoku/>
        <w:wordWrap/>
        <w:overflowPunct/>
        <w:topLinePunct w:val="0"/>
        <w:autoSpaceDE/>
        <w:autoSpaceDN/>
        <w:bidi w:val="0"/>
        <w:adjustRightInd/>
        <w:snapToGrid/>
        <w:spacing w:line="360" w:lineRule="auto"/>
        <w:ind w:firstLine="420"/>
        <w:jc w:val="left"/>
        <w:textAlignment w:val="auto"/>
        <w:rPr>
          <w:rFonts w:ascii="宋体" w:hAnsi="宋体"/>
          <w:kern w:val="2"/>
          <w:szCs w:val="21"/>
          <w:u w:val="none"/>
        </w:rPr>
      </w:pPr>
      <w:r>
        <w:rPr>
          <w:rFonts w:hint="eastAsia" w:ascii="宋体" w:hAnsi="宋体" w:cs="宋体"/>
          <w:szCs w:val="21"/>
          <w:u w:val="none"/>
        </w:rPr>
        <w:t>项目联系方式：19178348505</w:t>
      </w:r>
    </w:p>
    <w:bookmarkEnd w:id="39"/>
    <w:bookmarkEnd w:id="40"/>
    <w:p w14:paraId="13060A7D">
      <w:pPr>
        <w:keepNext w:val="0"/>
        <w:keepLines w:val="0"/>
        <w:pageBreakBefore w:val="0"/>
        <w:kinsoku/>
        <w:wordWrap w:val="0"/>
        <w:overflowPunct/>
        <w:topLinePunct w:val="0"/>
        <w:autoSpaceDE/>
        <w:autoSpaceDN/>
        <w:bidi w:val="0"/>
        <w:adjustRightInd/>
        <w:snapToGrid/>
        <w:spacing w:line="360" w:lineRule="auto"/>
        <w:ind w:firstLine="720"/>
        <w:jc w:val="right"/>
        <w:textAlignment w:val="auto"/>
        <w:rPr>
          <w:rFonts w:hint="default" w:ascii="宋体" w:hAnsi="宋体" w:cs="宋体"/>
          <w:sz w:val="24"/>
          <w:lang w:val="en-US"/>
        </w:rPr>
      </w:pPr>
      <w:r>
        <w:rPr>
          <w:rFonts w:hint="eastAsia" w:ascii="宋体" w:hAnsi="宋体" w:cs="宋体"/>
          <w:szCs w:val="21"/>
          <w:lang w:eastAsia="zh-CN"/>
        </w:rPr>
        <w:t>2026年</w:t>
      </w:r>
      <w:r>
        <w:rPr>
          <w:rFonts w:hint="eastAsia" w:ascii="宋体" w:hAnsi="宋体" w:cs="宋体"/>
          <w:szCs w:val="21"/>
          <w:lang w:val="en-US" w:eastAsia="zh-CN"/>
        </w:rPr>
        <w:t xml:space="preserve">11月03日    </w:t>
      </w:r>
    </w:p>
    <w:p w14:paraId="15D6D4E4">
      <w:pPr>
        <w:jc w:val="center"/>
        <w:outlineLvl w:val="0"/>
        <w:rPr>
          <w:rFonts w:ascii="宋体" w:hAnsi="宋体" w:cs="宋体"/>
          <w:sz w:val="32"/>
          <w:szCs w:val="32"/>
        </w:rPr>
      </w:pPr>
      <w:r>
        <w:rPr>
          <w:rFonts w:hint="eastAsia" w:ascii="宋体" w:hAnsi="宋体" w:cs="宋体"/>
          <w:sz w:val="32"/>
          <w:szCs w:val="32"/>
        </w:rPr>
        <w:br w:type="page" w:clear="all"/>
      </w:r>
      <w:bookmarkStart w:id="41" w:name="_Toc12553"/>
      <w:bookmarkStart w:id="42" w:name="_Toc23983"/>
      <w:bookmarkStart w:id="43" w:name="_Toc240644489"/>
      <w:r>
        <w:rPr>
          <w:rFonts w:hint="eastAsia" w:ascii="宋体" w:hAnsi="宋体" w:cs="宋体"/>
          <w:b/>
          <w:bCs/>
          <w:sz w:val="32"/>
          <w:szCs w:val="32"/>
        </w:rPr>
        <w:t>第二章  投标人须知</w:t>
      </w:r>
      <w:bookmarkEnd w:id="41"/>
      <w:bookmarkEnd w:id="42"/>
      <w:bookmarkEnd w:id="43"/>
    </w:p>
    <w:p w14:paraId="0264B1E4">
      <w:pPr>
        <w:tabs>
          <w:tab w:val="left" w:pos="1065"/>
          <w:tab w:val="center" w:pos="4411"/>
        </w:tabs>
        <w:spacing w:line="440" w:lineRule="exact"/>
        <w:jc w:val="center"/>
        <w:outlineLvl w:val="1"/>
        <w:rPr>
          <w:rFonts w:ascii="宋体" w:hAnsi="宋体" w:cs="宋体"/>
          <w:b/>
          <w:sz w:val="24"/>
        </w:rPr>
      </w:pPr>
      <w:bookmarkStart w:id="44" w:name="_Toc240644490"/>
      <w:bookmarkStart w:id="45" w:name="_Toc14750"/>
      <w:bookmarkStart w:id="46" w:name="_Toc14222"/>
      <w:bookmarkStart w:id="47" w:name="_Toc3680"/>
      <w:bookmarkStart w:id="48" w:name="_Toc495841753"/>
      <w:bookmarkStart w:id="49" w:name="_Toc239867298"/>
      <w:r>
        <w:rPr>
          <w:rFonts w:hint="eastAsia" w:ascii="宋体" w:hAnsi="宋体" w:cs="宋体"/>
          <w:b/>
          <w:sz w:val="24"/>
        </w:rPr>
        <w:t>投标人须知前附表</w:t>
      </w:r>
      <w:bookmarkEnd w:id="44"/>
      <w:bookmarkEnd w:id="45"/>
      <w:bookmarkEnd w:id="46"/>
      <w:bookmarkEnd w:id="47"/>
      <w:bookmarkEnd w:id="48"/>
      <w:bookmarkEnd w:id="49"/>
    </w:p>
    <w:tbl>
      <w:tblPr>
        <w:tblStyle w:val="3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9"/>
        <w:gridCol w:w="800"/>
        <w:gridCol w:w="1648"/>
        <w:gridCol w:w="6427"/>
      </w:tblGrid>
      <w:tr w14:paraId="4D0B8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blHeader/>
        </w:trPr>
        <w:tc>
          <w:tcPr>
            <w:tcW w:w="251" w:type="pct"/>
            <w:tcBorders>
              <w:top w:val="single" w:color="auto" w:sz="4" w:space="0"/>
              <w:left w:val="single" w:color="auto" w:sz="4" w:space="0"/>
              <w:bottom w:val="single" w:color="auto" w:sz="4" w:space="0"/>
              <w:right w:val="single" w:color="auto" w:sz="4" w:space="0"/>
            </w:tcBorders>
            <w:shd w:val="clear" w:color="auto" w:fill="8DB3E2"/>
            <w:vAlign w:val="center"/>
          </w:tcPr>
          <w:p w14:paraId="096D837D">
            <w:pPr>
              <w:spacing w:line="400" w:lineRule="exact"/>
              <w:jc w:val="center"/>
              <w:rPr>
                <w:rFonts w:ascii="宋体" w:hAnsi="宋体" w:cs="宋体"/>
                <w:b/>
                <w:szCs w:val="21"/>
              </w:rPr>
            </w:pPr>
            <w:r>
              <w:rPr>
                <w:rFonts w:hint="eastAsia" w:ascii="宋体" w:hAnsi="宋体" w:cs="宋体"/>
                <w:b/>
                <w:szCs w:val="21"/>
              </w:rPr>
              <w:t>序号</w:t>
            </w:r>
          </w:p>
        </w:tc>
        <w:tc>
          <w:tcPr>
            <w:tcW w:w="428" w:type="pct"/>
            <w:tcBorders>
              <w:top w:val="single" w:color="auto" w:sz="4" w:space="0"/>
              <w:left w:val="single" w:color="auto" w:sz="4" w:space="0"/>
              <w:bottom w:val="single" w:color="auto" w:sz="4" w:space="0"/>
              <w:right w:val="single" w:color="auto" w:sz="4" w:space="0"/>
            </w:tcBorders>
            <w:shd w:val="clear" w:color="auto" w:fill="8DB3E2"/>
            <w:vAlign w:val="center"/>
          </w:tcPr>
          <w:p w14:paraId="4B8F08B7">
            <w:pPr>
              <w:spacing w:line="400" w:lineRule="exact"/>
              <w:jc w:val="center"/>
              <w:rPr>
                <w:rFonts w:ascii="宋体" w:hAnsi="宋体" w:cs="宋体"/>
                <w:b/>
                <w:szCs w:val="21"/>
              </w:rPr>
            </w:pPr>
            <w:r>
              <w:rPr>
                <w:rFonts w:hint="eastAsia" w:ascii="宋体" w:hAnsi="宋体" w:cs="宋体"/>
                <w:b/>
                <w:szCs w:val="21"/>
              </w:rPr>
              <w:t>条款号</w:t>
            </w:r>
          </w:p>
        </w:tc>
        <w:tc>
          <w:tcPr>
            <w:tcW w:w="882" w:type="pct"/>
            <w:tcBorders>
              <w:top w:val="single" w:color="auto" w:sz="4" w:space="0"/>
              <w:left w:val="single" w:color="auto" w:sz="4" w:space="0"/>
              <w:bottom w:val="single" w:color="auto" w:sz="4" w:space="0"/>
              <w:right w:val="single" w:color="auto" w:sz="4" w:space="0"/>
            </w:tcBorders>
            <w:shd w:val="clear" w:color="auto" w:fill="8DB3E2"/>
            <w:vAlign w:val="center"/>
          </w:tcPr>
          <w:p w14:paraId="08D08CA4">
            <w:pPr>
              <w:spacing w:line="400" w:lineRule="exact"/>
              <w:jc w:val="center"/>
              <w:rPr>
                <w:rFonts w:ascii="宋体" w:hAnsi="宋体" w:cs="宋体"/>
                <w:b/>
                <w:szCs w:val="21"/>
              </w:rPr>
            </w:pPr>
            <w:r>
              <w:rPr>
                <w:rFonts w:hint="eastAsia" w:ascii="宋体" w:hAnsi="宋体" w:cs="宋体"/>
                <w:b/>
                <w:szCs w:val="21"/>
              </w:rPr>
              <w:t>条款名称</w:t>
            </w:r>
          </w:p>
        </w:tc>
        <w:tc>
          <w:tcPr>
            <w:tcW w:w="3439" w:type="pct"/>
            <w:tcBorders>
              <w:top w:val="single" w:color="auto" w:sz="4" w:space="0"/>
              <w:left w:val="single" w:color="auto" w:sz="4" w:space="0"/>
              <w:bottom w:val="single" w:color="auto" w:sz="4" w:space="0"/>
              <w:right w:val="single" w:color="auto" w:sz="4" w:space="0"/>
            </w:tcBorders>
            <w:shd w:val="clear" w:color="auto" w:fill="8DB3E2"/>
            <w:vAlign w:val="center"/>
          </w:tcPr>
          <w:p w14:paraId="631AF7D8">
            <w:pPr>
              <w:spacing w:line="400" w:lineRule="exact"/>
              <w:jc w:val="center"/>
              <w:rPr>
                <w:rFonts w:ascii="宋体" w:hAnsi="宋体" w:cs="宋体"/>
                <w:b/>
                <w:szCs w:val="21"/>
              </w:rPr>
            </w:pPr>
            <w:r>
              <w:rPr>
                <w:rFonts w:hint="eastAsia" w:ascii="宋体" w:hAnsi="宋体" w:cs="宋体"/>
                <w:b/>
                <w:szCs w:val="21"/>
              </w:rPr>
              <w:t>内容、要求</w:t>
            </w:r>
          </w:p>
        </w:tc>
      </w:tr>
      <w:tr w14:paraId="5F10B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251" w:type="pct"/>
            <w:tcBorders>
              <w:top w:val="single" w:color="auto" w:sz="4" w:space="0"/>
              <w:left w:val="single" w:color="auto" w:sz="4" w:space="0"/>
              <w:bottom w:val="single" w:color="auto" w:sz="4" w:space="0"/>
              <w:right w:val="single" w:color="auto" w:sz="4" w:space="0"/>
            </w:tcBorders>
            <w:vAlign w:val="center"/>
          </w:tcPr>
          <w:p w14:paraId="576A6984">
            <w:pPr>
              <w:spacing w:line="400" w:lineRule="exact"/>
              <w:jc w:val="center"/>
              <w:rPr>
                <w:rFonts w:ascii="宋体" w:hAnsi="宋体" w:cs="宋体"/>
                <w:szCs w:val="21"/>
              </w:rPr>
            </w:pPr>
            <w:r>
              <w:rPr>
                <w:rFonts w:hint="eastAsia" w:ascii="宋体" w:hAnsi="宋体" w:cs="宋体"/>
                <w:szCs w:val="21"/>
              </w:rPr>
              <w:t>1</w:t>
            </w:r>
          </w:p>
        </w:tc>
        <w:tc>
          <w:tcPr>
            <w:tcW w:w="428" w:type="pct"/>
            <w:tcBorders>
              <w:top w:val="single" w:color="auto" w:sz="4" w:space="0"/>
              <w:left w:val="single" w:color="auto" w:sz="4" w:space="0"/>
              <w:bottom w:val="single" w:color="auto" w:sz="4" w:space="0"/>
              <w:right w:val="single" w:color="auto" w:sz="4" w:space="0"/>
            </w:tcBorders>
            <w:vAlign w:val="center"/>
          </w:tcPr>
          <w:p w14:paraId="67B8F8F1">
            <w:pPr>
              <w:spacing w:line="400" w:lineRule="exact"/>
              <w:jc w:val="center"/>
              <w:rPr>
                <w:rFonts w:ascii="宋体" w:hAnsi="宋体" w:cs="宋体"/>
                <w:szCs w:val="21"/>
              </w:rPr>
            </w:pPr>
            <w:r>
              <w:rPr>
                <w:rFonts w:hint="eastAsia" w:ascii="宋体" w:hAnsi="宋体" w:cs="宋体"/>
                <w:szCs w:val="21"/>
              </w:rPr>
              <w:t>1</w:t>
            </w:r>
          </w:p>
        </w:tc>
        <w:tc>
          <w:tcPr>
            <w:tcW w:w="882" w:type="pct"/>
            <w:tcBorders>
              <w:top w:val="single" w:color="auto" w:sz="4" w:space="0"/>
              <w:left w:val="single" w:color="auto" w:sz="4" w:space="0"/>
              <w:bottom w:val="single" w:color="auto" w:sz="4" w:space="0"/>
              <w:right w:val="single" w:color="auto" w:sz="4" w:space="0"/>
            </w:tcBorders>
            <w:vAlign w:val="center"/>
          </w:tcPr>
          <w:p w14:paraId="0D80426F">
            <w:pPr>
              <w:spacing w:line="400" w:lineRule="exact"/>
              <w:jc w:val="center"/>
              <w:rPr>
                <w:rFonts w:ascii="宋体" w:hAnsi="宋体" w:cs="宋体"/>
                <w:szCs w:val="21"/>
              </w:rPr>
            </w:pPr>
            <w:r>
              <w:rPr>
                <w:rFonts w:hint="eastAsia" w:ascii="宋体" w:hAnsi="宋体" w:cs="宋体"/>
                <w:szCs w:val="21"/>
              </w:rPr>
              <w:t>项目名称及项目编号</w:t>
            </w:r>
          </w:p>
        </w:tc>
        <w:tc>
          <w:tcPr>
            <w:tcW w:w="3439" w:type="pct"/>
            <w:tcBorders>
              <w:top w:val="single" w:color="auto" w:sz="4" w:space="0"/>
              <w:left w:val="single" w:color="auto" w:sz="4" w:space="0"/>
              <w:bottom w:val="single" w:color="auto" w:sz="4" w:space="0"/>
              <w:right w:val="single" w:color="auto" w:sz="4" w:space="0"/>
            </w:tcBorders>
            <w:vAlign w:val="center"/>
          </w:tcPr>
          <w:p w14:paraId="2358D4AA">
            <w:pPr>
              <w:spacing w:line="340" w:lineRule="exact"/>
              <w:rPr>
                <w:rFonts w:ascii="宋体" w:hAnsi="宋体" w:cs="宋体"/>
                <w:szCs w:val="21"/>
              </w:rPr>
            </w:pPr>
            <w:r>
              <w:rPr>
                <w:rFonts w:hint="eastAsia" w:ascii="宋体" w:hAnsi="宋体" w:cs="宋体"/>
                <w:szCs w:val="21"/>
              </w:rPr>
              <w:t>项目名称：</w:t>
            </w:r>
            <w:r>
              <w:rPr>
                <w:rFonts w:hint="eastAsia" w:ascii="宋体" w:hAnsi="宋体" w:cs="宋体"/>
                <w:szCs w:val="21"/>
                <w:lang w:eastAsia="zh-CN"/>
              </w:rPr>
              <w:t>灌阳县雪亮工程一期到期后运维服务项目</w:t>
            </w:r>
          </w:p>
          <w:p w14:paraId="4EC4835B">
            <w:pPr>
              <w:spacing w:line="340" w:lineRule="exact"/>
              <w:rPr>
                <w:rFonts w:hint="eastAsia" w:ascii="宋体" w:hAnsi="宋体" w:eastAsia="宋体" w:cs="宋体"/>
                <w:szCs w:val="21"/>
                <w:lang w:eastAsia="zh-CN"/>
              </w:rPr>
            </w:pPr>
            <w:r>
              <w:rPr>
                <w:rFonts w:hint="eastAsia" w:ascii="宋体" w:hAnsi="宋体" w:cs="宋体"/>
                <w:szCs w:val="21"/>
              </w:rPr>
              <w:t>项目编号：</w:t>
            </w:r>
            <w:r>
              <w:rPr>
                <w:rFonts w:hint="eastAsia" w:ascii="宋体" w:hAnsi="宋体" w:cs="宋体"/>
                <w:lang w:eastAsia="zh-CN"/>
              </w:rPr>
              <w:t>GLZC2026-G3-270058-BBWH</w:t>
            </w:r>
          </w:p>
        </w:tc>
      </w:tr>
      <w:tr w14:paraId="21C94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251" w:type="pct"/>
            <w:tcBorders>
              <w:top w:val="single" w:color="auto" w:sz="4" w:space="0"/>
              <w:left w:val="single" w:color="auto" w:sz="4" w:space="0"/>
              <w:bottom w:val="single" w:color="auto" w:sz="4" w:space="0"/>
              <w:right w:val="single" w:color="auto" w:sz="4" w:space="0"/>
            </w:tcBorders>
            <w:vAlign w:val="center"/>
          </w:tcPr>
          <w:p w14:paraId="2E59C423">
            <w:pPr>
              <w:spacing w:line="400" w:lineRule="exact"/>
              <w:jc w:val="center"/>
              <w:rPr>
                <w:rFonts w:ascii="宋体" w:hAnsi="宋体" w:cs="宋体"/>
                <w:szCs w:val="21"/>
              </w:rPr>
            </w:pPr>
            <w:r>
              <w:rPr>
                <w:rFonts w:hint="eastAsia" w:ascii="宋体" w:hAnsi="宋体" w:cs="宋体"/>
                <w:szCs w:val="21"/>
              </w:rPr>
              <w:t>2</w:t>
            </w:r>
          </w:p>
        </w:tc>
        <w:tc>
          <w:tcPr>
            <w:tcW w:w="428" w:type="pct"/>
            <w:tcBorders>
              <w:top w:val="single" w:color="auto" w:sz="4" w:space="0"/>
              <w:left w:val="single" w:color="auto" w:sz="4" w:space="0"/>
              <w:bottom w:val="single" w:color="auto" w:sz="4" w:space="0"/>
              <w:right w:val="single" w:color="auto" w:sz="4" w:space="0"/>
            </w:tcBorders>
            <w:vAlign w:val="center"/>
          </w:tcPr>
          <w:p w14:paraId="1F89BC7C">
            <w:pPr>
              <w:spacing w:line="400" w:lineRule="exact"/>
              <w:jc w:val="center"/>
              <w:rPr>
                <w:rFonts w:ascii="宋体" w:hAnsi="宋体" w:cs="宋体"/>
                <w:szCs w:val="21"/>
              </w:rPr>
            </w:pPr>
            <w:r>
              <w:rPr>
                <w:rFonts w:hint="eastAsia" w:ascii="宋体" w:hAnsi="宋体" w:cs="宋体"/>
                <w:szCs w:val="21"/>
              </w:rPr>
              <w:t>5</w:t>
            </w:r>
          </w:p>
        </w:tc>
        <w:tc>
          <w:tcPr>
            <w:tcW w:w="882" w:type="pct"/>
            <w:tcBorders>
              <w:top w:val="single" w:color="auto" w:sz="4" w:space="0"/>
              <w:left w:val="single" w:color="auto" w:sz="4" w:space="0"/>
              <w:bottom w:val="single" w:color="auto" w:sz="4" w:space="0"/>
              <w:right w:val="single" w:color="auto" w:sz="4" w:space="0"/>
            </w:tcBorders>
            <w:vAlign w:val="center"/>
          </w:tcPr>
          <w:p w14:paraId="527B5B6C">
            <w:pPr>
              <w:spacing w:line="400" w:lineRule="exact"/>
              <w:jc w:val="center"/>
              <w:rPr>
                <w:rFonts w:ascii="宋体" w:hAnsi="宋体" w:cs="宋体"/>
                <w:szCs w:val="21"/>
              </w:rPr>
            </w:pPr>
            <w:r>
              <w:rPr>
                <w:rFonts w:hint="eastAsia" w:ascii="宋体" w:hAnsi="宋体" w:cs="宋体"/>
                <w:szCs w:val="21"/>
              </w:rPr>
              <w:t>投标人资格</w:t>
            </w:r>
          </w:p>
        </w:tc>
        <w:tc>
          <w:tcPr>
            <w:tcW w:w="3439" w:type="pct"/>
            <w:tcBorders>
              <w:top w:val="single" w:color="auto" w:sz="4" w:space="0"/>
              <w:left w:val="single" w:color="auto" w:sz="4" w:space="0"/>
              <w:bottom w:val="single" w:color="auto" w:sz="4" w:space="0"/>
              <w:right w:val="single" w:color="auto" w:sz="4" w:space="0"/>
            </w:tcBorders>
            <w:vAlign w:val="center"/>
          </w:tcPr>
          <w:p w14:paraId="7DC276C7">
            <w:pPr>
              <w:spacing w:line="340" w:lineRule="exact"/>
              <w:rPr>
                <w:rFonts w:hint="eastAsia" w:ascii="宋体" w:hAnsi="宋体" w:cs="宋体"/>
                <w:szCs w:val="21"/>
              </w:rPr>
            </w:pPr>
            <w:r>
              <w:rPr>
                <w:rFonts w:hint="eastAsia" w:ascii="宋体" w:hAnsi="宋体" w:cs="宋体"/>
                <w:szCs w:val="21"/>
              </w:rPr>
              <w:t>1.满足《中华人民共和国政府采购法》第二十二条规定；</w:t>
            </w:r>
          </w:p>
          <w:p w14:paraId="6407748F">
            <w:pPr>
              <w:spacing w:line="340" w:lineRule="exact"/>
              <w:rPr>
                <w:rFonts w:hint="eastAsia" w:ascii="宋体" w:hAnsi="宋体" w:eastAsia="宋体" w:cs="宋体"/>
                <w:szCs w:val="21"/>
                <w:lang w:eastAsia="zh-CN"/>
              </w:rPr>
            </w:pPr>
            <w:r>
              <w:rPr>
                <w:rFonts w:hint="eastAsia" w:ascii="宋体" w:hAnsi="宋体" w:cs="宋体"/>
                <w:szCs w:val="21"/>
              </w:rPr>
              <w:t>2.落实政府采购政策需满足的资格要求：无</w:t>
            </w:r>
            <w:r>
              <w:rPr>
                <w:rFonts w:hint="eastAsia" w:ascii="宋体" w:hAnsi="宋体" w:cs="宋体"/>
                <w:szCs w:val="21"/>
                <w:lang w:val="en-US" w:eastAsia="zh-CN"/>
              </w:rPr>
              <w:t>；</w:t>
            </w:r>
          </w:p>
          <w:p w14:paraId="692311E2">
            <w:pPr>
              <w:spacing w:line="340" w:lineRule="exact"/>
              <w:rPr>
                <w:rFonts w:ascii="宋体" w:hAnsi="宋体" w:cs="宋体"/>
                <w:kern w:val="2"/>
              </w:rPr>
            </w:pPr>
            <w:r>
              <w:rPr>
                <w:rFonts w:hint="eastAsia" w:ascii="宋体" w:hAnsi="宋体" w:cs="宋体"/>
                <w:szCs w:val="21"/>
              </w:rPr>
              <w:t>3.本项目的</w:t>
            </w:r>
            <w:r>
              <w:rPr>
                <w:rFonts w:hint="eastAsia" w:ascii="宋体" w:hAnsi="宋体" w:cs="宋体"/>
                <w:kern w:val="2"/>
              </w:rPr>
              <w:t>特定资格要求：无。</w:t>
            </w:r>
          </w:p>
        </w:tc>
      </w:tr>
      <w:tr w14:paraId="4E964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251" w:type="pct"/>
            <w:tcBorders>
              <w:top w:val="single" w:color="auto" w:sz="4" w:space="0"/>
              <w:left w:val="single" w:color="auto" w:sz="4" w:space="0"/>
              <w:bottom w:val="single" w:color="auto" w:sz="4" w:space="0"/>
              <w:right w:val="single" w:color="auto" w:sz="4" w:space="0"/>
            </w:tcBorders>
            <w:vAlign w:val="center"/>
          </w:tcPr>
          <w:p w14:paraId="1831E449">
            <w:pPr>
              <w:spacing w:line="400" w:lineRule="exact"/>
              <w:jc w:val="center"/>
              <w:rPr>
                <w:rFonts w:ascii="宋体" w:hAnsi="宋体" w:cs="宋体"/>
                <w:szCs w:val="21"/>
              </w:rPr>
            </w:pPr>
            <w:r>
              <w:rPr>
                <w:rFonts w:hint="eastAsia" w:ascii="宋体" w:hAnsi="宋体" w:cs="宋体"/>
                <w:szCs w:val="21"/>
              </w:rPr>
              <w:t>3</w:t>
            </w:r>
          </w:p>
        </w:tc>
        <w:tc>
          <w:tcPr>
            <w:tcW w:w="428" w:type="pct"/>
            <w:tcBorders>
              <w:top w:val="single" w:color="auto" w:sz="4" w:space="0"/>
              <w:left w:val="single" w:color="auto" w:sz="4" w:space="0"/>
              <w:bottom w:val="single" w:color="auto" w:sz="4" w:space="0"/>
              <w:right w:val="single" w:color="auto" w:sz="4" w:space="0"/>
            </w:tcBorders>
            <w:vAlign w:val="center"/>
          </w:tcPr>
          <w:p w14:paraId="407B68D4">
            <w:pPr>
              <w:spacing w:line="400" w:lineRule="exact"/>
              <w:jc w:val="center"/>
              <w:rPr>
                <w:rFonts w:ascii="宋体" w:hAnsi="宋体" w:cs="宋体"/>
                <w:szCs w:val="21"/>
              </w:rPr>
            </w:pPr>
            <w:r>
              <w:rPr>
                <w:rFonts w:hint="eastAsia" w:ascii="宋体" w:hAnsi="宋体" w:cs="宋体"/>
                <w:szCs w:val="21"/>
              </w:rPr>
              <w:t>6</w:t>
            </w:r>
          </w:p>
        </w:tc>
        <w:tc>
          <w:tcPr>
            <w:tcW w:w="882" w:type="pct"/>
            <w:tcBorders>
              <w:top w:val="single" w:color="auto" w:sz="4" w:space="0"/>
              <w:left w:val="single" w:color="auto" w:sz="4" w:space="0"/>
              <w:bottom w:val="single" w:color="auto" w:sz="4" w:space="0"/>
              <w:right w:val="single" w:color="auto" w:sz="4" w:space="0"/>
            </w:tcBorders>
            <w:vAlign w:val="center"/>
          </w:tcPr>
          <w:p w14:paraId="42996B6F">
            <w:pPr>
              <w:spacing w:line="400" w:lineRule="exact"/>
              <w:jc w:val="center"/>
              <w:rPr>
                <w:rFonts w:ascii="宋体" w:hAnsi="宋体" w:cs="宋体"/>
                <w:position w:val="-2"/>
                <w:szCs w:val="21"/>
              </w:rPr>
            </w:pPr>
            <w:r>
              <w:rPr>
                <w:rFonts w:hint="eastAsia" w:ascii="宋体" w:hAnsi="宋体" w:cs="宋体"/>
                <w:szCs w:val="21"/>
              </w:rPr>
              <w:t>投标费用</w:t>
            </w:r>
          </w:p>
        </w:tc>
        <w:tc>
          <w:tcPr>
            <w:tcW w:w="3439" w:type="pct"/>
            <w:tcBorders>
              <w:top w:val="single" w:color="auto" w:sz="4" w:space="0"/>
              <w:left w:val="single" w:color="auto" w:sz="4" w:space="0"/>
              <w:bottom w:val="single" w:color="auto" w:sz="4" w:space="0"/>
              <w:right w:val="single" w:color="auto" w:sz="4" w:space="0"/>
            </w:tcBorders>
            <w:vAlign w:val="center"/>
          </w:tcPr>
          <w:p w14:paraId="2E18DFE4">
            <w:pPr>
              <w:spacing w:line="400" w:lineRule="exact"/>
              <w:rPr>
                <w:rFonts w:ascii="宋体" w:hAnsi="宋体" w:cs="宋体"/>
                <w:szCs w:val="21"/>
              </w:rPr>
            </w:pPr>
            <w:r>
              <w:rPr>
                <w:rFonts w:hint="eastAsia" w:ascii="宋体" w:hAnsi="宋体" w:cs="宋体"/>
                <w:szCs w:val="21"/>
              </w:rPr>
              <w:t>不论投标结果如何，投标人均应自行承担所有与投标有关的全部费用。</w:t>
            </w:r>
          </w:p>
        </w:tc>
      </w:tr>
      <w:tr w14:paraId="3ACAC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251" w:type="pct"/>
            <w:tcBorders>
              <w:top w:val="single" w:color="auto" w:sz="4" w:space="0"/>
              <w:left w:val="single" w:color="auto" w:sz="4" w:space="0"/>
              <w:bottom w:val="single" w:color="auto" w:sz="4" w:space="0"/>
              <w:right w:val="single" w:color="auto" w:sz="4" w:space="0"/>
            </w:tcBorders>
            <w:vAlign w:val="center"/>
          </w:tcPr>
          <w:p w14:paraId="2A3053C7">
            <w:pPr>
              <w:spacing w:line="360" w:lineRule="exact"/>
              <w:jc w:val="center"/>
              <w:rPr>
                <w:rFonts w:ascii="宋体" w:hAnsi="宋体" w:cs="宋体"/>
                <w:szCs w:val="21"/>
              </w:rPr>
            </w:pPr>
            <w:r>
              <w:rPr>
                <w:rFonts w:hint="eastAsia" w:ascii="宋体" w:hAnsi="宋体" w:cs="宋体"/>
                <w:szCs w:val="21"/>
              </w:rPr>
              <w:t>4</w:t>
            </w:r>
          </w:p>
        </w:tc>
        <w:tc>
          <w:tcPr>
            <w:tcW w:w="428" w:type="pct"/>
            <w:tcBorders>
              <w:top w:val="single" w:color="auto" w:sz="4" w:space="0"/>
              <w:left w:val="single" w:color="auto" w:sz="4" w:space="0"/>
              <w:bottom w:val="single" w:color="auto" w:sz="4" w:space="0"/>
              <w:right w:val="single" w:color="auto" w:sz="4" w:space="0"/>
            </w:tcBorders>
            <w:vAlign w:val="center"/>
          </w:tcPr>
          <w:p w14:paraId="3F80E35B">
            <w:pPr>
              <w:spacing w:line="360" w:lineRule="exact"/>
              <w:jc w:val="center"/>
              <w:rPr>
                <w:rFonts w:ascii="宋体" w:hAnsi="宋体" w:cs="宋体"/>
                <w:position w:val="-2"/>
                <w:szCs w:val="21"/>
              </w:rPr>
            </w:pPr>
            <w:r>
              <w:rPr>
                <w:rFonts w:hint="eastAsia" w:ascii="宋体" w:hAnsi="宋体" w:cs="宋体"/>
                <w:position w:val="-2"/>
                <w:szCs w:val="21"/>
              </w:rPr>
              <w:t>15</w:t>
            </w:r>
          </w:p>
        </w:tc>
        <w:tc>
          <w:tcPr>
            <w:tcW w:w="882" w:type="pct"/>
            <w:tcBorders>
              <w:top w:val="single" w:color="auto" w:sz="4" w:space="0"/>
              <w:left w:val="single" w:color="auto" w:sz="4" w:space="0"/>
              <w:bottom w:val="single" w:color="auto" w:sz="4" w:space="0"/>
              <w:right w:val="single" w:color="auto" w:sz="4" w:space="0"/>
            </w:tcBorders>
            <w:vAlign w:val="center"/>
          </w:tcPr>
          <w:p w14:paraId="2DA33911">
            <w:pPr>
              <w:spacing w:line="360" w:lineRule="exact"/>
              <w:jc w:val="center"/>
              <w:rPr>
                <w:rFonts w:ascii="宋体" w:hAnsi="宋体" w:cs="宋体"/>
                <w:szCs w:val="21"/>
              </w:rPr>
            </w:pPr>
            <w:r>
              <w:rPr>
                <w:rFonts w:hint="eastAsia" w:ascii="宋体" w:hAnsi="宋体" w:cs="宋体"/>
                <w:szCs w:val="21"/>
              </w:rPr>
              <w:t>采购预算金额及投标报价</w:t>
            </w:r>
          </w:p>
        </w:tc>
        <w:tc>
          <w:tcPr>
            <w:tcW w:w="3439" w:type="pct"/>
            <w:tcBorders>
              <w:top w:val="single" w:color="auto" w:sz="4" w:space="0"/>
              <w:left w:val="single" w:color="auto" w:sz="4" w:space="0"/>
              <w:bottom w:val="single" w:color="auto" w:sz="4" w:space="0"/>
              <w:right w:val="single" w:color="auto" w:sz="4" w:space="0"/>
            </w:tcBorders>
            <w:vAlign w:val="center"/>
          </w:tcPr>
          <w:p w14:paraId="32847273">
            <w:pPr>
              <w:spacing w:line="360" w:lineRule="exact"/>
              <w:rPr>
                <w:rFonts w:hint="eastAsia" w:ascii="宋体" w:hAnsi="宋体" w:eastAsia="宋体" w:cs="宋体"/>
                <w:b/>
                <w:bCs/>
                <w:color w:val="auto"/>
                <w:sz w:val="21"/>
                <w:szCs w:val="21"/>
                <w:lang w:val="en-US" w:eastAsia="zh-CN"/>
              </w:rPr>
            </w:pPr>
            <w:r>
              <w:rPr>
                <w:rFonts w:hint="eastAsia" w:ascii="宋体" w:hAnsi="宋体" w:cs="宋体"/>
                <w:szCs w:val="21"/>
              </w:rPr>
              <w:t>15.1投标报价应按招标文件中第六章“投标文件（格式）”填写，</w:t>
            </w:r>
            <w:bookmarkStart w:id="50" w:name="OLE_LINK84"/>
            <w:bookmarkStart w:id="51" w:name="OLE_LINK85"/>
            <w:r>
              <w:rPr>
                <w:rFonts w:hint="eastAsia" w:ascii="宋体" w:hAnsi="宋体" w:cs="宋体"/>
                <w:b/>
                <w:szCs w:val="21"/>
              </w:rPr>
              <w:t>本项目采购预算金额（人民币）：</w:t>
            </w:r>
            <w:r>
              <w:rPr>
                <w:rFonts w:hint="eastAsia" w:ascii="宋体" w:hAnsi="宋体" w:cs="宋体"/>
                <w:b/>
                <w:szCs w:val="21"/>
                <w:lang w:eastAsia="zh-CN"/>
              </w:rPr>
              <w:fldChar w:fldCharType="begin"/>
            </w:r>
            <w:r>
              <w:rPr>
                <w:rFonts w:hint="eastAsia" w:ascii="宋体" w:hAnsi="宋体" w:cs="宋体"/>
                <w:b/>
                <w:szCs w:val="21"/>
                <w:lang w:eastAsia="zh-CN"/>
              </w:rPr>
              <w:instrText xml:space="preserve"> = 2150000 \* CHINESENUM2 \* MERGEFORMAT </w:instrText>
            </w:r>
            <w:r>
              <w:rPr>
                <w:rFonts w:hint="eastAsia" w:ascii="宋体" w:hAnsi="宋体" w:cs="宋体"/>
                <w:b/>
                <w:szCs w:val="21"/>
                <w:lang w:eastAsia="zh-CN"/>
              </w:rPr>
              <w:fldChar w:fldCharType="separate"/>
            </w:r>
            <w:r>
              <w:rPr>
                <w:rFonts w:hint="eastAsia" w:ascii="宋体" w:hAnsi="宋体" w:cs="宋体"/>
                <w:b/>
                <w:szCs w:val="21"/>
                <w:lang w:eastAsia="zh-CN"/>
              </w:rPr>
              <w:t>贰佰壹拾伍万</w:t>
            </w:r>
            <w:r>
              <w:rPr>
                <w:rFonts w:hint="eastAsia" w:ascii="宋体" w:hAnsi="宋体" w:cs="宋体"/>
                <w:b/>
                <w:szCs w:val="21"/>
                <w:lang w:eastAsia="zh-CN"/>
              </w:rPr>
              <w:fldChar w:fldCharType="end"/>
            </w:r>
            <w:r>
              <w:rPr>
                <w:rFonts w:hint="eastAsia" w:ascii="宋体" w:hAnsi="宋体" w:cs="宋体"/>
                <w:b/>
                <w:szCs w:val="21"/>
                <w:lang w:val="en-US" w:eastAsia="zh-CN"/>
              </w:rPr>
              <w:t>元整</w:t>
            </w:r>
            <w:r>
              <w:rPr>
                <w:rFonts w:hint="eastAsia" w:ascii="宋体" w:hAnsi="宋体" w:cs="宋体"/>
                <w:b/>
                <w:szCs w:val="21"/>
                <w:lang w:eastAsia="zh-CN"/>
              </w:rPr>
              <w:t>（</w:t>
            </w:r>
            <w:r>
              <w:rPr>
                <w:rFonts w:hint="default" w:ascii="宋体" w:hAnsi="宋体" w:cs="宋体"/>
                <w:b/>
                <w:szCs w:val="21"/>
                <w:lang w:eastAsia="zh-CN"/>
              </w:rPr>
              <w:t>¥</w:t>
            </w:r>
            <w:r>
              <w:rPr>
                <w:rFonts w:hint="eastAsia" w:ascii="宋体" w:hAnsi="宋体" w:cs="宋体"/>
                <w:b/>
                <w:szCs w:val="21"/>
                <w:lang w:eastAsia="zh-CN"/>
              </w:rPr>
              <w:t>2150000.00），投标报价超过采购预算金额的，投标文件按无效处理</w:t>
            </w:r>
            <w:r>
              <w:rPr>
                <w:rFonts w:hint="eastAsia" w:ascii="宋体" w:hAnsi="宋体" w:cs="宋体"/>
                <w:b/>
                <w:szCs w:val="21"/>
              </w:rPr>
              <w:t>。</w:t>
            </w:r>
            <w:bookmarkEnd w:id="50"/>
            <w:bookmarkEnd w:id="51"/>
            <w:r>
              <w:rPr>
                <w:rFonts w:hint="eastAsia" w:ascii="宋体" w:hAnsi="宋体" w:eastAsia="宋体" w:cs="宋体"/>
                <w:b/>
                <w:bCs/>
                <w:color w:val="auto"/>
                <w:sz w:val="21"/>
                <w:szCs w:val="21"/>
                <w:lang w:val="en-US" w:eastAsia="zh-CN"/>
              </w:rPr>
              <w:t>此为12个月的采购预算金额，36个月预算金额约</w:t>
            </w:r>
            <w:r>
              <w:rPr>
                <w:rFonts w:hint="eastAsia" w:ascii="宋体" w:hAnsi="宋体" w:eastAsia="宋体" w:cs="宋体"/>
                <w:b/>
                <w:bCs/>
                <w:color w:val="auto"/>
                <w:sz w:val="21"/>
                <w:szCs w:val="21"/>
                <w:lang w:val="en-US" w:eastAsia="zh-CN"/>
              </w:rPr>
              <w:fldChar w:fldCharType="begin"/>
            </w:r>
            <w:r>
              <w:rPr>
                <w:rFonts w:hint="eastAsia" w:ascii="宋体" w:hAnsi="宋体" w:eastAsia="宋体" w:cs="宋体"/>
                <w:b/>
                <w:bCs/>
                <w:color w:val="auto"/>
                <w:sz w:val="21"/>
                <w:szCs w:val="21"/>
                <w:lang w:val="en-US" w:eastAsia="zh-CN"/>
              </w:rPr>
              <w:instrText xml:space="preserve"> = 6450000 \* CHINESENUM2 \* MERGEFORMAT </w:instrText>
            </w:r>
            <w:r>
              <w:rPr>
                <w:rFonts w:hint="eastAsia" w:ascii="宋体" w:hAnsi="宋体" w:eastAsia="宋体" w:cs="宋体"/>
                <w:b/>
                <w:bCs/>
                <w:color w:val="auto"/>
                <w:sz w:val="21"/>
                <w:szCs w:val="21"/>
                <w:lang w:val="en-US" w:eastAsia="zh-CN"/>
              </w:rPr>
              <w:fldChar w:fldCharType="separate"/>
            </w:r>
            <w:r>
              <w:rPr>
                <w:rFonts w:hint="eastAsia" w:ascii="宋体" w:hAnsi="宋体" w:eastAsia="宋体" w:cs="宋体"/>
                <w:b/>
                <w:bCs/>
                <w:color w:val="auto"/>
                <w:sz w:val="21"/>
                <w:szCs w:val="21"/>
                <w:lang w:val="en-US" w:eastAsia="zh-CN"/>
              </w:rPr>
              <w:t>陆佰肆拾伍万</w:t>
            </w:r>
            <w:r>
              <w:rPr>
                <w:rFonts w:hint="eastAsia" w:ascii="宋体" w:hAnsi="宋体" w:eastAsia="宋体" w:cs="宋体"/>
                <w:b/>
                <w:bCs/>
                <w:color w:val="auto"/>
                <w:sz w:val="21"/>
                <w:szCs w:val="21"/>
                <w:lang w:val="en-US" w:eastAsia="zh-CN"/>
              </w:rPr>
              <w:fldChar w:fldCharType="end"/>
            </w:r>
            <w:r>
              <w:rPr>
                <w:rFonts w:hint="eastAsia" w:ascii="宋体" w:hAnsi="宋体" w:eastAsia="宋体" w:cs="宋体"/>
                <w:b/>
                <w:bCs/>
                <w:color w:val="auto"/>
                <w:sz w:val="21"/>
                <w:szCs w:val="21"/>
                <w:lang w:val="en-US" w:eastAsia="zh-CN"/>
              </w:rPr>
              <w:t>元整（¥6450000.00）。</w:t>
            </w:r>
          </w:p>
          <w:p w14:paraId="7996BEBD">
            <w:pPr>
              <w:spacing w:line="360" w:lineRule="exact"/>
              <w:rPr>
                <w:rFonts w:ascii="宋体" w:hAnsi="宋体" w:cs="宋体"/>
                <w:szCs w:val="21"/>
              </w:rPr>
            </w:pPr>
            <w:r>
              <w:rPr>
                <w:rFonts w:hint="eastAsia" w:ascii="宋体" w:hAnsi="宋体" w:cs="宋体"/>
                <w:szCs w:val="21"/>
              </w:rPr>
              <w:t>15.2投标人必须就“采购需求”中所投分标内容作完整唯一报价，否则，其投标将被拒绝；投标文件只允许有一个报价，有选择的或有条件的报价将不予接受。</w:t>
            </w:r>
          </w:p>
        </w:tc>
      </w:tr>
      <w:tr w14:paraId="16307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251" w:type="pct"/>
            <w:tcBorders>
              <w:top w:val="single" w:color="auto" w:sz="4" w:space="0"/>
              <w:left w:val="single" w:color="auto" w:sz="4" w:space="0"/>
              <w:bottom w:val="single" w:color="auto" w:sz="4" w:space="0"/>
              <w:right w:val="single" w:color="auto" w:sz="4" w:space="0"/>
            </w:tcBorders>
            <w:vAlign w:val="center"/>
          </w:tcPr>
          <w:p w14:paraId="6653A1C2">
            <w:pPr>
              <w:spacing w:line="400" w:lineRule="exact"/>
              <w:jc w:val="center"/>
              <w:rPr>
                <w:rFonts w:ascii="宋体" w:hAnsi="宋体" w:cs="宋体"/>
                <w:szCs w:val="21"/>
              </w:rPr>
            </w:pPr>
            <w:r>
              <w:rPr>
                <w:rFonts w:hint="eastAsia" w:ascii="宋体" w:hAnsi="宋体" w:cs="宋体"/>
                <w:szCs w:val="21"/>
              </w:rPr>
              <w:t>5</w:t>
            </w:r>
          </w:p>
        </w:tc>
        <w:tc>
          <w:tcPr>
            <w:tcW w:w="428" w:type="pct"/>
            <w:tcBorders>
              <w:top w:val="single" w:color="auto" w:sz="4" w:space="0"/>
              <w:left w:val="single" w:color="auto" w:sz="4" w:space="0"/>
              <w:bottom w:val="single" w:color="auto" w:sz="4" w:space="0"/>
              <w:right w:val="single" w:color="auto" w:sz="4" w:space="0"/>
            </w:tcBorders>
            <w:vAlign w:val="center"/>
          </w:tcPr>
          <w:p w14:paraId="5F65F6DA">
            <w:pPr>
              <w:spacing w:line="400" w:lineRule="exact"/>
              <w:jc w:val="center"/>
              <w:rPr>
                <w:rFonts w:ascii="宋体" w:hAnsi="宋体" w:cs="宋体"/>
                <w:szCs w:val="21"/>
              </w:rPr>
            </w:pPr>
            <w:r>
              <w:rPr>
                <w:rFonts w:hint="eastAsia" w:ascii="宋体" w:hAnsi="宋体" w:cs="宋体"/>
                <w:szCs w:val="21"/>
              </w:rPr>
              <w:t>16.1</w:t>
            </w:r>
          </w:p>
        </w:tc>
        <w:tc>
          <w:tcPr>
            <w:tcW w:w="882" w:type="pct"/>
            <w:tcBorders>
              <w:top w:val="single" w:color="auto" w:sz="4" w:space="0"/>
              <w:left w:val="single" w:color="auto" w:sz="4" w:space="0"/>
              <w:bottom w:val="single" w:color="auto" w:sz="4" w:space="0"/>
              <w:right w:val="single" w:color="auto" w:sz="4" w:space="0"/>
            </w:tcBorders>
            <w:vAlign w:val="center"/>
          </w:tcPr>
          <w:p w14:paraId="5405CCCD">
            <w:pPr>
              <w:spacing w:line="400" w:lineRule="exact"/>
              <w:jc w:val="center"/>
              <w:rPr>
                <w:rFonts w:ascii="宋体" w:hAnsi="宋体" w:cs="宋体"/>
                <w:szCs w:val="21"/>
              </w:rPr>
            </w:pPr>
            <w:r>
              <w:rPr>
                <w:rFonts w:hint="eastAsia" w:ascii="宋体" w:hAnsi="宋体" w:cs="宋体"/>
                <w:szCs w:val="21"/>
              </w:rPr>
              <w:t>投标有效期</w:t>
            </w:r>
          </w:p>
        </w:tc>
        <w:tc>
          <w:tcPr>
            <w:tcW w:w="3439" w:type="pct"/>
            <w:tcBorders>
              <w:top w:val="single" w:color="auto" w:sz="4" w:space="0"/>
              <w:left w:val="single" w:color="auto" w:sz="4" w:space="0"/>
              <w:bottom w:val="single" w:color="auto" w:sz="4" w:space="0"/>
              <w:right w:val="single" w:color="auto" w:sz="4" w:space="0"/>
            </w:tcBorders>
            <w:vAlign w:val="center"/>
          </w:tcPr>
          <w:p w14:paraId="32ADAA0B">
            <w:pPr>
              <w:spacing w:line="400" w:lineRule="exact"/>
              <w:rPr>
                <w:rFonts w:ascii="宋体" w:hAnsi="宋体" w:cs="宋体"/>
                <w:szCs w:val="21"/>
              </w:rPr>
            </w:pPr>
            <w:r>
              <w:rPr>
                <w:rFonts w:hint="eastAsia" w:ascii="宋体" w:hAnsi="宋体" w:cs="宋体"/>
                <w:szCs w:val="21"/>
              </w:rPr>
              <w:t>投标截止时间之日起90天。</w:t>
            </w:r>
          </w:p>
        </w:tc>
      </w:tr>
      <w:tr w14:paraId="6B752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251" w:type="pct"/>
            <w:tcBorders>
              <w:top w:val="single" w:color="auto" w:sz="4" w:space="0"/>
              <w:left w:val="single" w:color="auto" w:sz="4" w:space="0"/>
              <w:bottom w:val="single" w:color="auto" w:sz="4" w:space="0"/>
              <w:right w:val="single" w:color="auto" w:sz="4" w:space="0"/>
            </w:tcBorders>
            <w:vAlign w:val="center"/>
          </w:tcPr>
          <w:p w14:paraId="29B8665F">
            <w:pPr>
              <w:spacing w:line="400" w:lineRule="exact"/>
              <w:jc w:val="center"/>
              <w:rPr>
                <w:rFonts w:ascii="宋体" w:hAnsi="宋体" w:cs="宋体"/>
                <w:szCs w:val="21"/>
              </w:rPr>
            </w:pPr>
            <w:r>
              <w:rPr>
                <w:rFonts w:hint="eastAsia" w:ascii="宋体" w:hAnsi="宋体" w:cs="宋体"/>
                <w:szCs w:val="21"/>
              </w:rPr>
              <w:t>6</w:t>
            </w:r>
          </w:p>
        </w:tc>
        <w:tc>
          <w:tcPr>
            <w:tcW w:w="428" w:type="pct"/>
            <w:tcBorders>
              <w:top w:val="single" w:color="auto" w:sz="4" w:space="0"/>
              <w:left w:val="single" w:color="auto" w:sz="4" w:space="0"/>
              <w:bottom w:val="single" w:color="auto" w:sz="4" w:space="0"/>
              <w:right w:val="single" w:color="auto" w:sz="4" w:space="0"/>
            </w:tcBorders>
            <w:vAlign w:val="center"/>
          </w:tcPr>
          <w:p w14:paraId="0DA6946C">
            <w:pPr>
              <w:spacing w:line="400" w:lineRule="exact"/>
              <w:jc w:val="center"/>
              <w:rPr>
                <w:rFonts w:ascii="宋体" w:hAnsi="宋体" w:cs="宋体"/>
                <w:szCs w:val="21"/>
              </w:rPr>
            </w:pPr>
            <w:r>
              <w:rPr>
                <w:rFonts w:hint="eastAsia" w:ascii="宋体" w:hAnsi="宋体" w:cs="宋体"/>
                <w:szCs w:val="21"/>
              </w:rPr>
              <w:t>17</w:t>
            </w:r>
          </w:p>
        </w:tc>
        <w:tc>
          <w:tcPr>
            <w:tcW w:w="882" w:type="pct"/>
            <w:tcBorders>
              <w:top w:val="single" w:color="auto" w:sz="4" w:space="0"/>
              <w:left w:val="single" w:color="auto" w:sz="4" w:space="0"/>
              <w:bottom w:val="single" w:color="auto" w:sz="4" w:space="0"/>
              <w:right w:val="single" w:color="auto" w:sz="4" w:space="0"/>
            </w:tcBorders>
            <w:vAlign w:val="center"/>
          </w:tcPr>
          <w:p w14:paraId="756053A0">
            <w:pPr>
              <w:spacing w:line="400" w:lineRule="exact"/>
              <w:jc w:val="center"/>
              <w:rPr>
                <w:rFonts w:ascii="宋体" w:hAnsi="宋体" w:cs="宋体"/>
                <w:szCs w:val="21"/>
              </w:rPr>
            </w:pPr>
            <w:r>
              <w:rPr>
                <w:rFonts w:hint="eastAsia" w:ascii="宋体" w:hAnsi="宋体" w:cs="宋体"/>
                <w:szCs w:val="21"/>
              </w:rPr>
              <w:t>投标保证金</w:t>
            </w:r>
          </w:p>
        </w:tc>
        <w:tc>
          <w:tcPr>
            <w:tcW w:w="3439" w:type="pct"/>
            <w:tcBorders>
              <w:top w:val="single" w:color="auto" w:sz="4" w:space="0"/>
              <w:left w:val="single" w:color="auto" w:sz="4" w:space="0"/>
              <w:bottom w:val="single" w:color="auto" w:sz="4" w:space="0"/>
              <w:right w:val="single" w:color="auto" w:sz="4" w:space="0"/>
            </w:tcBorders>
          </w:tcPr>
          <w:p w14:paraId="7A4A39A9">
            <w:pPr>
              <w:spacing w:line="400" w:lineRule="exact"/>
              <w:rPr>
                <w:rFonts w:ascii="宋体" w:hAnsi="宋体" w:cs="宋体"/>
                <w:szCs w:val="21"/>
              </w:rPr>
            </w:pPr>
            <w:r>
              <w:rPr>
                <w:rFonts w:hint="eastAsia" w:ascii="宋体" w:hAnsi="宋体" w:cs="宋体"/>
                <w:bCs/>
                <w:szCs w:val="21"/>
              </w:rPr>
              <w:t>本项目无需缴纳投标保证金</w:t>
            </w:r>
            <w:r>
              <w:rPr>
                <w:rFonts w:hint="eastAsia" w:ascii="宋体" w:hAnsi="宋体" w:cs="宋体"/>
                <w:szCs w:val="21"/>
              </w:rPr>
              <w:t>。</w:t>
            </w:r>
          </w:p>
        </w:tc>
      </w:tr>
      <w:tr w14:paraId="083DF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251" w:type="pct"/>
            <w:tcBorders>
              <w:top w:val="single" w:color="auto" w:sz="4" w:space="0"/>
              <w:left w:val="single" w:color="auto" w:sz="4" w:space="0"/>
              <w:bottom w:val="single" w:color="auto" w:sz="4" w:space="0"/>
              <w:right w:val="single" w:color="auto" w:sz="4" w:space="0"/>
            </w:tcBorders>
            <w:vAlign w:val="center"/>
          </w:tcPr>
          <w:p w14:paraId="74FC70CC">
            <w:pPr>
              <w:spacing w:line="400" w:lineRule="exact"/>
              <w:jc w:val="center"/>
              <w:rPr>
                <w:rFonts w:ascii="宋体" w:hAnsi="宋体" w:cs="宋体"/>
                <w:szCs w:val="21"/>
              </w:rPr>
            </w:pPr>
            <w:r>
              <w:rPr>
                <w:rFonts w:hint="eastAsia" w:ascii="宋体" w:hAnsi="宋体" w:cs="宋体"/>
                <w:szCs w:val="21"/>
              </w:rPr>
              <w:t>7</w:t>
            </w:r>
          </w:p>
        </w:tc>
        <w:tc>
          <w:tcPr>
            <w:tcW w:w="428" w:type="pct"/>
            <w:tcBorders>
              <w:top w:val="single" w:color="auto" w:sz="4" w:space="0"/>
              <w:left w:val="single" w:color="auto" w:sz="4" w:space="0"/>
              <w:bottom w:val="single" w:color="auto" w:sz="4" w:space="0"/>
              <w:right w:val="single" w:color="auto" w:sz="4" w:space="0"/>
            </w:tcBorders>
            <w:vAlign w:val="center"/>
          </w:tcPr>
          <w:p w14:paraId="6F954473">
            <w:pPr>
              <w:spacing w:line="400" w:lineRule="exact"/>
              <w:jc w:val="center"/>
              <w:rPr>
                <w:rFonts w:ascii="宋体" w:hAnsi="宋体" w:cs="宋体"/>
                <w:position w:val="10"/>
                <w:szCs w:val="21"/>
              </w:rPr>
            </w:pPr>
            <w:r>
              <w:rPr>
                <w:rFonts w:hint="eastAsia" w:ascii="宋体" w:hAnsi="宋体" w:cs="宋体"/>
                <w:szCs w:val="21"/>
              </w:rPr>
              <w:t>18</w:t>
            </w:r>
          </w:p>
        </w:tc>
        <w:tc>
          <w:tcPr>
            <w:tcW w:w="882" w:type="pct"/>
            <w:tcBorders>
              <w:top w:val="single" w:color="auto" w:sz="4" w:space="0"/>
              <w:left w:val="single" w:color="auto" w:sz="4" w:space="0"/>
              <w:bottom w:val="single" w:color="auto" w:sz="4" w:space="0"/>
              <w:right w:val="single" w:color="auto" w:sz="4" w:space="0"/>
            </w:tcBorders>
            <w:vAlign w:val="center"/>
          </w:tcPr>
          <w:p w14:paraId="13DCCCB0">
            <w:pPr>
              <w:spacing w:line="400" w:lineRule="exact"/>
              <w:jc w:val="center"/>
              <w:rPr>
                <w:rFonts w:ascii="宋体" w:hAnsi="宋体" w:cs="宋体"/>
                <w:position w:val="10"/>
                <w:szCs w:val="21"/>
              </w:rPr>
            </w:pPr>
            <w:r>
              <w:rPr>
                <w:rFonts w:hint="eastAsia" w:ascii="宋体" w:hAnsi="宋体" w:cs="宋体"/>
                <w:szCs w:val="21"/>
              </w:rPr>
              <w:t>投标文件的制作</w:t>
            </w:r>
          </w:p>
        </w:tc>
        <w:tc>
          <w:tcPr>
            <w:tcW w:w="3439" w:type="pct"/>
            <w:tcBorders>
              <w:top w:val="single" w:color="auto" w:sz="4" w:space="0"/>
              <w:left w:val="single" w:color="auto" w:sz="4" w:space="0"/>
              <w:bottom w:val="single" w:color="auto" w:sz="4" w:space="0"/>
              <w:right w:val="single" w:color="auto" w:sz="4" w:space="0"/>
            </w:tcBorders>
            <w:vAlign w:val="center"/>
          </w:tcPr>
          <w:p w14:paraId="0861548B">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cs="宋体"/>
                <w:szCs w:val="21"/>
              </w:rPr>
            </w:pPr>
            <w:r>
              <w:rPr>
                <w:rFonts w:hint="eastAsia" w:ascii="宋体" w:hAnsi="宋体" w:cs="宋体"/>
                <w:szCs w:val="21"/>
              </w:rPr>
              <w:t>18.</w:t>
            </w:r>
            <w:r>
              <w:rPr>
                <w:rFonts w:hint="eastAsia" w:ascii="宋体" w:hAnsi="宋体" w:eastAsia="宋体" w:cs="宋体"/>
                <w:szCs w:val="21"/>
              </w:rPr>
              <w:t>1电子投标文件中须加盖供应商公章部分均采用CA签章，并根据“政府采购项目电子交易管理操作指南-供应商”及本招标文件规定的格式和顺序编制电子投标文件并进行关联定位，以便评审小组在评审时，点击评分项可直接定位到该评分项内容。如对招标文件的某项要求，供应商的电子投标文件未能关联定位提供相应的内容与其对应，则评审小组在评审时如做出对供应商不利的评审由供应商自行承担。电子投标文件如内容不完整、编排混乱导致投标文件被误读、 漏读，或者在按招标文件规定的部位查找不到相关内容的，由供应商自行承担</w:t>
            </w:r>
            <w:r>
              <w:rPr>
                <w:rFonts w:hint="eastAsia" w:ascii="宋体" w:hAnsi="宋体" w:cs="宋体"/>
                <w:szCs w:val="21"/>
              </w:rPr>
              <w:t>。</w:t>
            </w:r>
          </w:p>
          <w:p w14:paraId="72ACCEBA">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cs="宋体"/>
                <w:szCs w:val="21"/>
              </w:rPr>
            </w:pPr>
            <w:r>
              <w:rPr>
                <w:rFonts w:hint="eastAsia" w:ascii="宋体" w:hAnsi="宋体" w:cs="宋体"/>
                <w:szCs w:val="21"/>
              </w:rPr>
              <w:t xml:space="preserve">18.2 供应商法人（负责人）或授权代表持有广西政府采购云平台个人CA签章的，应在投标文件中涉及到签字的位置使用个人CA签章，没有办理广西政府采购云平台个人CA签章的可在投标文件中涉及到签字的位置手写签字或盖章后扫描或者拍照做成 PDF 的格式上传即可。 </w:t>
            </w:r>
          </w:p>
          <w:p w14:paraId="1F128131">
            <w:pPr>
              <w:spacing w:line="360" w:lineRule="exact"/>
              <w:rPr>
                <w:rFonts w:ascii="宋体" w:hAnsi="宋体" w:cs="宋体"/>
                <w:szCs w:val="21"/>
              </w:rPr>
            </w:pPr>
            <w:r>
              <w:rPr>
                <w:rFonts w:hint="eastAsia" w:ascii="宋体" w:hAnsi="宋体" w:cs="宋体"/>
                <w:szCs w:val="21"/>
              </w:rPr>
              <w:t>18.3 投标文件不得涂改，若有修改错漏处，须法定代表人（负责人）或授权委托人签字（或个人CA签章）。投标文件因字迹潦草或表达不清所引起的后果由供应商负责。</w:t>
            </w:r>
          </w:p>
          <w:p w14:paraId="0D21BCF0">
            <w:pPr>
              <w:spacing w:line="360" w:lineRule="exact"/>
              <w:rPr>
                <w:rFonts w:ascii="宋体" w:hAnsi="宋体" w:cs="宋体"/>
                <w:szCs w:val="21"/>
              </w:rPr>
            </w:pPr>
            <w:r>
              <w:rPr>
                <w:rFonts w:hint="eastAsia" w:ascii="宋体" w:hAnsi="宋体" w:cs="宋体"/>
                <w:szCs w:val="21"/>
              </w:rPr>
              <w:t xml:space="preserve">18.4评审前准备 </w:t>
            </w:r>
          </w:p>
          <w:p w14:paraId="0BD3B3A2">
            <w:pPr>
              <w:spacing w:line="360" w:lineRule="exact"/>
              <w:rPr>
                <w:rFonts w:ascii="宋体" w:hAnsi="宋体" w:cs="宋体"/>
                <w:szCs w:val="21"/>
              </w:rPr>
            </w:pPr>
            <w:r>
              <w:rPr>
                <w:rFonts w:hint="eastAsia" w:ascii="宋体" w:hAnsi="宋体" w:cs="宋体"/>
                <w:szCs w:val="21"/>
              </w:rPr>
              <w:t xml:space="preserve">18.4.1本项目实行网上评审，采用电子投标文件；若供应商参与投标，自行承担投标一切费用。 </w:t>
            </w:r>
          </w:p>
          <w:p w14:paraId="66466FF2">
            <w:pPr>
              <w:spacing w:line="360" w:lineRule="exact"/>
              <w:rPr>
                <w:rFonts w:ascii="宋体" w:hAnsi="宋体" w:cs="宋体"/>
                <w:szCs w:val="21"/>
              </w:rPr>
            </w:pPr>
            <w:r>
              <w:rPr>
                <w:rFonts w:hint="eastAsia" w:ascii="宋体" w:hAnsi="宋体" w:cs="宋体"/>
                <w:szCs w:val="21"/>
              </w:rPr>
              <w:t xml:space="preserve">18.4.2各供应商在截标前应确保成为广西政府采购云平台正式注册入库供应商，并完成 CA 数字证书申领。因未注册入库、未办理CA数字证书等原因造成无法投标或投标失败等后果由供应商自行承担。 </w:t>
            </w:r>
          </w:p>
          <w:p w14:paraId="2E6FBE63">
            <w:pPr>
              <w:spacing w:line="360" w:lineRule="exact"/>
              <w:rPr>
                <w:rFonts w:ascii="宋体" w:hAnsi="宋体" w:cs="宋体"/>
                <w:szCs w:val="21"/>
              </w:rPr>
            </w:pPr>
            <w:r>
              <w:rPr>
                <w:rFonts w:hint="eastAsia" w:ascii="宋体" w:hAnsi="宋体" w:cs="宋体"/>
                <w:szCs w:val="21"/>
              </w:rPr>
              <w:t>18.4.3供应商将广西政府采购云平台电子交易客户端下载、安装完成后，可通过账号密码或 CA 登录客户端进行投标文件制作。客户端请至网站下载专区查看，如有问题可拨打广西政府采购云平台客户服务热线 95763进行咨询。</w:t>
            </w:r>
          </w:p>
        </w:tc>
      </w:tr>
      <w:tr w14:paraId="59C1F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 w:type="pct"/>
            <w:tcBorders>
              <w:top w:val="single" w:color="auto" w:sz="4" w:space="0"/>
              <w:left w:val="single" w:color="auto" w:sz="4" w:space="0"/>
              <w:bottom w:val="single" w:color="auto" w:sz="4" w:space="0"/>
              <w:right w:val="single" w:color="auto" w:sz="4" w:space="0"/>
            </w:tcBorders>
            <w:vAlign w:val="center"/>
          </w:tcPr>
          <w:p w14:paraId="5F8584AC">
            <w:pPr>
              <w:spacing w:line="400" w:lineRule="exact"/>
              <w:jc w:val="center"/>
              <w:rPr>
                <w:rFonts w:ascii="宋体" w:hAnsi="宋体" w:cs="宋体"/>
                <w:szCs w:val="21"/>
              </w:rPr>
            </w:pPr>
            <w:r>
              <w:rPr>
                <w:rFonts w:hint="eastAsia" w:ascii="宋体" w:hAnsi="宋体" w:cs="宋体"/>
                <w:szCs w:val="21"/>
              </w:rPr>
              <w:t>8</w:t>
            </w:r>
          </w:p>
        </w:tc>
        <w:tc>
          <w:tcPr>
            <w:tcW w:w="428" w:type="pct"/>
            <w:tcBorders>
              <w:top w:val="single" w:color="auto" w:sz="4" w:space="0"/>
              <w:left w:val="single" w:color="auto" w:sz="4" w:space="0"/>
              <w:bottom w:val="single" w:color="auto" w:sz="4" w:space="0"/>
              <w:right w:val="single" w:color="auto" w:sz="4" w:space="0"/>
            </w:tcBorders>
            <w:vAlign w:val="center"/>
          </w:tcPr>
          <w:p w14:paraId="3EC175B3">
            <w:pPr>
              <w:spacing w:line="400" w:lineRule="exact"/>
              <w:jc w:val="center"/>
              <w:rPr>
                <w:rFonts w:ascii="宋体" w:hAnsi="宋体" w:cs="宋体"/>
                <w:szCs w:val="21"/>
              </w:rPr>
            </w:pPr>
            <w:r>
              <w:rPr>
                <w:rFonts w:hint="eastAsia" w:ascii="宋体" w:hAnsi="宋体" w:cs="宋体"/>
                <w:szCs w:val="21"/>
              </w:rPr>
              <w:t>19.1</w:t>
            </w:r>
          </w:p>
        </w:tc>
        <w:tc>
          <w:tcPr>
            <w:tcW w:w="882" w:type="pct"/>
            <w:tcBorders>
              <w:top w:val="single" w:color="auto" w:sz="4" w:space="0"/>
              <w:left w:val="single" w:color="auto" w:sz="4" w:space="0"/>
              <w:bottom w:val="single" w:color="auto" w:sz="4" w:space="0"/>
              <w:right w:val="single" w:color="auto" w:sz="4" w:space="0"/>
            </w:tcBorders>
            <w:vAlign w:val="center"/>
          </w:tcPr>
          <w:p w14:paraId="4CE7EF0E">
            <w:pPr>
              <w:spacing w:line="360" w:lineRule="exact"/>
              <w:jc w:val="center"/>
              <w:rPr>
                <w:rFonts w:ascii="宋体" w:hAnsi="宋体" w:cs="宋体"/>
                <w:szCs w:val="21"/>
              </w:rPr>
            </w:pPr>
            <w:r>
              <w:rPr>
                <w:rFonts w:hint="eastAsia" w:ascii="宋体" w:hAnsi="宋体" w:cs="宋体"/>
                <w:szCs w:val="21"/>
              </w:rPr>
              <w:t>投标文件的补充、修改和撤回</w:t>
            </w:r>
          </w:p>
        </w:tc>
        <w:tc>
          <w:tcPr>
            <w:tcW w:w="3439" w:type="pct"/>
            <w:tcBorders>
              <w:top w:val="single" w:color="auto" w:sz="4" w:space="0"/>
              <w:left w:val="single" w:color="auto" w:sz="4" w:space="0"/>
              <w:bottom w:val="single" w:color="auto" w:sz="4" w:space="0"/>
              <w:right w:val="single" w:color="auto" w:sz="4" w:space="0"/>
            </w:tcBorders>
            <w:vAlign w:val="center"/>
          </w:tcPr>
          <w:p w14:paraId="3A103A2B">
            <w:pPr>
              <w:spacing w:line="360" w:lineRule="exact"/>
              <w:rPr>
                <w:rFonts w:ascii="宋体" w:hAnsi="宋体" w:cs="宋体"/>
                <w:szCs w:val="21"/>
              </w:rPr>
            </w:pPr>
            <w:r>
              <w:rPr>
                <w:rFonts w:hint="eastAsia" w:ascii="宋体" w:hAnsi="宋体" w:cs="宋体"/>
                <w:szCs w:val="21"/>
              </w:rPr>
              <w:t>19.1 投标文件递交截止时间前可以撤回电子投标文件。补充或者修改电子投标文件的，应当先行撤回原文件，补充、修改后重新传输递交，投标文件递交截止时间前未完成传输的，视为撤回投标文件。</w:t>
            </w:r>
          </w:p>
        </w:tc>
      </w:tr>
      <w:tr w14:paraId="2B90E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251" w:type="pct"/>
            <w:tcBorders>
              <w:top w:val="single" w:color="auto" w:sz="4" w:space="0"/>
              <w:left w:val="single" w:color="auto" w:sz="4" w:space="0"/>
              <w:bottom w:val="single" w:color="auto" w:sz="4" w:space="0"/>
              <w:right w:val="single" w:color="auto" w:sz="4" w:space="0"/>
            </w:tcBorders>
            <w:vAlign w:val="center"/>
          </w:tcPr>
          <w:p w14:paraId="6844E8E7">
            <w:pPr>
              <w:spacing w:line="360" w:lineRule="exact"/>
              <w:jc w:val="center"/>
              <w:rPr>
                <w:rFonts w:ascii="宋体" w:hAnsi="宋体" w:cs="宋体"/>
                <w:szCs w:val="21"/>
              </w:rPr>
            </w:pPr>
            <w:r>
              <w:rPr>
                <w:rFonts w:hint="eastAsia" w:ascii="宋体" w:hAnsi="宋体" w:cs="宋体"/>
                <w:szCs w:val="21"/>
              </w:rPr>
              <w:t>9</w:t>
            </w:r>
          </w:p>
        </w:tc>
        <w:tc>
          <w:tcPr>
            <w:tcW w:w="428" w:type="pct"/>
            <w:tcBorders>
              <w:top w:val="single" w:color="auto" w:sz="4" w:space="0"/>
              <w:left w:val="single" w:color="auto" w:sz="4" w:space="0"/>
              <w:bottom w:val="single" w:color="auto" w:sz="4" w:space="0"/>
              <w:right w:val="single" w:color="auto" w:sz="4" w:space="0"/>
            </w:tcBorders>
            <w:vAlign w:val="center"/>
          </w:tcPr>
          <w:p w14:paraId="161E5A17">
            <w:pPr>
              <w:spacing w:line="360" w:lineRule="exact"/>
              <w:jc w:val="center"/>
              <w:rPr>
                <w:rFonts w:ascii="宋体" w:hAnsi="宋体" w:cs="宋体"/>
                <w:szCs w:val="21"/>
              </w:rPr>
            </w:pPr>
            <w:r>
              <w:rPr>
                <w:rFonts w:hint="eastAsia" w:ascii="宋体" w:hAnsi="宋体" w:cs="宋体"/>
                <w:szCs w:val="21"/>
              </w:rPr>
              <w:t>20.1</w:t>
            </w:r>
          </w:p>
        </w:tc>
        <w:tc>
          <w:tcPr>
            <w:tcW w:w="882" w:type="pct"/>
            <w:tcBorders>
              <w:top w:val="single" w:color="auto" w:sz="4" w:space="0"/>
              <w:left w:val="single" w:color="auto" w:sz="4" w:space="0"/>
              <w:bottom w:val="single" w:color="auto" w:sz="4" w:space="0"/>
              <w:right w:val="single" w:color="auto" w:sz="4" w:space="0"/>
            </w:tcBorders>
            <w:vAlign w:val="center"/>
          </w:tcPr>
          <w:p w14:paraId="068E7664">
            <w:pPr>
              <w:spacing w:line="360" w:lineRule="exact"/>
              <w:jc w:val="center"/>
              <w:rPr>
                <w:rFonts w:ascii="宋体" w:hAnsi="宋体" w:cs="宋体"/>
                <w:szCs w:val="21"/>
              </w:rPr>
            </w:pPr>
            <w:r>
              <w:rPr>
                <w:rFonts w:hint="eastAsia" w:ascii="宋体" w:hAnsi="宋体" w:cs="宋体"/>
                <w:szCs w:val="21"/>
              </w:rPr>
              <w:t>投标文件递交</w:t>
            </w:r>
          </w:p>
        </w:tc>
        <w:tc>
          <w:tcPr>
            <w:tcW w:w="3439" w:type="pct"/>
            <w:tcBorders>
              <w:top w:val="single" w:color="auto" w:sz="4" w:space="0"/>
              <w:left w:val="single" w:color="auto" w:sz="4" w:space="0"/>
              <w:bottom w:val="single" w:color="auto" w:sz="4" w:space="0"/>
              <w:right w:val="single" w:color="auto" w:sz="4" w:space="0"/>
            </w:tcBorders>
            <w:vAlign w:val="center"/>
          </w:tcPr>
          <w:p w14:paraId="43B5F6CA">
            <w:pPr>
              <w:spacing w:line="360" w:lineRule="exact"/>
              <w:rPr>
                <w:rFonts w:ascii="宋体" w:hAnsi="宋体" w:cs="宋体"/>
                <w:szCs w:val="21"/>
              </w:rPr>
            </w:pPr>
            <w:r>
              <w:rPr>
                <w:rFonts w:hint="eastAsia" w:ascii="宋体" w:hAnsi="宋体" w:cs="宋体"/>
                <w:szCs w:val="21"/>
              </w:rPr>
              <w:t>20.1</w:t>
            </w:r>
            <w:r>
              <w:rPr>
                <w:rFonts w:hint="eastAsia" w:ascii="宋体" w:hAnsi="宋体"/>
                <w:szCs w:val="21"/>
              </w:rPr>
              <w:t>投标文件递交截止时间：于</w:t>
            </w:r>
            <w:r>
              <w:rPr>
                <w:rFonts w:hint="eastAsia" w:ascii="宋体" w:hAnsi="宋体" w:cs="宋体"/>
                <w:szCs w:val="21"/>
                <w:u w:val="single"/>
                <w:lang w:eastAsia="zh-CN"/>
              </w:rPr>
              <w:t>2026年11月24日</w:t>
            </w:r>
            <w:r>
              <w:rPr>
                <w:rFonts w:hint="eastAsia" w:ascii="宋体" w:hAnsi="宋体" w:cs="宋体"/>
                <w:szCs w:val="21"/>
                <w:u w:val="single"/>
              </w:rPr>
              <w:t>09时30分</w:t>
            </w:r>
            <w:r>
              <w:rPr>
                <w:rFonts w:hint="eastAsia" w:ascii="宋体" w:hAnsi="宋体" w:cs="宋体"/>
                <w:szCs w:val="21"/>
              </w:rPr>
              <w:t>之前将电子投标文件上传到广西政府采购云平台。应按照本项目招标文件和广西政府采购云平台的要求编制、加密传输投标文件。供应商在使用系统进行投标的过程中遇到涉及平台使用的任何问题，可致电广西政府采购云平台技术支持热线咨询，联系方式：95763。</w:t>
            </w:r>
          </w:p>
        </w:tc>
      </w:tr>
      <w:tr w14:paraId="1F866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251" w:type="pct"/>
            <w:tcBorders>
              <w:top w:val="single" w:color="auto" w:sz="4" w:space="0"/>
              <w:left w:val="single" w:color="auto" w:sz="4" w:space="0"/>
              <w:bottom w:val="single" w:color="auto" w:sz="4" w:space="0"/>
              <w:right w:val="single" w:color="auto" w:sz="4" w:space="0"/>
            </w:tcBorders>
            <w:vAlign w:val="center"/>
          </w:tcPr>
          <w:p w14:paraId="7479F29C">
            <w:pPr>
              <w:spacing w:line="360" w:lineRule="exact"/>
              <w:jc w:val="center"/>
              <w:rPr>
                <w:rFonts w:ascii="宋体" w:hAnsi="宋体" w:cs="宋体"/>
                <w:szCs w:val="21"/>
              </w:rPr>
            </w:pPr>
            <w:r>
              <w:rPr>
                <w:rFonts w:hint="eastAsia" w:ascii="宋体" w:hAnsi="宋体" w:cs="宋体"/>
                <w:szCs w:val="21"/>
              </w:rPr>
              <w:t>10</w:t>
            </w:r>
          </w:p>
        </w:tc>
        <w:tc>
          <w:tcPr>
            <w:tcW w:w="428" w:type="pct"/>
            <w:tcBorders>
              <w:top w:val="single" w:color="auto" w:sz="4" w:space="0"/>
              <w:left w:val="single" w:color="auto" w:sz="4" w:space="0"/>
              <w:bottom w:val="single" w:color="auto" w:sz="4" w:space="0"/>
              <w:right w:val="single" w:color="auto" w:sz="4" w:space="0"/>
            </w:tcBorders>
            <w:vAlign w:val="center"/>
          </w:tcPr>
          <w:p w14:paraId="7A460347">
            <w:pPr>
              <w:spacing w:line="360" w:lineRule="exact"/>
              <w:jc w:val="center"/>
              <w:rPr>
                <w:rFonts w:ascii="宋体" w:hAnsi="宋体" w:cs="宋体"/>
                <w:szCs w:val="21"/>
              </w:rPr>
            </w:pPr>
            <w:r>
              <w:rPr>
                <w:rFonts w:hint="eastAsia" w:ascii="宋体" w:hAnsi="宋体" w:cs="宋体"/>
                <w:szCs w:val="21"/>
              </w:rPr>
              <w:t>20.2</w:t>
            </w:r>
          </w:p>
        </w:tc>
        <w:tc>
          <w:tcPr>
            <w:tcW w:w="882" w:type="pct"/>
            <w:tcBorders>
              <w:top w:val="single" w:color="auto" w:sz="4" w:space="0"/>
              <w:left w:val="single" w:color="auto" w:sz="4" w:space="0"/>
              <w:bottom w:val="single" w:color="auto" w:sz="4" w:space="0"/>
              <w:right w:val="single" w:color="auto" w:sz="4" w:space="0"/>
            </w:tcBorders>
            <w:vAlign w:val="center"/>
          </w:tcPr>
          <w:p w14:paraId="03C36F22">
            <w:pPr>
              <w:spacing w:line="360" w:lineRule="exact"/>
              <w:jc w:val="center"/>
              <w:rPr>
                <w:rFonts w:ascii="宋体" w:hAnsi="宋体" w:cs="宋体"/>
                <w:szCs w:val="21"/>
              </w:rPr>
            </w:pPr>
            <w:r>
              <w:rPr>
                <w:rFonts w:hint="eastAsia" w:ascii="宋体" w:hAnsi="宋体" w:cs="宋体"/>
                <w:szCs w:val="21"/>
              </w:rPr>
              <w:t>投标文件解密</w:t>
            </w:r>
          </w:p>
        </w:tc>
        <w:tc>
          <w:tcPr>
            <w:tcW w:w="3439" w:type="pct"/>
            <w:tcBorders>
              <w:top w:val="single" w:color="auto" w:sz="4" w:space="0"/>
              <w:left w:val="single" w:color="auto" w:sz="4" w:space="0"/>
              <w:bottom w:val="single" w:color="auto" w:sz="4" w:space="0"/>
              <w:right w:val="single" w:color="auto" w:sz="4" w:space="0"/>
            </w:tcBorders>
            <w:vAlign w:val="center"/>
          </w:tcPr>
          <w:p w14:paraId="25CD25D2">
            <w:pPr>
              <w:spacing w:line="360" w:lineRule="exact"/>
              <w:rPr>
                <w:rFonts w:ascii="宋体" w:hAnsi="宋体" w:cs="宋体"/>
              </w:rPr>
            </w:pPr>
            <w:r>
              <w:rPr>
                <w:rFonts w:hint="eastAsia" w:ascii="宋体" w:hAnsi="宋体" w:cs="宋体"/>
                <w:szCs w:val="21"/>
              </w:rPr>
              <w:t>20.2</w:t>
            </w:r>
            <w:r>
              <w:rPr>
                <w:rFonts w:hint="eastAsia" w:ascii="宋体" w:hAnsi="宋体" w:cs="宋体"/>
              </w:rPr>
              <w:t>投标文件解密时间：截标时间后</w:t>
            </w:r>
            <w:r>
              <w:rPr>
                <w:rFonts w:hint="eastAsia" w:ascii="宋体" w:hAnsi="宋体" w:cs="宋体"/>
                <w:u w:val="single"/>
              </w:rPr>
              <w:t>30</w:t>
            </w:r>
            <w:r>
              <w:rPr>
                <w:rFonts w:hint="eastAsia" w:ascii="宋体" w:hAnsi="宋体" w:cs="宋体"/>
              </w:rPr>
              <w:t>分钟内投标人可以登录广西政府采购云平台，用“项目采购-开标评标”功能进行解密投标文件。</w:t>
            </w:r>
          </w:p>
          <w:p w14:paraId="78E45064">
            <w:pPr>
              <w:spacing w:line="360" w:lineRule="exact"/>
              <w:rPr>
                <w:rFonts w:ascii="宋体" w:hAnsi="宋体" w:cs="宋体"/>
                <w:szCs w:val="21"/>
              </w:rPr>
            </w:pPr>
            <w:r>
              <w:rPr>
                <w:rFonts w:hint="eastAsia" w:ascii="宋体" w:hAnsi="宋体" w:cs="宋体"/>
                <w:b/>
                <w:bCs/>
                <w:szCs w:val="21"/>
              </w:rPr>
              <w:t>注：投标文件网上递交截止时间后，各投标人须在解密时限内对上传广西政府采购云平台的投标文件进行解密，所有投标人在规定的解密时限内解密完成或解密时限结束后，采购代理机构开启已解密的投标文件。投标人超过解密时限未解密的，系统默认自动放弃，造成投标无效的后果由投标人自行承担。解密投标文件后，30分钟内在线签字确认，超过时间没有在线签字确认的系统将自动视为投标人认可。</w:t>
            </w:r>
          </w:p>
        </w:tc>
      </w:tr>
      <w:tr w14:paraId="31FCE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251" w:type="pct"/>
            <w:tcBorders>
              <w:top w:val="single" w:color="auto" w:sz="4" w:space="0"/>
              <w:left w:val="single" w:color="auto" w:sz="4" w:space="0"/>
              <w:bottom w:val="single" w:color="auto" w:sz="4" w:space="0"/>
              <w:right w:val="single" w:color="auto" w:sz="4" w:space="0"/>
            </w:tcBorders>
            <w:vAlign w:val="center"/>
          </w:tcPr>
          <w:p w14:paraId="0CAC1273">
            <w:pPr>
              <w:spacing w:line="360" w:lineRule="exact"/>
              <w:jc w:val="center"/>
              <w:rPr>
                <w:rFonts w:ascii="宋体" w:hAnsi="宋体" w:cs="宋体"/>
                <w:szCs w:val="21"/>
              </w:rPr>
            </w:pPr>
            <w:r>
              <w:rPr>
                <w:rFonts w:hint="eastAsia" w:ascii="宋体" w:hAnsi="宋体" w:cs="宋体"/>
                <w:szCs w:val="21"/>
              </w:rPr>
              <w:t>11</w:t>
            </w:r>
          </w:p>
        </w:tc>
        <w:tc>
          <w:tcPr>
            <w:tcW w:w="428" w:type="pct"/>
            <w:tcBorders>
              <w:top w:val="single" w:color="auto" w:sz="4" w:space="0"/>
              <w:left w:val="single" w:color="auto" w:sz="4" w:space="0"/>
              <w:bottom w:val="single" w:color="auto" w:sz="4" w:space="0"/>
              <w:right w:val="single" w:color="auto" w:sz="4" w:space="0"/>
            </w:tcBorders>
            <w:vAlign w:val="center"/>
          </w:tcPr>
          <w:p w14:paraId="460C52DD">
            <w:pPr>
              <w:spacing w:line="360" w:lineRule="exact"/>
              <w:jc w:val="center"/>
              <w:rPr>
                <w:rFonts w:ascii="宋体" w:hAnsi="宋体" w:cs="宋体"/>
                <w:position w:val="-2"/>
                <w:szCs w:val="21"/>
              </w:rPr>
            </w:pPr>
            <w:r>
              <w:rPr>
                <w:rFonts w:hint="eastAsia" w:ascii="宋体" w:hAnsi="宋体" w:cs="宋体"/>
                <w:szCs w:val="21"/>
              </w:rPr>
              <w:t>21.1</w:t>
            </w:r>
          </w:p>
        </w:tc>
        <w:tc>
          <w:tcPr>
            <w:tcW w:w="882" w:type="pct"/>
            <w:tcBorders>
              <w:top w:val="single" w:color="auto" w:sz="4" w:space="0"/>
              <w:left w:val="single" w:color="auto" w:sz="4" w:space="0"/>
              <w:bottom w:val="single" w:color="auto" w:sz="4" w:space="0"/>
              <w:right w:val="single" w:color="auto" w:sz="4" w:space="0"/>
            </w:tcBorders>
            <w:vAlign w:val="center"/>
          </w:tcPr>
          <w:p w14:paraId="0D0AD050">
            <w:pPr>
              <w:spacing w:line="360" w:lineRule="exact"/>
              <w:jc w:val="center"/>
              <w:rPr>
                <w:rFonts w:ascii="宋体" w:hAnsi="宋体" w:cs="宋体"/>
                <w:position w:val="-2"/>
                <w:szCs w:val="21"/>
              </w:rPr>
            </w:pPr>
            <w:r>
              <w:rPr>
                <w:rFonts w:hint="eastAsia" w:ascii="宋体" w:hAnsi="宋体" w:cs="宋体"/>
                <w:szCs w:val="21"/>
              </w:rPr>
              <w:t>开标时间及地点</w:t>
            </w:r>
          </w:p>
        </w:tc>
        <w:tc>
          <w:tcPr>
            <w:tcW w:w="3439" w:type="pct"/>
            <w:tcBorders>
              <w:top w:val="single" w:color="auto" w:sz="4" w:space="0"/>
              <w:left w:val="single" w:color="auto" w:sz="4" w:space="0"/>
              <w:bottom w:val="single" w:color="auto" w:sz="4" w:space="0"/>
              <w:right w:val="single" w:color="auto" w:sz="4" w:space="0"/>
            </w:tcBorders>
          </w:tcPr>
          <w:p w14:paraId="19457542">
            <w:pPr>
              <w:spacing w:line="400" w:lineRule="exact"/>
              <w:rPr>
                <w:rFonts w:ascii="宋体" w:hAnsi="宋体" w:cs="宋体"/>
                <w:szCs w:val="21"/>
              </w:rPr>
            </w:pPr>
            <w:r>
              <w:rPr>
                <w:rFonts w:hint="eastAsia" w:ascii="宋体" w:hAnsi="宋体" w:cs="宋体"/>
                <w:szCs w:val="21"/>
              </w:rPr>
              <w:t>开标时间：</w:t>
            </w:r>
            <w:r>
              <w:rPr>
                <w:rFonts w:hint="eastAsia" w:ascii="宋体" w:hAnsi="宋体" w:cs="宋体"/>
                <w:szCs w:val="21"/>
                <w:lang w:eastAsia="zh-CN"/>
              </w:rPr>
              <w:t>2026年11月24日</w:t>
            </w:r>
            <w:r>
              <w:rPr>
                <w:rFonts w:hint="eastAsia" w:ascii="宋体" w:hAnsi="宋体" w:cs="宋体"/>
                <w:szCs w:val="21"/>
              </w:rPr>
              <w:t>09时30分（北京时间）截标后。</w:t>
            </w:r>
          </w:p>
          <w:p w14:paraId="3198F0E0">
            <w:pPr>
              <w:spacing w:line="400" w:lineRule="exact"/>
              <w:rPr>
                <w:rFonts w:ascii="宋体" w:hAnsi="宋体" w:cs="宋体"/>
                <w:szCs w:val="21"/>
              </w:rPr>
            </w:pPr>
            <w:r>
              <w:rPr>
                <w:rFonts w:hint="eastAsia" w:ascii="宋体" w:hAnsi="宋体" w:cs="宋体"/>
                <w:szCs w:val="21"/>
              </w:rPr>
              <w:t>地点：通过广西政府采购云平台实行在线解密开启。</w:t>
            </w:r>
          </w:p>
        </w:tc>
      </w:tr>
      <w:tr w14:paraId="71032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251" w:type="pct"/>
            <w:tcBorders>
              <w:top w:val="single" w:color="auto" w:sz="4" w:space="0"/>
              <w:left w:val="single" w:color="auto" w:sz="4" w:space="0"/>
              <w:bottom w:val="single" w:color="auto" w:sz="4" w:space="0"/>
              <w:right w:val="single" w:color="auto" w:sz="4" w:space="0"/>
            </w:tcBorders>
            <w:vAlign w:val="center"/>
          </w:tcPr>
          <w:p w14:paraId="2BBEB5BA">
            <w:pPr>
              <w:spacing w:line="360" w:lineRule="exact"/>
              <w:jc w:val="center"/>
              <w:rPr>
                <w:rFonts w:ascii="宋体" w:hAnsi="宋体" w:cs="宋体"/>
                <w:szCs w:val="21"/>
              </w:rPr>
            </w:pPr>
            <w:r>
              <w:rPr>
                <w:rFonts w:hint="eastAsia" w:ascii="宋体" w:hAnsi="宋体" w:cs="宋体"/>
                <w:szCs w:val="21"/>
              </w:rPr>
              <w:t>12</w:t>
            </w:r>
          </w:p>
        </w:tc>
        <w:tc>
          <w:tcPr>
            <w:tcW w:w="428" w:type="pct"/>
            <w:tcBorders>
              <w:top w:val="single" w:color="auto" w:sz="4" w:space="0"/>
              <w:left w:val="single" w:color="auto" w:sz="4" w:space="0"/>
              <w:bottom w:val="single" w:color="auto" w:sz="4" w:space="0"/>
              <w:right w:val="single" w:color="auto" w:sz="4" w:space="0"/>
            </w:tcBorders>
            <w:vAlign w:val="center"/>
          </w:tcPr>
          <w:p w14:paraId="60F65A4C">
            <w:pPr>
              <w:spacing w:line="360" w:lineRule="exact"/>
              <w:jc w:val="center"/>
              <w:rPr>
                <w:rFonts w:ascii="宋体" w:hAnsi="宋体" w:cs="宋体"/>
                <w:szCs w:val="21"/>
              </w:rPr>
            </w:pPr>
            <w:r>
              <w:rPr>
                <w:rFonts w:hint="eastAsia" w:ascii="宋体" w:hAnsi="宋体" w:cs="宋体"/>
                <w:szCs w:val="21"/>
              </w:rPr>
              <w:t>24</w:t>
            </w:r>
          </w:p>
        </w:tc>
        <w:tc>
          <w:tcPr>
            <w:tcW w:w="882" w:type="pct"/>
            <w:tcBorders>
              <w:top w:val="single" w:color="auto" w:sz="4" w:space="0"/>
              <w:left w:val="single" w:color="auto" w:sz="4" w:space="0"/>
              <w:bottom w:val="single" w:color="auto" w:sz="4" w:space="0"/>
              <w:right w:val="single" w:color="auto" w:sz="4" w:space="0"/>
            </w:tcBorders>
            <w:vAlign w:val="center"/>
          </w:tcPr>
          <w:p w14:paraId="1E053D13">
            <w:pPr>
              <w:spacing w:line="360" w:lineRule="exact"/>
              <w:jc w:val="center"/>
              <w:rPr>
                <w:rFonts w:ascii="宋体" w:hAnsi="宋体" w:cs="宋体"/>
                <w:szCs w:val="21"/>
              </w:rPr>
            </w:pPr>
            <w:r>
              <w:rPr>
                <w:rFonts w:hint="eastAsia" w:ascii="宋体" w:hAnsi="宋体" w:cs="宋体"/>
                <w:szCs w:val="21"/>
              </w:rPr>
              <w:t>评标委员会组成</w:t>
            </w:r>
          </w:p>
        </w:tc>
        <w:tc>
          <w:tcPr>
            <w:tcW w:w="3439" w:type="pct"/>
            <w:tcBorders>
              <w:top w:val="single" w:color="auto" w:sz="4" w:space="0"/>
              <w:left w:val="single" w:color="auto" w:sz="4" w:space="0"/>
              <w:bottom w:val="single" w:color="auto" w:sz="4" w:space="0"/>
              <w:right w:val="single" w:color="auto" w:sz="4" w:space="0"/>
            </w:tcBorders>
            <w:vAlign w:val="center"/>
          </w:tcPr>
          <w:p w14:paraId="03DBD74D">
            <w:pPr>
              <w:spacing w:line="350" w:lineRule="exact"/>
              <w:rPr>
                <w:rFonts w:ascii="宋体" w:hAnsi="宋体"/>
                <w:szCs w:val="21"/>
              </w:rPr>
            </w:pPr>
            <w:r>
              <w:rPr>
                <w:rFonts w:hint="eastAsia" w:ascii="宋体" w:hAnsi="宋体"/>
                <w:szCs w:val="21"/>
              </w:rPr>
              <w:t>24.1评标委员会构成：本项目评标委员会由评审专家5人组成，</w:t>
            </w:r>
            <w:r>
              <w:rPr>
                <w:rFonts w:hint="eastAsia" w:ascii="宋体" w:hAnsi="宋体" w:cs="宋体"/>
                <w:szCs w:val="21"/>
              </w:rPr>
              <w:t>其中采购人代表</w:t>
            </w:r>
            <w:r>
              <w:rPr>
                <w:rFonts w:hint="eastAsia" w:ascii="宋体" w:hAnsi="宋体" w:cs="宋体"/>
                <w:szCs w:val="21"/>
                <w:u w:val="single"/>
              </w:rPr>
              <w:t xml:space="preserve"> </w:t>
            </w:r>
            <w:r>
              <w:rPr>
                <w:rFonts w:hint="eastAsia" w:ascii="宋体" w:hAnsi="宋体" w:cs="宋体"/>
                <w:szCs w:val="21"/>
                <w:u w:val="single"/>
                <w:lang w:val="en-US" w:eastAsia="zh-CN"/>
              </w:rPr>
              <w:t>1</w:t>
            </w:r>
            <w:r>
              <w:rPr>
                <w:rFonts w:hint="eastAsia" w:ascii="宋体" w:hAnsi="宋体" w:cs="宋体"/>
                <w:szCs w:val="21"/>
                <w:u w:val="single"/>
              </w:rPr>
              <w:t xml:space="preserve"> </w:t>
            </w:r>
            <w:r>
              <w:rPr>
                <w:rFonts w:hint="eastAsia" w:ascii="宋体" w:hAnsi="宋体" w:cs="宋体"/>
                <w:szCs w:val="21"/>
              </w:rPr>
              <w:t>人，有关专家</w:t>
            </w:r>
            <w:r>
              <w:rPr>
                <w:rFonts w:hint="eastAsia" w:ascii="宋体" w:hAnsi="宋体" w:cs="宋体"/>
                <w:szCs w:val="21"/>
                <w:u w:val="single"/>
                <w:lang w:val="en-US" w:eastAsia="zh-CN"/>
              </w:rPr>
              <w:t>4</w:t>
            </w:r>
            <w:r>
              <w:rPr>
                <w:rFonts w:hint="eastAsia" w:ascii="宋体" w:hAnsi="宋体" w:cs="宋体"/>
                <w:szCs w:val="21"/>
              </w:rPr>
              <w:t>人</w:t>
            </w:r>
            <w:r>
              <w:rPr>
                <w:rFonts w:hint="eastAsia" w:ascii="宋体" w:hAnsi="宋体"/>
                <w:szCs w:val="21"/>
              </w:rPr>
              <w:t>。</w:t>
            </w:r>
          </w:p>
          <w:p w14:paraId="75257732">
            <w:pPr>
              <w:tabs>
                <w:tab w:val="left" w:pos="1140"/>
              </w:tabs>
              <w:spacing w:line="340" w:lineRule="exact"/>
              <w:rPr>
                <w:rFonts w:ascii="宋体" w:hAnsi="宋体" w:cs="宋体"/>
                <w:szCs w:val="21"/>
              </w:rPr>
            </w:pPr>
            <w:r>
              <w:rPr>
                <w:rFonts w:hint="eastAsia" w:ascii="宋体" w:hAnsi="宋体"/>
                <w:szCs w:val="21"/>
              </w:rPr>
              <w:t>24.2专家确定方式：开标前从广西壮族自治区政府采购专家库中通过电脑随机抽取。</w:t>
            </w:r>
          </w:p>
        </w:tc>
      </w:tr>
      <w:tr w14:paraId="2A99C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251" w:type="pct"/>
            <w:tcBorders>
              <w:top w:val="single" w:color="auto" w:sz="4" w:space="0"/>
              <w:left w:val="single" w:color="auto" w:sz="4" w:space="0"/>
              <w:bottom w:val="single" w:color="auto" w:sz="4" w:space="0"/>
              <w:right w:val="single" w:color="auto" w:sz="4" w:space="0"/>
            </w:tcBorders>
            <w:vAlign w:val="center"/>
          </w:tcPr>
          <w:p w14:paraId="3CAF4093">
            <w:pPr>
              <w:spacing w:line="360" w:lineRule="exact"/>
              <w:jc w:val="center"/>
              <w:rPr>
                <w:rFonts w:ascii="宋体" w:hAnsi="宋体" w:cs="宋体"/>
                <w:szCs w:val="21"/>
              </w:rPr>
            </w:pPr>
            <w:r>
              <w:rPr>
                <w:rFonts w:hint="eastAsia" w:ascii="宋体" w:hAnsi="宋体" w:cs="宋体"/>
                <w:szCs w:val="21"/>
              </w:rPr>
              <w:t>13</w:t>
            </w:r>
          </w:p>
        </w:tc>
        <w:tc>
          <w:tcPr>
            <w:tcW w:w="428" w:type="pct"/>
            <w:tcBorders>
              <w:top w:val="single" w:color="auto" w:sz="4" w:space="0"/>
              <w:left w:val="single" w:color="auto" w:sz="4" w:space="0"/>
              <w:bottom w:val="single" w:color="auto" w:sz="4" w:space="0"/>
              <w:right w:val="single" w:color="auto" w:sz="4" w:space="0"/>
            </w:tcBorders>
            <w:vAlign w:val="center"/>
          </w:tcPr>
          <w:p w14:paraId="00FC8406">
            <w:pPr>
              <w:spacing w:line="360" w:lineRule="exact"/>
              <w:jc w:val="center"/>
              <w:rPr>
                <w:rFonts w:ascii="宋体" w:hAnsi="宋体" w:cs="宋体"/>
                <w:szCs w:val="21"/>
              </w:rPr>
            </w:pPr>
            <w:r>
              <w:rPr>
                <w:rFonts w:hint="eastAsia" w:ascii="宋体" w:hAnsi="宋体" w:cs="宋体"/>
                <w:szCs w:val="21"/>
              </w:rPr>
              <w:t>25.1</w:t>
            </w:r>
          </w:p>
        </w:tc>
        <w:tc>
          <w:tcPr>
            <w:tcW w:w="882" w:type="pct"/>
            <w:tcBorders>
              <w:top w:val="single" w:color="auto" w:sz="4" w:space="0"/>
              <w:left w:val="single" w:color="auto" w:sz="4" w:space="0"/>
              <w:bottom w:val="single" w:color="auto" w:sz="4" w:space="0"/>
              <w:right w:val="single" w:color="auto" w:sz="4" w:space="0"/>
            </w:tcBorders>
            <w:vAlign w:val="center"/>
          </w:tcPr>
          <w:p w14:paraId="17A0B7FE">
            <w:pPr>
              <w:spacing w:line="360" w:lineRule="exact"/>
              <w:jc w:val="center"/>
              <w:rPr>
                <w:rFonts w:ascii="宋体" w:hAnsi="宋体" w:cs="宋体"/>
                <w:szCs w:val="21"/>
              </w:rPr>
            </w:pPr>
            <w:r>
              <w:rPr>
                <w:rFonts w:hint="eastAsia" w:ascii="宋体" w:hAnsi="宋体" w:cs="宋体"/>
                <w:szCs w:val="21"/>
              </w:rPr>
              <w:t>评标办法</w:t>
            </w:r>
          </w:p>
        </w:tc>
        <w:tc>
          <w:tcPr>
            <w:tcW w:w="3439" w:type="pct"/>
            <w:tcBorders>
              <w:top w:val="single" w:color="auto" w:sz="4" w:space="0"/>
              <w:left w:val="single" w:color="auto" w:sz="4" w:space="0"/>
              <w:bottom w:val="single" w:color="auto" w:sz="4" w:space="0"/>
              <w:right w:val="single" w:color="auto" w:sz="4" w:space="0"/>
            </w:tcBorders>
            <w:vAlign w:val="center"/>
          </w:tcPr>
          <w:p w14:paraId="3EE38825">
            <w:pPr>
              <w:spacing w:line="360" w:lineRule="exact"/>
              <w:rPr>
                <w:rFonts w:ascii="宋体" w:hAnsi="宋体" w:cs="宋体"/>
                <w:szCs w:val="21"/>
              </w:rPr>
            </w:pPr>
            <w:r>
              <w:rPr>
                <w:rFonts w:hint="eastAsia" w:ascii="宋体" w:hAnsi="宋体" w:cs="宋体"/>
                <w:szCs w:val="21"/>
              </w:rPr>
              <w:t>综合评分法，具体评标内容及标准详见第四章。</w:t>
            </w:r>
          </w:p>
        </w:tc>
      </w:tr>
      <w:tr w14:paraId="7FFD7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251" w:type="pct"/>
            <w:tcBorders>
              <w:top w:val="single" w:color="auto" w:sz="4" w:space="0"/>
              <w:left w:val="single" w:color="auto" w:sz="4" w:space="0"/>
              <w:bottom w:val="single" w:color="auto" w:sz="4" w:space="0"/>
              <w:right w:val="single" w:color="auto" w:sz="4" w:space="0"/>
            </w:tcBorders>
            <w:vAlign w:val="center"/>
          </w:tcPr>
          <w:p w14:paraId="09FD1D04">
            <w:pPr>
              <w:spacing w:line="360" w:lineRule="exact"/>
              <w:jc w:val="center"/>
              <w:rPr>
                <w:rFonts w:ascii="宋体" w:hAnsi="宋体" w:cs="宋体"/>
                <w:szCs w:val="21"/>
              </w:rPr>
            </w:pPr>
            <w:r>
              <w:rPr>
                <w:rFonts w:hint="eastAsia" w:ascii="宋体" w:hAnsi="宋体" w:cs="宋体"/>
                <w:szCs w:val="21"/>
              </w:rPr>
              <w:t>14</w:t>
            </w:r>
          </w:p>
        </w:tc>
        <w:tc>
          <w:tcPr>
            <w:tcW w:w="428" w:type="pct"/>
            <w:tcBorders>
              <w:top w:val="single" w:color="auto" w:sz="4" w:space="0"/>
              <w:left w:val="single" w:color="auto" w:sz="4" w:space="0"/>
              <w:bottom w:val="single" w:color="auto" w:sz="4" w:space="0"/>
              <w:right w:val="single" w:color="auto" w:sz="4" w:space="0"/>
            </w:tcBorders>
            <w:vAlign w:val="center"/>
          </w:tcPr>
          <w:p w14:paraId="1EF7F043">
            <w:pPr>
              <w:spacing w:line="360" w:lineRule="exact"/>
              <w:jc w:val="center"/>
              <w:rPr>
                <w:rFonts w:ascii="宋体" w:hAnsi="宋体" w:cs="宋体"/>
                <w:szCs w:val="21"/>
              </w:rPr>
            </w:pPr>
            <w:r>
              <w:rPr>
                <w:rFonts w:hint="eastAsia" w:ascii="宋体" w:hAnsi="宋体" w:cs="宋体"/>
                <w:szCs w:val="21"/>
              </w:rPr>
              <w:t>32</w:t>
            </w:r>
          </w:p>
        </w:tc>
        <w:tc>
          <w:tcPr>
            <w:tcW w:w="882" w:type="pct"/>
            <w:tcBorders>
              <w:top w:val="single" w:color="auto" w:sz="4" w:space="0"/>
              <w:left w:val="single" w:color="auto" w:sz="4" w:space="0"/>
              <w:bottom w:val="single" w:color="auto" w:sz="4" w:space="0"/>
              <w:right w:val="single" w:color="auto" w:sz="4" w:space="0"/>
            </w:tcBorders>
            <w:vAlign w:val="center"/>
          </w:tcPr>
          <w:p w14:paraId="587D3577">
            <w:pPr>
              <w:tabs>
                <w:tab w:val="left" w:pos="1140"/>
              </w:tabs>
              <w:spacing w:line="360" w:lineRule="exact"/>
              <w:jc w:val="center"/>
              <w:rPr>
                <w:rFonts w:ascii="宋体" w:hAnsi="宋体" w:cs="宋体"/>
                <w:szCs w:val="21"/>
              </w:rPr>
            </w:pPr>
            <w:r>
              <w:rPr>
                <w:rFonts w:hint="eastAsia" w:ascii="宋体" w:hAnsi="宋体" w:cs="宋体"/>
                <w:szCs w:val="21"/>
              </w:rPr>
              <w:t>信用查询</w:t>
            </w:r>
          </w:p>
        </w:tc>
        <w:tc>
          <w:tcPr>
            <w:tcW w:w="3439" w:type="pct"/>
            <w:tcBorders>
              <w:top w:val="single" w:color="auto" w:sz="4" w:space="0"/>
              <w:left w:val="single" w:color="auto" w:sz="4" w:space="0"/>
              <w:bottom w:val="single" w:color="auto" w:sz="4" w:space="0"/>
              <w:right w:val="single" w:color="auto" w:sz="4" w:space="0"/>
            </w:tcBorders>
            <w:vAlign w:val="center"/>
          </w:tcPr>
          <w:p w14:paraId="7F133AB2">
            <w:pPr>
              <w:wordWrap w:val="0"/>
              <w:spacing w:line="340" w:lineRule="exact"/>
              <w:rPr>
                <w:rFonts w:ascii="宋体" w:hAnsi="宋体" w:cs="宋体"/>
                <w:szCs w:val="21"/>
              </w:rPr>
            </w:pPr>
            <w:r>
              <w:rPr>
                <w:rFonts w:hint="eastAsia" w:ascii="宋体" w:hAnsi="宋体" w:cs="宋体"/>
                <w:szCs w:val="21"/>
              </w:rPr>
              <w:t>根据《关于做好政府采购有关信用主体标识码登记及在政府采购活动中查询使用信用记录有关问题的通知》（桂财采〔2016〕37号），由采购代理机构对第一中标候选供应商进行信用查询：</w:t>
            </w:r>
          </w:p>
          <w:p w14:paraId="22362F2F">
            <w:pPr>
              <w:wordWrap w:val="0"/>
              <w:spacing w:line="340" w:lineRule="exact"/>
              <w:rPr>
                <w:rFonts w:ascii="宋体" w:hAnsi="宋体" w:cs="宋体"/>
                <w:szCs w:val="21"/>
              </w:rPr>
            </w:pPr>
            <w:r>
              <w:rPr>
                <w:rFonts w:hint="eastAsia" w:ascii="宋体" w:hAnsi="宋体" w:cs="宋体"/>
                <w:szCs w:val="21"/>
              </w:rPr>
              <w:t>⑴查询渠道：“信用中国”网站(www.creditchina.gov.cn)、中国政府采购网(www.ccgp.gov.cn)等；</w:t>
            </w:r>
          </w:p>
          <w:p w14:paraId="51169A5E">
            <w:pPr>
              <w:wordWrap w:val="0"/>
              <w:spacing w:line="340" w:lineRule="exact"/>
              <w:rPr>
                <w:rFonts w:ascii="宋体" w:hAnsi="宋体" w:cs="宋体"/>
                <w:szCs w:val="21"/>
              </w:rPr>
            </w:pPr>
            <w:r>
              <w:rPr>
                <w:rFonts w:hint="eastAsia" w:ascii="宋体" w:hAnsi="宋体" w:cs="宋体"/>
                <w:szCs w:val="21"/>
              </w:rPr>
              <w:t>⑵查询时间：中标通知书发出前；</w:t>
            </w:r>
          </w:p>
          <w:p w14:paraId="35DD8FE9">
            <w:pPr>
              <w:wordWrap w:val="0"/>
              <w:spacing w:line="340" w:lineRule="exact"/>
              <w:rPr>
                <w:rFonts w:ascii="宋体" w:hAnsi="宋体" w:cs="宋体"/>
                <w:szCs w:val="21"/>
              </w:rPr>
            </w:pPr>
            <w:r>
              <w:rPr>
                <w:rFonts w:hint="eastAsia" w:ascii="宋体" w:hAnsi="宋体" w:cs="宋体"/>
                <w:szCs w:val="21"/>
              </w:rPr>
              <w:t>⑶信用信息查询记录和证据留存方式：在查询网站中直接打印查询记录，打印材料作为采购活动资料保存；</w:t>
            </w:r>
          </w:p>
          <w:p w14:paraId="02BAD487">
            <w:pPr>
              <w:wordWrap w:val="0"/>
              <w:spacing w:line="340" w:lineRule="exact"/>
              <w:rPr>
                <w:rFonts w:ascii="宋体" w:hAnsi="宋体" w:cs="宋体"/>
                <w:szCs w:val="21"/>
              </w:rPr>
            </w:pPr>
            <w:r>
              <w:rPr>
                <w:rFonts w:hint="eastAsia" w:ascii="宋体" w:hAnsi="宋体" w:cs="宋体"/>
                <w:szCs w:val="21"/>
              </w:rPr>
              <w:t>⑷信用信息使用规则：对在“信用中国”网站(www.creditchina.gov.cn)、中国政府采购网(www.ccgp.gov.cn)等渠道列入失信被执行人、重大税收违法失信主体名单、政府采购严重违法失信行为记录名单及其他不符合《中华人民共和国政府采购法》第二十二条规定条件的供应商，取消其中标候选供应商资格。</w:t>
            </w:r>
          </w:p>
          <w:p w14:paraId="7B72A3EB">
            <w:pPr>
              <w:wordWrap w:val="0"/>
              <w:spacing w:line="340" w:lineRule="exact"/>
              <w:rPr>
                <w:rFonts w:ascii="宋体" w:hAnsi="宋体" w:cs="宋体"/>
                <w:szCs w:val="21"/>
              </w:rPr>
            </w:pPr>
            <w:r>
              <w:rPr>
                <w:rFonts w:hint="eastAsia" w:ascii="宋体" w:hAnsi="宋体" w:cs="宋体"/>
                <w:szCs w:val="21"/>
              </w:rPr>
              <w:t>两个以上的自然人、法人或者其他组织组成一个联合体，以一个供应商的身份共同参加政府采购活动的，对所有联合体成员进行信用记录查询，联合体成员存在不良信用记录的，视同联合体存在不良信用记录。</w:t>
            </w:r>
          </w:p>
        </w:tc>
      </w:tr>
      <w:tr w14:paraId="16DF7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251" w:type="pct"/>
            <w:tcBorders>
              <w:top w:val="single" w:color="auto" w:sz="4" w:space="0"/>
              <w:left w:val="single" w:color="auto" w:sz="4" w:space="0"/>
              <w:bottom w:val="single" w:color="auto" w:sz="4" w:space="0"/>
              <w:right w:val="single" w:color="auto" w:sz="4" w:space="0"/>
            </w:tcBorders>
            <w:vAlign w:val="center"/>
          </w:tcPr>
          <w:p w14:paraId="68FE8D1A">
            <w:pPr>
              <w:spacing w:line="360" w:lineRule="exact"/>
              <w:jc w:val="center"/>
              <w:rPr>
                <w:rFonts w:ascii="宋体" w:hAnsi="宋体" w:cs="宋体"/>
                <w:szCs w:val="21"/>
              </w:rPr>
            </w:pPr>
            <w:r>
              <w:rPr>
                <w:rFonts w:hint="eastAsia" w:ascii="宋体" w:hAnsi="宋体" w:cs="宋体"/>
                <w:szCs w:val="21"/>
              </w:rPr>
              <w:t>15</w:t>
            </w:r>
          </w:p>
        </w:tc>
        <w:tc>
          <w:tcPr>
            <w:tcW w:w="428" w:type="pct"/>
            <w:tcBorders>
              <w:top w:val="single" w:color="auto" w:sz="4" w:space="0"/>
              <w:left w:val="single" w:color="auto" w:sz="4" w:space="0"/>
              <w:bottom w:val="single" w:color="auto" w:sz="4" w:space="0"/>
              <w:right w:val="single" w:color="auto" w:sz="4" w:space="0"/>
            </w:tcBorders>
            <w:vAlign w:val="center"/>
          </w:tcPr>
          <w:p w14:paraId="53EFF9E8">
            <w:pPr>
              <w:spacing w:line="360" w:lineRule="exact"/>
              <w:jc w:val="center"/>
              <w:rPr>
                <w:rFonts w:ascii="宋体" w:hAnsi="宋体" w:cs="宋体"/>
                <w:szCs w:val="21"/>
              </w:rPr>
            </w:pPr>
            <w:r>
              <w:rPr>
                <w:rFonts w:hint="eastAsia" w:ascii="宋体" w:hAnsi="宋体" w:cs="宋体"/>
                <w:szCs w:val="21"/>
              </w:rPr>
              <w:t>33</w:t>
            </w:r>
          </w:p>
        </w:tc>
        <w:tc>
          <w:tcPr>
            <w:tcW w:w="882" w:type="pct"/>
            <w:tcBorders>
              <w:top w:val="single" w:color="auto" w:sz="4" w:space="0"/>
              <w:left w:val="single" w:color="auto" w:sz="4" w:space="0"/>
              <w:bottom w:val="single" w:color="auto" w:sz="4" w:space="0"/>
              <w:right w:val="single" w:color="auto" w:sz="4" w:space="0"/>
            </w:tcBorders>
            <w:vAlign w:val="center"/>
          </w:tcPr>
          <w:p w14:paraId="43267E48">
            <w:pPr>
              <w:spacing w:line="360" w:lineRule="exact"/>
              <w:jc w:val="center"/>
              <w:rPr>
                <w:rFonts w:ascii="宋体" w:hAnsi="宋体" w:cs="宋体"/>
                <w:szCs w:val="21"/>
              </w:rPr>
            </w:pPr>
            <w:r>
              <w:rPr>
                <w:rFonts w:hint="eastAsia" w:ascii="宋体" w:hAnsi="宋体" w:cs="宋体"/>
                <w:szCs w:val="21"/>
              </w:rPr>
              <w:t>中标公告及中标通知书</w:t>
            </w:r>
          </w:p>
        </w:tc>
        <w:tc>
          <w:tcPr>
            <w:tcW w:w="3439" w:type="pct"/>
            <w:tcBorders>
              <w:top w:val="single" w:color="auto" w:sz="4" w:space="0"/>
              <w:left w:val="single" w:color="auto" w:sz="4" w:space="0"/>
              <w:bottom w:val="single" w:color="auto" w:sz="4" w:space="0"/>
              <w:right w:val="single" w:color="auto" w:sz="4" w:space="0"/>
            </w:tcBorders>
            <w:vAlign w:val="center"/>
          </w:tcPr>
          <w:p w14:paraId="21C0C67E">
            <w:pPr>
              <w:tabs>
                <w:tab w:val="left" w:pos="455"/>
              </w:tabs>
              <w:spacing w:line="360" w:lineRule="exact"/>
              <w:rPr>
                <w:rFonts w:ascii="宋体" w:hAnsi="宋体" w:cs="宋体"/>
                <w:szCs w:val="21"/>
              </w:rPr>
            </w:pPr>
            <w:r>
              <w:rPr>
                <w:rFonts w:hint="eastAsia" w:ascii="宋体" w:hAnsi="宋体" w:cs="宋体"/>
                <w:szCs w:val="21"/>
              </w:rPr>
              <w:t>33.1采购代理机构于评标结束后两个工作日内将评标报告送交采购人，采购人应当自收到评标报告五个工作日内在评标报告推荐的中标候选供应商中按顺序确定中标人；采购代理机构在中标人确定之日起两个工作日内在指定媒体上公告中标结果，中标公告期限为一个工作日。</w:t>
            </w:r>
          </w:p>
          <w:p w14:paraId="4A17FFFD">
            <w:pPr>
              <w:spacing w:line="360" w:lineRule="exact"/>
              <w:rPr>
                <w:rFonts w:ascii="宋体" w:hAnsi="宋体" w:cs="宋体"/>
                <w:szCs w:val="21"/>
              </w:rPr>
            </w:pPr>
            <w:r>
              <w:rPr>
                <w:rFonts w:hint="eastAsia" w:ascii="宋体" w:hAnsi="宋体" w:cs="宋体"/>
                <w:szCs w:val="21"/>
              </w:rPr>
              <w:t>33.2中标公告发布的同时，采购代理机构在线向中标供应商发出电子中标通知书。</w:t>
            </w:r>
          </w:p>
        </w:tc>
      </w:tr>
      <w:tr w14:paraId="02CA7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51" w:type="pct"/>
            <w:tcBorders>
              <w:top w:val="single" w:color="auto" w:sz="4" w:space="0"/>
              <w:left w:val="single" w:color="auto" w:sz="4" w:space="0"/>
              <w:bottom w:val="single" w:color="auto" w:sz="4" w:space="0"/>
              <w:right w:val="single" w:color="auto" w:sz="4" w:space="0"/>
            </w:tcBorders>
            <w:vAlign w:val="center"/>
          </w:tcPr>
          <w:p w14:paraId="6BCA6A2F">
            <w:pPr>
              <w:spacing w:line="360" w:lineRule="exact"/>
              <w:jc w:val="center"/>
              <w:rPr>
                <w:rFonts w:ascii="宋体" w:hAnsi="宋体" w:cs="宋体"/>
                <w:szCs w:val="21"/>
              </w:rPr>
            </w:pPr>
            <w:r>
              <w:rPr>
                <w:rFonts w:hint="eastAsia" w:ascii="宋体" w:hAnsi="宋体" w:cs="宋体"/>
                <w:szCs w:val="21"/>
              </w:rPr>
              <w:t>16</w:t>
            </w:r>
          </w:p>
        </w:tc>
        <w:tc>
          <w:tcPr>
            <w:tcW w:w="428" w:type="pct"/>
            <w:tcBorders>
              <w:top w:val="single" w:color="auto" w:sz="4" w:space="0"/>
              <w:left w:val="single" w:color="auto" w:sz="4" w:space="0"/>
              <w:bottom w:val="single" w:color="auto" w:sz="4" w:space="0"/>
              <w:right w:val="single" w:color="auto" w:sz="4" w:space="0"/>
            </w:tcBorders>
            <w:vAlign w:val="center"/>
          </w:tcPr>
          <w:p w14:paraId="00B4D693">
            <w:pPr>
              <w:spacing w:line="360" w:lineRule="exact"/>
              <w:jc w:val="center"/>
              <w:rPr>
                <w:rFonts w:ascii="宋体" w:hAnsi="宋体" w:cs="宋体"/>
                <w:szCs w:val="21"/>
              </w:rPr>
            </w:pPr>
            <w:r>
              <w:rPr>
                <w:rFonts w:hint="eastAsia" w:ascii="宋体" w:hAnsi="宋体" w:cs="宋体"/>
                <w:szCs w:val="21"/>
              </w:rPr>
              <w:t>34</w:t>
            </w:r>
          </w:p>
        </w:tc>
        <w:tc>
          <w:tcPr>
            <w:tcW w:w="882" w:type="pct"/>
            <w:tcBorders>
              <w:top w:val="single" w:color="auto" w:sz="4" w:space="0"/>
              <w:left w:val="single" w:color="auto" w:sz="4" w:space="0"/>
              <w:bottom w:val="single" w:color="auto" w:sz="4" w:space="0"/>
              <w:right w:val="single" w:color="auto" w:sz="4" w:space="0"/>
            </w:tcBorders>
            <w:vAlign w:val="center"/>
          </w:tcPr>
          <w:p w14:paraId="02B6351A">
            <w:pPr>
              <w:spacing w:line="360" w:lineRule="exact"/>
              <w:jc w:val="center"/>
              <w:rPr>
                <w:rFonts w:ascii="宋体" w:hAnsi="宋体" w:cs="宋体"/>
                <w:szCs w:val="21"/>
              </w:rPr>
            </w:pPr>
            <w:r>
              <w:rPr>
                <w:rFonts w:hint="eastAsia" w:ascii="宋体" w:hAnsi="宋体" w:cs="宋体"/>
                <w:szCs w:val="21"/>
              </w:rPr>
              <w:t>履约保证金</w:t>
            </w:r>
          </w:p>
        </w:tc>
        <w:tc>
          <w:tcPr>
            <w:tcW w:w="3439" w:type="pct"/>
            <w:tcBorders>
              <w:top w:val="single" w:color="auto" w:sz="4" w:space="0"/>
              <w:left w:val="single" w:color="auto" w:sz="4" w:space="0"/>
              <w:bottom w:val="single" w:color="auto" w:sz="4" w:space="0"/>
              <w:right w:val="single" w:color="auto" w:sz="4" w:space="0"/>
            </w:tcBorders>
            <w:vAlign w:val="center"/>
          </w:tcPr>
          <w:p w14:paraId="30C2FB0C">
            <w:pPr>
              <w:tabs>
                <w:tab w:val="left" w:pos="1305"/>
              </w:tabs>
              <w:spacing w:line="360" w:lineRule="atLeast"/>
            </w:pPr>
            <w:r>
              <w:rPr>
                <w:rFonts w:hint="eastAsia" w:ascii="宋体" w:hAnsi="宋体"/>
                <w:szCs w:val="21"/>
              </w:rPr>
              <w:t>本项目不收取履约保证金。</w:t>
            </w:r>
          </w:p>
        </w:tc>
      </w:tr>
      <w:tr w14:paraId="058C9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51" w:type="pct"/>
            <w:tcBorders>
              <w:top w:val="single" w:color="auto" w:sz="4" w:space="0"/>
              <w:left w:val="single" w:color="auto" w:sz="4" w:space="0"/>
              <w:bottom w:val="single" w:color="auto" w:sz="4" w:space="0"/>
              <w:right w:val="single" w:color="auto" w:sz="4" w:space="0"/>
            </w:tcBorders>
            <w:vAlign w:val="center"/>
          </w:tcPr>
          <w:p w14:paraId="1AC202AC">
            <w:pPr>
              <w:spacing w:line="360" w:lineRule="exact"/>
              <w:jc w:val="center"/>
              <w:rPr>
                <w:rFonts w:ascii="宋体" w:hAnsi="宋体" w:cs="宋体"/>
                <w:szCs w:val="21"/>
              </w:rPr>
            </w:pPr>
            <w:r>
              <w:rPr>
                <w:rFonts w:hint="eastAsia" w:ascii="宋体" w:hAnsi="宋体" w:cs="宋体"/>
                <w:szCs w:val="21"/>
              </w:rPr>
              <w:t>17</w:t>
            </w:r>
          </w:p>
        </w:tc>
        <w:tc>
          <w:tcPr>
            <w:tcW w:w="428" w:type="pct"/>
            <w:tcBorders>
              <w:top w:val="single" w:color="auto" w:sz="4" w:space="0"/>
              <w:left w:val="single" w:color="auto" w:sz="4" w:space="0"/>
              <w:bottom w:val="single" w:color="auto" w:sz="4" w:space="0"/>
              <w:right w:val="single" w:color="auto" w:sz="4" w:space="0"/>
            </w:tcBorders>
            <w:vAlign w:val="center"/>
          </w:tcPr>
          <w:p w14:paraId="3709A8DE">
            <w:pPr>
              <w:spacing w:line="360" w:lineRule="exact"/>
              <w:jc w:val="center"/>
              <w:rPr>
                <w:rFonts w:ascii="宋体" w:hAnsi="宋体" w:cs="宋体"/>
                <w:szCs w:val="21"/>
              </w:rPr>
            </w:pPr>
            <w:r>
              <w:rPr>
                <w:rFonts w:hint="eastAsia" w:ascii="宋体" w:hAnsi="宋体" w:cs="宋体"/>
                <w:szCs w:val="21"/>
              </w:rPr>
              <w:t>35.1</w:t>
            </w:r>
          </w:p>
        </w:tc>
        <w:tc>
          <w:tcPr>
            <w:tcW w:w="882" w:type="pct"/>
            <w:tcBorders>
              <w:top w:val="single" w:color="auto" w:sz="4" w:space="0"/>
              <w:left w:val="single" w:color="auto" w:sz="4" w:space="0"/>
              <w:bottom w:val="single" w:color="auto" w:sz="4" w:space="0"/>
              <w:right w:val="single" w:color="auto" w:sz="4" w:space="0"/>
            </w:tcBorders>
            <w:vAlign w:val="center"/>
          </w:tcPr>
          <w:p w14:paraId="598B3397">
            <w:pPr>
              <w:spacing w:line="360" w:lineRule="exact"/>
              <w:jc w:val="center"/>
              <w:rPr>
                <w:rFonts w:ascii="宋体" w:hAnsi="宋体" w:cs="宋体"/>
                <w:szCs w:val="21"/>
              </w:rPr>
            </w:pPr>
            <w:r>
              <w:rPr>
                <w:rFonts w:hint="eastAsia" w:ascii="宋体" w:hAnsi="宋体" w:cs="宋体"/>
                <w:szCs w:val="21"/>
              </w:rPr>
              <w:t>签订合同时间</w:t>
            </w:r>
          </w:p>
        </w:tc>
        <w:tc>
          <w:tcPr>
            <w:tcW w:w="3439" w:type="pct"/>
            <w:tcBorders>
              <w:top w:val="single" w:color="auto" w:sz="4" w:space="0"/>
              <w:left w:val="single" w:color="auto" w:sz="4" w:space="0"/>
              <w:bottom w:val="single" w:color="auto" w:sz="4" w:space="0"/>
              <w:right w:val="single" w:color="auto" w:sz="4" w:space="0"/>
            </w:tcBorders>
            <w:vAlign w:val="center"/>
          </w:tcPr>
          <w:p w14:paraId="369AADB7">
            <w:pPr>
              <w:spacing w:line="360" w:lineRule="exact"/>
              <w:rPr>
                <w:rFonts w:hAnsi="宋体" w:cs="宋体"/>
                <w:szCs w:val="21"/>
              </w:rPr>
            </w:pPr>
            <w:r>
              <w:rPr>
                <w:rFonts w:hint="eastAsia" w:ascii="宋体" w:hAnsi="宋体" w:cs="宋体"/>
                <w:szCs w:val="21"/>
              </w:rPr>
              <w:t>中标通知书发出之日起八个工作日内。中标人收到中标通知书后，应按规定与采购人在“广西政府采购云平台”上在线签订电子合同。</w:t>
            </w:r>
          </w:p>
        </w:tc>
      </w:tr>
      <w:tr w14:paraId="5D006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251" w:type="pct"/>
            <w:tcBorders>
              <w:top w:val="single" w:color="auto" w:sz="4" w:space="0"/>
              <w:left w:val="single" w:color="auto" w:sz="4" w:space="0"/>
              <w:bottom w:val="single" w:color="auto" w:sz="4" w:space="0"/>
              <w:right w:val="single" w:color="auto" w:sz="4" w:space="0"/>
            </w:tcBorders>
            <w:vAlign w:val="center"/>
          </w:tcPr>
          <w:p w14:paraId="142F7DE0">
            <w:pPr>
              <w:spacing w:line="360" w:lineRule="exact"/>
              <w:jc w:val="center"/>
              <w:rPr>
                <w:rFonts w:ascii="宋体" w:hAnsi="宋体" w:cs="宋体"/>
                <w:szCs w:val="21"/>
              </w:rPr>
            </w:pPr>
            <w:r>
              <w:rPr>
                <w:rFonts w:hint="eastAsia" w:ascii="宋体" w:hAnsi="宋体" w:cs="宋体"/>
                <w:szCs w:val="21"/>
              </w:rPr>
              <w:t>18</w:t>
            </w:r>
          </w:p>
        </w:tc>
        <w:tc>
          <w:tcPr>
            <w:tcW w:w="428" w:type="pct"/>
            <w:tcBorders>
              <w:top w:val="single" w:color="auto" w:sz="4" w:space="0"/>
              <w:left w:val="single" w:color="auto" w:sz="4" w:space="0"/>
              <w:bottom w:val="single" w:color="auto" w:sz="4" w:space="0"/>
              <w:right w:val="single" w:color="auto" w:sz="4" w:space="0"/>
            </w:tcBorders>
            <w:vAlign w:val="center"/>
          </w:tcPr>
          <w:p w14:paraId="01560391">
            <w:pPr>
              <w:spacing w:line="360" w:lineRule="exact"/>
              <w:jc w:val="center"/>
              <w:rPr>
                <w:rFonts w:ascii="宋体" w:hAnsi="宋体" w:cs="宋体"/>
                <w:szCs w:val="21"/>
              </w:rPr>
            </w:pPr>
            <w:r>
              <w:rPr>
                <w:rFonts w:hint="eastAsia" w:ascii="宋体" w:hAnsi="宋体" w:cs="宋体"/>
                <w:szCs w:val="21"/>
              </w:rPr>
              <w:t>35.4</w:t>
            </w:r>
          </w:p>
        </w:tc>
        <w:tc>
          <w:tcPr>
            <w:tcW w:w="882" w:type="pct"/>
            <w:tcBorders>
              <w:top w:val="single" w:color="auto" w:sz="4" w:space="0"/>
              <w:left w:val="single" w:color="auto" w:sz="4" w:space="0"/>
              <w:bottom w:val="single" w:color="auto" w:sz="4" w:space="0"/>
              <w:right w:val="single" w:color="auto" w:sz="4" w:space="0"/>
            </w:tcBorders>
            <w:vAlign w:val="center"/>
          </w:tcPr>
          <w:p w14:paraId="15565CEA">
            <w:pPr>
              <w:spacing w:line="360" w:lineRule="exact"/>
              <w:jc w:val="center"/>
              <w:rPr>
                <w:rFonts w:ascii="宋体" w:hAnsi="宋体" w:cs="宋体"/>
                <w:szCs w:val="21"/>
              </w:rPr>
            </w:pPr>
            <w:r>
              <w:rPr>
                <w:rFonts w:hint="eastAsia" w:ascii="宋体" w:hAnsi="宋体" w:cs="宋体"/>
                <w:szCs w:val="21"/>
              </w:rPr>
              <w:t>合同备案存档</w:t>
            </w:r>
          </w:p>
        </w:tc>
        <w:tc>
          <w:tcPr>
            <w:tcW w:w="3439" w:type="pct"/>
            <w:tcBorders>
              <w:top w:val="single" w:color="auto" w:sz="4" w:space="0"/>
              <w:left w:val="single" w:color="auto" w:sz="4" w:space="0"/>
              <w:bottom w:val="single" w:color="auto" w:sz="4" w:space="0"/>
              <w:right w:val="single" w:color="auto" w:sz="4" w:space="0"/>
            </w:tcBorders>
            <w:vAlign w:val="center"/>
          </w:tcPr>
          <w:p w14:paraId="7D0FED51">
            <w:pPr>
              <w:spacing w:line="360" w:lineRule="exact"/>
              <w:rPr>
                <w:rFonts w:ascii="宋体" w:hAnsi="宋体" w:cs="宋体"/>
                <w:szCs w:val="21"/>
              </w:rPr>
            </w:pPr>
            <w:r>
              <w:rPr>
                <w:rFonts w:hint="eastAsia" w:ascii="宋体" w:hAnsi="宋体" w:cs="宋体"/>
                <w:szCs w:val="21"/>
              </w:rPr>
              <w:t>政府采购合同双方自签订之日起将自动存档于“广西政府采购云平台”上。</w:t>
            </w:r>
          </w:p>
        </w:tc>
      </w:tr>
      <w:tr w14:paraId="364DC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251" w:type="pct"/>
            <w:tcBorders>
              <w:top w:val="single" w:color="auto" w:sz="4" w:space="0"/>
              <w:left w:val="single" w:color="auto" w:sz="4" w:space="0"/>
              <w:bottom w:val="single" w:color="auto" w:sz="4" w:space="0"/>
              <w:right w:val="single" w:color="auto" w:sz="4" w:space="0"/>
            </w:tcBorders>
            <w:vAlign w:val="center"/>
          </w:tcPr>
          <w:p w14:paraId="34919BF8">
            <w:pPr>
              <w:spacing w:line="360" w:lineRule="exact"/>
              <w:jc w:val="center"/>
              <w:rPr>
                <w:rFonts w:ascii="宋体" w:hAnsi="宋体" w:cs="宋体"/>
                <w:szCs w:val="21"/>
              </w:rPr>
            </w:pPr>
            <w:r>
              <w:rPr>
                <w:rFonts w:hint="eastAsia" w:ascii="宋体" w:hAnsi="宋体" w:cs="宋体"/>
                <w:szCs w:val="21"/>
              </w:rPr>
              <w:t>19</w:t>
            </w:r>
          </w:p>
        </w:tc>
        <w:tc>
          <w:tcPr>
            <w:tcW w:w="428" w:type="pct"/>
            <w:tcBorders>
              <w:top w:val="single" w:color="auto" w:sz="4" w:space="0"/>
              <w:left w:val="single" w:color="auto" w:sz="4" w:space="0"/>
              <w:bottom w:val="single" w:color="auto" w:sz="4" w:space="0"/>
              <w:right w:val="single" w:color="auto" w:sz="4" w:space="0"/>
            </w:tcBorders>
            <w:vAlign w:val="center"/>
          </w:tcPr>
          <w:p w14:paraId="0160B716">
            <w:pPr>
              <w:spacing w:line="360" w:lineRule="exact"/>
              <w:jc w:val="center"/>
              <w:rPr>
                <w:rFonts w:ascii="宋体" w:hAnsi="宋体" w:cs="宋体"/>
                <w:szCs w:val="21"/>
              </w:rPr>
            </w:pPr>
            <w:r>
              <w:rPr>
                <w:rFonts w:hint="eastAsia" w:ascii="宋体" w:hAnsi="宋体" w:cs="宋体"/>
                <w:szCs w:val="21"/>
              </w:rPr>
              <w:t>36</w:t>
            </w:r>
          </w:p>
        </w:tc>
        <w:tc>
          <w:tcPr>
            <w:tcW w:w="882" w:type="pct"/>
            <w:tcBorders>
              <w:top w:val="single" w:color="auto" w:sz="4" w:space="0"/>
              <w:left w:val="single" w:color="auto" w:sz="4" w:space="0"/>
              <w:bottom w:val="single" w:color="auto" w:sz="4" w:space="0"/>
              <w:right w:val="single" w:color="auto" w:sz="4" w:space="0"/>
            </w:tcBorders>
            <w:vAlign w:val="center"/>
          </w:tcPr>
          <w:p w14:paraId="26822F70">
            <w:pPr>
              <w:spacing w:line="360" w:lineRule="exact"/>
              <w:jc w:val="center"/>
              <w:rPr>
                <w:rFonts w:ascii="宋体" w:hAnsi="宋体" w:cs="宋体"/>
                <w:szCs w:val="21"/>
              </w:rPr>
            </w:pPr>
            <w:r>
              <w:rPr>
                <w:rFonts w:hint="eastAsia" w:ascii="宋体" w:hAnsi="宋体" w:cs="宋体"/>
                <w:szCs w:val="21"/>
              </w:rPr>
              <w:t>招标代理服务费</w:t>
            </w:r>
          </w:p>
        </w:tc>
        <w:tc>
          <w:tcPr>
            <w:tcW w:w="3439" w:type="pct"/>
            <w:tcBorders>
              <w:top w:val="single" w:color="auto" w:sz="4" w:space="0"/>
              <w:left w:val="single" w:color="auto" w:sz="4" w:space="0"/>
              <w:bottom w:val="single" w:color="auto" w:sz="4" w:space="0"/>
              <w:right w:val="single" w:color="auto" w:sz="4" w:space="0"/>
            </w:tcBorders>
            <w:vAlign w:val="center"/>
          </w:tcPr>
          <w:p w14:paraId="0C60FE93">
            <w:pPr>
              <w:pStyle w:val="220"/>
              <w:spacing w:line="360" w:lineRule="exact"/>
              <w:rPr>
                <w:rFonts w:ascii="宋体" w:hAnsi="宋体" w:cs="宋体"/>
                <w:szCs w:val="21"/>
              </w:rPr>
            </w:pPr>
            <w:r>
              <w:rPr>
                <w:rFonts w:hint="eastAsia" w:hAnsi="宋体" w:cs="宋体"/>
                <w:szCs w:val="21"/>
              </w:rPr>
              <w:t>本项目的采购代理服务收费标准参照国家计委《招标代理服务收费管理暂行办法》（计价格[2002]1980号）服务</w:t>
            </w:r>
            <w:r>
              <w:rPr>
                <w:rFonts w:hint="eastAsia" w:hAnsi="宋体" w:cs="宋体"/>
                <w:szCs w:val="21"/>
                <w:lang w:val="en-US" w:eastAsia="zh-CN"/>
              </w:rPr>
              <w:t>类</w:t>
            </w:r>
            <w:r>
              <w:rPr>
                <w:rFonts w:hint="eastAsia" w:hAnsi="宋体" w:cs="宋体"/>
                <w:szCs w:val="21"/>
              </w:rPr>
              <w:t>收费标准的规定，按差额定率累进法计算计取</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采购代理服务费收费基数按</w:t>
            </w:r>
            <w:r>
              <w:rPr>
                <w:rFonts w:hint="eastAsia" w:hAnsi="宋体" w:cs="宋体"/>
                <w:color w:val="auto"/>
                <w:sz w:val="21"/>
                <w:szCs w:val="21"/>
                <w:lang w:val="en-US" w:eastAsia="zh-CN"/>
              </w:rPr>
              <w:t>中标</w:t>
            </w:r>
            <w:r>
              <w:rPr>
                <w:rFonts w:hint="eastAsia" w:ascii="宋体" w:hAnsi="宋体" w:eastAsia="宋体" w:cs="宋体"/>
                <w:color w:val="auto"/>
                <w:sz w:val="21"/>
                <w:szCs w:val="21"/>
                <w:lang w:val="en-US" w:eastAsia="zh-CN"/>
              </w:rPr>
              <w:t>金额</w:t>
            </w:r>
            <w:r>
              <w:rPr>
                <w:rFonts w:hint="default" w:ascii="Arial" w:hAnsi="Arial" w:eastAsia="宋体" w:cs="Arial"/>
                <w:color w:val="auto"/>
                <w:sz w:val="21"/>
                <w:szCs w:val="21"/>
                <w:lang w:val="en-US" w:eastAsia="zh-CN"/>
              </w:rPr>
              <w:t>×</w:t>
            </w:r>
            <w:r>
              <w:rPr>
                <w:rFonts w:hint="eastAsia" w:ascii="宋体" w:hAnsi="宋体" w:eastAsia="宋体" w:cs="宋体"/>
                <w:color w:val="auto"/>
                <w:sz w:val="21"/>
                <w:szCs w:val="21"/>
                <w:lang w:val="en-US" w:eastAsia="zh-CN"/>
              </w:rPr>
              <w:t>3计算</w:t>
            </w:r>
            <w:r>
              <w:rPr>
                <w:rFonts w:hint="eastAsia" w:ascii="宋体" w:hAnsi="宋体" w:eastAsia="宋体" w:cs="宋体"/>
                <w:color w:val="auto"/>
                <w:sz w:val="21"/>
                <w:szCs w:val="21"/>
                <w:lang w:eastAsia="zh-CN"/>
              </w:rPr>
              <w:t>）</w:t>
            </w:r>
            <w:r>
              <w:rPr>
                <w:rFonts w:hint="eastAsia" w:hAnsi="宋体" w:cs="宋体"/>
                <w:szCs w:val="21"/>
              </w:rPr>
              <w:t>。在领取中标通知书前，由中标人向采购代理机构一次性付清代理服务费。</w:t>
            </w:r>
          </w:p>
        </w:tc>
      </w:tr>
      <w:tr w14:paraId="37D1B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251" w:type="pct"/>
            <w:tcBorders>
              <w:top w:val="single" w:color="auto" w:sz="4" w:space="0"/>
              <w:left w:val="single" w:color="auto" w:sz="4" w:space="0"/>
              <w:bottom w:val="single" w:color="auto" w:sz="4" w:space="0"/>
              <w:right w:val="single" w:color="auto" w:sz="4" w:space="0"/>
            </w:tcBorders>
            <w:vAlign w:val="center"/>
          </w:tcPr>
          <w:p w14:paraId="5A94021D">
            <w:pPr>
              <w:spacing w:line="360" w:lineRule="exact"/>
              <w:jc w:val="center"/>
              <w:rPr>
                <w:rFonts w:ascii="宋体" w:hAnsi="宋体" w:cs="宋体"/>
                <w:szCs w:val="21"/>
              </w:rPr>
            </w:pPr>
            <w:r>
              <w:rPr>
                <w:rFonts w:hint="eastAsia" w:ascii="宋体" w:hAnsi="宋体" w:cs="宋体"/>
                <w:szCs w:val="21"/>
              </w:rPr>
              <w:t>20</w:t>
            </w:r>
          </w:p>
        </w:tc>
        <w:tc>
          <w:tcPr>
            <w:tcW w:w="428" w:type="pct"/>
            <w:tcBorders>
              <w:top w:val="single" w:color="auto" w:sz="4" w:space="0"/>
              <w:left w:val="single" w:color="auto" w:sz="4" w:space="0"/>
              <w:bottom w:val="single" w:color="auto" w:sz="4" w:space="0"/>
              <w:right w:val="single" w:color="auto" w:sz="4" w:space="0"/>
            </w:tcBorders>
            <w:vAlign w:val="center"/>
          </w:tcPr>
          <w:p w14:paraId="7150F97D">
            <w:pPr>
              <w:spacing w:line="360" w:lineRule="exact"/>
              <w:jc w:val="center"/>
              <w:rPr>
                <w:rFonts w:ascii="宋体" w:hAnsi="宋体" w:cs="宋体"/>
                <w:szCs w:val="21"/>
              </w:rPr>
            </w:pPr>
            <w:r>
              <w:rPr>
                <w:rFonts w:hint="eastAsia" w:ascii="宋体" w:hAnsi="宋体" w:cs="宋体"/>
                <w:szCs w:val="21"/>
              </w:rPr>
              <w:t>37</w:t>
            </w:r>
          </w:p>
        </w:tc>
        <w:tc>
          <w:tcPr>
            <w:tcW w:w="882" w:type="pct"/>
            <w:tcBorders>
              <w:top w:val="single" w:color="auto" w:sz="4" w:space="0"/>
              <w:left w:val="single" w:color="auto" w:sz="4" w:space="0"/>
              <w:bottom w:val="single" w:color="auto" w:sz="4" w:space="0"/>
              <w:right w:val="single" w:color="auto" w:sz="4" w:space="0"/>
            </w:tcBorders>
            <w:vAlign w:val="center"/>
          </w:tcPr>
          <w:p w14:paraId="10A096BF">
            <w:pPr>
              <w:spacing w:line="360" w:lineRule="exact"/>
              <w:jc w:val="center"/>
              <w:rPr>
                <w:rFonts w:ascii="宋体" w:hAnsi="宋体" w:cs="宋体"/>
                <w:szCs w:val="21"/>
              </w:rPr>
            </w:pPr>
            <w:r>
              <w:rPr>
                <w:rFonts w:hint="eastAsia" w:ascii="宋体" w:hAnsi="宋体" w:cs="宋体"/>
                <w:szCs w:val="21"/>
              </w:rPr>
              <w:t>编制依据</w:t>
            </w:r>
          </w:p>
        </w:tc>
        <w:tc>
          <w:tcPr>
            <w:tcW w:w="3439" w:type="pct"/>
            <w:tcBorders>
              <w:top w:val="single" w:color="auto" w:sz="4" w:space="0"/>
              <w:left w:val="single" w:color="auto" w:sz="4" w:space="0"/>
              <w:bottom w:val="single" w:color="auto" w:sz="4" w:space="0"/>
              <w:right w:val="single" w:color="auto" w:sz="4" w:space="0"/>
            </w:tcBorders>
            <w:vAlign w:val="center"/>
          </w:tcPr>
          <w:p w14:paraId="5E5C47EB">
            <w:pPr>
              <w:spacing w:line="360" w:lineRule="exact"/>
              <w:rPr>
                <w:rFonts w:ascii="宋体" w:hAnsi="宋体" w:cs="宋体"/>
                <w:szCs w:val="21"/>
              </w:rPr>
            </w:pPr>
            <w:r>
              <w:rPr>
                <w:rFonts w:hint="eastAsia" w:ascii="宋体" w:hAnsi="宋体" w:cs="宋体"/>
                <w:szCs w:val="21"/>
              </w:rPr>
              <w:t>本招标文件是根据《中华人民共和国政府采购法》《中华人民共和国政府采购法实施条例》及《政府采购货物和服务招标投标管理办法》（财政部令第87号）等相关规定编制</w:t>
            </w:r>
            <w:r>
              <w:rPr>
                <w:rFonts w:hint="eastAsia" w:ascii="宋体" w:hAnsi="宋体"/>
                <w:szCs w:val="21"/>
              </w:rPr>
              <w:t>，本招标文件的解释权属于采购代理机构。</w:t>
            </w:r>
          </w:p>
        </w:tc>
      </w:tr>
      <w:tr w14:paraId="19E32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251" w:type="pct"/>
            <w:tcBorders>
              <w:top w:val="single" w:color="auto" w:sz="4" w:space="0"/>
              <w:left w:val="single" w:color="auto" w:sz="4" w:space="0"/>
              <w:bottom w:val="single" w:color="auto" w:sz="4" w:space="0"/>
              <w:right w:val="single" w:color="auto" w:sz="4" w:space="0"/>
            </w:tcBorders>
            <w:vAlign w:val="center"/>
          </w:tcPr>
          <w:p w14:paraId="1A4AB9EE">
            <w:pPr>
              <w:spacing w:line="360" w:lineRule="exact"/>
              <w:jc w:val="center"/>
              <w:rPr>
                <w:rFonts w:ascii="宋体" w:hAnsi="宋体" w:cs="宋体"/>
                <w:szCs w:val="21"/>
              </w:rPr>
            </w:pPr>
            <w:r>
              <w:rPr>
                <w:rFonts w:hint="eastAsia" w:ascii="宋体" w:hAnsi="宋体" w:cs="宋体"/>
                <w:szCs w:val="21"/>
              </w:rPr>
              <w:t>21</w:t>
            </w:r>
          </w:p>
        </w:tc>
        <w:tc>
          <w:tcPr>
            <w:tcW w:w="428" w:type="pct"/>
            <w:tcBorders>
              <w:top w:val="single" w:color="auto" w:sz="4" w:space="0"/>
              <w:left w:val="single" w:color="auto" w:sz="4" w:space="0"/>
              <w:bottom w:val="single" w:color="auto" w:sz="4" w:space="0"/>
              <w:right w:val="single" w:color="auto" w:sz="4" w:space="0"/>
            </w:tcBorders>
            <w:vAlign w:val="center"/>
          </w:tcPr>
          <w:p w14:paraId="44A8DCF2">
            <w:pPr>
              <w:spacing w:line="360" w:lineRule="exact"/>
              <w:jc w:val="center"/>
              <w:rPr>
                <w:rFonts w:ascii="宋体" w:hAnsi="宋体" w:cs="宋体"/>
                <w:szCs w:val="21"/>
              </w:rPr>
            </w:pPr>
            <w:r>
              <w:rPr>
                <w:rFonts w:hint="eastAsia" w:ascii="宋体" w:hAnsi="宋体" w:cs="宋体"/>
                <w:szCs w:val="21"/>
              </w:rPr>
              <w:t>38</w:t>
            </w:r>
          </w:p>
        </w:tc>
        <w:tc>
          <w:tcPr>
            <w:tcW w:w="882" w:type="pct"/>
            <w:tcBorders>
              <w:top w:val="single" w:color="auto" w:sz="4" w:space="0"/>
              <w:left w:val="single" w:color="auto" w:sz="4" w:space="0"/>
              <w:bottom w:val="single" w:color="auto" w:sz="4" w:space="0"/>
              <w:right w:val="single" w:color="auto" w:sz="4" w:space="0"/>
            </w:tcBorders>
            <w:vAlign w:val="center"/>
          </w:tcPr>
          <w:p w14:paraId="53900842">
            <w:pPr>
              <w:spacing w:line="360" w:lineRule="exact"/>
              <w:jc w:val="center"/>
              <w:rPr>
                <w:rFonts w:ascii="宋体" w:hAnsi="宋体" w:cs="宋体"/>
                <w:szCs w:val="21"/>
              </w:rPr>
            </w:pPr>
            <w:r>
              <w:rPr>
                <w:rFonts w:hint="eastAsia" w:ascii="宋体" w:hAnsi="宋体" w:cs="宋体"/>
                <w:szCs w:val="21"/>
              </w:rPr>
              <w:t>监督管理机构</w:t>
            </w:r>
          </w:p>
        </w:tc>
        <w:tc>
          <w:tcPr>
            <w:tcW w:w="3439" w:type="pct"/>
            <w:tcBorders>
              <w:top w:val="single" w:color="auto" w:sz="4" w:space="0"/>
              <w:left w:val="single" w:color="auto" w:sz="4" w:space="0"/>
              <w:bottom w:val="single" w:color="auto" w:sz="4" w:space="0"/>
              <w:right w:val="single" w:color="auto" w:sz="4" w:space="0"/>
            </w:tcBorders>
            <w:vAlign w:val="center"/>
          </w:tcPr>
          <w:p w14:paraId="6B81D08E">
            <w:pPr>
              <w:spacing w:line="360" w:lineRule="exact"/>
              <w:rPr>
                <w:rFonts w:ascii="宋体" w:hAnsi="宋体" w:cs="宋体"/>
                <w:szCs w:val="21"/>
              </w:rPr>
            </w:pPr>
            <w:r>
              <w:rPr>
                <w:rFonts w:hint="eastAsia" w:ascii="宋体" w:hAnsi="宋体" w:cs="宋体"/>
                <w:szCs w:val="21"/>
                <w:lang w:eastAsia="zh-CN"/>
              </w:rPr>
              <w:t>灌阳县财政局；电话：0773-4250206</w:t>
            </w:r>
          </w:p>
        </w:tc>
      </w:tr>
    </w:tbl>
    <w:p w14:paraId="1B89AA38">
      <w:pPr>
        <w:rPr>
          <w:rFonts w:hint="eastAsia" w:ascii="宋体" w:hAnsi="宋体" w:cs="宋体"/>
          <w:b/>
          <w:sz w:val="28"/>
          <w:szCs w:val="28"/>
        </w:rPr>
      </w:pPr>
      <w:bookmarkStart w:id="52" w:name="_Toc239867299"/>
      <w:bookmarkStart w:id="53" w:name="_Toc240644491"/>
      <w:bookmarkStart w:id="54" w:name="_Toc7996"/>
      <w:bookmarkStart w:id="55" w:name="_Toc495841754"/>
      <w:bookmarkStart w:id="56" w:name="_Toc3679"/>
      <w:bookmarkStart w:id="57" w:name="_Toc21956"/>
      <w:r>
        <w:rPr>
          <w:rFonts w:hint="eastAsia" w:ascii="宋体" w:hAnsi="宋体" w:cs="宋体"/>
          <w:b/>
          <w:sz w:val="28"/>
          <w:szCs w:val="28"/>
        </w:rPr>
        <w:br w:type="page"/>
      </w:r>
    </w:p>
    <w:p w14:paraId="54237510">
      <w:pPr>
        <w:spacing w:line="360" w:lineRule="auto"/>
        <w:jc w:val="center"/>
        <w:outlineLvl w:val="1"/>
        <w:rPr>
          <w:rFonts w:ascii="宋体" w:hAnsi="宋体" w:cs="宋体"/>
          <w:b/>
          <w:sz w:val="28"/>
          <w:szCs w:val="28"/>
        </w:rPr>
      </w:pPr>
      <w:r>
        <w:rPr>
          <w:rFonts w:hint="eastAsia" w:ascii="宋体" w:hAnsi="宋体" w:cs="宋体"/>
          <w:b/>
          <w:sz w:val="28"/>
          <w:szCs w:val="28"/>
        </w:rPr>
        <w:t>一、总则</w:t>
      </w:r>
      <w:bookmarkEnd w:id="52"/>
      <w:bookmarkEnd w:id="53"/>
      <w:bookmarkEnd w:id="54"/>
      <w:bookmarkEnd w:id="55"/>
      <w:bookmarkEnd w:id="56"/>
      <w:bookmarkEnd w:id="57"/>
    </w:p>
    <w:p w14:paraId="596D82EB">
      <w:pPr>
        <w:spacing w:line="400" w:lineRule="exact"/>
        <w:ind w:firstLine="413"/>
        <w:outlineLvl w:val="2"/>
        <w:rPr>
          <w:rFonts w:ascii="宋体" w:hAnsi="宋体" w:cs="宋体"/>
          <w:b/>
          <w:szCs w:val="21"/>
        </w:rPr>
      </w:pPr>
      <w:bookmarkStart w:id="58" w:name="_Toc6156"/>
      <w:bookmarkStart w:id="59" w:name="_Toc8887"/>
      <w:bookmarkStart w:id="60" w:name="_Toc240644492"/>
      <w:bookmarkStart w:id="61" w:name="_Toc23807"/>
      <w:bookmarkStart w:id="62" w:name="_Toc239867300"/>
      <w:r>
        <w:rPr>
          <w:rFonts w:hint="eastAsia" w:ascii="宋体" w:hAnsi="宋体" w:cs="宋体"/>
          <w:b/>
          <w:szCs w:val="21"/>
        </w:rPr>
        <w:t>1. 项目名称及项目编号</w:t>
      </w:r>
      <w:bookmarkEnd w:id="58"/>
      <w:bookmarkEnd w:id="59"/>
      <w:bookmarkEnd w:id="60"/>
      <w:bookmarkEnd w:id="61"/>
      <w:bookmarkEnd w:id="62"/>
    </w:p>
    <w:p w14:paraId="3128AAC6">
      <w:pPr>
        <w:spacing w:line="340" w:lineRule="exact"/>
        <w:ind w:firstLine="420"/>
        <w:rPr>
          <w:rFonts w:ascii="宋体" w:hAnsi="宋体" w:cs="宋体"/>
          <w:szCs w:val="21"/>
        </w:rPr>
      </w:pPr>
      <w:bookmarkStart w:id="63" w:name="_Toc340"/>
      <w:bookmarkStart w:id="64" w:name="_Toc11983"/>
      <w:r>
        <w:rPr>
          <w:rFonts w:hint="eastAsia" w:ascii="宋体" w:hAnsi="宋体" w:cs="宋体"/>
          <w:szCs w:val="21"/>
        </w:rPr>
        <w:t>项目名称：</w:t>
      </w:r>
      <w:r>
        <w:rPr>
          <w:rFonts w:hint="eastAsia" w:ascii="宋体" w:hAnsi="宋体" w:cs="宋体"/>
          <w:lang w:eastAsia="zh-CN"/>
        </w:rPr>
        <w:t>灌阳县雪亮工程一期到期后运维服务项目</w:t>
      </w:r>
    </w:p>
    <w:p w14:paraId="3B33CC6B">
      <w:pPr>
        <w:spacing w:line="400" w:lineRule="exact"/>
        <w:ind w:firstLine="411"/>
        <w:rPr>
          <w:rFonts w:hint="eastAsia" w:ascii="宋体" w:hAnsi="宋体" w:eastAsia="宋体" w:cs="宋体"/>
          <w:szCs w:val="21"/>
          <w:lang w:eastAsia="zh-CN"/>
        </w:rPr>
      </w:pPr>
      <w:bookmarkStart w:id="65" w:name="_Toc32432"/>
      <w:bookmarkStart w:id="66" w:name="_Toc4756"/>
      <w:bookmarkStart w:id="67" w:name="_Toc8531"/>
      <w:r>
        <w:rPr>
          <w:rFonts w:hint="eastAsia" w:ascii="宋体" w:hAnsi="宋体" w:cs="宋体"/>
          <w:szCs w:val="21"/>
        </w:rPr>
        <w:t>项目编号：</w:t>
      </w:r>
      <w:bookmarkEnd w:id="63"/>
      <w:bookmarkEnd w:id="64"/>
      <w:bookmarkEnd w:id="65"/>
      <w:r>
        <w:rPr>
          <w:rFonts w:hint="eastAsia" w:ascii="宋体" w:hAnsi="宋体" w:cs="宋体"/>
          <w:szCs w:val="21"/>
          <w:lang w:eastAsia="zh-CN"/>
        </w:rPr>
        <w:t>GLZC2026-G3-270058-BBWH</w:t>
      </w:r>
    </w:p>
    <w:p w14:paraId="7421BFF3">
      <w:pPr>
        <w:spacing w:line="400" w:lineRule="exact"/>
        <w:ind w:firstLine="413"/>
        <w:outlineLvl w:val="2"/>
        <w:rPr>
          <w:rFonts w:ascii="宋体" w:hAnsi="宋体" w:cs="宋体"/>
          <w:b/>
          <w:szCs w:val="21"/>
        </w:rPr>
      </w:pPr>
      <w:bookmarkStart w:id="68" w:name="_Toc7728"/>
      <w:bookmarkStart w:id="69" w:name="_Toc240644493"/>
      <w:bookmarkStart w:id="70" w:name="_Toc239867301"/>
      <w:r>
        <w:rPr>
          <w:rFonts w:hint="eastAsia" w:ascii="宋体" w:hAnsi="宋体" w:cs="宋体"/>
          <w:b/>
          <w:szCs w:val="21"/>
        </w:rPr>
        <w:t>2. 适用范围</w:t>
      </w:r>
      <w:bookmarkEnd w:id="66"/>
      <w:bookmarkEnd w:id="67"/>
      <w:bookmarkEnd w:id="68"/>
      <w:bookmarkEnd w:id="69"/>
      <w:bookmarkEnd w:id="70"/>
    </w:p>
    <w:p w14:paraId="04304CA0">
      <w:pPr>
        <w:spacing w:line="400" w:lineRule="exact"/>
        <w:ind w:firstLine="420"/>
        <w:rPr>
          <w:rFonts w:ascii="宋体" w:hAnsi="宋体" w:cs="宋体"/>
          <w:szCs w:val="21"/>
        </w:rPr>
      </w:pPr>
      <w:r>
        <w:rPr>
          <w:rFonts w:hint="eastAsia" w:ascii="宋体" w:hAnsi="宋体" w:cs="宋体"/>
          <w:szCs w:val="21"/>
        </w:rPr>
        <w:t>本招标文件适用本招标采购项目的招标、投标、评标、合同履约、验收、付款等行为（法律、法规另有规定的，从其规定）。</w:t>
      </w:r>
    </w:p>
    <w:p w14:paraId="6AE112D1">
      <w:pPr>
        <w:spacing w:line="400" w:lineRule="exact"/>
        <w:ind w:firstLine="413"/>
        <w:outlineLvl w:val="2"/>
        <w:rPr>
          <w:rFonts w:ascii="宋体" w:hAnsi="宋体" w:cs="宋体"/>
          <w:b/>
          <w:szCs w:val="21"/>
        </w:rPr>
      </w:pPr>
      <w:bookmarkStart w:id="71" w:name="_Toc1895"/>
      <w:bookmarkStart w:id="72" w:name="_Toc25021"/>
      <w:bookmarkStart w:id="73" w:name="_Toc239867302"/>
      <w:bookmarkStart w:id="74" w:name="_Toc240644494"/>
      <w:bookmarkStart w:id="75" w:name="_Toc11360"/>
      <w:r>
        <w:rPr>
          <w:rFonts w:hint="eastAsia" w:ascii="宋体" w:hAnsi="宋体" w:cs="宋体"/>
          <w:b/>
          <w:szCs w:val="21"/>
        </w:rPr>
        <w:t>3. 定义</w:t>
      </w:r>
      <w:bookmarkEnd w:id="71"/>
      <w:bookmarkEnd w:id="72"/>
      <w:bookmarkEnd w:id="73"/>
      <w:bookmarkEnd w:id="74"/>
      <w:bookmarkEnd w:id="75"/>
    </w:p>
    <w:p w14:paraId="7117013F">
      <w:pPr>
        <w:spacing w:line="400" w:lineRule="exact"/>
        <w:ind w:firstLine="435"/>
        <w:rPr>
          <w:rFonts w:ascii="宋体" w:hAnsi="宋体" w:cs="宋体"/>
          <w:szCs w:val="21"/>
        </w:rPr>
      </w:pPr>
      <w:r>
        <w:rPr>
          <w:rFonts w:hint="eastAsia" w:ascii="宋体" w:hAnsi="宋体" w:cs="宋体"/>
          <w:szCs w:val="21"/>
        </w:rPr>
        <w:t>3.1“投标人”系指响应招标、参加投标竞争的法人、其他组织或者自然人。</w:t>
      </w:r>
    </w:p>
    <w:p w14:paraId="3F96BE8A">
      <w:pPr>
        <w:spacing w:line="400" w:lineRule="exact"/>
        <w:ind w:firstLine="435"/>
        <w:rPr>
          <w:rFonts w:ascii="宋体" w:hAnsi="宋体" w:cs="宋体"/>
          <w:szCs w:val="21"/>
        </w:rPr>
      </w:pPr>
      <w:r>
        <w:rPr>
          <w:rFonts w:hint="eastAsia" w:ascii="宋体" w:hAnsi="宋体" w:cs="宋体"/>
          <w:szCs w:val="21"/>
        </w:rPr>
        <w:t>3.2“货物”系指按招标文件规定，投标人须向采购人提供的一切设备、保险、税金、备品备件、工具、手册及其它有关技术资料和材料。</w:t>
      </w:r>
    </w:p>
    <w:p w14:paraId="6B980029">
      <w:pPr>
        <w:spacing w:line="400" w:lineRule="exact"/>
        <w:ind w:firstLine="435"/>
        <w:rPr>
          <w:rFonts w:ascii="宋体" w:hAnsi="宋体" w:cs="宋体"/>
          <w:szCs w:val="21"/>
        </w:rPr>
      </w:pPr>
      <w:r>
        <w:rPr>
          <w:rFonts w:hint="eastAsia" w:ascii="宋体" w:hAnsi="宋体" w:cs="宋体"/>
          <w:szCs w:val="21"/>
        </w:rPr>
        <w:t>3.3“服务”系指按招标文件规定，投标人须承担的安装、调试、技术协助、校准、培训、技术指导以及其他类似的义务。</w:t>
      </w:r>
    </w:p>
    <w:p w14:paraId="3C883D0B">
      <w:pPr>
        <w:spacing w:line="400" w:lineRule="exact"/>
        <w:ind w:firstLine="435"/>
        <w:rPr>
          <w:rFonts w:ascii="宋体" w:hAnsi="宋体" w:cs="宋体"/>
          <w:szCs w:val="21"/>
        </w:rPr>
      </w:pPr>
      <w:r>
        <w:rPr>
          <w:rFonts w:hint="eastAsia" w:ascii="宋体" w:hAnsi="宋体" w:cs="宋体"/>
          <w:szCs w:val="21"/>
        </w:rPr>
        <w:t>3.4“项目”系指投标人按招标文件规定向采购人提供的货物和服务。</w:t>
      </w:r>
    </w:p>
    <w:p w14:paraId="17C4C455">
      <w:pPr>
        <w:spacing w:line="400" w:lineRule="exact"/>
        <w:ind w:firstLine="435"/>
        <w:rPr>
          <w:rFonts w:ascii="宋体" w:hAnsi="宋体" w:cs="宋体"/>
          <w:szCs w:val="21"/>
        </w:rPr>
      </w:pPr>
      <w:r>
        <w:rPr>
          <w:rFonts w:hint="eastAsia" w:ascii="宋体" w:hAnsi="宋体" w:cs="宋体"/>
          <w:szCs w:val="21"/>
        </w:rPr>
        <w:t>3.5“书面形式”包括信函、传真、电报等。</w:t>
      </w:r>
    </w:p>
    <w:p w14:paraId="48002472">
      <w:pPr>
        <w:spacing w:line="400" w:lineRule="exact"/>
        <w:ind w:firstLine="435"/>
        <w:rPr>
          <w:rFonts w:ascii="宋体" w:hAnsi="宋体" w:cs="宋体"/>
          <w:b/>
          <w:szCs w:val="21"/>
        </w:rPr>
      </w:pPr>
      <w:r>
        <w:rPr>
          <w:rFonts w:hint="eastAsia" w:ascii="宋体" w:hAnsi="宋体" w:cs="宋体"/>
          <w:b/>
          <w:szCs w:val="21"/>
        </w:rPr>
        <w:t>3.6实质性要求：“采购需求”中所有带“★”号的内容均为实质性要求，不允许负偏离，否则投标无效。</w:t>
      </w:r>
    </w:p>
    <w:p w14:paraId="57434937">
      <w:pPr>
        <w:spacing w:line="400" w:lineRule="exact"/>
        <w:ind w:firstLine="413"/>
        <w:outlineLvl w:val="2"/>
        <w:rPr>
          <w:rFonts w:ascii="宋体" w:hAnsi="宋体" w:cs="宋体"/>
          <w:b/>
          <w:szCs w:val="21"/>
        </w:rPr>
      </w:pPr>
      <w:bookmarkStart w:id="76" w:name="_Toc7772"/>
      <w:bookmarkStart w:id="77" w:name="_Toc239867303"/>
      <w:bookmarkStart w:id="78" w:name="_Toc240644495"/>
      <w:bookmarkStart w:id="79" w:name="_Toc24020"/>
      <w:bookmarkStart w:id="80" w:name="_Toc28906"/>
      <w:r>
        <w:rPr>
          <w:rFonts w:hint="eastAsia" w:ascii="宋体" w:hAnsi="宋体" w:cs="宋体"/>
          <w:b/>
          <w:szCs w:val="21"/>
        </w:rPr>
        <w:t>4. 招标方式、评分办法</w:t>
      </w:r>
      <w:bookmarkEnd w:id="76"/>
      <w:bookmarkEnd w:id="77"/>
      <w:bookmarkEnd w:id="78"/>
      <w:bookmarkEnd w:id="79"/>
      <w:bookmarkEnd w:id="80"/>
    </w:p>
    <w:p w14:paraId="27BB6292">
      <w:pPr>
        <w:spacing w:line="400" w:lineRule="exact"/>
        <w:ind w:firstLine="435"/>
        <w:rPr>
          <w:rFonts w:ascii="宋体" w:hAnsi="宋体" w:cs="宋体"/>
          <w:szCs w:val="21"/>
        </w:rPr>
      </w:pPr>
      <w:r>
        <w:rPr>
          <w:rFonts w:hint="eastAsia" w:ascii="宋体" w:hAnsi="宋体" w:cs="宋体"/>
          <w:szCs w:val="21"/>
        </w:rPr>
        <w:t>公开招标、综合评分法</w:t>
      </w:r>
    </w:p>
    <w:p w14:paraId="39EA9464">
      <w:pPr>
        <w:spacing w:line="400" w:lineRule="exact"/>
        <w:ind w:firstLine="413"/>
        <w:outlineLvl w:val="2"/>
        <w:rPr>
          <w:rFonts w:ascii="宋体" w:hAnsi="宋体" w:cs="宋体"/>
          <w:b/>
          <w:szCs w:val="21"/>
        </w:rPr>
      </w:pPr>
      <w:bookmarkStart w:id="81" w:name="_Toc239867304"/>
      <w:bookmarkStart w:id="82" w:name="_Toc598"/>
      <w:bookmarkStart w:id="83" w:name="_Toc5915"/>
      <w:bookmarkStart w:id="84" w:name="_Toc240644496"/>
      <w:bookmarkStart w:id="85" w:name="_Toc15345"/>
      <w:r>
        <w:rPr>
          <w:rFonts w:hint="eastAsia" w:ascii="宋体" w:hAnsi="宋体" w:cs="宋体"/>
          <w:b/>
          <w:szCs w:val="21"/>
        </w:rPr>
        <w:t>5. 投标人资格</w:t>
      </w:r>
      <w:bookmarkEnd w:id="81"/>
      <w:bookmarkEnd w:id="82"/>
      <w:bookmarkEnd w:id="83"/>
      <w:bookmarkEnd w:id="84"/>
      <w:bookmarkEnd w:id="85"/>
    </w:p>
    <w:p w14:paraId="7F625FDE">
      <w:pPr>
        <w:spacing w:line="400" w:lineRule="exact"/>
        <w:ind w:firstLine="413"/>
        <w:outlineLvl w:val="2"/>
        <w:rPr>
          <w:rFonts w:ascii="宋体" w:hAnsi="宋体"/>
          <w:szCs w:val="21"/>
        </w:rPr>
      </w:pPr>
      <w:bookmarkStart w:id="86" w:name="_Toc240644497"/>
      <w:bookmarkStart w:id="87" w:name="_Toc239867305"/>
      <w:bookmarkStart w:id="88" w:name="_Toc24742"/>
      <w:bookmarkStart w:id="89" w:name="_Toc5047"/>
      <w:bookmarkStart w:id="90" w:name="_Toc14174"/>
      <w:r>
        <w:rPr>
          <w:rFonts w:hint="eastAsia" w:ascii="宋体" w:hAnsi="宋体"/>
          <w:szCs w:val="21"/>
        </w:rPr>
        <w:t>详见《投标人须知前附表》第2条。</w:t>
      </w:r>
      <w:bookmarkEnd w:id="86"/>
    </w:p>
    <w:p w14:paraId="71815A3D">
      <w:pPr>
        <w:spacing w:line="400" w:lineRule="exact"/>
        <w:ind w:firstLine="413"/>
        <w:outlineLvl w:val="2"/>
        <w:rPr>
          <w:rFonts w:ascii="宋体" w:hAnsi="宋体" w:cs="宋体"/>
          <w:b/>
          <w:szCs w:val="21"/>
        </w:rPr>
      </w:pPr>
      <w:bookmarkStart w:id="91" w:name="_Toc240644498"/>
      <w:r>
        <w:rPr>
          <w:rFonts w:hint="eastAsia" w:ascii="宋体" w:hAnsi="宋体" w:cs="宋体"/>
          <w:b/>
          <w:szCs w:val="21"/>
        </w:rPr>
        <w:t>6. 投标费用</w:t>
      </w:r>
      <w:bookmarkEnd w:id="87"/>
      <w:bookmarkEnd w:id="88"/>
      <w:bookmarkEnd w:id="89"/>
      <w:bookmarkEnd w:id="90"/>
      <w:bookmarkEnd w:id="91"/>
    </w:p>
    <w:p w14:paraId="38C0B89C">
      <w:pPr>
        <w:spacing w:line="400" w:lineRule="exact"/>
        <w:ind w:firstLine="435"/>
        <w:rPr>
          <w:rFonts w:ascii="宋体" w:hAnsi="宋体" w:cs="宋体"/>
          <w:b/>
          <w:szCs w:val="21"/>
        </w:rPr>
      </w:pPr>
      <w:r>
        <w:rPr>
          <w:rFonts w:hint="eastAsia" w:ascii="宋体" w:hAnsi="宋体" w:cs="宋体"/>
          <w:szCs w:val="21"/>
        </w:rPr>
        <w:t>不论投标结果如何，投标人均应自行承担所有与投标有关的全部费用。</w:t>
      </w:r>
    </w:p>
    <w:p w14:paraId="4ADD2D0F">
      <w:pPr>
        <w:spacing w:line="400" w:lineRule="exact"/>
        <w:ind w:firstLine="413"/>
        <w:outlineLvl w:val="2"/>
        <w:rPr>
          <w:rFonts w:ascii="宋体" w:hAnsi="宋体" w:cs="宋体"/>
          <w:b/>
          <w:szCs w:val="21"/>
        </w:rPr>
      </w:pPr>
      <w:bookmarkStart w:id="92" w:name="_Toc22702"/>
      <w:bookmarkStart w:id="93" w:name="_Toc239867306"/>
      <w:bookmarkStart w:id="94" w:name="_Toc20807"/>
      <w:bookmarkStart w:id="95" w:name="_Toc240644499"/>
      <w:bookmarkStart w:id="96" w:name="_Toc31803"/>
      <w:r>
        <w:rPr>
          <w:rFonts w:hint="eastAsia" w:ascii="宋体" w:hAnsi="宋体" w:cs="宋体"/>
          <w:b/>
          <w:szCs w:val="21"/>
        </w:rPr>
        <w:t>7. 联合体投标要求</w:t>
      </w:r>
      <w:bookmarkEnd w:id="92"/>
      <w:bookmarkEnd w:id="93"/>
      <w:bookmarkEnd w:id="94"/>
      <w:bookmarkEnd w:id="95"/>
      <w:bookmarkEnd w:id="96"/>
    </w:p>
    <w:p w14:paraId="4BCD013F">
      <w:pPr>
        <w:spacing w:line="400" w:lineRule="exact"/>
        <w:ind w:firstLine="420"/>
        <w:rPr>
          <w:rFonts w:ascii="宋体" w:hAnsi="宋体" w:cs="宋体"/>
          <w:szCs w:val="21"/>
        </w:rPr>
      </w:pPr>
      <w:r>
        <w:rPr>
          <w:rFonts w:hint="eastAsia" w:ascii="宋体" w:hAnsi="宋体" w:cs="宋体"/>
          <w:szCs w:val="21"/>
        </w:rPr>
        <w:t>本项目不接受联合体投标。</w:t>
      </w:r>
    </w:p>
    <w:p w14:paraId="373D48A2">
      <w:pPr>
        <w:spacing w:line="400" w:lineRule="exact"/>
        <w:ind w:firstLine="413"/>
        <w:outlineLvl w:val="2"/>
        <w:rPr>
          <w:rFonts w:ascii="宋体" w:hAnsi="宋体" w:cs="宋体"/>
          <w:b/>
          <w:szCs w:val="21"/>
        </w:rPr>
      </w:pPr>
      <w:bookmarkStart w:id="97" w:name="_Toc6046"/>
      <w:bookmarkStart w:id="98" w:name="_Toc24292"/>
      <w:bookmarkStart w:id="99" w:name="_Toc240644500"/>
      <w:bookmarkStart w:id="100" w:name="_Toc1690"/>
      <w:bookmarkStart w:id="101" w:name="_Toc239867307"/>
      <w:r>
        <w:rPr>
          <w:rFonts w:hint="eastAsia" w:ascii="宋体" w:hAnsi="宋体" w:cs="宋体"/>
          <w:b/>
          <w:szCs w:val="21"/>
        </w:rPr>
        <w:t>8. 转包与分包</w:t>
      </w:r>
      <w:bookmarkEnd w:id="97"/>
      <w:bookmarkEnd w:id="98"/>
      <w:bookmarkEnd w:id="99"/>
      <w:bookmarkEnd w:id="100"/>
      <w:bookmarkEnd w:id="101"/>
    </w:p>
    <w:p w14:paraId="2712F80D">
      <w:pPr>
        <w:tabs>
          <w:tab w:val="left" w:pos="1635"/>
        </w:tabs>
        <w:spacing w:line="400" w:lineRule="exact"/>
        <w:ind w:firstLine="420"/>
        <w:rPr>
          <w:rFonts w:ascii="宋体" w:hAnsi="宋体" w:cs="宋体"/>
          <w:szCs w:val="21"/>
        </w:rPr>
      </w:pPr>
      <w:r>
        <w:rPr>
          <w:rFonts w:hint="eastAsia" w:ascii="宋体" w:hAnsi="宋体" w:cs="宋体"/>
          <w:szCs w:val="21"/>
        </w:rPr>
        <w:t>8.1本项目不允许转包。</w:t>
      </w:r>
    </w:p>
    <w:p w14:paraId="43F29183">
      <w:pPr>
        <w:tabs>
          <w:tab w:val="left" w:pos="1635"/>
        </w:tabs>
        <w:spacing w:line="400" w:lineRule="exact"/>
        <w:ind w:firstLine="435"/>
        <w:rPr>
          <w:rFonts w:ascii="宋体" w:hAnsi="宋体" w:cs="宋体"/>
          <w:szCs w:val="21"/>
        </w:rPr>
      </w:pPr>
      <w:r>
        <w:rPr>
          <w:rFonts w:hint="eastAsia" w:ascii="宋体" w:hAnsi="宋体" w:cs="宋体"/>
          <w:szCs w:val="21"/>
        </w:rPr>
        <w:t>8.2本项目不可以分包。</w:t>
      </w:r>
    </w:p>
    <w:p w14:paraId="575B6243">
      <w:pPr>
        <w:spacing w:line="400" w:lineRule="exact"/>
        <w:ind w:firstLine="413"/>
        <w:outlineLvl w:val="2"/>
        <w:rPr>
          <w:rFonts w:ascii="宋体" w:hAnsi="宋体" w:cs="宋体"/>
          <w:b/>
          <w:szCs w:val="21"/>
        </w:rPr>
      </w:pPr>
      <w:bookmarkStart w:id="102" w:name="_Toc1504"/>
      <w:bookmarkStart w:id="103" w:name="_Toc17416"/>
      <w:bookmarkStart w:id="104" w:name="_Toc24350"/>
      <w:bookmarkStart w:id="105" w:name="_Toc239867308"/>
      <w:bookmarkStart w:id="106" w:name="_Toc240644501"/>
      <w:r>
        <w:rPr>
          <w:rFonts w:hint="eastAsia" w:ascii="宋体" w:hAnsi="宋体" w:cs="宋体"/>
          <w:b/>
          <w:szCs w:val="21"/>
        </w:rPr>
        <w:t>9. 特别说明</w:t>
      </w:r>
      <w:bookmarkEnd w:id="102"/>
      <w:bookmarkEnd w:id="103"/>
      <w:bookmarkEnd w:id="104"/>
      <w:bookmarkEnd w:id="105"/>
      <w:bookmarkEnd w:id="106"/>
    </w:p>
    <w:p w14:paraId="12C92574">
      <w:pPr>
        <w:tabs>
          <w:tab w:val="left" w:pos="2190"/>
        </w:tabs>
        <w:spacing w:line="380" w:lineRule="exact"/>
        <w:ind w:firstLine="435"/>
        <w:rPr>
          <w:rFonts w:ascii="宋体" w:hAnsi="宋体"/>
          <w:kern w:val="2"/>
          <w:szCs w:val="21"/>
        </w:rPr>
      </w:pPr>
      <w:bookmarkStart w:id="107" w:name="OLE_LINK41"/>
      <w:bookmarkStart w:id="108" w:name="OLE_LINK42"/>
      <w:bookmarkStart w:id="109" w:name="_Toc15675"/>
      <w:bookmarkStart w:id="110" w:name="_Toc6489"/>
      <w:bookmarkStart w:id="111" w:name="_Toc239867309"/>
      <w:bookmarkStart w:id="112" w:name="_Toc29184"/>
      <w:r>
        <w:rPr>
          <w:rFonts w:hint="eastAsia" w:ascii="宋体" w:hAnsi="宋体"/>
          <w:kern w:val="2"/>
          <w:szCs w:val="21"/>
        </w:rPr>
        <w:t>9.1单位负责人为同一人或者存在直接控股、管理关系的，不得参加同一分标或未划分分标的同一项目的投标，否则，投标文件无效。</w:t>
      </w:r>
    </w:p>
    <w:p w14:paraId="4CB8D9F4">
      <w:pPr>
        <w:tabs>
          <w:tab w:val="left" w:pos="2190"/>
        </w:tabs>
        <w:spacing w:line="380" w:lineRule="exact"/>
        <w:ind w:firstLine="435"/>
        <w:rPr>
          <w:rFonts w:ascii="宋体" w:hAnsi="宋体"/>
          <w:kern w:val="2"/>
          <w:szCs w:val="21"/>
        </w:rPr>
      </w:pPr>
      <w:r>
        <w:rPr>
          <w:rFonts w:hint="eastAsia" w:ascii="宋体" w:hAnsi="宋体"/>
          <w:kern w:val="2"/>
          <w:szCs w:val="21"/>
        </w:rPr>
        <w:t>9.2除单一来源采购项目外，为本采购项目提供整体设计、规范编制或者项目管理、监理、检测等服务的供应商，不得再参加该采购项目的其他采购活动，否则投标文件无效。</w:t>
      </w:r>
    </w:p>
    <w:p w14:paraId="33635FF2">
      <w:pPr>
        <w:tabs>
          <w:tab w:val="left" w:pos="1635"/>
        </w:tabs>
        <w:spacing w:line="380" w:lineRule="exact"/>
        <w:ind w:firstLine="435"/>
        <w:rPr>
          <w:rFonts w:ascii="宋体" w:hAnsi="宋体"/>
          <w:kern w:val="2"/>
          <w:szCs w:val="21"/>
        </w:rPr>
      </w:pPr>
      <w:r>
        <w:rPr>
          <w:rFonts w:hint="eastAsia" w:ascii="宋体" w:hAnsi="宋体"/>
          <w:kern w:val="2"/>
          <w:szCs w:val="21"/>
        </w:rPr>
        <w:t>9.3投标人应仔细阅读招标文件的所有内容，按照招标文件的要求提交投标文件，并对所提供的全部资料的真实性承担法律责任。</w:t>
      </w:r>
    </w:p>
    <w:p w14:paraId="2A140665">
      <w:pPr>
        <w:tabs>
          <w:tab w:val="left" w:pos="1635"/>
        </w:tabs>
        <w:spacing w:line="380" w:lineRule="exact"/>
        <w:ind w:firstLine="435"/>
        <w:rPr>
          <w:rFonts w:ascii="宋体" w:hAnsi="宋体"/>
          <w:kern w:val="2"/>
          <w:szCs w:val="21"/>
        </w:rPr>
      </w:pPr>
      <w:r>
        <w:rPr>
          <w:rFonts w:hint="eastAsia" w:ascii="宋体" w:hAnsi="宋体"/>
          <w:kern w:val="2"/>
          <w:szCs w:val="21"/>
        </w:rPr>
        <w:t>9.</w:t>
      </w:r>
      <w:r>
        <w:rPr>
          <w:rFonts w:hint="eastAsia" w:ascii="宋体" w:hAnsi="宋体"/>
          <w:kern w:val="2"/>
          <w:szCs w:val="21"/>
          <w:lang w:val="en-US" w:eastAsia="zh-CN"/>
        </w:rPr>
        <w:t>4</w:t>
      </w:r>
      <w:r>
        <w:rPr>
          <w:rFonts w:hint="eastAsia" w:ascii="宋体" w:hAnsi="宋体"/>
          <w:kern w:val="2"/>
          <w:szCs w:val="21"/>
        </w:rPr>
        <w:t>投标人在投标活动中提供任何虚假材料，其投标无效，并报监管部门查处；中标后发现的，中标人须依照《中华人民共和国消费者权益保护法》赔偿采购人，且民事赔偿并不免除违法投标人的行政与刑事责任。</w:t>
      </w:r>
    </w:p>
    <w:bookmarkEnd w:id="107"/>
    <w:bookmarkEnd w:id="108"/>
    <w:p w14:paraId="5F8D5C9B">
      <w:pPr>
        <w:spacing w:line="400" w:lineRule="exact"/>
        <w:ind w:firstLine="413"/>
        <w:outlineLvl w:val="2"/>
        <w:rPr>
          <w:rFonts w:ascii="宋体" w:hAnsi="宋体" w:cs="宋体"/>
          <w:b/>
          <w:szCs w:val="21"/>
        </w:rPr>
      </w:pPr>
      <w:bookmarkStart w:id="113" w:name="_Toc240644502"/>
      <w:r>
        <w:rPr>
          <w:rFonts w:hint="eastAsia" w:ascii="宋体" w:hAnsi="宋体" w:cs="宋体"/>
          <w:b/>
          <w:szCs w:val="21"/>
        </w:rPr>
        <w:t>10. 质疑和投诉</w:t>
      </w:r>
      <w:bookmarkEnd w:id="109"/>
      <w:bookmarkEnd w:id="110"/>
      <w:bookmarkEnd w:id="111"/>
      <w:bookmarkEnd w:id="112"/>
      <w:bookmarkEnd w:id="113"/>
    </w:p>
    <w:p w14:paraId="346798A6">
      <w:pPr>
        <w:tabs>
          <w:tab w:val="left" w:pos="1635"/>
        </w:tabs>
        <w:spacing w:line="380" w:lineRule="exact"/>
        <w:ind w:firstLine="435"/>
        <w:rPr>
          <w:rFonts w:ascii="宋体" w:hAnsi="宋体"/>
          <w:szCs w:val="21"/>
        </w:rPr>
      </w:pPr>
      <w:r>
        <w:rPr>
          <w:rFonts w:hint="eastAsia" w:ascii="宋体" w:hAnsi="宋体"/>
          <w:szCs w:val="21"/>
        </w:rPr>
        <w:t>10.1投标人对政府采购活动事项有疑问的，可以向采购人、采购代理机构提出询问。</w:t>
      </w:r>
    </w:p>
    <w:p w14:paraId="5BF210B7">
      <w:pPr>
        <w:tabs>
          <w:tab w:val="left" w:pos="1635"/>
        </w:tabs>
        <w:spacing w:line="380" w:lineRule="exact"/>
        <w:ind w:firstLine="435"/>
        <w:rPr>
          <w:rFonts w:ascii="宋体" w:hAnsi="宋体"/>
          <w:szCs w:val="21"/>
        </w:rPr>
      </w:pPr>
      <w:r>
        <w:rPr>
          <w:rFonts w:hint="eastAsia" w:ascii="宋体" w:hAnsi="宋体"/>
          <w:szCs w:val="21"/>
        </w:rPr>
        <w:t>10.2投标人认为招标文件使自己的合法权益受到损害的，应当在招标公告期限届满之日起7个工作日内以书面形式向采购代理机构提出质疑。投标人认为招标过程或中标结果使自己的合法权益受到损害的，应当在各采购程序环节结束之日或中标公告期限届满之日起七个工作日内，以书面形式向采购代理机构提出质疑。采购代理机构应认真做好质疑处理工作。</w:t>
      </w:r>
    </w:p>
    <w:p w14:paraId="6C39C064">
      <w:pPr>
        <w:tabs>
          <w:tab w:val="left" w:pos="2190"/>
        </w:tabs>
        <w:spacing w:line="380" w:lineRule="exact"/>
        <w:ind w:firstLine="435"/>
        <w:rPr>
          <w:rFonts w:ascii="宋体" w:hAnsi="宋体"/>
          <w:szCs w:val="21"/>
        </w:rPr>
      </w:pPr>
      <w:r>
        <w:rPr>
          <w:rFonts w:hint="eastAsia" w:ascii="宋体" w:hAnsi="宋体"/>
          <w:szCs w:val="21"/>
        </w:rPr>
        <w:t>10.3投标人对采购代理机构的答复不满意或者采购代理机构未在规定的时间内作出答复的，可以在答复期满后十五个工作日内向</w:t>
      </w:r>
      <w:r>
        <w:rPr>
          <w:rFonts w:hint="eastAsia" w:ascii="宋体" w:hAnsi="宋体" w:cs="宋体"/>
          <w:szCs w:val="21"/>
          <w:lang w:eastAsia="zh-CN"/>
        </w:rPr>
        <w:t>灌阳县财政局</w:t>
      </w:r>
      <w:r>
        <w:rPr>
          <w:rFonts w:hint="eastAsia" w:ascii="宋体" w:hAnsi="宋体"/>
          <w:szCs w:val="21"/>
        </w:rPr>
        <w:t>投诉。</w:t>
      </w:r>
    </w:p>
    <w:p w14:paraId="08523AFA">
      <w:pPr>
        <w:tabs>
          <w:tab w:val="left" w:pos="2190"/>
        </w:tabs>
        <w:spacing w:line="380" w:lineRule="exact"/>
        <w:ind w:firstLine="435"/>
        <w:rPr>
          <w:rFonts w:ascii="宋体" w:hAnsi="宋体"/>
          <w:b/>
          <w:szCs w:val="21"/>
        </w:rPr>
      </w:pPr>
      <w:r>
        <w:rPr>
          <w:rFonts w:hint="eastAsia" w:ascii="宋体" w:hAnsi="宋体"/>
          <w:szCs w:val="21"/>
        </w:rPr>
        <w:t>10.4质疑、投诉应当采用书面形式，质疑书、投诉书实行实名制，均应明确阐述招标文件、招标过程或中标结果中使自己合法权益受到损害的实质性内容，提供相关事实、依据和证据及其来源或线索，必要的证明材料，便于有关单位调查、答复和处理。</w:t>
      </w:r>
      <w:r>
        <w:rPr>
          <w:rFonts w:hint="eastAsia" w:ascii="宋体" w:hAnsi="宋体"/>
          <w:b/>
          <w:szCs w:val="21"/>
        </w:rPr>
        <w:t>质疑函格式详见附件1。</w:t>
      </w:r>
    </w:p>
    <w:p w14:paraId="05C0972C">
      <w:pPr>
        <w:tabs>
          <w:tab w:val="left" w:pos="2190"/>
        </w:tabs>
        <w:spacing w:line="380" w:lineRule="exact"/>
        <w:ind w:firstLine="435"/>
        <w:rPr>
          <w:rFonts w:ascii="宋体" w:hAnsi="宋体"/>
          <w:szCs w:val="21"/>
        </w:rPr>
      </w:pPr>
      <w:r>
        <w:rPr>
          <w:rFonts w:hint="eastAsia" w:ascii="宋体" w:hAnsi="宋体"/>
          <w:szCs w:val="21"/>
        </w:rPr>
        <w:t>10.5质疑联系部门：</w:t>
      </w:r>
      <w:r>
        <w:rPr>
          <w:rFonts w:hint="eastAsia" w:ascii="宋体" w:hAnsi="宋体"/>
          <w:szCs w:val="21"/>
          <w:lang w:eastAsia="zh-CN"/>
        </w:rPr>
        <w:t>广西北部湾宏亚建设管理有限公司</w:t>
      </w:r>
      <w:r>
        <w:rPr>
          <w:rFonts w:hint="eastAsia" w:ascii="宋体" w:hAnsi="宋体"/>
          <w:szCs w:val="21"/>
        </w:rPr>
        <w:t>；联系电话：</w:t>
      </w:r>
      <w:r>
        <w:rPr>
          <w:rFonts w:hint="eastAsia" w:ascii="宋体" w:hAnsi="宋体" w:cs="宋体"/>
          <w:szCs w:val="21"/>
          <w:u w:val="none"/>
        </w:rPr>
        <w:t>19178348505</w:t>
      </w:r>
      <w:r>
        <w:rPr>
          <w:rFonts w:hint="eastAsia" w:ascii="宋体" w:hAnsi="宋体"/>
          <w:szCs w:val="21"/>
        </w:rPr>
        <w:t>；</w:t>
      </w:r>
    </w:p>
    <w:p w14:paraId="377E6089">
      <w:pPr>
        <w:tabs>
          <w:tab w:val="left" w:pos="2190"/>
        </w:tabs>
        <w:spacing w:line="380" w:lineRule="exact"/>
        <w:ind w:firstLine="435"/>
        <w:rPr>
          <w:rFonts w:ascii="宋体" w:hAnsi="宋体"/>
          <w:szCs w:val="21"/>
        </w:rPr>
      </w:pPr>
      <w:r>
        <w:rPr>
          <w:rFonts w:hint="eastAsia" w:ascii="宋体" w:hAnsi="宋体"/>
          <w:szCs w:val="21"/>
        </w:rPr>
        <w:t>10.6投诉联系部门：</w:t>
      </w:r>
      <w:r>
        <w:rPr>
          <w:rFonts w:hint="eastAsia" w:ascii="宋体" w:hAnsi="宋体" w:eastAsia="宋体" w:cs="宋体"/>
          <w:color w:val="auto"/>
          <w:sz w:val="21"/>
          <w:szCs w:val="21"/>
          <w:lang w:eastAsia="zh-CN"/>
        </w:rPr>
        <w:t>灌阳县财政局；电话：0773-4250206</w:t>
      </w:r>
      <w:r>
        <w:rPr>
          <w:rFonts w:hint="eastAsia" w:ascii="宋体" w:hAnsi="宋体"/>
          <w:szCs w:val="21"/>
        </w:rPr>
        <w:t>；</w:t>
      </w:r>
    </w:p>
    <w:p w14:paraId="006E8DF9">
      <w:pPr>
        <w:spacing w:line="360" w:lineRule="auto"/>
        <w:jc w:val="center"/>
        <w:outlineLvl w:val="1"/>
        <w:rPr>
          <w:rFonts w:ascii="宋体" w:hAnsi="宋体" w:cs="宋体"/>
          <w:b/>
          <w:sz w:val="28"/>
          <w:szCs w:val="28"/>
        </w:rPr>
      </w:pPr>
      <w:bookmarkStart w:id="114" w:name="_Toc8223"/>
      <w:bookmarkStart w:id="115" w:name="_Toc6682"/>
      <w:bookmarkStart w:id="116" w:name="_Toc26849"/>
      <w:bookmarkStart w:id="117" w:name="_Toc240644503"/>
      <w:bookmarkStart w:id="118" w:name="_Toc495841755"/>
      <w:bookmarkStart w:id="119" w:name="_Toc239867310"/>
      <w:r>
        <w:rPr>
          <w:rFonts w:hint="eastAsia" w:ascii="宋体" w:hAnsi="宋体" w:cs="宋体"/>
          <w:b/>
          <w:sz w:val="28"/>
          <w:szCs w:val="28"/>
        </w:rPr>
        <w:t>二、招标文件</w:t>
      </w:r>
      <w:bookmarkEnd w:id="114"/>
      <w:bookmarkEnd w:id="115"/>
      <w:bookmarkEnd w:id="116"/>
      <w:bookmarkEnd w:id="117"/>
      <w:bookmarkEnd w:id="118"/>
      <w:bookmarkEnd w:id="119"/>
    </w:p>
    <w:p w14:paraId="204A1AA4">
      <w:pPr>
        <w:spacing w:line="400" w:lineRule="exact"/>
        <w:ind w:firstLine="413"/>
        <w:outlineLvl w:val="2"/>
        <w:rPr>
          <w:rFonts w:ascii="宋体" w:hAnsi="宋体" w:cs="宋体"/>
          <w:b/>
          <w:szCs w:val="21"/>
        </w:rPr>
      </w:pPr>
      <w:bookmarkStart w:id="120" w:name="_Toc240644504"/>
      <w:bookmarkStart w:id="121" w:name="_Toc3397"/>
      <w:bookmarkStart w:id="122" w:name="_Toc9005"/>
      <w:bookmarkStart w:id="123" w:name="_Toc27965"/>
      <w:bookmarkStart w:id="124" w:name="_Toc239867311"/>
      <w:r>
        <w:rPr>
          <w:rFonts w:hint="eastAsia" w:ascii="宋体" w:hAnsi="宋体" w:cs="宋体"/>
          <w:b/>
          <w:szCs w:val="21"/>
        </w:rPr>
        <w:t>11. 招标文件的构成</w:t>
      </w:r>
      <w:bookmarkEnd w:id="120"/>
      <w:bookmarkEnd w:id="121"/>
      <w:bookmarkEnd w:id="122"/>
      <w:bookmarkEnd w:id="123"/>
      <w:bookmarkEnd w:id="124"/>
    </w:p>
    <w:p w14:paraId="29090D3A">
      <w:pPr>
        <w:spacing w:line="400" w:lineRule="exact"/>
        <w:ind w:firstLine="411"/>
        <w:rPr>
          <w:rFonts w:ascii="宋体" w:hAnsi="宋体" w:cs="宋体"/>
          <w:szCs w:val="21"/>
        </w:rPr>
      </w:pPr>
      <w:r>
        <w:rPr>
          <w:rFonts w:hint="eastAsia" w:ascii="宋体" w:hAnsi="宋体" w:cs="宋体"/>
          <w:szCs w:val="21"/>
        </w:rPr>
        <w:t>（1）招标公告；</w:t>
      </w:r>
    </w:p>
    <w:p w14:paraId="187B126D">
      <w:pPr>
        <w:spacing w:line="400" w:lineRule="exact"/>
        <w:ind w:firstLine="411"/>
        <w:rPr>
          <w:rFonts w:ascii="宋体" w:hAnsi="宋体" w:cs="宋体"/>
          <w:szCs w:val="21"/>
        </w:rPr>
      </w:pPr>
      <w:r>
        <w:rPr>
          <w:rFonts w:hint="eastAsia" w:ascii="宋体" w:hAnsi="宋体" w:cs="宋体"/>
          <w:szCs w:val="21"/>
        </w:rPr>
        <w:t>（2）投标人须知；</w:t>
      </w:r>
    </w:p>
    <w:p w14:paraId="506AF0C9">
      <w:pPr>
        <w:spacing w:line="400" w:lineRule="exact"/>
        <w:ind w:firstLine="411"/>
        <w:rPr>
          <w:rFonts w:ascii="宋体" w:hAnsi="宋体" w:cs="宋体"/>
          <w:szCs w:val="21"/>
        </w:rPr>
      </w:pPr>
      <w:r>
        <w:rPr>
          <w:rFonts w:hint="eastAsia" w:ascii="宋体" w:hAnsi="宋体" w:cs="宋体"/>
          <w:szCs w:val="21"/>
        </w:rPr>
        <w:t>（3）采购需求；</w:t>
      </w:r>
    </w:p>
    <w:p w14:paraId="520A3D4A">
      <w:pPr>
        <w:spacing w:line="400" w:lineRule="exact"/>
        <w:ind w:firstLine="411"/>
        <w:rPr>
          <w:rFonts w:ascii="宋体" w:hAnsi="宋体" w:cs="宋体"/>
          <w:szCs w:val="21"/>
        </w:rPr>
      </w:pPr>
      <w:r>
        <w:rPr>
          <w:rFonts w:hint="eastAsia" w:ascii="宋体" w:hAnsi="宋体" w:cs="宋体"/>
          <w:szCs w:val="21"/>
        </w:rPr>
        <w:t>（4）评标办法；</w:t>
      </w:r>
    </w:p>
    <w:p w14:paraId="4CDCC7D2">
      <w:pPr>
        <w:spacing w:line="400" w:lineRule="exact"/>
        <w:ind w:firstLine="411"/>
        <w:rPr>
          <w:rFonts w:ascii="宋体" w:hAnsi="宋体" w:cs="宋体"/>
          <w:szCs w:val="21"/>
        </w:rPr>
      </w:pPr>
      <w:r>
        <w:rPr>
          <w:rFonts w:hint="eastAsia" w:ascii="宋体" w:hAnsi="宋体" w:cs="宋体"/>
          <w:szCs w:val="21"/>
        </w:rPr>
        <w:t>（5）采购合同（合同主要条款及格式）；</w:t>
      </w:r>
    </w:p>
    <w:p w14:paraId="08D03632">
      <w:pPr>
        <w:spacing w:line="400" w:lineRule="exact"/>
        <w:ind w:firstLine="411"/>
        <w:rPr>
          <w:rFonts w:ascii="宋体" w:hAnsi="宋体" w:cs="宋体"/>
          <w:szCs w:val="21"/>
        </w:rPr>
      </w:pPr>
      <w:r>
        <w:rPr>
          <w:rFonts w:hint="eastAsia" w:ascii="宋体" w:hAnsi="宋体" w:cs="宋体"/>
          <w:szCs w:val="21"/>
        </w:rPr>
        <w:t>（6）投标文件（格式）。</w:t>
      </w:r>
    </w:p>
    <w:p w14:paraId="4CD2EB80">
      <w:pPr>
        <w:spacing w:line="400" w:lineRule="exact"/>
        <w:ind w:firstLine="413"/>
        <w:outlineLvl w:val="2"/>
        <w:rPr>
          <w:rFonts w:ascii="宋体" w:hAnsi="宋体" w:cs="宋体"/>
          <w:b/>
          <w:szCs w:val="21"/>
        </w:rPr>
      </w:pPr>
      <w:bookmarkStart w:id="125" w:name="_Toc239867312"/>
      <w:bookmarkStart w:id="126" w:name="_Toc240644505"/>
      <w:bookmarkStart w:id="127" w:name="_Toc2160"/>
      <w:bookmarkStart w:id="128" w:name="_Toc4416"/>
      <w:bookmarkStart w:id="129" w:name="_Toc24191"/>
      <w:r>
        <w:rPr>
          <w:rFonts w:hint="eastAsia" w:ascii="宋体" w:hAnsi="宋体" w:cs="宋体"/>
          <w:b/>
          <w:szCs w:val="21"/>
        </w:rPr>
        <w:t>12. 招标文件的澄清与修改</w:t>
      </w:r>
      <w:bookmarkEnd w:id="125"/>
      <w:bookmarkEnd w:id="126"/>
      <w:bookmarkEnd w:id="127"/>
      <w:bookmarkEnd w:id="128"/>
      <w:bookmarkEnd w:id="129"/>
    </w:p>
    <w:p w14:paraId="37C49058">
      <w:pPr>
        <w:spacing w:line="400" w:lineRule="exact"/>
        <w:ind w:firstLine="411"/>
        <w:rPr>
          <w:rFonts w:ascii="宋体" w:hAnsi="宋体" w:cs="宋体"/>
          <w:szCs w:val="21"/>
        </w:rPr>
      </w:pPr>
      <w:r>
        <w:rPr>
          <w:rFonts w:hint="eastAsia" w:ascii="宋体" w:hAnsi="宋体" w:cs="宋体"/>
          <w:szCs w:val="21"/>
        </w:rPr>
        <w:t>12.1投标人应认真阅读招标文件，发现其中有误或有不合理要求的，投标人必须在招标公告期限届满之日起七个工作日内以书面形式要求采购代理机构澄清。</w:t>
      </w:r>
    </w:p>
    <w:p w14:paraId="23AE3246">
      <w:pPr>
        <w:spacing w:line="400" w:lineRule="exact"/>
        <w:ind w:firstLine="411"/>
        <w:rPr>
          <w:rFonts w:ascii="宋体" w:hAnsi="宋体" w:cs="宋体"/>
          <w:szCs w:val="21"/>
        </w:rPr>
      </w:pPr>
      <w:r>
        <w:rPr>
          <w:rFonts w:hint="eastAsia" w:ascii="宋体" w:hAnsi="宋体" w:cs="宋体"/>
          <w:szCs w:val="21"/>
        </w:rPr>
        <w:t>12.2采购代理机构可以对已发出的招标文件进行必要的澄清或者修改，但不得改变采购标的和资格条件。澄清或者修改应当在原公告发布媒体上发布澄清公告。澄清或者修改的内容为招标文件的组成部分。澄清或者修改的内容可能影响投标文件编制的，采购代理机构应当在投标截止时间至少15日前在本招标项目招标公告发布的同一媒体上发布更正公告；不足15日的，采购代理机构应当顺延提交投标文件的截止时间。</w:t>
      </w:r>
    </w:p>
    <w:p w14:paraId="7CE64F76">
      <w:pPr>
        <w:spacing w:line="400" w:lineRule="exact"/>
        <w:ind w:firstLine="411"/>
        <w:rPr>
          <w:rFonts w:ascii="宋体" w:hAnsi="宋体" w:cs="宋体"/>
          <w:szCs w:val="21"/>
        </w:rPr>
      </w:pPr>
      <w:r>
        <w:rPr>
          <w:rFonts w:hint="eastAsia" w:ascii="宋体" w:hAnsi="宋体" w:cs="宋体"/>
          <w:szCs w:val="21"/>
        </w:rPr>
        <w:t>12.3</w:t>
      </w:r>
      <w:r>
        <w:rPr>
          <w:rFonts w:hint="eastAsia" w:ascii="宋体" w:hAnsi="宋体" w:cs="宋体"/>
          <w:b/>
          <w:szCs w:val="21"/>
        </w:rPr>
        <w:t>投标人下载招标文件后应实时关注相关网站了解澄清、修改等与项目有关的内容，如因投标人未及时登录相关网站了解澄清、修改等与项目有关的内容，从而导致投标无效的，由投标人自行承担责任。</w:t>
      </w:r>
    </w:p>
    <w:p w14:paraId="0FE8C80D">
      <w:pPr>
        <w:spacing w:line="400" w:lineRule="exact"/>
        <w:ind w:firstLine="411"/>
        <w:rPr>
          <w:rFonts w:ascii="宋体" w:hAnsi="宋体" w:cs="宋体"/>
          <w:szCs w:val="21"/>
        </w:rPr>
      </w:pPr>
      <w:r>
        <w:rPr>
          <w:rFonts w:hint="eastAsia" w:ascii="宋体" w:hAnsi="宋体" w:cs="宋体"/>
          <w:szCs w:val="21"/>
        </w:rPr>
        <w:t>12.4必要的澄清、修改的内容为招标文件的组成部分。当澄清、修改通知就同一内容的表述不一致时，以最后发出的书面文件为准。</w:t>
      </w:r>
    </w:p>
    <w:p w14:paraId="466E3523">
      <w:pPr>
        <w:spacing w:line="400" w:lineRule="exact"/>
        <w:ind w:firstLine="411"/>
        <w:rPr>
          <w:rFonts w:ascii="宋体" w:hAnsi="宋体" w:cs="宋体"/>
          <w:szCs w:val="21"/>
        </w:rPr>
      </w:pPr>
      <w:r>
        <w:rPr>
          <w:rFonts w:hint="eastAsia" w:ascii="宋体" w:hAnsi="宋体" w:cs="宋体"/>
          <w:szCs w:val="21"/>
        </w:rPr>
        <w:t>12.5招标文件的澄清、修改都应该通过采购代理机构以法定形式发布，采购人非通过本机构，不得擅自澄清、修改招标文件。</w:t>
      </w:r>
    </w:p>
    <w:p w14:paraId="13C7FFE5">
      <w:pPr>
        <w:tabs>
          <w:tab w:val="left" w:pos="2190"/>
        </w:tabs>
        <w:spacing w:line="400" w:lineRule="exact"/>
        <w:ind w:firstLine="435"/>
        <w:rPr>
          <w:rFonts w:ascii="宋体" w:hAnsi="宋体" w:cs="宋体"/>
          <w:szCs w:val="21"/>
        </w:rPr>
      </w:pPr>
    </w:p>
    <w:p w14:paraId="1D2D0875">
      <w:pPr>
        <w:spacing w:line="360" w:lineRule="auto"/>
        <w:jc w:val="center"/>
        <w:outlineLvl w:val="1"/>
        <w:rPr>
          <w:rFonts w:ascii="宋体" w:hAnsi="宋体" w:cs="宋体"/>
          <w:b/>
          <w:sz w:val="28"/>
          <w:szCs w:val="28"/>
        </w:rPr>
      </w:pPr>
      <w:bookmarkStart w:id="130" w:name="_Toc240644506"/>
      <w:bookmarkStart w:id="131" w:name="_Toc12803"/>
      <w:bookmarkStart w:id="132" w:name="_Toc239867313"/>
      <w:bookmarkStart w:id="133" w:name="_Toc495841756"/>
      <w:bookmarkStart w:id="134" w:name="_Toc21553"/>
      <w:bookmarkStart w:id="135" w:name="_Toc7631"/>
      <w:r>
        <w:rPr>
          <w:rFonts w:hint="eastAsia" w:ascii="宋体" w:hAnsi="宋体" w:cs="宋体"/>
          <w:b/>
          <w:sz w:val="28"/>
          <w:szCs w:val="28"/>
        </w:rPr>
        <w:t>三、投标文件的编制</w:t>
      </w:r>
      <w:bookmarkEnd w:id="130"/>
      <w:bookmarkEnd w:id="131"/>
      <w:bookmarkEnd w:id="132"/>
      <w:bookmarkEnd w:id="133"/>
      <w:bookmarkEnd w:id="134"/>
      <w:bookmarkEnd w:id="135"/>
    </w:p>
    <w:p w14:paraId="0BB6978D">
      <w:pPr>
        <w:spacing w:line="400" w:lineRule="exact"/>
        <w:ind w:firstLine="413"/>
        <w:outlineLvl w:val="2"/>
        <w:rPr>
          <w:rFonts w:ascii="宋体" w:hAnsi="宋体" w:cs="宋体"/>
          <w:b/>
          <w:szCs w:val="21"/>
        </w:rPr>
      </w:pPr>
      <w:bookmarkStart w:id="136" w:name="_Toc240644507"/>
      <w:bookmarkStart w:id="137" w:name="_Toc15443"/>
      <w:bookmarkStart w:id="138" w:name="_Toc23738"/>
      <w:bookmarkStart w:id="139" w:name="_Toc239867314"/>
      <w:bookmarkStart w:id="140" w:name="_Toc18258"/>
      <w:bookmarkStart w:id="141" w:name="_Toc22333"/>
      <w:bookmarkStart w:id="142" w:name="_Toc240644510"/>
      <w:bookmarkStart w:id="143" w:name="_Toc239867317"/>
      <w:bookmarkStart w:id="144" w:name="_Toc15962"/>
      <w:bookmarkStart w:id="145" w:name="_Toc18209"/>
      <w:r>
        <w:rPr>
          <w:rFonts w:hint="eastAsia" w:ascii="宋体" w:hAnsi="宋体" w:cs="宋体"/>
          <w:b/>
          <w:szCs w:val="21"/>
        </w:rPr>
        <w:t>13. 投标文件的组成及要求</w:t>
      </w:r>
      <w:bookmarkEnd w:id="136"/>
      <w:bookmarkEnd w:id="137"/>
      <w:bookmarkEnd w:id="138"/>
      <w:bookmarkEnd w:id="139"/>
      <w:bookmarkEnd w:id="140"/>
    </w:p>
    <w:p w14:paraId="722BAFC0">
      <w:pPr>
        <w:spacing w:line="360" w:lineRule="auto"/>
        <w:ind w:firstLine="422"/>
        <w:rPr>
          <w:rFonts w:ascii="宋体" w:hAnsi="宋体" w:cs="宋体"/>
          <w:b/>
          <w:bCs/>
          <w:szCs w:val="21"/>
        </w:rPr>
      </w:pPr>
      <w:r>
        <w:rPr>
          <w:rFonts w:hint="eastAsia" w:ascii="宋体" w:hAnsi="宋体" w:cs="宋体"/>
          <w:b/>
          <w:bCs/>
          <w:szCs w:val="21"/>
        </w:rPr>
        <w:t>13</w:t>
      </w:r>
      <w:r>
        <w:rPr>
          <w:rFonts w:ascii="宋体" w:hAnsi="宋体" w:cs="宋体"/>
          <w:b/>
          <w:bCs/>
          <w:szCs w:val="21"/>
        </w:rPr>
        <w:t>.1 本项目实行电子投标，供应商应准备电子</w:t>
      </w:r>
      <w:r>
        <w:rPr>
          <w:rFonts w:hint="eastAsia" w:ascii="宋体" w:hAnsi="宋体" w:cs="宋体"/>
          <w:b/>
          <w:bCs/>
          <w:szCs w:val="21"/>
        </w:rPr>
        <w:t>投标</w:t>
      </w:r>
      <w:r>
        <w:rPr>
          <w:rFonts w:ascii="宋体" w:hAnsi="宋体" w:cs="宋体"/>
          <w:b/>
          <w:bCs/>
          <w:szCs w:val="21"/>
        </w:rPr>
        <w:t>文件</w:t>
      </w:r>
      <w:r>
        <w:rPr>
          <w:rFonts w:hint="eastAsia" w:ascii="宋体" w:hAnsi="宋体" w:cs="宋体"/>
          <w:b/>
          <w:bCs/>
          <w:szCs w:val="21"/>
        </w:rPr>
        <w:t>：</w:t>
      </w:r>
    </w:p>
    <w:p w14:paraId="048BD2A6">
      <w:pPr>
        <w:spacing w:line="360" w:lineRule="auto"/>
        <w:ind w:firstLine="422"/>
      </w:pPr>
      <w:r>
        <w:rPr>
          <w:rFonts w:hint="eastAsia" w:ascii="宋体" w:hAnsi="宋体" w:cs="宋体"/>
          <w:b/>
          <w:bCs/>
          <w:szCs w:val="21"/>
        </w:rPr>
        <w:t>13</w:t>
      </w:r>
      <w:r>
        <w:rPr>
          <w:rFonts w:ascii="宋体" w:hAnsi="宋体" w:cs="宋体"/>
          <w:b/>
          <w:bCs/>
          <w:szCs w:val="21"/>
        </w:rPr>
        <w:t>.1.1 电子</w:t>
      </w:r>
      <w:r>
        <w:rPr>
          <w:rFonts w:hint="eastAsia" w:ascii="宋体" w:hAnsi="宋体" w:cs="宋体"/>
          <w:b/>
          <w:bCs/>
          <w:szCs w:val="21"/>
        </w:rPr>
        <w:t>投标</w:t>
      </w:r>
      <w:r>
        <w:rPr>
          <w:rFonts w:ascii="宋体" w:hAnsi="宋体" w:cs="宋体"/>
          <w:b/>
          <w:bCs/>
          <w:szCs w:val="21"/>
        </w:rPr>
        <w:t>文件按</w:t>
      </w:r>
      <w:r>
        <w:rPr>
          <w:rFonts w:hint="eastAsia" w:ascii="宋体" w:hAnsi="宋体" w:cs="宋体"/>
          <w:b/>
          <w:bCs/>
          <w:szCs w:val="21"/>
        </w:rPr>
        <w:t>广西政府采购云平台</w:t>
      </w:r>
      <w:r>
        <w:rPr>
          <w:rFonts w:ascii="宋体" w:hAnsi="宋体" w:cs="宋体"/>
          <w:b/>
          <w:bCs/>
          <w:szCs w:val="21"/>
        </w:rPr>
        <w:t>要求及本</w:t>
      </w:r>
      <w:r>
        <w:rPr>
          <w:rFonts w:hint="eastAsia" w:ascii="宋体" w:hAnsi="宋体" w:cs="宋体"/>
          <w:b/>
          <w:bCs/>
          <w:szCs w:val="21"/>
        </w:rPr>
        <w:t>招标</w:t>
      </w:r>
      <w:r>
        <w:rPr>
          <w:rFonts w:ascii="宋体" w:hAnsi="宋体" w:cs="宋体"/>
          <w:b/>
          <w:bCs/>
          <w:szCs w:val="21"/>
        </w:rPr>
        <w:t>文件要求制作、加密并递交。具体操作流程可参考《政府采购项目电子交易管理操作指南-供应商》</w:t>
      </w:r>
      <w:r>
        <w:rPr>
          <w:rFonts w:hint="eastAsia" w:ascii="宋体" w:hAnsi="宋体" w:cs="宋体"/>
          <w:b/>
          <w:bCs/>
          <w:szCs w:val="21"/>
        </w:rPr>
        <w:t>，</w:t>
      </w:r>
      <w:r>
        <w:rPr>
          <w:rFonts w:ascii="宋体" w:hAnsi="宋体" w:cs="宋体"/>
          <w:b/>
          <w:bCs/>
          <w:szCs w:val="21"/>
        </w:rPr>
        <w:t>指南可在 “</w:t>
      </w:r>
      <w:r>
        <w:rPr>
          <w:rFonts w:hint="eastAsia" w:ascii="宋体" w:hAnsi="宋体" w:cs="宋体"/>
          <w:b/>
          <w:bCs/>
          <w:szCs w:val="21"/>
        </w:rPr>
        <w:t>广西政府采购云平台</w:t>
      </w:r>
      <w:r>
        <w:rPr>
          <w:rFonts w:ascii="宋体" w:hAnsi="宋体" w:cs="宋体"/>
          <w:b/>
          <w:bCs/>
          <w:szCs w:val="21"/>
        </w:rPr>
        <w:t xml:space="preserve">”下载。 </w:t>
      </w:r>
    </w:p>
    <w:p w14:paraId="7ABA0E84">
      <w:pPr>
        <w:tabs>
          <w:tab w:val="left" w:pos="2190"/>
        </w:tabs>
        <w:spacing w:line="400" w:lineRule="exact"/>
        <w:ind w:firstLine="435"/>
        <w:rPr>
          <w:rFonts w:ascii="宋体" w:hAnsi="宋体" w:cs="宋体"/>
          <w:b/>
          <w:szCs w:val="21"/>
        </w:rPr>
      </w:pPr>
      <w:r>
        <w:rPr>
          <w:rFonts w:hint="eastAsia" w:ascii="宋体" w:hAnsi="宋体" w:cs="宋体"/>
          <w:b/>
          <w:bCs/>
          <w:szCs w:val="21"/>
        </w:rPr>
        <w:t>13.2</w:t>
      </w:r>
      <w:r>
        <w:rPr>
          <w:rFonts w:hint="eastAsia" w:ascii="宋体" w:hAnsi="宋体" w:cs="宋体"/>
          <w:b/>
          <w:szCs w:val="21"/>
        </w:rPr>
        <w:t>投标文件组成【格式见第六章“投标文件（格式）”】</w:t>
      </w:r>
    </w:p>
    <w:p w14:paraId="7B5D99BA">
      <w:pPr>
        <w:spacing w:line="360" w:lineRule="auto"/>
        <w:ind w:firstLine="422"/>
        <w:rPr>
          <w:rFonts w:ascii="宋体" w:hAnsi="宋体" w:cs="宋体"/>
          <w:b/>
          <w:bCs/>
          <w:szCs w:val="21"/>
        </w:rPr>
      </w:pPr>
      <w:r>
        <w:rPr>
          <w:rFonts w:hint="eastAsia" w:ascii="宋体" w:hAnsi="宋体" w:cs="宋体"/>
          <w:b/>
          <w:bCs/>
          <w:szCs w:val="21"/>
        </w:rPr>
        <w:t>13.2.1资格性响应证明材料：</w:t>
      </w:r>
    </w:p>
    <w:p w14:paraId="65D98D72">
      <w:pPr>
        <w:spacing w:line="400" w:lineRule="exact"/>
        <w:ind w:firstLine="411"/>
        <w:rPr>
          <w:rFonts w:ascii="宋体" w:hAnsi="宋体" w:cs="宋体"/>
          <w:szCs w:val="21"/>
        </w:rPr>
      </w:pPr>
      <w:r>
        <w:rPr>
          <w:rFonts w:hint="eastAsia" w:ascii="宋体" w:hAnsi="宋体" w:cs="宋体"/>
          <w:szCs w:val="21"/>
        </w:rPr>
        <w:t>（1）投标人相应的法定代表人或负责人或自然人身份证正反面扫描件</w:t>
      </w:r>
      <w:r>
        <w:rPr>
          <w:rFonts w:hint="eastAsia" w:ascii="宋体" w:hAnsi="宋体" w:cs="宋体"/>
          <w:b/>
          <w:bCs/>
          <w:szCs w:val="21"/>
        </w:rPr>
        <w:t>（必须提供）</w:t>
      </w:r>
      <w:r>
        <w:rPr>
          <w:rFonts w:hint="eastAsia" w:ascii="宋体" w:hAnsi="宋体" w:cs="宋体"/>
          <w:szCs w:val="21"/>
        </w:rPr>
        <w:t>；</w:t>
      </w:r>
    </w:p>
    <w:p w14:paraId="3442519D">
      <w:pPr>
        <w:spacing w:line="400" w:lineRule="exact"/>
        <w:ind w:firstLine="411"/>
        <w:rPr>
          <w:rFonts w:ascii="宋体" w:hAnsi="宋体" w:cs="宋体"/>
          <w:szCs w:val="21"/>
        </w:rPr>
      </w:pPr>
      <w:r>
        <w:rPr>
          <w:rFonts w:hint="eastAsia" w:ascii="宋体" w:hAnsi="宋体" w:cs="宋体"/>
          <w:szCs w:val="21"/>
        </w:rPr>
        <w:t>（2）投标人的授权委托书原件、委托代理人身份证正反面扫描件以及由县级以上（含县级）社会养老保险经办机构出具的</w:t>
      </w:r>
      <w:bookmarkStart w:id="146" w:name="OLE_LINK59"/>
      <w:bookmarkStart w:id="147" w:name="OLE_LINK60"/>
      <w:r>
        <w:rPr>
          <w:rFonts w:hint="eastAsia" w:ascii="宋体" w:hAnsi="宋体" w:cs="宋体"/>
          <w:szCs w:val="21"/>
        </w:rPr>
        <w:t>投标人为委托代理人交纳的</w:t>
      </w:r>
      <w:r>
        <w:rPr>
          <w:rFonts w:hint="eastAsia" w:ascii="宋体" w:hAnsi="宋体" w:cs="宋体"/>
          <w:szCs w:val="21"/>
          <w:lang w:eastAsia="zh-CN"/>
        </w:rPr>
        <w:t>投标截止时间前半年内任意一个月</w:t>
      </w:r>
      <w:r>
        <w:rPr>
          <w:rFonts w:hint="eastAsia" w:ascii="宋体" w:hAnsi="宋体" w:cs="宋体"/>
          <w:szCs w:val="21"/>
        </w:rPr>
        <w:t>养老保险证明扫描件</w:t>
      </w:r>
      <w:bookmarkEnd w:id="146"/>
      <w:bookmarkEnd w:id="147"/>
      <w:r>
        <w:rPr>
          <w:rFonts w:hint="eastAsia" w:ascii="宋体" w:hAnsi="宋体" w:cs="宋体"/>
          <w:bCs/>
          <w:szCs w:val="21"/>
        </w:rPr>
        <w:t>【</w:t>
      </w:r>
      <w:bookmarkStart w:id="148" w:name="OLE_LINK61"/>
      <w:bookmarkStart w:id="149" w:name="OLE_LINK62"/>
      <w:r>
        <w:rPr>
          <w:rFonts w:hint="eastAsia" w:ascii="宋体" w:hAnsi="宋体" w:cs="宋体"/>
          <w:bCs/>
          <w:szCs w:val="21"/>
        </w:rPr>
        <w:t>属自然人的应提供由县级以上（含县级）社会养老保险经办机构出具的自然人本人及委托代理人所交纳的</w:t>
      </w:r>
      <w:r>
        <w:rPr>
          <w:rFonts w:hint="eastAsia" w:ascii="宋体" w:hAnsi="宋体" w:cs="宋体"/>
          <w:bCs/>
          <w:szCs w:val="21"/>
          <w:lang w:eastAsia="zh-CN"/>
        </w:rPr>
        <w:t>投标截止时间前半年内任意一个月</w:t>
      </w:r>
      <w:r>
        <w:rPr>
          <w:rFonts w:hint="eastAsia" w:ascii="宋体" w:hAnsi="宋体" w:cs="宋体"/>
          <w:bCs/>
          <w:szCs w:val="21"/>
        </w:rPr>
        <w:t>养老保险证明扫描件。</w:t>
      </w:r>
      <w:bookmarkEnd w:id="148"/>
      <w:bookmarkEnd w:id="149"/>
      <w:r>
        <w:rPr>
          <w:rFonts w:hint="eastAsia" w:ascii="宋体" w:hAnsi="宋体" w:cs="宋体"/>
          <w:b/>
          <w:bCs/>
          <w:szCs w:val="21"/>
        </w:rPr>
        <w:t>】</w:t>
      </w:r>
      <w:bookmarkStart w:id="150" w:name="OLE_LINK68"/>
      <w:bookmarkStart w:id="151" w:name="OLE_LINK67"/>
      <w:r>
        <w:rPr>
          <w:rFonts w:hint="eastAsia" w:ascii="宋体" w:hAnsi="宋体"/>
          <w:b/>
          <w:szCs w:val="21"/>
        </w:rPr>
        <w:t>（委托代理时，必须提供）；</w:t>
      </w:r>
      <w:bookmarkEnd w:id="150"/>
      <w:bookmarkEnd w:id="151"/>
      <w:r>
        <w:rPr>
          <w:rFonts w:hint="eastAsia" w:ascii="宋体" w:hAnsi="宋体" w:cs="宋体"/>
          <w:szCs w:val="21"/>
        </w:rPr>
        <w:t xml:space="preserve"> </w:t>
      </w:r>
    </w:p>
    <w:p w14:paraId="589F9292">
      <w:pPr>
        <w:spacing w:line="360" w:lineRule="auto"/>
        <w:ind w:firstLine="411"/>
        <w:rPr>
          <w:b/>
          <w:sz w:val="18"/>
          <w:szCs w:val="18"/>
        </w:rPr>
      </w:pPr>
      <w:bookmarkStart w:id="152" w:name="OLE_LINK71"/>
      <w:bookmarkStart w:id="153" w:name="OLE_LINK70"/>
      <w:r>
        <w:rPr>
          <w:rFonts w:hint="eastAsia" w:ascii="宋体" w:hAnsi="宋体" w:cs="宋体"/>
          <w:b/>
          <w:sz w:val="18"/>
          <w:szCs w:val="18"/>
        </w:rPr>
        <w:t>注：①如投标人为截标时间前60日以内成立的公司，可以提供投标人与委托代理人签订的劳动合同扫描件代替养老保险证明扫描件；②如投标人为事业单位，可以提供事业单位机构编制管理证扫描件或事业单位机构为其发放工资的工资条扫描件代替养老保险证明扫描件；③如委托代理人为免缴纳养老保险人员，提供免缴纳养老保险的证明材料扫描件及投标人与委托代理人签订的劳动合同扫描件代替养老保险证明扫描件。④如因社会养老保险经办机构系统升级等原因，暂时无法向投标人提供社会养老保险缴纳情况查询服务时，投标人可以提供已为委托代理人缴纳社会养老保险的承诺书，</w:t>
      </w:r>
      <w:r>
        <w:rPr>
          <w:rFonts w:hint="eastAsia" w:ascii="宋体" w:hAnsi="宋体" w:cs="宋体"/>
          <w:b/>
          <w:bCs/>
          <w:sz w:val="18"/>
          <w:szCs w:val="18"/>
        </w:rPr>
        <w:t>须同时提供无法查询的相关证明材料，包括但不限于查询网站截图、公告等。</w:t>
      </w:r>
    </w:p>
    <w:bookmarkEnd w:id="152"/>
    <w:bookmarkEnd w:id="153"/>
    <w:p w14:paraId="78394E1C">
      <w:pPr>
        <w:spacing w:line="400" w:lineRule="exact"/>
        <w:ind w:firstLine="411"/>
        <w:rPr>
          <w:rFonts w:ascii="宋体" w:hAnsi="宋体" w:cs="宋体"/>
          <w:szCs w:val="21"/>
        </w:rPr>
      </w:pPr>
      <w:r>
        <w:rPr>
          <w:rFonts w:hint="eastAsia" w:ascii="宋体" w:hAnsi="宋体" w:cs="宋体"/>
          <w:szCs w:val="21"/>
        </w:rPr>
        <w:t>（3）投标人的法人或者其他组织营业执照等证明文件扫描件</w:t>
      </w:r>
      <w:r>
        <w:rPr>
          <w:rFonts w:hint="eastAsia" w:ascii="宋体" w:hAnsi="宋体" w:cs="宋体"/>
          <w:b/>
          <w:szCs w:val="21"/>
        </w:rPr>
        <w:t>（必须提供，自然人除外）</w:t>
      </w:r>
      <w:r>
        <w:rPr>
          <w:rFonts w:hint="eastAsia" w:ascii="宋体" w:hAnsi="宋体" w:cs="宋体"/>
          <w:szCs w:val="21"/>
        </w:rPr>
        <w:t>；</w:t>
      </w:r>
    </w:p>
    <w:p w14:paraId="5132E9DF">
      <w:pPr>
        <w:spacing w:line="360" w:lineRule="auto"/>
        <w:ind w:firstLine="411"/>
        <w:rPr>
          <w:rFonts w:ascii="宋体" w:hAnsi="宋体" w:cs="宋体"/>
          <w:b/>
          <w:sz w:val="18"/>
          <w:szCs w:val="18"/>
        </w:rPr>
      </w:pPr>
      <w:r>
        <w:rPr>
          <w:rFonts w:hint="eastAsia" w:ascii="宋体" w:hAnsi="宋体" w:cs="宋体"/>
          <w:b/>
          <w:sz w:val="18"/>
          <w:szCs w:val="18"/>
        </w:rPr>
        <w:t>注：供应商为企业（包括合伙企业），应提供市场监管部门（登记机关）注册的有效“企业法人营业执照”或“营业执照”；供应商为事业单位，应提供有效的“事业单位法人证书”；供应商为非企业专业服务机构的，应提供执业许可证等证明文件；供应商为个体工商户，应提供有效的“个体工商户营业执照”。（所需材料均为扫描件）</w:t>
      </w:r>
    </w:p>
    <w:p w14:paraId="28F11F5D">
      <w:pPr>
        <w:spacing w:line="400" w:lineRule="exact"/>
        <w:ind w:firstLine="411"/>
        <w:rPr>
          <w:rFonts w:ascii="宋体" w:hAnsi="宋体" w:cs="宋体"/>
          <w:szCs w:val="21"/>
        </w:rPr>
      </w:pPr>
      <w:r>
        <w:rPr>
          <w:rFonts w:ascii="宋体" w:hAnsi="宋体" w:cs="宋体"/>
          <w:szCs w:val="21"/>
        </w:rPr>
        <w:t>（</w:t>
      </w:r>
      <w:r>
        <w:rPr>
          <w:rFonts w:hint="eastAsia" w:ascii="宋体" w:hAnsi="宋体" w:cs="宋体"/>
          <w:szCs w:val="21"/>
        </w:rPr>
        <w:t>4</w:t>
      </w:r>
      <w:r>
        <w:rPr>
          <w:rFonts w:ascii="宋体" w:hAnsi="宋体" w:cs="宋体"/>
          <w:szCs w:val="21"/>
        </w:rPr>
        <w:t>）</w:t>
      </w:r>
      <w:r>
        <w:rPr>
          <w:rFonts w:hint="eastAsia" w:ascii="宋体" w:hAnsi="宋体" w:cs="宋体"/>
          <w:szCs w:val="21"/>
          <w:lang w:eastAsia="zh-CN"/>
        </w:rPr>
        <w:t>投标人参加政府采购活动前3年内在经营活动中没有重大违法记录及有关信用信息的书面声明</w:t>
      </w:r>
      <w:r>
        <w:rPr>
          <w:rFonts w:hint="eastAsia" w:ascii="宋体" w:hAnsi="宋体" w:cs="宋体"/>
          <w:b/>
          <w:szCs w:val="21"/>
        </w:rPr>
        <w:t>（必须提供）</w:t>
      </w:r>
      <w:r>
        <w:rPr>
          <w:rFonts w:hint="eastAsia" w:ascii="宋体" w:hAnsi="宋体" w:cs="宋体"/>
          <w:szCs w:val="21"/>
        </w:rPr>
        <w:t>；</w:t>
      </w:r>
    </w:p>
    <w:p w14:paraId="0632E1B3">
      <w:pPr>
        <w:spacing w:line="400" w:lineRule="exact"/>
        <w:ind w:firstLine="411"/>
        <w:rPr>
          <w:rFonts w:ascii="宋体" w:hAnsi="宋体" w:cs="宋体"/>
          <w:b/>
        </w:rPr>
      </w:pPr>
      <w:r>
        <w:rPr>
          <w:rFonts w:hint="eastAsia" w:ascii="宋体" w:hAnsi="宋体" w:cs="宋体"/>
          <w:kern w:val="2"/>
        </w:rPr>
        <w:t>（5）</w:t>
      </w:r>
      <w:bookmarkStart w:id="154" w:name="OLE_LINK87"/>
      <w:bookmarkStart w:id="155" w:name="OLE_LINK86"/>
      <w:r>
        <w:rPr>
          <w:rFonts w:hint="eastAsia" w:ascii="宋体" w:hAnsi="宋体" w:cs="宋体"/>
          <w:kern w:val="2"/>
          <w:lang w:eastAsia="zh-CN"/>
        </w:rPr>
        <w:t>投标人2025年的财务状况报告</w:t>
      </w:r>
      <w:r>
        <w:rPr>
          <w:rFonts w:hint="eastAsia" w:ascii="宋体" w:hAnsi="宋体" w:cs="宋体"/>
          <w:b/>
          <w:kern w:val="2"/>
        </w:rPr>
        <w:t>（必须提供）</w:t>
      </w:r>
      <w:bookmarkEnd w:id="154"/>
      <w:bookmarkEnd w:id="155"/>
      <w:r>
        <w:rPr>
          <w:rFonts w:hint="eastAsia" w:ascii="宋体" w:hAnsi="宋体" w:cs="宋体"/>
          <w:b/>
        </w:rPr>
        <w:t>；</w:t>
      </w:r>
    </w:p>
    <w:p w14:paraId="4A13AA74">
      <w:pPr>
        <w:spacing w:line="360" w:lineRule="auto"/>
        <w:ind w:firstLine="411"/>
        <w:rPr>
          <w:rFonts w:ascii="宋体" w:hAnsi="宋体" w:cs="宋体"/>
          <w:b/>
          <w:sz w:val="18"/>
          <w:szCs w:val="18"/>
        </w:rPr>
      </w:pPr>
      <w:r>
        <w:rPr>
          <w:rFonts w:hint="eastAsia" w:ascii="宋体" w:hAnsi="宋体" w:cs="宋体"/>
          <w:b/>
          <w:sz w:val="18"/>
          <w:szCs w:val="18"/>
        </w:rPr>
        <w:t>注：财务状况报告的内容</w:t>
      </w:r>
      <w:r>
        <w:rPr>
          <w:rFonts w:hint="eastAsia" w:ascii="宋体" w:hAnsi="宋体" w:cs="宋体"/>
          <w:b/>
          <w:sz w:val="18"/>
          <w:szCs w:val="18"/>
          <w:lang w:val="en-US" w:eastAsia="zh-CN"/>
        </w:rPr>
        <w:t>至少</w:t>
      </w:r>
      <w:r>
        <w:rPr>
          <w:rFonts w:hint="eastAsia" w:ascii="宋体" w:hAnsi="宋体" w:cs="宋体"/>
          <w:b/>
          <w:sz w:val="18"/>
          <w:szCs w:val="18"/>
        </w:rPr>
        <w:t>应包括：资产负债表、利润表、现金流量表，三表缺一不可，三表可以是投标人自行编制或是第三方审计的；若投标人为新成立的企业，请根据实际情况提供。</w:t>
      </w:r>
    </w:p>
    <w:p w14:paraId="0CAAE97B">
      <w:pPr>
        <w:spacing w:line="400" w:lineRule="exact"/>
        <w:ind w:firstLine="411"/>
        <w:rPr>
          <w:rFonts w:ascii="宋体" w:hAnsi="宋体" w:cs="宋体"/>
          <w:b/>
        </w:rPr>
      </w:pPr>
      <w:r>
        <w:rPr>
          <w:rFonts w:hint="eastAsia" w:ascii="宋体" w:hAnsi="宋体" w:cs="宋体"/>
        </w:rPr>
        <w:t>（6）</w:t>
      </w:r>
      <w:r>
        <w:rPr>
          <w:rFonts w:hint="eastAsia" w:ascii="宋体" w:hAnsi="宋体" w:cs="宋体"/>
          <w:lang w:eastAsia="zh-CN"/>
        </w:rPr>
        <w:t>投标人在投标截止之日前半年内任意一个月依法缴纳税费或依法免缴税费的相关证明材料</w:t>
      </w:r>
      <w:r>
        <w:rPr>
          <w:rFonts w:hint="eastAsia" w:ascii="宋体" w:hAnsi="宋体" w:cs="宋体"/>
          <w:b/>
        </w:rPr>
        <w:t>（必须提供）；</w:t>
      </w:r>
    </w:p>
    <w:p w14:paraId="71E4AC4A">
      <w:pPr>
        <w:spacing w:line="400" w:lineRule="exact"/>
        <w:ind w:firstLine="411"/>
        <w:rPr>
          <w:rFonts w:ascii="宋体" w:hAnsi="宋体" w:cs="宋体"/>
          <w:b/>
        </w:rPr>
      </w:pPr>
      <w:r>
        <w:rPr>
          <w:rFonts w:hint="eastAsia" w:ascii="宋体" w:hAnsi="宋体" w:cs="宋体"/>
        </w:rPr>
        <w:t>（7）</w:t>
      </w:r>
      <w:bookmarkStart w:id="156" w:name="OLE_LINK91"/>
      <w:bookmarkStart w:id="157" w:name="OLE_LINK90"/>
      <w:r>
        <w:rPr>
          <w:rFonts w:hint="eastAsia" w:ascii="宋体" w:hAnsi="宋体" w:cs="宋体"/>
          <w:lang w:eastAsia="zh-CN"/>
        </w:rPr>
        <w:t>投标人在投标截止之日前半年内任意一个月依法缴纳社保的凭据或依法免缴社保的相关证明材料扫描件</w:t>
      </w:r>
      <w:r>
        <w:rPr>
          <w:rFonts w:hint="eastAsia" w:ascii="宋体" w:hAnsi="宋体" w:cs="宋体"/>
        </w:rPr>
        <w:t>；无缴费记录的，应提供由投标人所在地社保部门出具的《依法缴纳或依法免缴</w:t>
      </w:r>
      <w:r>
        <w:rPr>
          <w:rFonts w:hint="eastAsia" w:ascii="宋体" w:hAnsi="宋体" w:cs="宋体"/>
          <w:lang w:eastAsia="zh-CN"/>
        </w:rPr>
        <w:t>社保</w:t>
      </w:r>
      <w:r>
        <w:rPr>
          <w:rFonts w:hint="eastAsia" w:ascii="宋体" w:hAnsi="宋体" w:cs="宋体"/>
        </w:rPr>
        <w:t>证明》扫描件</w:t>
      </w:r>
      <w:r>
        <w:rPr>
          <w:rFonts w:hint="eastAsia" w:ascii="宋体" w:hAnsi="宋体" w:cs="宋体"/>
          <w:b/>
        </w:rPr>
        <w:t>（若为新成立的企业，请根据实际情况提供）（必须提供）；</w:t>
      </w:r>
    </w:p>
    <w:bookmarkEnd w:id="156"/>
    <w:bookmarkEnd w:id="157"/>
    <w:p w14:paraId="36A993CD">
      <w:pPr>
        <w:tabs>
          <w:tab w:val="left" w:pos="1305"/>
        </w:tabs>
        <w:spacing w:line="360" w:lineRule="auto"/>
        <w:ind w:firstLine="422"/>
        <w:rPr>
          <w:rFonts w:ascii="宋体" w:hAnsi="宋体" w:cs="宋体"/>
          <w:b/>
          <w:szCs w:val="21"/>
        </w:rPr>
      </w:pPr>
      <w:r>
        <w:rPr>
          <w:rFonts w:hint="eastAsia" w:ascii="宋体" w:hAnsi="宋体" w:cs="宋体"/>
          <w:b/>
          <w:bCs/>
          <w:szCs w:val="21"/>
        </w:rPr>
        <w:t>13.2.2</w:t>
      </w:r>
      <w:r>
        <w:rPr>
          <w:rFonts w:hint="eastAsia" w:ascii="宋体" w:hAnsi="宋体" w:cs="宋体"/>
          <w:b/>
          <w:szCs w:val="21"/>
          <w:lang w:eastAsia="zh-CN"/>
        </w:rPr>
        <w:t>商务、技术性响应</w:t>
      </w:r>
      <w:r>
        <w:rPr>
          <w:rFonts w:hint="eastAsia" w:ascii="宋体" w:hAnsi="宋体" w:cs="宋体"/>
          <w:b/>
          <w:szCs w:val="21"/>
        </w:rPr>
        <w:t>及其他证明材料：</w:t>
      </w:r>
    </w:p>
    <w:p w14:paraId="6B36ECC4">
      <w:pPr>
        <w:spacing w:line="400" w:lineRule="exact"/>
        <w:ind w:left="9" w:firstLine="411"/>
        <w:rPr>
          <w:rFonts w:ascii="宋体" w:hAnsi="宋体" w:cs="宋体"/>
          <w:b/>
          <w:color w:val="auto"/>
        </w:rPr>
      </w:pPr>
      <w:r>
        <w:rPr>
          <w:rFonts w:ascii="宋体" w:hAnsi="宋体" w:cs="宋体"/>
          <w:color w:val="auto"/>
        </w:rPr>
        <w:t>（1）</w:t>
      </w:r>
      <w:r>
        <w:rPr>
          <w:rFonts w:hint="eastAsia" w:ascii="宋体" w:hAnsi="宋体" w:cs="宋体"/>
          <w:color w:val="auto"/>
        </w:rPr>
        <w:t>投标报价表（格式见附件）</w:t>
      </w:r>
      <w:r>
        <w:rPr>
          <w:rFonts w:hint="eastAsia" w:ascii="宋体" w:hAnsi="宋体" w:cs="宋体"/>
          <w:b/>
          <w:color w:val="auto"/>
        </w:rPr>
        <w:t>（必须提供）；</w:t>
      </w:r>
    </w:p>
    <w:p w14:paraId="0C513194">
      <w:pPr>
        <w:spacing w:line="400" w:lineRule="exact"/>
        <w:ind w:left="9" w:firstLine="411"/>
        <w:rPr>
          <w:rFonts w:hint="eastAsia" w:ascii="宋体" w:hAnsi="宋体" w:eastAsia="宋体" w:cs="宋体"/>
          <w:color w:val="auto"/>
          <w:lang w:val="en-US" w:eastAsia="zh-CN"/>
        </w:rPr>
      </w:pPr>
      <w:r>
        <w:rPr>
          <w:rFonts w:ascii="宋体" w:hAnsi="宋体" w:cs="宋体"/>
          <w:color w:val="auto"/>
        </w:rPr>
        <w:t>（</w:t>
      </w:r>
      <w:r>
        <w:rPr>
          <w:rFonts w:hint="eastAsia" w:ascii="宋体" w:hAnsi="宋体" w:cs="宋体"/>
          <w:color w:val="auto"/>
        </w:rPr>
        <w:t>2</w:t>
      </w:r>
      <w:r>
        <w:rPr>
          <w:rFonts w:ascii="宋体" w:hAnsi="宋体" w:cs="宋体"/>
          <w:color w:val="auto"/>
        </w:rPr>
        <w:t>）</w:t>
      </w:r>
      <w:r>
        <w:rPr>
          <w:rFonts w:hint="eastAsia" w:ascii="宋体" w:hAnsi="宋体" w:cs="宋体"/>
          <w:color w:val="auto"/>
          <w:lang w:val="en-US" w:eastAsia="zh-CN"/>
        </w:rPr>
        <w:t>服务响</w:t>
      </w:r>
      <w:r>
        <w:rPr>
          <w:rFonts w:hint="eastAsia" w:ascii="宋体" w:hAnsi="宋体" w:cs="宋体"/>
          <w:color w:val="auto"/>
          <w:szCs w:val="21"/>
        </w:rPr>
        <w:t>应表</w:t>
      </w:r>
      <w:r>
        <w:rPr>
          <w:rFonts w:hint="eastAsia" w:ascii="宋体" w:hAnsi="宋体" w:cs="宋体"/>
          <w:bCs/>
          <w:color w:val="auto"/>
          <w:szCs w:val="21"/>
        </w:rPr>
        <w:t>（格式见附件）</w:t>
      </w:r>
      <w:r>
        <w:rPr>
          <w:rFonts w:hint="eastAsia" w:ascii="宋体" w:hAnsi="宋体" w:cs="宋体"/>
          <w:b/>
          <w:color w:val="auto"/>
          <w:szCs w:val="21"/>
        </w:rPr>
        <w:t>（必须提供）</w:t>
      </w:r>
      <w:r>
        <w:rPr>
          <w:rFonts w:hint="eastAsia" w:ascii="宋体" w:hAnsi="宋体" w:cs="宋体"/>
          <w:b/>
          <w:color w:val="auto"/>
          <w:szCs w:val="21"/>
          <w:lang w:val="en-US" w:eastAsia="zh-CN"/>
        </w:rPr>
        <w:t>；</w:t>
      </w:r>
    </w:p>
    <w:p w14:paraId="053B3058">
      <w:pPr>
        <w:spacing w:line="400" w:lineRule="exact"/>
        <w:ind w:left="9" w:firstLine="411"/>
        <w:rPr>
          <w:rFonts w:ascii="宋体" w:hAnsi="宋体" w:cs="宋体"/>
          <w:color w:val="auto"/>
        </w:rPr>
      </w:pPr>
      <w:r>
        <w:rPr>
          <w:rFonts w:ascii="宋体" w:hAnsi="宋体" w:cs="宋体"/>
          <w:color w:val="auto"/>
        </w:rPr>
        <w:t>（</w:t>
      </w:r>
      <w:r>
        <w:rPr>
          <w:rFonts w:hint="eastAsia" w:ascii="宋体" w:hAnsi="宋体" w:cs="宋体"/>
          <w:color w:val="auto"/>
        </w:rPr>
        <w:t>3</w:t>
      </w:r>
      <w:r>
        <w:rPr>
          <w:rFonts w:ascii="宋体" w:hAnsi="宋体" w:cs="宋体"/>
          <w:color w:val="auto"/>
        </w:rPr>
        <w:t>）</w:t>
      </w:r>
      <w:r>
        <w:rPr>
          <w:rFonts w:hint="eastAsia" w:ascii="宋体" w:hAnsi="宋体" w:cs="宋体"/>
          <w:color w:val="auto"/>
        </w:rPr>
        <w:t>“采购需求”需提供的有效证明文件</w:t>
      </w:r>
      <w:r>
        <w:rPr>
          <w:rFonts w:hint="eastAsia" w:ascii="宋体" w:hAnsi="宋体" w:cs="宋体"/>
          <w:b/>
          <w:color w:val="auto"/>
        </w:rPr>
        <w:t>（按其要求提供）；</w:t>
      </w:r>
    </w:p>
    <w:p w14:paraId="33FBE237">
      <w:pPr>
        <w:spacing w:line="400" w:lineRule="exact"/>
        <w:ind w:left="9" w:firstLine="411"/>
        <w:rPr>
          <w:rFonts w:ascii="宋体" w:hAnsi="宋体" w:cs="宋体"/>
          <w:color w:val="auto"/>
        </w:rPr>
      </w:pPr>
      <w:r>
        <w:rPr>
          <w:rFonts w:hint="eastAsia" w:ascii="宋体" w:hAnsi="宋体" w:cs="宋体"/>
          <w:color w:val="auto"/>
        </w:rPr>
        <w:t>（</w:t>
      </w:r>
      <w:r>
        <w:rPr>
          <w:rFonts w:hint="eastAsia" w:ascii="宋体" w:hAnsi="宋体" w:cs="宋体"/>
          <w:color w:val="auto"/>
          <w:lang w:val="en-US" w:eastAsia="zh-CN"/>
        </w:rPr>
        <w:t>4</w:t>
      </w:r>
      <w:r>
        <w:rPr>
          <w:rFonts w:hint="eastAsia" w:ascii="宋体" w:hAnsi="宋体" w:cs="宋体"/>
          <w:color w:val="auto"/>
        </w:rPr>
        <w:t>）</w:t>
      </w:r>
      <w:bookmarkStart w:id="158" w:name="OLE_LINK107"/>
      <w:bookmarkStart w:id="159" w:name="OLE_LINK109"/>
      <w:r>
        <w:rPr>
          <w:rFonts w:hint="eastAsia" w:ascii="宋体" w:hAnsi="宋体" w:cs="宋体"/>
          <w:color w:val="auto"/>
        </w:rPr>
        <w:t>项目实施方案（内容可根据本项目采购需求、特点、评标办法及自身的处理能力自行编写）</w:t>
      </w:r>
      <w:r>
        <w:rPr>
          <w:rFonts w:hint="eastAsia" w:ascii="宋体" w:hAnsi="宋体" w:cs="宋体"/>
          <w:b/>
          <w:color w:val="auto"/>
        </w:rPr>
        <w:t>（必须提供）；</w:t>
      </w:r>
    </w:p>
    <w:bookmarkEnd w:id="158"/>
    <w:bookmarkEnd w:id="159"/>
    <w:p w14:paraId="55A9FFE7">
      <w:pPr>
        <w:spacing w:line="400" w:lineRule="exact"/>
        <w:ind w:left="9" w:firstLine="411"/>
        <w:rPr>
          <w:rFonts w:hint="eastAsia" w:ascii="宋体" w:hAnsi="宋体" w:eastAsia="宋体" w:cs="宋体"/>
          <w:color w:val="auto"/>
          <w:lang w:val="en-US" w:eastAsia="zh-CN"/>
        </w:rPr>
      </w:pPr>
      <w:r>
        <w:rPr>
          <w:rFonts w:hint="eastAsia" w:ascii="宋体" w:hAnsi="宋体" w:cs="宋体"/>
          <w:color w:val="auto"/>
        </w:rPr>
        <w:t>（</w:t>
      </w:r>
      <w:r>
        <w:rPr>
          <w:rFonts w:hint="eastAsia" w:ascii="宋体" w:hAnsi="宋体" w:cs="宋体"/>
          <w:color w:val="auto"/>
          <w:lang w:val="en-US" w:eastAsia="zh-CN"/>
        </w:rPr>
        <w:t>5</w:t>
      </w:r>
      <w:r>
        <w:rPr>
          <w:rFonts w:hint="eastAsia" w:ascii="宋体" w:hAnsi="宋体" w:cs="宋体"/>
          <w:color w:val="auto"/>
        </w:rPr>
        <w:t>）</w:t>
      </w:r>
      <w:r>
        <w:rPr>
          <w:rFonts w:hint="eastAsia" w:ascii="宋体" w:hAnsi="宋体" w:cs="宋体"/>
          <w:color w:val="auto"/>
          <w:lang w:eastAsia="zh-CN"/>
        </w:rPr>
        <w:t>项目服务方案</w:t>
      </w:r>
      <w:r>
        <w:rPr>
          <w:rFonts w:hint="eastAsia" w:ascii="宋体" w:hAnsi="宋体" w:cs="宋体"/>
          <w:color w:val="auto"/>
        </w:rPr>
        <w:t>（内容可根据本项目采购需求、特点、评标办法及自身的处理能力自行编写）</w:t>
      </w:r>
      <w:r>
        <w:rPr>
          <w:rFonts w:hint="eastAsia" w:ascii="宋体" w:hAnsi="宋体" w:cs="宋体"/>
          <w:b/>
          <w:color w:val="auto"/>
        </w:rPr>
        <w:t>（必须提供）</w:t>
      </w:r>
      <w:r>
        <w:rPr>
          <w:rFonts w:hint="eastAsia" w:ascii="宋体" w:hAnsi="宋体" w:cs="宋体"/>
          <w:b/>
          <w:color w:val="auto"/>
          <w:lang w:val="en-US" w:eastAsia="zh-CN"/>
        </w:rPr>
        <w:t>；</w:t>
      </w:r>
    </w:p>
    <w:p w14:paraId="508CF8A5">
      <w:pPr>
        <w:spacing w:line="400" w:lineRule="exact"/>
        <w:ind w:left="9" w:firstLine="411"/>
        <w:rPr>
          <w:rFonts w:ascii="宋体" w:hAnsi="宋体" w:cs="宋体"/>
          <w:color w:val="auto"/>
        </w:rPr>
      </w:pPr>
      <w:r>
        <w:rPr>
          <w:rFonts w:hint="eastAsia" w:ascii="宋体" w:hAnsi="宋体" w:cs="宋体"/>
          <w:color w:val="auto"/>
        </w:rPr>
        <w:t>（</w:t>
      </w:r>
      <w:r>
        <w:rPr>
          <w:rFonts w:hint="eastAsia" w:ascii="宋体" w:hAnsi="宋体" w:cs="宋体"/>
          <w:color w:val="auto"/>
          <w:lang w:val="en-US" w:eastAsia="zh-CN"/>
        </w:rPr>
        <w:t>6</w:t>
      </w:r>
      <w:r>
        <w:rPr>
          <w:rFonts w:hint="eastAsia" w:ascii="宋体" w:hAnsi="宋体" w:cs="宋体"/>
          <w:color w:val="auto"/>
        </w:rPr>
        <w:t>）项目实施人员一览表</w:t>
      </w:r>
      <w:r>
        <w:rPr>
          <w:rFonts w:hint="eastAsia" w:ascii="宋体" w:hAnsi="宋体" w:cs="宋体"/>
          <w:b/>
          <w:color w:val="auto"/>
        </w:rPr>
        <w:t>（如有，请提供）；</w:t>
      </w:r>
      <w:r>
        <w:rPr>
          <w:rFonts w:ascii="宋体" w:hAnsi="宋体" w:cs="宋体"/>
          <w:b/>
          <w:color w:val="auto"/>
        </w:rPr>
        <w:t xml:space="preserve"> </w:t>
      </w:r>
    </w:p>
    <w:p w14:paraId="1FE8E986">
      <w:pPr>
        <w:spacing w:line="400" w:lineRule="exact"/>
        <w:ind w:left="9" w:firstLine="411"/>
        <w:rPr>
          <w:rFonts w:ascii="宋体" w:hAnsi="宋体" w:cs="宋体"/>
          <w:color w:val="auto"/>
        </w:rPr>
      </w:pPr>
      <w:r>
        <w:rPr>
          <w:rFonts w:hint="eastAsia" w:ascii="宋体" w:hAnsi="宋体" w:cs="宋体"/>
          <w:color w:val="auto"/>
        </w:rPr>
        <w:t>（</w:t>
      </w:r>
      <w:r>
        <w:rPr>
          <w:rFonts w:hint="eastAsia" w:ascii="宋体" w:hAnsi="宋体" w:cs="宋体"/>
          <w:color w:val="auto"/>
          <w:lang w:val="en-US" w:eastAsia="zh-CN"/>
        </w:rPr>
        <w:t>7</w:t>
      </w:r>
      <w:r>
        <w:rPr>
          <w:rFonts w:hint="eastAsia" w:ascii="宋体" w:hAnsi="宋体" w:cs="宋体"/>
          <w:color w:val="auto"/>
        </w:rPr>
        <w:t>）投标人业绩的相关证明材料（业绩要求详见评标办法）</w:t>
      </w:r>
      <w:r>
        <w:rPr>
          <w:rFonts w:hint="eastAsia" w:ascii="宋体" w:hAnsi="宋体" w:cs="宋体"/>
          <w:b/>
          <w:color w:val="auto"/>
        </w:rPr>
        <w:t>（如有，请提供）；</w:t>
      </w:r>
    </w:p>
    <w:p w14:paraId="3FD0EAF5">
      <w:pPr>
        <w:spacing w:line="400" w:lineRule="exact"/>
        <w:ind w:firstLine="411"/>
        <w:rPr>
          <w:rFonts w:hint="eastAsia" w:ascii="宋体" w:hAnsi="宋体" w:eastAsia="宋体" w:cs="宋体"/>
          <w:lang w:eastAsia="zh-CN"/>
        </w:rPr>
      </w:pPr>
      <w:r>
        <w:rPr>
          <w:rFonts w:hint="eastAsia" w:ascii="宋体" w:hAnsi="宋体" w:cs="宋体"/>
          <w:color w:val="auto"/>
        </w:rPr>
        <w:t>（</w:t>
      </w:r>
      <w:r>
        <w:rPr>
          <w:rFonts w:hint="eastAsia" w:ascii="宋体" w:hAnsi="宋体" w:cs="宋体"/>
          <w:color w:val="auto"/>
          <w:lang w:val="en-US" w:eastAsia="zh-CN"/>
        </w:rPr>
        <w:t>8</w:t>
      </w:r>
      <w:r>
        <w:rPr>
          <w:rFonts w:hint="eastAsia" w:ascii="宋体" w:hAnsi="宋体" w:cs="宋体"/>
          <w:color w:val="auto"/>
        </w:rPr>
        <w:t>）</w:t>
      </w:r>
      <w:bookmarkStart w:id="160" w:name="OLE_LINK98"/>
      <w:bookmarkStart w:id="161" w:name="OLE_LINK95"/>
      <w:bookmarkStart w:id="162" w:name="OLE_LINK94"/>
      <w:r>
        <w:rPr>
          <w:rFonts w:hint="eastAsia" w:ascii="宋体" w:hAnsi="宋体" w:cs="宋体"/>
        </w:rPr>
        <w:t>中小微企业或监狱企业或残疾人福利性单位的证明材料</w:t>
      </w:r>
      <w:r>
        <w:rPr>
          <w:rFonts w:hint="eastAsia" w:ascii="宋体" w:hAnsi="宋体" w:cs="宋体"/>
          <w:b/>
        </w:rPr>
        <w:t>（</w:t>
      </w:r>
      <w:r>
        <w:rPr>
          <w:rFonts w:hint="eastAsia" w:ascii="宋体" w:hAnsi="宋体" w:cs="宋体"/>
          <w:b/>
          <w:color w:val="auto"/>
        </w:rPr>
        <w:t>如有，请提供</w:t>
      </w:r>
      <w:r>
        <w:rPr>
          <w:rFonts w:hint="eastAsia" w:ascii="宋体" w:hAnsi="宋体" w:cs="宋体"/>
          <w:b/>
        </w:rPr>
        <w:t>）</w:t>
      </w:r>
      <w:r>
        <w:rPr>
          <w:rFonts w:hint="eastAsia" w:ascii="宋体" w:hAnsi="宋体" w:cs="宋体"/>
          <w:lang w:val="en-US" w:eastAsia="zh-CN"/>
        </w:rPr>
        <w:t>；</w:t>
      </w:r>
    </w:p>
    <w:p w14:paraId="42C01B41">
      <w:pPr>
        <w:spacing w:line="360" w:lineRule="auto"/>
        <w:ind w:firstLine="411"/>
        <w:rPr>
          <w:rFonts w:hint="eastAsia" w:ascii="宋体" w:hAnsi="宋体" w:eastAsia="宋体" w:cs="宋体"/>
          <w:lang w:eastAsia="zh-CN"/>
        </w:rPr>
      </w:pPr>
      <w:r>
        <w:rPr>
          <w:rFonts w:hint="eastAsia" w:ascii="宋体" w:hAnsi="宋体" w:cs="宋体"/>
          <w:b/>
          <w:sz w:val="18"/>
          <w:szCs w:val="18"/>
        </w:rPr>
        <w:t>【①如属于中小型、微型企业（中小微型企业划分标准按照《国家统计局关于印发〈统计上大中小微型企业划分办法〔2017〕〉的通知》（国统字〔2017〕213 号）执行，具体划分标准见第四章评标办法中附表《统计上大中小微型企业划分标准》），以提供的《中小企业声明函》（见附件）为准；②如属于监狱企业的，应当提供由省级以上监狱管理局、戒毒管理局（含新疆生产建设兵团）出具的属于监狱企业的证明文件复印件；③如符合条件的残疾人福利性单位在参加政府采购活动时，应当提供《残疾人福利性单位声明函》（格式见附件），并对声明的真实性负责】</w:t>
      </w:r>
      <w:r>
        <w:rPr>
          <w:rFonts w:hint="eastAsia" w:ascii="宋体" w:hAnsi="宋体" w:cs="宋体"/>
          <w:b/>
          <w:sz w:val="18"/>
          <w:szCs w:val="18"/>
          <w:lang w:eastAsia="zh-CN"/>
        </w:rPr>
        <w:t>。</w:t>
      </w:r>
    </w:p>
    <w:bookmarkEnd w:id="160"/>
    <w:bookmarkEnd w:id="161"/>
    <w:bookmarkEnd w:id="162"/>
    <w:p w14:paraId="7EE6C7AE">
      <w:pPr>
        <w:tabs>
          <w:tab w:val="left" w:pos="677"/>
        </w:tabs>
        <w:spacing w:line="400" w:lineRule="exact"/>
        <w:ind w:left="9" w:firstLine="411"/>
        <w:rPr>
          <w:rFonts w:ascii="宋体" w:hAnsi="宋体" w:cs="宋体"/>
          <w:b/>
        </w:rPr>
      </w:pPr>
      <w:r>
        <w:rPr>
          <w:rFonts w:hint="eastAsia" w:ascii="宋体" w:hAnsi="宋体" w:cs="宋体"/>
        </w:rPr>
        <w:t>（</w:t>
      </w:r>
      <w:r>
        <w:rPr>
          <w:rFonts w:hint="eastAsia" w:ascii="宋体" w:hAnsi="宋体" w:cs="宋体"/>
          <w:lang w:val="en-US" w:eastAsia="zh-CN"/>
        </w:rPr>
        <w:t>9</w:t>
      </w:r>
      <w:r>
        <w:rPr>
          <w:rFonts w:hint="eastAsia" w:ascii="宋体" w:hAnsi="宋体" w:cs="宋体"/>
        </w:rPr>
        <w:t>）</w:t>
      </w:r>
      <w:r>
        <w:rPr>
          <w:rFonts w:hint="eastAsia" w:ascii="宋体" w:hAnsi="宋体" w:cs="宋体"/>
          <w:color w:val="auto"/>
        </w:rPr>
        <w:t>投标人可结合本项目的评</w:t>
      </w:r>
      <w:r>
        <w:rPr>
          <w:rFonts w:hint="eastAsia" w:ascii="宋体" w:hAnsi="宋体" w:cs="宋体"/>
        </w:rPr>
        <w:t>标办法视自身情况自行提交相关证明材料</w:t>
      </w:r>
      <w:r>
        <w:rPr>
          <w:rFonts w:hint="eastAsia" w:ascii="宋体" w:hAnsi="宋体" w:cs="宋体"/>
          <w:b/>
        </w:rPr>
        <w:t>（如有，请提供）。</w:t>
      </w:r>
    </w:p>
    <w:p w14:paraId="43AB53FD">
      <w:pPr>
        <w:tabs>
          <w:tab w:val="left" w:pos="1305"/>
        </w:tabs>
        <w:spacing w:line="400" w:lineRule="exact"/>
        <w:ind w:firstLine="422"/>
        <w:rPr>
          <w:rFonts w:hint="eastAsia" w:ascii="宋体" w:hAnsi="宋体" w:eastAsia="宋体" w:cs="宋体"/>
          <w:b/>
          <w:bCs/>
          <w:szCs w:val="21"/>
          <w:lang w:eastAsia="zh-CN"/>
        </w:rPr>
      </w:pPr>
      <w:r>
        <w:rPr>
          <w:rFonts w:hint="eastAsia" w:ascii="宋体" w:hAnsi="宋体" w:cs="宋体"/>
          <w:b/>
          <w:bCs/>
          <w:szCs w:val="21"/>
        </w:rPr>
        <w:t>投标人提供的以上相关证明材料应真实有效，属于“必须提供”的文件应加盖投标人CA证书电子签章，否则投标无效；其余由投标人视自身情况自行提交</w:t>
      </w:r>
      <w:r>
        <w:rPr>
          <w:rFonts w:hint="eastAsia" w:ascii="宋体" w:hAnsi="宋体" w:cs="宋体"/>
          <w:b/>
          <w:bCs/>
          <w:szCs w:val="21"/>
          <w:lang w:eastAsia="zh-CN"/>
        </w:rPr>
        <w:t>。</w:t>
      </w:r>
    </w:p>
    <w:p w14:paraId="259F6A98">
      <w:pPr>
        <w:tabs>
          <w:tab w:val="left" w:pos="1305"/>
        </w:tabs>
        <w:spacing w:line="400" w:lineRule="exact"/>
        <w:ind w:firstLine="422"/>
        <w:rPr>
          <w:rFonts w:hint="eastAsia" w:ascii="宋体" w:hAnsi="宋体" w:cs="宋体"/>
          <w:b/>
          <w:bCs/>
          <w:szCs w:val="21"/>
        </w:rPr>
      </w:pPr>
      <w:r>
        <w:rPr>
          <w:rFonts w:hint="eastAsia" w:ascii="宋体" w:hAnsi="宋体" w:cs="宋体"/>
          <w:b/>
          <w:bCs/>
          <w:szCs w:val="21"/>
        </w:rPr>
        <w:t>要求“必须提供”的文件“投标文件（格式）”中有要求法定代表人(负责人、自然人)或相应的授权委托代理人在规定位置签字的，可使用法定代表人(负责人、自然人)或相应的授权委托代理人个人CA证书电子签章，没有办理政采云个人CA证书电子签章的可在投标文件中涉及到签字的位置手写签字后扫描或者拍照做成 PDF 的格式上传，无个人CA证书电子签章或手写签字的，按投标无效处理。</w:t>
      </w:r>
    </w:p>
    <w:p w14:paraId="2EFE4EE2">
      <w:pPr>
        <w:spacing w:line="400" w:lineRule="exact"/>
        <w:ind w:firstLine="420"/>
        <w:rPr>
          <w:rFonts w:ascii="宋体" w:hAnsi="宋体" w:cs="宋体"/>
        </w:rPr>
      </w:pPr>
      <w:r>
        <w:rPr>
          <w:rFonts w:hint="eastAsia" w:ascii="宋体" w:hAnsi="宋体" w:cs="宋体"/>
          <w:szCs w:val="21"/>
        </w:rPr>
        <w:t>13.3</w:t>
      </w:r>
      <w:r>
        <w:rPr>
          <w:rFonts w:hint="eastAsia" w:ascii="宋体" w:hAnsi="宋体" w:cs="宋体"/>
        </w:rPr>
        <w:t>投标人应按招标文件第六章“投标文件（格式）”编制投标文件。</w:t>
      </w:r>
    </w:p>
    <w:p w14:paraId="532B64D4">
      <w:pPr>
        <w:spacing w:line="400" w:lineRule="exact"/>
        <w:ind w:firstLine="420"/>
        <w:rPr>
          <w:rFonts w:ascii="宋体" w:hAnsi="宋体" w:cs="宋体"/>
        </w:rPr>
      </w:pPr>
      <w:r>
        <w:rPr>
          <w:rFonts w:hint="eastAsia" w:ascii="宋体" w:hAnsi="宋体" w:cs="宋体"/>
        </w:rPr>
        <w:t>13.4投标文件应当对招标文件提出的要求和条件作出明确响应。</w:t>
      </w:r>
    </w:p>
    <w:p w14:paraId="7FD531A8">
      <w:pPr>
        <w:spacing w:line="400" w:lineRule="exact"/>
        <w:ind w:firstLine="420"/>
        <w:rPr>
          <w:rFonts w:ascii="宋体" w:hAnsi="宋体" w:cs="宋体"/>
          <w:b/>
          <w:bCs/>
        </w:rPr>
      </w:pPr>
      <w:r>
        <w:rPr>
          <w:rFonts w:hint="eastAsia" w:ascii="宋体" w:hAnsi="宋体" w:cs="宋体"/>
          <w:b/>
          <w:bCs/>
        </w:rPr>
        <w:t>特别说明：</w:t>
      </w:r>
    </w:p>
    <w:p w14:paraId="79D37671">
      <w:pPr>
        <w:tabs>
          <w:tab w:val="left" w:pos="1305"/>
        </w:tabs>
        <w:spacing w:line="400" w:lineRule="exact"/>
        <w:ind w:firstLine="422"/>
        <w:rPr>
          <w:rFonts w:ascii="宋体" w:hAnsi="宋体" w:cs="宋体"/>
          <w:b/>
          <w:bCs/>
          <w:szCs w:val="21"/>
        </w:rPr>
      </w:pPr>
      <w:bookmarkStart w:id="163" w:name="_Toc11037"/>
      <w:r>
        <w:rPr>
          <w:rFonts w:hint="eastAsia" w:ascii="宋体" w:hAnsi="宋体" w:cs="宋体"/>
          <w:b/>
          <w:bCs/>
          <w:szCs w:val="21"/>
        </w:rPr>
        <w:t>（1）投标文件（电子投标文件），其中电子投标文件中所须加盖公章部分均采用CA签章。若投标文件中有专门标注的某关联点，并要求供应商在电子投标系统中作出投标响应的，如供应商未对关联点进行响应或者在投标文件其它内容中进行描述，造成电子评审不能查询的责任由供应商自行承担。</w:t>
      </w:r>
    </w:p>
    <w:p w14:paraId="00E00C71">
      <w:pPr>
        <w:spacing w:line="400" w:lineRule="exact"/>
        <w:ind w:firstLine="413"/>
        <w:rPr>
          <w:rFonts w:ascii="宋体" w:hAnsi="宋体" w:cs="宋体"/>
          <w:b/>
          <w:bCs/>
          <w:szCs w:val="21"/>
        </w:rPr>
      </w:pPr>
      <w:r>
        <w:rPr>
          <w:rFonts w:hint="eastAsia" w:ascii="宋体" w:hAnsi="宋体" w:cs="宋体"/>
          <w:b/>
          <w:bCs/>
          <w:szCs w:val="21"/>
        </w:rPr>
        <w:t>（2）招标文件要求法定代表人（负责人）或委托代理人签字的部分必须签字然后扫描或者拍照做成 pdf 格式上传（或加盖个人CA签章），无签字的视为投标无效。</w:t>
      </w:r>
      <w:bookmarkEnd w:id="163"/>
    </w:p>
    <w:p w14:paraId="09BF9E15">
      <w:pPr>
        <w:spacing w:line="400" w:lineRule="exact"/>
        <w:ind w:firstLine="413"/>
        <w:outlineLvl w:val="2"/>
        <w:rPr>
          <w:rFonts w:ascii="宋体" w:hAnsi="宋体" w:cs="宋体"/>
          <w:b/>
          <w:szCs w:val="21"/>
        </w:rPr>
      </w:pPr>
      <w:bookmarkStart w:id="164" w:name="_Toc2599"/>
      <w:bookmarkStart w:id="165" w:name="_Toc8048"/>
      <w:bookmarkStart w:id="166" w:name="_Toc3012"/>
      <w:bookmarkStart w:id="167" w:name="_Toc239867315"/>
      <w:bookmarkStart w:id="168" w:name="_Toc240644508"/>
      <w:r>
        <w:rPr>
          <w:rFonts w:hint="eastAsia" w:ascii="宋体" w:hAnsi="宋体" w:cs="宋体"/>
          <w:b/>
          <w:szCs w:val="21"/>
        </w:rPr>
        <w:t>14. 投标文件的语言及计量</w:t>
      </w:r>
      <w:bookmarkEnd w:id="164"/>
      <w:bookmarkEnd w:id="165"/>
      <w:bookmarkEnd w:id="166"/>
      <w:bookmarkEnd w:id="167"/>
      <w:bookmarkEnd w:id="168"/>
    </w:p>
    <w:p w14:paraId="505E8F07">
      <w:pPr>
        <w:tabs>
          <w:tab w:val="left" w:pos="1305"/>
        </w:tabs>
        <w:spacing w:line="400" w:lineRule="exact"/>
        <w:ind w:firstLine="420"/>
        <w:rPr>
          <w:rFonts w:ascii="宋体" w:hAnsi="宋体" w:cs="宋体"/>
          <w:szCs w:val="21"/>
        </w:rPr>
      </w:pPr>
      <w:r>
        <w:rPr>
          <w:rFonts w:hint="eastAsia" w:ascii="宋体" w:hAnsi="宋体" w:cs="宋体"/>
          <w:szCs w:val="21"/>
        </w:rPr>
        <w:t>14.1投标文件以及投标人与采购人或者采购代理机构就有关投标事宜的所有来往函电，均应以中文汉语书写。投标人提交的支持文件和印刷的文献可以使用别的语言，但其相应内容必须附有中文翻译文本，在解释投标文件时以中文翻译文本为主。</w:t>
      </w:r>
    </w:p>
    <w:p w14:paraId="16C5A2AB">
      <w:pPr>
        <w:tabs>
          <w:tab w:val="left" w:pos="1305"/>
        </w:tabs>
        <w:spacing w:line="400" w:lineRule="exact"/>
        <w:ind w:firstLine="420"/>
        <w:rPr>
          <w:rFonts w:ascii="宋体" w:hAnsi="宋体" w:cs="宋体"/>
          <w:szCs w:val="21"/>
        </w:rPr>
      </w:pPr>
      <w:r>
        <w:rPr>
          <w:rFonts w:hint="eastAsia" w:ascii="宋体" w:hAnsi="宋体" w:cs="宋体"/>
          <w:szCs w:val="21"/>
        </w:rPr>
        <w:t>14.2投标计量单位，招标文件已有明确规定的，使用招标文件规定的计量单位；招标文件没有规定的，应采用中华人民共和国法定计量单位（货币单位：元人民币），否则视同未响应。</w:t>
      </w:r>
    </w:p>
    <w:p w14:paraId="2BBFA639">
      <w:pPr>
        <w:numPr>
          <w:ilvl w:val="0"/>
          <w:numId w:val="1"/>
        </w:numPr>
        <w:spacing w:line="400" w:lineRule="exact"/>
        <w:ind w:firstLine="413"/>
        <w:outlineLvl w:val="2"/>
        <w:rPr>
          <w:rFonts w:ascii="宋体" w:hAnsi="宋体" w:cs="宋体"/>
          <w:b/>
          <w:szCs w:val="21"/>
        </w:rPr>
      </w:pPr>
      <w:bookmarkStart w:id="169" w:name="_Toc240644509"/>
      <w:bookmarkStart w:id="170" w:name="_Toc239867316"/>
      <w:bookmarkStart w:id="171" w:name="_Toc11908"/>
      <w:bookmarkStart w:id="172" w:name="_Toc8372"/>
      <w:bookmarkStart w:id="173" w:name="_Toc9350"/>
      <w:r>
        <w:rPr>
          <w:rFonts w:hint="eastAsia" w:ascii="宋体" w:hAnsi="宋体" w:cs="宋体"/>
          <w:b/>
          <w:szCs w:val="21"/>
        </w:rPr>
        <w:t>投标报价</w:t>
      </w:r>
      <w:bookmarkEnd w:id="169"/>
      <w:bookmarkEnd w:id="170"/>
      <w:bookmarkEnd w:id="171"/>
      <w:bookmarkEnd w:id="172"/>
      <w:bookmarkEnd w:id="173"/>
    </w:p>
    <w:p w14:paraId="71D61AD7">
      <w:pPr>
        <w:spacing w:line="360" w:lineRule="exact"/>
        <w:ind w:firstLine="420" w:firstLineChars="200"/>
        <w:rPr>
          <w:rFonts w:ascii="宋体" w:hAnsi="宋体" w:cs="宋体"/>
          <w:szCs w:val="21"/>
        </w:rPr>
      </w:pPr>
      <w:r>
        <w:rPr>
          <w:rFonts w:hint="eastAsia" w:ascii="宋体" w:hAnsi="宋体" w:cs="宋体"/>
          <w:szCs w:val="21"/>
        </w:rPr>
        <w:t>15.1投标报价应按招标文件中第六章“投标文件（格式）”填写，</w:t>
      </w:r>
      <w:r>
        <w:rPr>
          <w:rFonts w:hint="eastAsia" w:ascii="宋体" w:hAnsi="宋体" w:cs="宋体"/>
          <w:color w:val="000000" w:themeColor="text1"/>
          <w:szCs w:val="21"/>
          <w14:textFill>
            <w14:solidFill>
              <w14:schemeClr w14:val="tx1"/>
            </w14:solidFill>
          </w14:textFill>
        </w:rPr>
        <w:t>本项目采购预算金额：</w:t>
      </w:r>
      <w:r>
        <w:rPr>
          <w:rFonts w:hint="eastAsia" w:ascii="宋体" w:hAnsi="宋体" w:cs="宋体"/>
          <w:b/>
          <w:szCs w:val="21"/>
          <w:lang w:eastAsia="zh-CN"/>
        </w:rPr>
        <w:fldChar w:fldCharType="begin"/>
      </w:r>
      <w:r>
        <w:rPr>
          <w:rFonts w:hint="eastAsia" w:ascii="宋体" w:hAnsi="宋体" w:cs="宋体"/>
          <w:b/>
          <w:szCs w:val="21"/>
          <w:lang w:eastAsia="zh-CN"/>
        </w:rPr>
        <w:instrText xml:space="preserve"> = 2150000 \* CHINESENUM2 \* MERGEFORMAT </w:instrText>
      </w:r>
      <w:r>
        <w:rPr>
          <w:rFonts w:hint="eastAsia" w:ascii="宋体" w:hAnsi="宋体" w:cs="宋体"/>
          <w:b/>
          <w:szCs w:val="21"/>
          <w:lang w:eastAsia="zh-CN"/>
        </w:rPr>
        <w:fldChar w:fldCharType="separate"/>
      </w:r>
      <w:r>
        <w:rPr>
          <w:rFonts w:hint="eastAsia" w:ascii="宋体" w:hAnsi="宋体" w:cs="宋体"/>
          <w:b/>
          <w:szCs w:val="21"/>
          <w:lang w:eastAsia="zh-CN"/>
        </w:rPr>
        <w:t>贰佰壹拾伍万</w:t>
      </w:r>
      <w:r>
        <w:rPr>
          <w:rFonts w:hint="eastAsia" w:ascii="宋体" w:hAnsi="宋体" w:cs="宋体"/>
          <w:b/>
          <w:szCs w:val="21"/>
          <w:lang w:eastAsia="zh-CN"/>
        </w:rPr>
        <w:fldChar w:fldCharType="end"/>
      </w:r>
      <w:r>
        <w:rPr>
          <w:rFonts w:hint="eastAsia" w:ascii="宋体" w:hAnsi="宋体" w:cs="宋体"/>
          <w:b/>
          <w:szCs w:val="21"/>
          <w:lang w:val="en-US" w:eastAsia="zh-CN"/>
        </w:rPr>
        <w:t>元整</w:t>
      </w:r>
      <w:r>
        <w:rPr>
          <w:rFonts w:hint="eastAsia" w:ascii="宋体" w:hAnsi="宋体" w:cs="宋体"/>
          <w:b/>
          <w:szCs w:val="21"/>
          <w:lang w:eastAsia="zh-CN"/>
        </w:rPr>
        <w:t>（</w:t>
      </w:r>
      <w:r>
        <w:rPr>
          <w:rFonts w:hint="default" w:ascii="宋体" w:hAnsi="宋体" w:cs="宋体"/>
          <w:b/>
          <w:szCs w:val="21"/>
          <w:lang w:eastAsia="zh-CN"/>
        </w:rPr>
        <w:t>¥</w:t>
      </w:r>
      <w:r>
        <w:rPr>
          <w:rFonts w:hint="eastAsia" w:ascii="宋体" w:hAnsi="宋体" w:cs="宋体"/>
          <w:b/>
          <w:szCs w:val="21"/>
          <w:lang w:eastAsia="zh-CN"/>
        </w:rPr>
        <w:t>2150000.00），投标报价超过采购预算金额的，投标文件按无效处理</w:t>
      </w:r>
      <w:r>
        <w:rPr>
          <w:rFonts w:hint="eastAsia" w:ascii="宋体" w:hAnsi="宋体" w:cs="宋体"/>
          <w:b/>
          <w:szCs w:val="21"/>
        </w:rPr>
        <w:t>。</w:t>
      </w:r>
      <w:r>
        <w:rPr>
          <w:rFonts w:hint="eastAsia" w:ascii="宋体" w:hAnsi="宋体" w:eastAsia="宋体" w:cs="宋体"/>
          <w:b/>
          <w:bCs/>
          <w:color w:val="auto"/>
          <w:sz w:val="21"/>
          <w:szCs w:val="21"/>
          <w:lang w:val="en-US" w:eastAsia="zh-CN"/>
        </w:rPr>
        <w:t>此为12个月的采购预算金额，36个月预算金额约</w:t>
      </w:r>
      <w:r>
        <w:rPr>
          <w:rFonts w:hint="eastAsia" w:ascii="宋体" w:hAnsi="宋体" w:eastAsia="宋体" w:cs="宋体"/>
          <w:b/>
          <w:bCs/>
          <w:color w:val="auto"/>
          <w:sz w:val="21"/>
          <w:szCs w:val="21"/>
          <w:lang w:val="en-US" w:eastAsia="zh-CN"/>
        </w:rPr>
        <w:fldChar w:fldCharType="begin"/>
      </w:r>
      <w:r>
        <w:rPr>
          <w:rFonts w:hint="eastAsia" w:ascii="宋体" w:hAnsi="宋体" w:eastAsia="宋体" w:cs="宋体"/>
          <w:b/>
          <w:bCs/>
          <w:color w:val="auto"/>
          <w:sz w:val="21"/>
          <w:szCs w:val="21"/>
          <w:lang w:val="en-US" w:eastAsia="zh-CN"/>
        </w:rPr>
        <w:instrText xml:space="preserve"> = 6450000 \* CHINESENUM2 \* MERGEFORMAT </w:instrText>
      </w:r>
      <w:r>
        <w:rPr>
          <w:rFonts w:hint="eastAsia" w:ascii="宋体" w:hAnsi="宋体" w:eastAsia="宋体" w:cs="宋体"/>
          <w:b/>
          <w:bCs/>
          <w:color w:val="auto"/>
          <w:sz w:val="21"/>
          <w:szCs w:val="21"/>
          <w:lang w:val="en-US" w:eastAsia="zh-CN"/>
        </w:rPr>
        <w:fldChar w:fldCharType="separate"/>
      </w:r>
      <w:r>
        <w:rPr>
          <w:rFonts w:hint="eastAsia" w:ascii="宋体" w:hAnsi="宋体" w:eastAsia="宋体" w:cs="宋体"/>
          <w:b/>
          <w:bCs/>
          <w:color w:val="auto"/>
          <w:sz w:val="21"/>
          <w:szCs w:val="21"/>
          <w:lang w:val="en-US" w:eastAsia="zh-CN"/>
        </w:rPr>
        <w:t>陆佰肆拾伍万</w:t>
      </w:r>
      <w:r>
        <w:rPr>
          <w:rFonts w:hint="eastAsia" w:ascii="宋体" w:hAnsi="宋体" w:eastAsia="宋体" w:cs="宋体"/>
          <w:b/>
          <w:bCs/>
          <w:color w:val="auto"/>
          <w:sz w:val="21"/>
          <w:szCs w:val="21"/>
          <w:lang w:val="en-US" w:eastAsia="zh-CN"/>
        </w:rPr>
        <w:fldChar w:fldCharType="end"/>
      </w:r>
      <w:r>
        <w:rPr>
          <w:rFonts w:hint="eastAsia" w:ascii="宋体" w:hAnsi="宋体" w:eastAsia="宋体" w:cs="宋体"/>
          <w:b/>
          <w:bCs/>
          <w:color w:val="auto"/>
          <w:sz w:val="21"/>
          <w:szCs w:val="21"/>
          <w:lang w:val="en-US" w:eastAsia="zh-CN"/>
        </w:rPr>
        <w:t>元整（¥6450000.00）</w:t>
      </w:r>
      <w:r>
        <w:rPr>
          <w:rFonts w:hint="eastAsia" w:ascii="宋体" w:hAnsi="宋体" w:cs="宋体"/>
          <w:b/>
          <w:szCs w:val="21"/>
        </w:rPr>
        <w:t>。</w:t>
      </w:r>
    </w:p>
    <w:p w14:paraId="1AE27E68">
      <w:pPr>
        <w:spacing w:line="400" w:lineRule="exact"/>
        <w:ind w:firstLine="420"/>
        <w:rPr>
          <w:rFonts w:ascii="宋体" w:hAnsi="宋体" w:cs="宋体"/>
          <w:szCs w:val="21"/>
        </w:rPr>
      </w:pPr>
      <w:r>
        <w:rPr>
          <w:rFonts w:hint="eastAsia" w:ascii="宋体" w:hAnsi="宋体" w:cs="宋体"/>
          <w:szCs w:val="21"/>
        </w:rPr>
        <w:t>15.2投标人必须就“采购需求”中所投内容作完整唯一报价，否则，其投标将被拒绝；投标文件只允许有一个报价，有选择的或有条件的报价将不予接受。</w:t>
      </w:r>
    </w:p>
    <w:p w14:paraId="69ED78FC">
      <w:pPr>
        <w:spacing w:line="400" w:lineRule="exact"/>
        <w:ind w:firstLine="420"/>
        <w:rPr>
          <w:rFonts w:ascii="宋体" w:hAnsi="宋体" w:cs="宋体"/>
          <w:szCs w:val="21"/>
        </w:rPr>
      </w:pPr>
      <w:r>
        <w:rPr>
          <w:rFonts w:hint="eastAsia" w:ascii="宋体" w:hAnsi="宋体" w:cs="宋体"/>
          <w:szCs w:val="21"/>
        </w:rPr>
        <w:t>15.3</w:t>
      </w:r>
      <w:bookmarkStart w:id="174" w:name="OLE_LINK105"/>
      <w:bookmarkStart w:id="175" w:name="OLE_LINK101"/>
      <w:r>
        <w:rPr>
          <w:rFonts w:hint="eastAsia" w:hAnsi="宋体"/>
        </w:rPr>
        <w:t>投标报价应包含</w:t>
      </w:r>
      <w:bookmarkStart w:id="176" w:name="OLE_LINK82"/>
      <w:bookmarkStart w:id="177" w:name="OLE_LINK83"/>
      <w:r>
        <w:rPr>
          <w:rFonts w:hint="eastAsia" w:eastAsia="思源黑体"/>
          <w:szCs w:val="21"/>
        </w:rPr>
        <w:t>本次采购范围内的工程质量检测服务项目中的相关设备、劳务（包含前期检测准备工作）、管理、材料、维护、保险、利润、税金、配合费、政策性文件规定的各项费用及所有风险、责任，</w:t>
      </w:r>
      <w:r>
        <w:rPr>
          <w:rFonts w:hint="eastAsia" w:hAnsi="宋体"/>
        </w:rPr>
        <w:t>投标人综合考虑投标报价。</w:t>
      </w:r>
      <w:bookmarkEnd w:id="176"/>
      <w:bookmarkEnd w:id="177"/>
    </w:p>
    <w:bookmarkEnd w:id="174"/>
    <w:bookmarkEnd w:id="175"/>
    <w:p w14:paraId="01BF0017">
      <w:pPr>
        <w:spacing w:line="400" w:lineRule="exact"/>
        <w:ind w:firstLine="413"/>
        <w:outlineLvl w:val="2"/>
        <w:rPr>
          <w:rFonts w:ascii="宋体" w:hAnsi="宋体" w:cs="宋体"/>
          <w:b/>
          <w:szCs w:val="21"/>
        </w:rPr>
      </w:pPr>
      <w:r>
        <w:rPr>
          <w:rFonts w:hint="eastAsia" w:ascii="宋体" w:hAnsi="宋体" w:cs="宋体"/>
          <w:b/>
          <w:szCs w:val="21"/>
        </w:rPr>
        <w:t>16. 投标有效期</w:t>
      </w:r>
      <w:bookmarkEnd w:id="141"/>
      <w:bookmarkEnd w:id="142"/>
      <w:bookmarkEnd w:id="143"/>
      <w:bookmarkEnd w:id="144"/>
      <w:bookmarkEnd w:id="145"/>
    </w:p>
    <w:p w14:paraId="7FD580EE">
      <w:pPr>
        <w:tabs>
          <w:tab w:val="left" w:pos="1305"/>
        </w:tabs>
        <w:spacing w:line="400" w:lineRule="exact"/>
        <w:ind w:firstLine="420"/>
        <w:rPr>
          <w:rFonts w:ascii="宋体" w:hAnsi="宋体" w:cs="宋体"/>
          <w:szCs w:val="21"/>
        </w:rPr>
      </w:pPr>
      <w:r>
        <w:rPr>
          <w:rFonts w:hint="eastAsia" w:ascii="宋体" w:hAnsi="宋体" w:cs="宋体"/>
          <w:szCs w:val="21"/>
        </w:rPr>
        <w:t>16.1投标有效期：</w:t>
      </w:r>
      <w:r>
        <w:rPr>
          <w:rFonts w:hint="eastAsia" w:ascii="宋体" w:hAnsi="宋体" w:cs="宋体"/>
        </w:rPr>
        <w:t>投标截止时间之日起90天</w:t>
      </w:r>
      <w:r>
        <w:rPr>
          <w:rFonts w:hint="eastAsia" w:ascii="宋体" w:hAnsi="宋体" w:cs="宋体"/>
          <w:sz w:val="22"/>
          <w:szCs w:val="22"/>
        </w:rPr>
        <w:t>。</w:t>
      </w:r>
    </w:p>
    <w:p w14:paraId="763A1E53">
      <w:pPr>
        <w:tabs>
          <w:tab w:val="left" w:pos="1305"/>
        </w:tabs>
        <w:spacing w:line="400" w:lineRule="exact"/>
        <w:ind w:firstLine="420"/>
        <w:rPr>
          <w:rFonts w:ascii="宋体" w:hAnsi="宋体" w:cs="宋体"/>
          <w:szCs w:val="21"/>
        </w:rPr>
      </w:pPr>
      <w:r>
        <w:rPr>
          <w:rFonts w:hint="eastAsia" w:ascii="宋体" w:hAnsi="宋体" w:cs="宋体"/>
          <w:szCs w:val="21"/>
        </w:rPr>
        <w:t>16.2出现特殊情况下，需要延长投标有效期的，采购代理机构以书面形式通知投标人延长投标有效期。投标人同意延长的，原投标文件继续有效。投标人拒绝延长的，其投标无效。</w:t>
      </w:r>
    </w:p>
    <w:p w14:paraId="657A85D3">
      <w:pPr>
        <w:spacing w:line="400" w:lineRule="exact"/>
        <w:ind w:firstLine="413"/>
        <w:outlineLvl w:val="2"/>
        <w:rPr>
          <w:rFonts w:hint="default" w:ascii="宋体" w:hAnsi="宋体" w:eastAsia="宋体" w:cs="宋体"/>
          <w:b/>
          <w:szCs w:val="21"/>
          <w:lang w:val="en-US" w:eastAsia="zh-CN"/>
        </w:rPr>
      </w:pPr>
      <w:bookmarkStart w:id="178" w:name="_Toc31528"/>
      <w:bookmarkStart w:id="179" w:name="_Toc239867318"/>
      <w:bookmarkStart w:id="180" w:name="_Toc20359"/>
      <w:bookmarkStart w:id="181" w:name="_Toc5668"/>
      <w:bookmarkStart w:id="182" w:name="_Toc240644511"/>
      <w:r>
        <w:rPr>
          <w:rFonts w:hint="eastAsia" w:ascii="宋体" w:hAnsi="宋体" w:cs="宋体"/>
          <w:b/>
          <w:szCs w:val="21"/>
        </w:rPr>
        <w:t>17. 投标保证金</w:t>
      </w:r>
      <w:bookmarkEnd w:id="178"/>
      <w:bookmarkEnd w:id="179"/>
      <w:bookmarkEnd w:id="180"/>
      <w:bookmarkEnd w:id="181"/>
      <w:bookmarkEnd w:id="182"/>
      <w:r>
        <w:rPr>
          <w:rFonts w:hint="eastAsia" w:ascii="宋体" w:hAnsi="宋体" w:cs="宋体"/>
          <w:b/>
          <w:szCs w:val="21"/>
          <w:lang w:val="en-US" w:eastAsia="zh-CN"/>
        </w:rPr>
        <w:t>0</w:t>
      </w:r>
      <w:r>
        <w:rPr>
          <w:rFonts w:hint="eastAsia" w:ascii="宋体" w:hAnsi="宋体" w:cs="宋体"/>
          <w:b/>
          <w:szCs w:val="21"/>
          <w:lang w:val="en-US" w:eastAsia="zh-CN"/>
        </w:rPr>
        <w:tab/>
      </w:r>
    </w:p>
    <w:p w14:paraId="19479D46">
      <w:pPr>
        <w:tabs>
          <w:tab w:val="left" w:pos="1305"/>
        </w:tabs>
        <w:spacing w:line="400" w:lineRule="exact"/>
        <w:ind w:firstLine="420"/>
        <w:rPr>
          <w:rFonts w:ascii="宋体" w:hAnsi="宋体" w:cs="宋体"/>
          <w:szCs w:val="21"/>
        </w:rPr>
      </w:pPr>
      <w:r>
        <w:rPr>
          <w:rFonts w:hint="eastAsia" w:ascii="宋体" w:hAnsi="宋体" w:cs="宋体"/>
          <w:szCs w:val="21"/>
        </w:rPr>
        <w:t>本项目无需缴纳投标保证金。</w:t>
      </w:r>
    </w:p>
    <w:p w14:paraId="2591DFED">
      <w:pPr>
        <w:spacing w:line="400" w:lineRule="exact"/>
        <w:ind w:firstLine="413"/>
        <w:outlineLvl w:val="2"/>
        <w:rPr>
          <w:rFonts w:ascii="宋体" w:hAnsi="宋体" w:cs="宋体"/>
          <w:b/>
          <w:szCs w:val="21"/>
        </w:rPr>
      </w:pPr>
      <w:bookmarkStart w:id="183" w:name="_Toc6809"/>
      <w:bookmarkStart w:id="184" w:name="_Toc30873"/>
      <w:bookmarkStart w:id="185" w:name="_Toc17461"/>
      <w:bookmarkStart w:id="186" w:name="_Toc239867319"/>
      <w:bookmarkStart w:id="187" w:name="_Toc7971"/>
      <w:bookmarkStart w:id="188" w:name="_Toc14142"/>
      <w:bookmarkStart w:id="189" w:name="_Toc240644512"/>
      <w:bookmarkStart w:id="190" w:name="_Toc24490"/>
      <w:r>
        <w:rPr>
          <w:rFonts w:hint="eastAsia" w:ascii="宋体" w:hAnsi="宋体" w:cs="宋体"/>
          <w:b/>
          <w:szCs w:val="21"/>
        </w:rPr>
        <w:t>18. 投标文件的</w:t>
      </w:r>
      <w:bookmarkEnd w:id="183"/>
      <w:bookmarkEnd w:id="184"/>
      <w:bookmarkEnd w:id="185"/>
      <w:r>
        <w:rPr>
          <w:rFonts w:hint="eastAsia" w:ascii="宋体" w:hAnsi="宋体" w:cs="宋体"/>
          <w:b/>
          <w:szCs w:val="21"/>
        </w:rPr>
        <w:t>制作</w:t>
      </w:r>
      <w:bookmarkEnd w:id="186"/>
      <w:bookmarkEnd w:id="187"/>
      <w:bookmarkEnd w:id="188"/>
      <w:bookmarkEnd w:id="189"/>
    </w:p>
    <w:p w14:paraId="6933BB8B">
      <w:pPr>
        <w:keepNext w:val="0"/>
        <w:keepLines w:val="0"/>
        <w:pageBreakBefore w:val="0"/>
        <w:widowControl w:val="0"/>
        <w:kinsoku/>
        <w:wordWrap/>
        <w:overflowPunct/>
        <w:topLinePunct w:val="0"/>
        <w:autoSpaceDE/>
        <w:autoSpaceDN/>
        <w:bidi w:val="0"/>
        <w:adjustRightInd/>
        <w:snapToGrid/>
        <w:spacing w:line="336" w:lineRule="auto"/>
        <w:ind w:firstLine="420"/>
        <w:textAlignment w:val="auto"/>
        <w:rPr>
          <w:rFonts w:ascii="宋体" w:hAnsi="宋体" w:cs="宋体"/>
          <w:szCs w:val="21"/>
        </w:rPr>
      </w:pPr>
      <w:r>
        <w:rPr>
          <w:rFonts w:hint="eastAsia" w:ascii="宋体" w:hAnsi="宋体" w:cs="宋体"/>
          <w:szCs w:val="21"/>
        </w:rPr>
        <w:t>18.1 电子投标文件中须加盖供应商公章部分均采用CA签章，并根据“政府采购项目电子交易管理操作指南-供应商” 及本招标文件规定的格式和顺序编制电子投标文件并进行关联定位，以便评审小组在评审时，点击评分项可直接定位到该评分项内容。如对招标文件的某项要求，供应商的电子投标文件未能关联定位提供相应的内容与其对应，则评审小组在评审时如做出对供应商不利的评审由供应商自行承担。电子投标文件如内容不完整、编排混乱导致投标文件被误读、 漏读，或者在按招标文件规定的部位查找不到相关内容的，由供应商自行承担。</w:t>
      </w:r>
    </w:p>
    <w:p w14:paraId="570F995B">
      <w:pPr>
        <w:keepNext w:val="0"/>
        <w:keepLines w:val="0"/>
        <w:pageBreakBefore w:val="0"/>
        <w:widowControl w:val="0"/>
        <w:kinsoku/>
        <w:wordWrap/>
        <w:overflowPunct/>
        <w:topLinePunct w:val="0"/>
        <w:autoSpaceDE/>
        <w:autoSpaceDN/>
        <w:bidi w:val="0"/>
        <w:adjustRightInd/>
        <w:snapToGrid/>
        <w:spacing w:line="336" w:lineRule="auto"/>
        <w:ind w:firstLine="420"/>
        <w:textAlignment w:val="auto"/>
        <w:rPr>
          <w:rFonts w:ascii="宋体" w:hAnsi="宋体" w:cs="宋体"/>
          <w:szCs w:val="21"/>
        </w:rPr>
      </w:pPr>
      <w:r>
        <w:rPr>
          <w:rFonts w:hint="eastAsia" w:ascii="宋体" w:hAnsi="宋体" w:cs="宋体"/>
          <w:szCs w:val="21"/>
        </w:rPr>
        <w:t xml:space="preserve">18.2 供应商法人（负责人）或授权代表持有广西政府采购云平台个人CA签章的，应在投标文件中涉及到签字的位置使用个人CA签章，没有办理广西政府采购云平台个人CA签章的可在投标文件中涉及到签字的位置手写签字或盖章后扫描或者拍照做成PDF的格式上传即可。 </w:t>
      </w:r>
    </w:p>
    <w:p w14:paraId="337F1F70">
      <w:pPr>
        <w:keepNext w:val="0"/>
        <w:keepLines w:val="0"/>
        <w:pageBreakBefore w:val="0"/>
        <w:widowControl w:val="0"/>
        <w:kinsoku/>
        <w:wordWrap/>
        <w:overflowPunct/>
        <w:topLinePunct w:val="0"/>
        <w:autoSpaceDE/>
        <w:autoSpaceDN/>
        <w:bidi w:val="0"/>
        <w:adjustRightInd/>
        <w:snapToGrid/>
        <w:spacing w:line="336" w:lineRule="auto"/>
        <w:ind w:firstLine="420"/>
        <w:textAlignment w:val="auto"/>
        <w:rPr>
          <w:rFonts w:ascii="宋体" w:hAnsi="宋体" w:cs="宋体"/>
          <w:szCs w:val="21"/>
        </w:rPr>
      </w:pPr>
      <w:r>
        <w:rPr>
          <w:rFonts w:hint="eastAsia" w:ascii="宋体" w:hAnsi="宋体" w:cs="宋体"/>
          <w:szCs w:val="21"/>
        </w:rPr>
        <w:t>18.3 投标文件不得涂改，若有修改错漏处，须法定代表人（负责人）或授权委托人签字（或个人CA签章）。投标文件因字迹潦草或表达不清所引起的后果由供应商负责。</w:t>
      </w:r>
    </w:p>
    <w:p w14:paraId="2D0A9570">
      <w:pPr>
        <w:spacing w:line="360" w:lineRule="auto"/>
        <w:ind w:firstLine="420"/>
        <w:rPr>
          <w:rFonts w:ascii="宋体" w:hAnsi="宋体" w:cs="宋体"/>
          <w:szCs w:val="21"/>
        </w:rPr>
      </w:pPr>
      <w:r>
        <w:rPr>
          <w:rFonts w:hint="eastAsia" w:ascii="宋体" w:hAnsi="宋体" w:cs="宋体"/>
          <w:szCs w:val="21"/>
        </w:rPr>
        <w:t xml:space="preserve">18.4评审前准备 </w:t>
      </w:r>
    </w:p>
    <w:p w14:paraId="507EA13C">
      <w:pPr>
        <w:spacing w:line="360" w:lineRule="auto"/>
        <w:ind w:firstLine="420"/>
        <w:rPr>
          <w:rFonts w:ascii="宋体" w:hAnsi="宋体" w:cs="宋体"/>
          <w:szCs w:val="21"/>
        </w:rPr>
      </w:pPr>
      <w:r>
        <w:rPr>
          <w:rFonts w:hint="eastAsia" w:ascii="宋体" w:hAnsi="宋体" w:cs="宋体"/>
          <w:szCs w:val="21"/>
        </w:rPr>
        <w:t xml:space="preserve">18.4.1本项目实行网上评审，采用电子投标文件；若供应商参与投标，自行承担投标一切费用。 </w:t>
      </w:r>
    </w:p>
    <w:p w14:paraId="53A34490">
      <w:pPr>
        <w:spacing w:line="360" w:lineRule="auto"/>
        <w:ind w:firstLine="420"/>
        <w:rPr>
          <w:rFonts w:ascii="宋体" w:hAnsi="宋体" w:cs="宋体"/>
          <w:szCs w:val="21"/>
        </w:rPr>
      </w:pPr>
      <w:r>
        <w:rPr>
          <w:rFonts w:hint="eastAsia" w:ascii="宋体" w:hAnsi="宋体" w:cs="宋体"/>
          <w:szCs w:val="21"/>
        </w:rPr>
        <w:t xml:space="preserve">18.4.2各供应商在截标前应确保成为广西政府采购云平台正式注册入库供应商，并完成CA数字证书申领。因未注册入库、未办理 CA 数字证书等原因造成无法投标或投标失败等后果由供应商自行承担。 </w:t>
      </w:r>
    </w:p>
    <w:p w14:paraId="5C363D71">
      <w:pPr>
        <w:spacing w:line="360" w:lineRule="auto"/>
        <w:ind w:firstLine="420"/>
        <w:rPr>
          <w:rFonts w:ascii="宋体" w:hAnsi="宋体" w:cs="宋体"/>
          <w:szCs w:val="21"/>
        </w:rPr>
      </w:pPr>
      <w:r>
        <w:rPr>
          <w:rFonts w:hint="eastAsia" w:ascii="宋体" w:hAnsi="宋体" w:cs="宋体"/>
          <w:szCs w:val="21"/>
        </w:rPr>
        <w:t>18.4.3供应商将广西政府采购云平台电子交易客户端下载、安装完成后，可通过账号密码或CA登录客户端进行投标文件制作。客户端请至网站下载专区查看，如有问题可拨打广西政府采购云平台客户服务热线95763进行咨询。</w:t>
      </w:r>
      <w:bookmarkEnd w:id="190"/>
    </w:p>
    <w:p w14:paraId="1DC6A9B2">
      <w:pPr>
        <w:spacing w:line="400" w:lineRule="exact"/>
        <w:ind w:firstLine="413"/>
        <w:outlineLvl w:val="2"/>
        <w:rPr>
          <w:rFonts w:ascii="宋体" w:hAnsi="宋体" w:cs="宋体"/>
          <w:b/>
          <w:szCs w:val="21"/>
        </w:rPr>
      </w:pPr>
      <w:bookmarkStart w:id="191" w:name="_Toc15098"/>
      <w:bookmarkStart w:id="192" w:name="_Toc5977"/>
      <w:bookmarkStart w:id="193" w:name="_Toc240644513"/>
      <w:bookmarkStart w:id="194" w:name="_Toc12348"/>
      <w:bookmarkStart w:id="195" w:name="_Toc239867320"/>
      <w:bookmarkStart w:id="196" w:name="_Toc14188"/>
      <w:bookmarkStart w:id="197" w:name="_Toc31572"/>
      <w:r>
        <w:rPr>
          <w:rFonts w:hint="eastAsia" w:ascii="宋体" w:hAnsi="宋体" w:cs="宋体"/>
          <w:b/>
          <w:szCs w:val="21"/>
        </w:rPr>
        <w:t>19. 投标文件的补充、修改和撤回</w:t>
      </w:r>
      <w:bookmarkEnd w:id="191"/>
      <w:bookmarkEnd w:id="192"/>
      <w:bookmarkEnd w:id="193"/>
      <w:bookmarkEnd w:id="194"/>
      <w:bookmarkEnd w:id="195"/>
      <w:bookmarkEnd w:id="196"/>
    </w:p>
    <w:p w14:paraId="5E1C5647">
      <w:pPr>
        <w:spacing w:line="360" w:lineRule="auto"/>
        <w:ind w:firstLine="420"/>
        <w:rPr>
          <w:rFonts w:ascii="宋体" w:hAnsi="宋体" w:cs="宋体"/>
          <w:szCs w:val="21"/>
        </w:rPr>
      </w:pPr>
      <w:r>
        <w:rPr>
          <w:rFonts w:ascii="宋体" w:hAnsi="宋体" w:cs="宋体"/>
          <w:szCs w:val="21"/>
        </w:rPr>
        <w:t>1</w:t>
      </w:r>
      <w:r>
        <w:rPr>
          <w:rFonts w:hint="eastAsia" w:ascii="宋体" w:hAnsi="宋体" w:cs="宋体"/>
          <w:szCs w:val="21"/>
        </w:rPr>
        <w:t>9</w:t>
      </w:r>
      <w:r>
        <w:rPr>
          <w:rFonts w:ascii="宋体" w:hAnsi="宋体" w:cs="宋体"/>
          <w:szCs w:val="21"/>
        </w:rPr>
        <w:t xml:space="preserve">.1 </w:t>
      </w:r>
      <w:r>
        <w:rPr>
          <w:rFonts w:hint="eastAsia" w:ascii="宋体" w:hAnsi="宋体" w:cs="宋体"/>
          <w:szCs w:val="21"/>
        </w:rPr>
        <w:t>投标文件递交截止时间前可以撤回电子投标文件。补充或者修改电子投标文件的，应当先行撤回原文件，补充、修改后重新传输递交，投标文件递交截止时间前未完成传输的，视为撤回投标文件。</w:t>
      </w:r>
    </w:p>
    <w:p w14:paraId="2CDB6EC4">
      <w:pPr>
        <w:spacing w:line="360" w:lineRule="auto"/>
        <w:ind w:firstLine="420"/>
        <w:rPr>
          <w:rFonts w:ascii="宋体" w:cs="宋体"/>
          <w:szCs w:val="21"/>
        </w:rPr>
      </w:pPr>
      <w:r>
        <w:rPr>
          <w:rFonts w:ascii="宋体" w:hAnsi="宋体" w:cs="宋体"/>
          <w:szCs w:val="21"/>
        </w:rPr>
        <w:t>1</w:t>
      </w:r>
      <w:r>
        <w:rPr>
          <w:rFonts w:hint="eastAsia" w:ascii="宋体" w:hAnsi="宋体" w:cs="宋体"/>
          <w:szCs w:val="21"/>
        </w:rPr>
        <w:t>9</w:t>
      </w:r>
      <w:r>
        <w:rPr>
          <w:rFonts w:ascii="宋体" w:hAnsi="宋体" w:cs="宋体"/>
          <w:szCs w:val="21"/>
        </w:rPr>
        <w:t xml:space="preserve">.2 </w:t>
      </w:r>
      <w:r>
        <w:rPr>
          <w:rFonts w:hint="eastAsia" w:ascii="宋体" w:hAnsi="宋体" w:cs="宋体"/>
          <w:szCs w:val="21"/>
        </w:rPr>
        <w:t>在投标文件递交截止时间后的投标文件有效期内，供应商不得撤回其投标文件。</w:t>
      </w:r>
      <w:bookmarkEnd w:id="197"/>
    </w:p>
    <w:p w14:paraId="2B8F8A47">
      <w:pPr>
        <w:spacing w:line="400" w:lineRule="exact"/>
        <w:ind w:firstLine="413"/>
        <w:outlineLvl w:val="2"/>
        <w:rPr>
          <w:rFonts w:ascii="宋体" w:hAnsi="宋体" w:cs="宋体"/>
          <w:b/>
          <w:szCs w:val="21"/>
        </w:rPr>
      </w:pPr>
      <w:bookmarkStart w:id="198" w:name="_Toc13713"/>
      <w:bookmarkStart w:id="199" w:name="_Toc239867321"/>
      <w:bookmarkStart w:id="200" w:name="_Toc16777"/>
      <w:bookmarkStart w:id="201" w:name="_Toc26691"/>
      <w:bookmarkStart w:id="202" w:name="_Toc240644514"/>
      <w:bookmarkStart w:id="203" w:name="_Toc8898"/>
      <w:r>
        <w:rPr>
          <w:rFonts w:hint="eastAsia" w:ascii="宋体" w:hAnsi="宋体" w:cs="宋体"/>
          <w:b/>
          <w:szCs w:val="21"/>
        </w:rPr>
        <w:t>20. 投标文件的递交</w:t>
      </w:r>
      <w:bookmarkEnd w:id="198"/>
      <w:r>
        <w:rPr>
          <w:rFonts w:hint="eastAsia" w:ascii="宋体" w:hAnsi="宋体" w:cs="宋体"/>
          <w:b/>
          <w:szCs w:val="21"/>
        </w:rPr>
        <w:t>和解密</w:t>
      </w:r>
      <w:bookmarkEnd w:id="199"/>
      <w:bookmarkEnd w:id="200"/>
      <w:bookmarkEnd w:id="201"/>
      <w:bookmarkEnd w:id="202"/>
      <w:bookmarkEnd w:id="203"/>
    </w:p>
    <w:p w14:paraId="48C3273E">
      <w:pPr>
        <w:spacing w:line="360" w:lineRule="auto"/>
        <w:ind w:firstLine="420"/>
        <w:rPr>
          <w:rFonts w:ascii="宋体" w:hAnsi="宋体" w:cs="宋体"/>
          <w:szCs w:val="21"/>
        </w:rPr>
      </w:pPr>
      <w:r>
        <w:rPr>
          <w:rFonts w:hint="eastAsia" w:ascii="宋体" w:hAnsi="宋体" w:cs="宋体"/>
          <w:szCs w:val="21"/>
        </w:rPr>
        <w:t>20.1</w:t>
      </w:r>
      <w:r>
        <w:rPr>
          <w:rFonts w:hint="eastAsia" w:ascii="宋体" w:hAnsi="宋体"/>
          <w:szCs w:val="21"/>
        </w:rPr>
        <w:t>投标文件递交截止时间：详见《投标人须知前附表》第9</w:t>
      </w:r>
      <w:bookmarkStart w:id="204" w:name="OLE_LINK93"/>
      <w:bookmarkStart w:id="205" w:name="OLE_LINK92"/>
      <w:r>
        <w:rPr>
          <w:rFonts w:hint="eastAsia" w:ascii="宋体" w:hAnsi="宋体"/>
          <w:szCs w:val="21"/>
        </w:rPr>
        <w:t>条</w:t>
      </w:r>
      <w:bookmarkEnd w:id="204"/>
      <w:bookmarkEnd w:id="205"/>
      <w:r>
        <w:rPr>
          <w:rFonts w:hint="eastAsia" w:ascii="宋体" w:hAnsi="宋体"/>
          <w:szCs w:val="21"/>
        </w:rPr>
        <w:t>。</w:t>
      </w:r>
    </w:p>
    <w:p w14:paraId="3EC74E50">
      <w:pPr>
        <w:spacing w:line="360" w:lineRule="auto"/>
        <w:ind w:firstLine="420"/>
        <w:rPr>
          <w:rFonts w:ascii="宋体" w:hAnsi="宋体"/>
          <w:szCs w:val="21"/>
        </w:rPr>
      </w:pPr>
      <w:r>
        <w:rPr>
          <w:rFonts w:hint="eastAsia" w:ascii="宋体" w:hAnsi="宋体" w:cs="宋体"/>
          <w:szCs w:val="21"/>
        </w:rPr>
        <w:t>20.2投标文件解密时间：</w:t>
      </w:r>
      <w:r>
        <w:rPr>
          <w:rFonts w:hint="eastAsia" w:ascii="宋体" w:hAnsi="宋体"/>
          <w:szCs w:val="21"/>
        </w:rPr>
        <w:t>详见《投标人须知前附表》第10条。</w:t>
      </w:r>
    </w:p>
    <w:p w14:paraId="592A65C3">
      <w:pPr>
        <w:spacing w:line="360" w:lineRule="auto"/>
        <w:ind w:firstLine="420"/>
        <w:rPr>
          <w:rFonts w:ascii="宋体" w:hAnsi="宋体" w:cs="宋体"/>
          <w:szCs w:val="21"/>
        </w:rPr>
      </w:pPr>
      <w:r>
        <w:rPr>
          <w:rFonts w:hint="eastAsia" w:ascii="宋体" w:hAnsi="宋体" w:cs="宋体"/>
          <w:szCs w:val="21"/>
        </w:rPr>
        <w:t>20.3 除招标文件另有规定外，供应商所递交的投标文件不予退还。</w:t>
      </w:r>
    </w:p>
    <w:p w14:paraId="7D93FA85">
      <w:pPr>
        <w:spacing w:line="360" w:lineRule="auto"/>
        <w:ind w:firstLine="420"/>
        <w:rPr>
          <w:rFonts w:ascii="宋体" w:hAnsi="宋体" w:cs="宋体"/>
          <w:szCs w:val="21"/>
        </w:rPr>
      </w:pPr>
      <w:r>
        <w:rPr>
          <w:rFonts w:hint="eastAsia" w:ascii="宋体" w:hAnsi="宋体" w:cs="宋体"/>
          <w:szCs w:val="21"/>
        </w:rPr>
        <w:t>20.4 电子投标文件的相关说明</w:t>
      </w:r>
    </w:p>
    <w:p w14:paraId="60343D24">
      <w:pPr>
        <w:spacing w:line="360" w:lineRule="auto"/>
        <w:ind w:firstLine="420"/>
        <w:rPr>
          <w:rFonts w:ascii="宋体" w:hAnsi="宋体" w:cs="宋体"/>
          <w:szCs w:val="21"/>
        </w:rPr>
      </w:pPr>
      <w:r>
        <w:rPr>
          <w:rFonts w:hint="eastAsia" w:ascii="宋体" w:hAnsi="宋体" w:cs="宋体"/>
          <w:szCs w:val="21"/>
        </w:rPr>
        <w:t xml:space="preserve">（1）供应商进行电子投标应安装客户端软件，并按照采购文件和广西政府采购云平台的要求编制并加密投标文件。供应商未按规定加密的投标文件，广西政府采购云平台将拒收。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广西政府采购云平台将拒收。 </w:t>
      </w:r>
    </w:p>
    <w:p w14:paraId="4CE284CA">
      <w:pPr>
        <w:spacing w:line="360" w:lineRule="auto"/>
        <w:ind w:firstLine="420"/>
      </w:pPr>
      <w:r>
        <w:rPr>
          <w:rFonts w:hint="eastAsia" w:ascii="宋体" w:hAnsi="宋体" w:cs="宋体"/>
          <w:szCs w:val="21"/>
        </w:rPr>
        <w:t>（2）如有特殊情况，采购代理机构延长截止时间和开标时间，采购代理机构和供应商的权利和义务将受到新的截止时间和开标时间的约束。</w:t>
      </w:r>
    </w:p>
    <w:p w14:paraId="1CC889E2">
      <w:pPr>
        <w:pStyle w:val="258"/>
        <w:rPr>
          <w:color w:val="auto"/>
        </w:rPr>
      </w:pPr>
    </w:p>
    <w:p w14:paraId="071DB8B8">
      <w:pPr>
        <w:spacing w:line="360" w:lineRule="auto"/>
        <w:jc w:val="center"/>
        <w:outlineLvl w:val="1"/>
        <w:rPr>
          <w:rFonts w:ascii="宋体" w:hAnsi="宋体" w:cs="宋体"/>
          <w:b/>
          <w:sz w:val="28"/>
          <w:szCs w:val="28"/>
        </w:rPr>
      </w:pPr>
      <w:bookmarkStart w:id="206" w:name="_Toc239867322"/>
      <w:bookmarkStart w:id="207" w:name="_Toc240644515"/>
      <w:bookmarkStart w:id="208" w:name="_Toc495841757"/>
      <w:bookmarkStart w:id="209" w:name="_Toc16788"/>
      <w:bookmarkStart w:id="210" w:name="_Toc15569"/>
      <w:bookmarkStart w:id="211" w:name="_Toc307"/>
      <w:r>
        <w:rPr>
          <w:rFonts w:hint="eastAsia" w:ascii="宋体" w:hAnsi="宋体" w:cs="宋体"/>
          <w:b/>
          <w:sz w:val="28"/>
          <w:szCs w:val="28"/>
        </w:rPr>
        <w:t>四、开标</w:t>
      </w:r>
      <w:bookmarkEnd w:id="206"/>
      <w:bookmarkEnd w:id="207"/>
      <w:bookmarkEnd w:id="208"/>
      <w:bookmarkEnd w:id="209"/>
      <w:bookmarkEnd w:id="210"/>
      <w:bookmarkEnd w:id="211"/>
    </w:p>
    <w:p w14:paraId="6A8C8C65">
      <w:pPr>
        <w:spacing w:line="400" w:lineRule="exact"/>
        <w:ind w:firstLine="413"/>
        <w:outlineLvl w:val="2"/>
        <w:rPr>
          <w:rFonts w:ascii="宋体" w:hAnsi="宋体" w:cs="宋体"/>
          <w:b/>
          <w:szCs w:val="21"/>
        </w:rPr>
      </w:pPr>
      <w:bookmarkStart w:id="212" w:name="_Toc19830"/>
      <w:bookmarkStart w:id="213" w:name="_Toc19384"/>
      <w:bookmarkStart w:id="214" w:name="_Toc240644516"/>
      <w:bookmarkStart w:id="215" w:name="_Toc17073"/>
      <w:bookmarkStart w:id="216" w:name="_Toc239867323"/>
      <w:bookmarkStart w:id="217" w:name="_Toc5456"/>
      <w:bookmarkStart w:id="218" w:name="_Toc25198"/>
      <w:bookmarkStart w:id="219" w:name="_Toc495841758"/>
      <w:bookmarkStart w:id="220" w:name="_Toc13013"/>
      <w:r>
        <w:rPr>
          <w:rFonts w:hint="eastAsia" w:ascii="宋体" w:hAnsi="宋体" w:cs="宋体"/>
          <w:b/>
          <w:szCs w:val="21"/>
        </w:rPr>
        <w:t>21. 开标时间及地点</w:t>
      </w:r>
      <w:bookmarkEnd w:id="212"/>
      <w:bookmarkEnd w:id="213"/>
      <w:bookmarkEnd w:id="214"/>
      <w:bookmarkEnd w:id="215"/>
      <w:bookmarkEnd w:id="216"/>
      <w:bookmarkEnd w:id="217"/>
      <w:bookmarkEnd w:id="218"/>
    </w:p>
    <w:p w14:paraId="447FD27B">
      <w:pPr>
        <w:spacing w:line="360" w:lineRule="auto"/>
        <w:ind w:firstLine="420"/>
        <w:rPr>
          <w:rFonts w:ascii="宋体" w:hAnsi="宋体"/>
          <w:szCs w:val="21"/>
        </w:rPr>
      </w:pPr>
      <w:r>
        <w:rPr>
          <w:rFonts w:hint="eastAsia" w:ascii="宋体" w:hAnsi="宋体" w:cs="宋体"/>
          <w:szCs w:val="21"/>
        </w:rPr>
        <w:t>21.1开标时间及地点：</w:t>
      </w:r>
      <w:r>
        <w:rPr>
          <w:rFonts w:hint="eastAsia" w:ascii="宋体" w:hAnsi="宋体"/>
          <w:szCs w:val="21"/>
        </w:rPr>
        <w:t>详见《投标人须知前附表》第11项。</w:t>
      </w:r>
    </w:p>
    <w:p w14:paraId="45DA02C3">
      <w:pPr>
        <w:spacing w:line="360" w:lineRule="auto"/>
        <w:ind w:firstLine="420"/>
        <w:rPr>
          <w:rFonts w:ascii="宋体" w:hAnsi="宋体" w:cs="宋体"/>
          <w:szCs w:val="21"/>
        </w:rPr>
      </w:pPr>
      <w:r>
        <w:rPr>
          <w:rFonts w:hint="eastAsia" w:ascii="宋体" w:hAnsi="宋体" w:cs="宋体"/>
          <w:szCs w:val="21"/>
        </w:rPr>
        <w:t>21.2投标人不足3家的，不得开标，采购人或者采购代理机构应当重新组织采购。</w:t>
      </w:r>
    </w:p>
    <w:p w14:paraId="1D48FE56">
      <w:pPr>
        <w:spacing w:line="400" w:lineRule="exact"/>
        <w:ind w:firstLine="413"/>
        <w:outlineLvl w:val="2"/>
        <w:rPr>
          <w:rFonts w:ascii="宋体" w:hAnsi="宋体" w:cs="宋体"/>
          <w:b/>
          <w:bCs/>
          <w:szCs w:val="21"/>
        </w:rPr>
      </w:pPr>
      <w:bookmarkStart w:id="221" w:name="_Toc240644517"/>
      <w:bookmarkStart w:id="222" w:name="_Toc239867324"/>
      <w:bookmarkStart w:id="223" w:name="_Toc1036"/>
      <w:bookmarkStart w:id="224" w:name="_Toc8462"/>
      <w:bookmarkStart w:id="225" w:name="_Toc15515"/>
      <w:bookmarkStart w:id="226" w:name="_Toc11217"/>
      <w:bookmarkStart w:id="227" w:name="_Toc20854"/>
      <w:r>
        <w:rPr>
          <w:rFonts w:hint="eastAsia" w:ascii="宋体" w:hAnsi="宋体" w:cs="宋体"/>
          <w:b/>
          <w:bCs/>
          <w:szCs w:val="21"/>
        </w:rPr>
        <w:t>22. 开标程序</w:t>
      </w:r>
      <w:bookmarkEnd w:id="219"/>
      <w:bookmarkEnd w:id="220"/>
      <w:bookmarkEnd w:id="221"/>
      <w:bookmarkEnd w:id="222"/>
      <w:bookmarkEnd w:id="223"/>
      <w:bookmarkEnd w:id="224"/>
      <w:bookmarkEnd w:id="225"/>
    </w:p>
    <w:p w14:paraId="3D7B87F6">
      <w:pPr>
        <w:spacing w:line="360" w:lineRule="auto"/>
        <w:ind w:firstLine="422"/>
        <w:rPr>
          <w:rFonts w:ascii="宋体" w:hAnsi="宋体" w:cs="宋体"/>
          <w:b/>
          <w:bCs/>
          <w:szCs w:val="21"/>
        </w:rPr>
      </w:pPr>
      <w:r>
        <w:rPr>
          <w:rFonts w:hint="eastAsia" w:ascii="宋体" w:hAnsi="宋体" w:cs="宋体"/>
          <w:b/>
          <w:bCs/>
          <w:szCs w:val="21"/>
        </w:rPr>
        <w:t>22.1开标准备</w:t>
      </w:r>
    </w:p>
    <w:p w14:paraId="11643B34">
      <w:pPr>
        <w:spacing w:line="360" w:lineRule="auto"/>
        <w:ind w:firstLine="420"/>
        <w:rPr>
          <w:rFonts w:ascii="宋体" w:hAnsi="宋体" w:cs="宋体"/>
          <w:szCs w:val="21"/>
        </w:rPr>
      </w:pPr>
      <w:r>
        <w:rPr>
          <w:rFonts w:hint="eastAsia" w:ascii="宋体" w:hAnsi="宋体" w:cs="宋体"/>
          <w:szCs w:val="21"/>
        </w:rPr>
        <w:t>22.1.1开标的准备工作由</w:t>
      </w:r>
      <w:bookmarkStart w:id="228" w:name="OLE_LINK30"/>
      <w:bookmarkStart w:id="229" w:name="OLE_LINK43"/>
      <w:r>
        <w:rPr>
          <w:rFonts w:hint="eastAsia" w:ascii="宋体" w:hAnsi="宋体" w:cs="宋体"/>
          <w:szCs w:val="21"/>
        </w:rPr>
        <w:t>采购代理机构</w:t>
      </w:r>
      <w:bookmarkEnd w:id="228"/>
      <w:bookmarkEnd w:id="229"/>
      <w:r>
        <w:rPr>
          <w:rFonts w:hint="eastAsia" w:ascii="宋体" w:hAnsi="宋体" w:cs="宋体"/>
          <w:szCs w:val="21"/>
        </w:rPr>
        <w:t>负责落实；</w:t>
      </w:r>
    </w:p>
    <w:p w14:paraId="4E096C15">
      <w:pPr>
        <w:spacing w:line="360" w:lineRule="auto"/>
        <w:ind w:firstLine="420"/>
        <w:rPr>
          <w:rFonts w:ascii="宋体" w:hAnsi="宋体" w:cs="宋体"/>
          <w:szCs w:val="21"/>
        </w:rPr>
      </w:pPr>
      <w:r>
        <w:rPr>
          <w:rFonts w:hint="eastAsia" w:ascii="宋体" w:hAnsi="宋体" w:cs="宋体"/>
          <w:szCs w:val="21"/>
        </w:rPr>
        <w:t>22.1.2采购代理机构将按照招标文件规定的时间通过“广西政府采购云平台”组织开标、开启投标文件，所有供应商均应当准时在线参加。投标供应商如不参加开标会的，视同认可开标结果，事后不得对采购相关人员、开标过程和开标结果提出异议，同时投标供应商因未在线参加开标而导致投标文件无法按时解密等一切后果由供应商自己承担。</w:t>
      </w:r>
    </w:p>
    <w:p w14:paraId="7FF0B060">
      <w:pPr>
        <w:spacing w:line="360" w:lineRule="auto"/>
        <w:ind w:firstLine="422"/>
        <w:rPr>
          <w:rFonts w:ascii="宋体" w:hAnsi="宋体" w:cs="宋体"/>
          <w:b/>
          <w:bCs/>
          <w:szCs w:val="21"/>
        </w:rPr>
      </w:pPr>
      <w:r>
        <w:rPr>
          <w:rFonts w:hint="eastAsia" w:ascii="宋体" w:hAnsi="宋体" w:cs="宋体"/>
          <w:b/>
          <w:bCs/>
          <w:szCs w:val="21"/>
        </w:rPr>
        <w:t>22.2开标程序</w:t>
      </w:r>
    </w:p>
    <w:p w14:paraId="633CC703">
      <w:pPr>
        <w:spacing w:line="360" w:lineRule="auto"/>
        <w:ind w:firstLine="422"/>
        <w:rPr>
          <w:rFonts w:ascii="宋体" w:hAnsi="宋体" w:cs="宋体"/>
          <w:b/>
          <w:bCs/>
          <w:szCs w:val="21"/>
        </w:rPr>
      </w:pPr>
      <w:r>
        <w:rPr>
          <w:rFonts w:hint="eastAsia" w:ascii="宋体" w:hAnsi="宋体" w:cs="宋体"/>
          <w:b/>
          <w:bCs/>
          <w:szCs w:val="21"/>
        </w:rPr>
        <w:t>22.2.1向各投标供应商发出电子加密投标文件【开始解密】通知，由供应商按招标文件规定的时间内自行进行投标文件解密。投标供应商未在规定的时间内完成在线解密视为投标人放弃投标，在线解密时间为 30 分钟。</w:t>
      </w:r>
    </w:p>
    <w:p w14:paraId="63DC9E9C">
      <w:pPr>
        <w:spacing w:line="360" w:lineRule="auto"/>
        <w:ind w:firstLine="422"/>
        <w:rPr>
          <w:rFonts w:ascii="宋体" w:hAnsi="宋体" w:cs="宋体"/>
          <w:b/>
          <w:bCs/>
          <w:szCs w:val="21"/>
        </w:rPr>
      </w:pPr>
      <w:r>
        <w:rPr>
          <w:rFonts w:hint="eastAsia" w:ascii="宋体" w:hAnsi="宋体" w:cs="宋体"/>
          <w:b/>
          <w:bCs/>
          <w:szCs w:val="21"/>
        </w:rPr>
        <w:t>22.2.2投标文件解密结束后，开标活动组织人员在线开启投标文件。</w:t>
      </w:r>
    </w:p>
    <w:p w14:paraId="1DB8EC4A">
      <w:pPr>
        <w:spacing w:line="360" w:lineRule="auto"/>
        <w:ind w:firstLine="422"/>
        <w:rPr>
          <w:rFonts w:ascii="宋体" w:hAnsi="宋体" w:cs="宋体"/>
          <w:b/>
          <w:bCs/>
          <w:szCs w:val="21"/>
        </w:rPr>
      </w:pPr>
      <w:r>
        <w:rPr>
          <w:rFonts w:hint="eastAsia" w:ascii="宋体" w:hAnsi="宋体" w:cs="宋体"/>
          <w:b/>
          <w:bCs/>
          <w:szCs w:val="21"/>
        </w:rPr>
        <w:t>22.2.3开启投标人报价文件，“广西政府采购云平台”在线向投标人公开开标（报价）一览表有关内容，投标人代表如果认为开标信息有误，可以当场或在线提出异议。</w:t>
      </w:r>
    </w:p>
    <w:p w14:paraId="2D0F426C">
      <w:pPr>
        <w:spacing w:line="360" w:lineRule="auto"/>
        <w:ind w:firstLine="422"/>
        <w:rPr>
          <w:rFonts w:ascii="宋体" w:hAnsi="宋体" w:cs="宋体"/>
          <w:b/>
          <w:bCs/>
          <w:szCs w:val="21"/>
        </w:rPr>
      </w:pPr>
      <w:r>
        <w:rPr>
          <w:rFonts w:hint="eastAsia" w:ascii="宋体" w:hAnsi="宋体" w:cs="宋体"/>
          <w:b/>
          <w:bCs/>
          <w:szCs w:val="21"/>
        </w:rPr>
        <w:t>开标结束后，如发现开标结果与报价文件不一致者，由评标委员会根据报价文件内容进行修正。</w:t>
      </w:r>
    </w:p>
    <w:p w14:paraId="2A2E78D6">
      <w:pPr>
        <w:spacing w:line="360" w:lineRule="auto"/>
        <w:ind w:firstLine="422"/>
        <w:rPr>
          <w:rFonts w:ascii="宋体" w:hAnsi="宋体" w:cs="宋体"/>
          <w:b/>
          <w:bCs/>
          <w:szCs w:val="21"/>
        </w:rPr>
      </w:pPr>
      <w:r>
        <w:rPr>
          <w:rFonts w:hint="eastAsia" w:ascii="宋体" w:hAnsi="宋体" w:cs="宋体"/>
          <w:b/>
          <w:bCs/>
          <w:szCs w:val="21"/>
        </w:rPr>
        <w:t>特别说明：如遇“广西政府采购云平台”电子化开标或评审程序调整的，按调整后程序执行。</w:t>
      </w:r>
    </w:p>
    <w:p w14:paraId="79E9F11C">
      <w:pPr>
        <w:pStyle w:val="258"/>
        <w:rPr>
          <w:color w:val="auto"/>
        </w:rPr>
      </w:pPr>
    </w:p>
    <w:p w14:paraId="5BA790C4">
      <w:pPr>
        <w:spacing w:line="360" w:lineRule="auto"/>
        <w:jc w:val="center"/>
        <w:outlineLvl w:val="1"/>
        <w:rPr>
          <w:rFonts w:ascii="宋体" w:hAnsi="宋体" w:cs="宋体"/>
          <w:b/>
          <w:sz w:val="28"/>
          <w:szCs w:val="28"/>
        </w:rPr>
      </w:pPr>
      <w:bookmarkStart w:id="230" w:name="_Toc240644518"/>
      <w:bookmarkStart w:id="231" w:name="_Toc24351"/>
      <w:bookmarkStart w:id="232" w:name="_Toc239867325"/>
      <w:bookmarkStart w:id="233" w:name="_Toc11369"/>
      <w:r>
        <w:rPr>
          <w:rFonts w:hint="eastAsia" w:ascii="宋体" w:hAnsi="宋体" w:cs="宋体"/>
          <w:b/>
          <w:sz w:val="28"/>
          <w:szCs w:val="28"/>
        </w:rPr>
        <w:t>五、资格性审查</w:t>
      </w:r>
      <w:bookmarkEnd w:id="226"/>
      <w:bookmarkEnd w:id="227"/>
      <w:bookmarkEnd w:id="230"/>
      <w:bookmarkEnd w:id="231"/>
      <w:bookmarkEnd w:id="232"/>
      <w:bookmarkEnd w:id="233"/>
    </w:p>
    <w:p w14:paraId="2499041D">
      <w:pPr>
        <w:spacing w:line="400" w:lineRule="exact"/>
        <w:ind w:firstLine="413"/>
        <w:outlineLvl w:val="2"/>
        <w:rPr>
          <w:rFonts w:ascii="宋体" w:hAnsi="宋体" w:cs="宋体"/>
          <w:b/>
          <w:szCs w:val="21"/>
        </w:rPr>
      </w:pPr>
      <w:bookmarkStart w:id="234" w:name="_Toc239867326"/>
      <w:bookmarkStart w:id="235" w:name="_Toc240644519"/>
      <w:bookmarkStart w:id="236" w:name="_Toc30532"/>
      <w:bookmarkStart w:id="237" w:name="_Toc32230"/>
      <w:bookmarkStart w:id="238" w:name="_Toc13578"/>
      <w:r>
        <w:rPr>
          <w:rFonts w:hint="eastAsia" w:ascii="宋体" w:hAnsi="宋体" w:cs="宋体"/>
          <w:b/>
          <w:szCs w:val="21"/>
        </w:rPr>
        <w:t>23. 资格性审查</w:t>
      </w:r>
      <w:bookmarkEnd w:id="234"/>
      <w:bookmarkEnd w:id="235"/>
      <w:bookmarkEnd w:id="236"/>
      <w:bookmarkEnd w:id="237"/>
      <w:bookmarkEnd w:id="238"/>
    </w:p>
    <w:p w14:paraId="2ECD4270">
      <w:pPr>
        <w:tabs>
          <w:tab w:val="left" w:pos="1305"/>
        </w:tabs>
        <w:spacing w:line="400" w:lineRule="exact"/>
        <w:ind w:firstLine="420"/>
        <w:rPr>
          <w:rFonts w:ascii="宋体" w:hAnsi="宋体" w:cs="宋体"/>
          <w:b/>
          <w:szCs w:val="21"/>
        </w:rPr>
      </w:pPr>
      <w:r>
        <w:rPr>
          <w:rFonts w:hint="eastAsia" w:ascii="宋体" w:hAnsi="宋体" w:cs="宋体"/>
          <w:b/>
          <w:szCs w:val="21"/>
        </w:rPr>
        <w:t>23.1公开招标采购项目开标结束后，采购人或</w:t>
      </w:r>
      <w:r>
        <w:rPr>
          <w:rFonts w:hint="eastAsia" w:ascii="宋体" w:hAnsi="宋体" w:cs="宋体"/>
          <w:b/>
          <w:bCs/>
          <w:szCs w:val="21"/>
        </w:rPr>
        <w:t>者</w:t>
      </w:r>
      <w:r>
        <w:rPr>
          <w:rFonts w:hint="eastAsia" w:ascii="宋体" w:hAnsi="宋体" w:cs="宋体"/>
          <w:b/>
          <w:szCs w:val="21"/>
        </w:rPr>
        <w:t>采购代理机构应当依法对投标人的资格进行审查。合格投标人不足3家的，不得评标。</w:t>
      </w:r>
    </w:p>
    <w:p w14:paraId="19D624FC">
      <w:pPr>
        <w:spacing w:line="400" w:lineRule="exact"/>
        <w:ind w:firstLine="420"/>
        <w:rPr>
          <w:rFonts w:ascii="宋体" w:hAnsi="宋体" w:cs="宋体"/>
          <w:b/>
          <w:szCs w:val="21"/>
        </w:rPr>
      </w:pPr>
      <w:r>
        <w:rPr>
          <w:rFonts w:hint="eastAsia" w:ascii="宋体" w:hAnsi="宋体" w:cs="宋体"/>
          <w:b/>
          <w:szCs w:val="21"/>
        </w:rPr>
        <w:t>23.2</w:t>
      </w:r>
      <w:r>
        <w:rPr>
          <w:rFonts w:hint="eastAsia" w:ascii="宋体" w:hAnsi="宋体" w:cs="宋体"/>
          <w:b/>
          <w:bCs/>
          <w:szCs w:val="21"/>
        </w:rPr>
        <w:t>采购人或</w:t>
      </w:r>
      <w:bookmarkStart w:id="239" w:name="OLE_LINK47"/>
      <w:bookmarkStart w:id="240" w:name="OLE_LINK46"/>
      <w:r>
        <w:rPr>
          <w:rFonts w:hint="eastAsia" w:ascii="宋体" w:hAnsi="宋体" w:cs="宋体"/>
          <w:b/>
          <w:bCs/>
          <w:szCs w:val="21"/>
        </w:rPr>
        <w:t>者</w:t>
      </w:r>
      <w:bookmarkEnd w:id="239"/>
      <w:bookmarkEnd w:id="240"/>
      <w:r>
        <w:rPr>
          <w:rFonts w:hint="eastAsia" w:ascii="宋体" w:hAnsi="宋体" w:cs="宋体"/>
          <w:b/>
          <w:bCs/>
          <w:szCs w:val="21"/>
        </w:rPr>
        <w:t>采购代理机构</w:t>
      </w:r>
      <w:r>
        <w:rPr>
          <w:rFonts w:hint="eastAsia" w:ascii="宋体" w:hAnsi="宋体" w:cs="宋体"/>
          <w:b/>
          <w:szCs w:val="21"/>
        </w:rPr>
        <w:t>在对投标人进行资格性审查时，将对投标人企业股东及出资等信息进行查询。根据《中华人民共和国政府采购法实施条例》第十八条第一款规定，审查中如发现投标人存在单位负责人为同一人或者存在直接控股、管理关系的不同供应商参加同一合同项下的政府采购活动的，按投标无效处理。</w:t>
      </w:r>
    </w:p>
    <w:p w14:paraId="0CF52B33">
      <w:pPr>
        <w:spacing w:line="400" w:lineRule="exact"/>
        <w:ind w:firstLine="420"/>
        <w:rPr>
          <w:rFonts w:ascii="宋体" w:hAnsi="宋体" w:cs="宋体"/>
          <w:szCs w:val="21"/>
        </w:rPr>
      </w:pPr>
      <w:r>
        <w:rPr>
          <w:rFonts w:hint="eastAsia" w:ascii="宋体" w:hAnsi="宋体" w:cs="宋体"/>
          <w:szCs w:val="21"/>
        </w:rPr>
        <w:t>查询渠道：《国家企业信用信息公示系统》（网址：www.gsxt.gov.cn/index.html）</w:t>
      </w:r>
    </w:p>
    <w:p w14:paraId="13B7FD5F">
      <w:pPr>
        <w:spacing w:line="400" w:lineRule="exact"/>
        <w:ind w:firstLine="420"/>
        <w:rPr>
          <w:rFonts w:ascii="宋体" w:hAnsi="宋体" w:cs="宋体"/>
          <w:szCs w:val="21"/>
        </w:rPr>
      </w:pPr>
      <w:r>
        <w:rPr>
          <w:rFonts w:hint="eastAsia" w:ascii="宋体" w:hAnsi="宋体" w:cs="宋体"/>
          <w:szCs w:val="21"/>
        </w:rPr>
        <w:t>审查流程：</w:t>
      </w:r>
    </w:p>
    <w:p w14:paraId="6D4BC8C8">
      <w:pPr>
        <w:spacing w:line="400" w:lineRule="exact"/>
        <w:ind w:firstLine="420"/>
        <w:rPr>
          <w:rFonts w:ascii="宋体" w:hAnsi="宋体" w:cs="宋体"/>
          <w:szCs w:val="21"/>
        </w:rPr>
      </w:pPr>
      <w:r>
        <w:rPr>
          <w:rFonts w:hint="eastAsia" w:ascii="宋体" w:hAnsi="宋体" w:cs="宋体"/>
          <w:szCs w:val="21"/>
        </w:rPr>
        <w:t>（1）进入《国家企业信用信息公示系统》（网址：www.gsxt.gov.cn/index.html），输入企业名称，进入企业信息主页面；</w:t>
      </w:r>
    </w:p>
    <w:p w14:paraId="4C26BB97">
      <w:pPr>
        <w:spacing w:line="400" w:lineRule="exact"/>
        <w:ind w:firstLine="420"/>
        <w:rPr>
          <w:rFonts w:ascii="宋体" w:hAnsi="宋体" w:cs="宋体"/>
          <w:szCs w:val="21"/>
        </w:rPr>
      </w:pPr>
      <w:r>
        <w:rPr>
          <w:rFonts w:hint="eastAsia" w:ascii="宋体" w:hAnsi="宋体" w:cs="宋体"/>
          <w:szCs w:val="21"/>
        </w:rPr>
        <w:t>（2）查看主页“股东及出资信息”栏，或年报中的“股东及出资信息”栏信息；</w:t>
      </w:r>
    </w:p>
    <w:p w14:paraId="65497443">
      <w:pPr>
        <w:spacing w:line="400" w:lineRule="exact"/>
        <w:ind w:firstLine="420"/>
        <w:rPr>
          <w:rFonts w:ascii="宋体" w:hAnsi="宋体" w:cs="宋体"/>
          <w:szCs w:val="21"/>
        </w:rPr>
      </w:pPr>
      <w:r>
        <w:rPr>
          <w:rFonts w:hint="eastAsia" w:ascii="宋体" w:hAnsi="宋体" w:cs="宋体"/>
          <w:szCs w:val="21"/>
        </w:rPr>
        <w:t>（3）将各投标人的股东及出资信息进行比对，得出审查结论；</w:t>
      </w:r>
    </w:p>
    <w:p w14:paraId="788076AD">
      <w:pPr>
        <w:spacing w:line="400" w:lineRule="exact"/>
        <w:ind w:firstLine="420"/>
        <w:rPr>
          <w:rFonts w:ascii="宋体" w:hAnsi="宋体" w:cs="宋体"/>
          <w:b/>
          <w:sz w:val="28"/>
          <w:szCs w:val="28"/>
        </w:rPr>
      </w:pPr>
      <w:r>
        <w:rPr>
          <w:rFonts w:hint="eastAsia" w:ascii="宋体" w:hAnsi="宋体" w:cs="宋体"/>
          <w:szCs w:val="21"/>
        </w:rPr>
        <w:t>（4）将相关资料作为评审资料打印存档。</w:t>
      </w:r>
      <w:bookmarkStart w:id="241" w:name="_Toc495841759"/>
      <w:bookmarkStart w:id="242" w:name="_Toc3415"/>
    </w:p>
    <w:p w14:paraId="2773A847">
      <w:pPr>
        <w:spacing w:line="360" w:lineRule="auto"/>
        <w:jc w:val="center"/>
        <w:outlineLvl w:val="1"/>
        <w:rPr>
          <w:rFonts w:ascii="宋体" w:hAnsi="宋体" w:cs="宋体"/>
          <w:b/>
          <w:sz w:val="28"/>
          <w:szCs w:val="28"/>
        </w:rPr>
      </w:pPr>
      <w:bookmarkStart w:id="243" w:name="_Toc5417"/>
      <w:bookmarkStart w:id="244" w:name="_Toc240644520"/>
      <w:bookmarkStart w:id="245" w:name="_Toc239867327"/>
      <w:bookmarkStart w:id="246" w:name="_Toc23781"/>
      <w:r>
        <w:rPr>
          <w:rFonts w:hint="eastAsia" w:ascii="宋体" w:hAnsi="宋体" w:cs="宋体"/>
          <w:b/>
          <w:sz w:val="28"/>
          <w:szCs w:val="28"/>
        </w:rPr>
        <w:t>六、评标</w:t>
      </w:r>
      <w:bookmarkEnd w:id="241"/>
      <w:bookmarkEnd w:id="242"/>
      <w:bookmarkEnd w:id="243"/>
      <w:bookmarkEnd w:id="244"/>
      <w:bookmarkEnd w:id="245"/>
      <w:bookmarkEnd w:id="246"/>
    </w:p>
    <w:p w14:paraId="305019CC">
      <w:pPr>
        <w:spacing w:line="360" w:lineRule="exact"/>
        <w:ind w:firstLine="413"/>
        <w:outlineLvl w:val="2"/>
        <w:rPr>
          <w:rFonts w:ascii="宋体" w:hAnsi="宋体" w:cs="宋体"/>
          <w:b/>
          <w:szCs w:val="21"/>
        </w:rPr>
      </w:pPr>
      <w:bookmarkStart w:id="247" w:name="_Toc27636"/>
      <w:bookmarkStart w:id="248" w:name="_Toc240644521"/>
      <w:bookmarkStart w:id="249" w:name="_Toc14749"/>
      <w:bookmarkStart w:id="250" w:name="_Toc239867328"/>
      <w:bookmarkStart w:id="251" w:name="_Toc19311"/>
      <w:r>
        <w:rPr>
          <w:rFonts w:hint="eastAsia" w:ascii="宋体" w:hAnsi="宋体" w:cs="宋体"/>
          <w:b/>
          <w:szCs w:val="21"/>
        </w:rPr>
        <w:t>24. 评标委员会组成</w:t>
      </w:r>
      <w:bookmarkEnd w:id="247"/>
      <w:bookmarkEnd w:id="248"/>
      <w:bookmarkEnd w:id="249"/>
      <w:bookmarkEnd w:id="250"/>
      <w:bookmarkEnd w:id="251"/>
    </w:p>
    <w:p w14:paraId="3384ED17">
      <w:pPr>
        <w:spacing w:line="350" w:lineRule="exact"/>
        <w:ind w:firstLine="420" w:firstLineChars="200"/>
        <w:rPr>
          <w:rFonts w:ascii="宋体" w:hAnsi="宋体"/>
          <w:szCs w:val="21"/>
        </w:rPr>
      </w:pPr>
      <w:bookmarkStart w:id="252" w:name="_Toc1877"/>
      <w:bookmarkStart w:id="253" w:name="OLE_LINK96"/>
      <w:bookmarkStart w:id="254" w:name="_Toc239867329"/>
      <w:bookmarkStart w:id="255" w:name="_Toc24437"/>
      <w:bookmarkStart w:id="256" w:name="_Toc28655"/>
      <w:bookmarkStart w:id="257" w:name="OLE_LINK97"/>
      <w:r>
        <w:rPr>
          <w:rFonts w:hint="eastAsia" w:ascii="宋体" w:hAnsi="宋体"/>
          <w:szCs w:val="21"/>
        </w:rPr>
        <w:t>24.1评标委员会构成：本项目评标委员会由评审专家5人组成，</w:t>
      </w:r>
      <w:r>
        <w:rPr>
          <w:rFonts w:hint="eastAsia" w:ascii="宋体" w:hAnsi="宋体" w:cs="宋体"/>
          <w:szCs w:val="21"/>
        </w:rPr>
        <w:t>其中采购人代表</w:t>
      </w:r>
      <w:r>
        <w:rPr>
          <w:rFonts w:hint="eastAsia" w:ascii="宋体" w:hAnsi="宋体" w:cs="宋体"/>
          <w:szCs w:val="21"/>
          <w:u w:val="single"/>
          <w:lang w:val="en-US" w:eastAsia="zh-CN"/>
        </w:rPr>
        <w:t>1</w:t>
      </w:r>
      <w:r>
        <w:rPr>
          <w:rFonts w:hint="eastAsia" w:ascii="宋体" w:hAnsi="宋体" w:cs="宋体"/>
          <w:szCs w:val="21"/>
          <w:u w:val="single"/>
        </w:rPr>
        <w:t xml:space="preserve"> </w:t>
      </w:r>
      <w:r>
        <w:rPr>
          <w:rFonts w:hint="eastAsia" w:ascii="宋体" w:hAnsi="宋体" w:cs="宋体"/>
          <w:szCs w:val="21"/>
        </w:rPr>
        <w:t>人，有关专家</w:t>
      </w:r>
      <w:r>
        <w:rPr>
          <w:rFonts w:hint="eastAsia" w:ascii="宋体" w:hAnsi="宋体" w:cs="宋体"/>
          <w:szCs w:val="21"/>
          <w:u w:val="single"/>
          <w:lang w:val="en-US" w:eastAsia="zh-CN"/>
        </w:rPr>
        <w:t>4</w:t>
      </w:r>
      <w:r>
        <w:rPr>
          <w:rFonts w:hint="eastAsia" w:ascii="宋体" w:hAnsi="宋体" w:cs="宋体"/>
          <w:szCs w:val="21"/>
        </w:rPr>
        <w:t>人</w:t>
      </w:r>
      <w:r>
        <w:rPr>
          <w:rFonts w:hint="eastAsia" w:ascii="宋体" w:hAnsi="宋体"/>
          <w:szCs w:val="21"/>
        </w:rPr>
        <w:t>。</w:t>
      </w:r>
    </w:p>
    <w:p w14:paraId="7C1CDB65">
      <w:pPr>
        <w:tabs>
          <w:tab w:val="left" w:pos="1140"/>
        </w:tabs>
        <w:spacing w:line="340" w:lineRule="exact"/>
        <w:ind w:left="419" w:leftChars="172" w:hanging="58" w:hangingChars="28"/>
        <w:rPr>
          <w:rFonts w:ascii="宋体" w:hAnsi="宋体"/>
          <w:szCs w:val="21"/>
        </w:rPr>
      </w:pPr>
      <w:r>
        <w:rPr>
          <w:rFonts w:hint="eastAsia" w:ascii="宋体" w:hAnsi="宋体"/>
          <w:szCs w:val="21"/>
        </w:rPr>
        <w:t>24.2专家确定方式：开标前从广西壮族自治区政府采购专家库中通过电脑随机抽取。</w:t>
      </w:r>
    </w:p>
    <w:bookmarkEnd w:id="252"/>
    <w:bookmarkEnd w:id="253"/>
    <w:bookmarkEnd w:id="254"/>
    <w:bookmarkEnd w:id="255"/>
    <w:bookmarkEnd w:id="256"/>
    <w:bookmarkEnd w:id="257"/>
    <w:p w14:paraId="48E71094">
      <w:pPr>
        <w:snapToGrid w:val="0"/>
        <w:spacing w:line="360" w:lineRule="exact"/>
        <w:ind w:firstLine="422" w:firstLineChars="200"/>
        <w:rPr>
          <w:rFonts w:ascii="宋体" w:hAnsi="宋体"/>
          <w:kern w:val="2"/>
          <w:szCs w:val="21"/>
        </w:rPr>
      </w:pPr>
      <w:bookmarkStart w:id="258" w:name="_Toc239867330"/>
      <w:bookmarkStart w:id="259" w:name="_Toc13689"/>
      <w:bookmarkStart w:id="260" w:name="_Toc1764"/>
      <w:bookmarkStart w:id="261" w:name="_Toc20321"/>
      <w:r>
        <w:rPr>
          <w:rFonts w:hint="eastAsia" w:ascii="宋体" w:hAnsi="宋体"/>
          <w:b/>
          <w:kern w:val="2"/>
          <w:szCs w:val="21"/>
        </w:rPr>
        <w:t>25. 评标原则和评标办法</w:t>
      </w:r>
    </w:p>
    <w:p w14:paraId="4556EEDC">
      <w:pPr>
        <w:spacing w:line="360" w:lineRule="exact"/>
        <w:ind w:firstLine="420" w:firstLineChars="200"/>
        <w:rPr>
          <w:rFonts w:ascii="宋体" w:hAnsi="宋体"/>
          <w:kern w:val="2"/>
          <w:szCs w:val="21"/>
        </w:rPr>
      </w:pPr>
      <w:r>
        <w:rPr>
          <w:rFonts w:hint="eastAsia" w:ascii="宋体" w:hAnsi="宋体"/>
          <w:kern w:val="2"/>
          <w:szCs w:val="21"/>
        </w:rPr>
        <w:t>25.1评标原则。评标委员会必须公平、公正、客观，不带任何倾向性和启发性；不得向外界透露何与评标有关的内容；任何单位和个人不得干扰、影响评标的正常进行；评标委员会及有关工作人员不得私下与投标人接触。</w:t>
      </w:r>
    </w:p>
    <w:p w14:paraId="24FDCF24">
      <w:pPr>
        <w:spacing w:line="360" w:lineRule="exact"/>
        <w:ind w:firstLine="420" w:firstLineChars="200"/>
        <w:rPr>
          <w:rFonts w:ascii="宋体" w:hAnsi="宋体"/>
          <w:kern w:val="2"/>
          <w:szCs w:val="21"/>
        </w:rPr>
      </w:pPr>
      <w:r>
        <w:rPr>
          <w:rFonts w:hint="eastAsia" w:ascii="宋体" w:hAnsi="宋体"/>
          <w:kern w:val="2"/>
          <w:szCs w:val="21"/>
        </w:rPr>
        <w:t>25.2评标办法：综合评分法，具体评标内容及标准详见第四章：评标办法。</w:t>
      </w:r>
    </w:p>
    <w:p w14:paraId="6AC36B6C">
      <w:pPr>
        <w:spacing w:line="360" w:lineRule="exact"/>
        <w:ind w:firstLine="413"/>
        <w:outlineLvl w:val="2"/>
        <w:rPr>
          <w:rFonts w:ascii="宋体" w:hAnsi="宋体"/>
          <w:kern w:val="2"/>
        </w:rPr>
      </w:pPr>
      <w:bookmarkStart w:id="262" w:name="_Toc240644522"/>
      <w:r>
        <w:rPr>
          <w:rFonts w:hint="eastAsia" w:ascii="宋体" w:hAnsi="宋体"/>
          <w:kern w:val="2"/>
          <w:szCs w:val="21"/>
        </w:rPr>
        <w:t>25.3评标委员会应按招标文件进行评标，不得擅自更改评标办法。</w:t>
      </w:r>
      <w:bookmarkEnd w:id="262"/>
      <w:r>
        <w:rPr>
          <w:rFonts w:hint="eastAsia" w:ascii="宋体" w:hAnsi="宋体"/>
          <w:kern w:val="2"/>
        </w:rPr>
        <w:t>　</w:t>
      </w:r>
    </w:p>
    <w:p w14:paraId="077CF7B1">
      <w:pPr>
        <w:spacing w:line="360" w:lineRule="exact"/>
        <w:ind w:firstLine="413"/>
        <w:outlineLvl w:val="2"/>
        <w:rPr>
          <w:rFonts w:ascii="宋体" w:hAnsi="宋体" w:cs="宋体"/>
          <w:b/>
          <w:szCs w:val="21"/>
        </w:rPr>
      </w:pPr>
      <w:bookmarkStart w:id="263" w:name="_Toc240644523"/>
      <w:r>
        <w:rPr>
          <w:rFonts w:hint="eastAsia" w:ascii="宋体" w:hAnsi="宋体" w:cs="宋体"/>
          <w:b/>
          <w:szCs w:val="21"/>
        </w:rPr>
        <w:t>26. 评标</w:t>
      </w:r>
      <w:bookmarkEnd w:id="258"/>
      <w:bookmarkEnd w:id="259"/>
      <w:bookmarkEnd w:id="260"/>
      <w:bookmarkEnd w:id="261"/>
      <w:bookmarkEnd w:id="263"/>
    </w:p>
    <w:p w14:paraId="0854EF42">
      <w:pPr>
        <w:spacing w:line="360" w:lineRule="exact"/>
        <w:ind w:firstLine="420"/>
        <w:rPr>
          <w:rFonts w:ascii="宋体" w:hAnsi="宋体" w:cs="宋体"/>
          <w:szCs w:val="21"/>
        </w:rPr>
      </w:pPr>
      <w:r>
        <w:rPr>
          <w:rFonts w:hint="eastAsia" w:ascii="宋体" w:hAnsi="宋体" w:cs="宋体"/>
          <w:szCs w:val="21"/>
        </w:rPr>
        <w:t>26.1采购代理机构负责评标组织工作，宣布评标工作纪律，公布投标人名单，告知评标专家应当回避的情形，组织评标委员会推选评标组长，采购人代表不得担任组长；在评标期间采取必要的通讯管理措施，保证评标活动不受外界干扰；根据评标委员会的要求介绍政府采购相关政策法规、招标文件；维护评标秩序，监督评标委员会依照招标文件规定的评标程序、方法和标准进行独立评审，及时制止和纠正采购人代表、评标专家的倾向性言论或者违法违规行为；核对评标结果，有投标无效情形的，要求评标委员会复核或者书面说明理由，评标委员会拒绝的，应予记录并向本级财政部门报告；评标工作完成后，按照规定向评标专家支付劳务报酬和异地评审差旅费，不得向评标专家以外的其他人员支付评审劳务报酬。</w:t>
      </w:r>
    </w:p>
    <w:p w14:paraId="2A47FAF7">
      <w:pPr>
        <w:spacing w:line="360" w:lineRule="exact"/>
        <w:ind w:firstLine="420"/>
        <w:rPr>
          <w:rFonts w:ascii="宋体" w:hAnsi="宋体" w:cs="宋体"/>
          <w:szCs w:val="21"/>
        </w:rPr>
      </w:pPr>
      <w:r>
        <w:rPr>
          <w:rFonts w:hint="eastAsia" w:ascii="宋体" w:hAnsi="宋体" w:cs="宋体"/>
          <w:szCs w:val="21"/>
        </w:rPr>
        <w:t>26.2评标委员会负责具体评标事务；审查、评价投标文件是否符合招标文件的商务、技术等实质性要求；要求投标人对投标文件有关事项作出澄清或者说明；对投标文件进行比较和评价；确定中标候选供应商名单，以及根据采购人委托直接确定中标人；向采购人、采购代理机构或者有关部门报告评标中发现的违法行为。</w:t>
      </w:r>
    </w:p>
    <w:p w14:paraId="378C8A28">
      <w:pPr>
        <w:spacing w:line="360" w:lineRule="exact"/>
        <w:ind w:firstLine="420"/>
        <w:rPr>
          <w:rFonts w:ascii="宋体" w:hAnsi="宋体" w:cs="宋体"/>
          <w:szCs w:val="21"/>
        </w:rPr>
      </w:pPr>
      <w:r>
        <w:rPr>
          <w:rFonts w:hint="eastAsia" w:ascii="宋体" w:hAnsi="宋体" w:cs="宋体"/>
          <w:szCs w:val="21"/>
        </w:rPr>
        <w:t>26.3在评标过程中，评标委员会任何人不得对某个投标人发表任何倾向性意见，不得向其他专家评委明示或者暗示自己的评审意见。</w:t>
      </w:r>
    </w:p>
    <w:p w14:paraId="3D040298">
      <w:pPr>
        <w:spacing w:line="360" w:lineRule="exact"/>
        <w:ind w:firstLine="420"/>
        <w:rPr>
          <w:rFonts w:ascii="宋体" w:hAnsi="宋体" w:cs="宋体"/>
          <w:szCs w:val="21"/>
        </w:rPr>
      </w:pPr>
      <w:r>
        <w:rPr>
          <w:rFonts w:hint="eastAsia" w:ascii="宋体" w:hAnsi="宋体" w:cs="宋体"/>
          <w:szCs w:val="21"/>
        </w:rPr>
        <w:t>26.4评标委员会应当对符合资格的投标人的投标文件进行符合性审查，以确定其是否满足招标文件的实质性要求。</w:t>
      </w:r>
    </w:p>
    <w:p w14:paraId="72102A90">
      <w:pPr>
        <w:spacing w:line="360" w:lineRule="exact"/>
        <w:ind w:firstLine="420"/>
        <w:rPr>
          <w:rFonts w:ascii="宋体" w:hAnsi="宋体" w:cs="宋体"/>
          <w:szCs w:val="21"/>
        </w:rPr>
      </w:pPr>
      <w:r>
        <w:rPr>
          <w:rFonts w:hint="eastAsia" w:ascii="宋体" w:hAnsi="宋体" w:cs="宋体"/>
          <w:szCs w:val="21"/>
        </w:rPr>
        <w:t>26.5对于投标文件中含义不明确、同类问题表述不一致、有明显文字和计算错误或属于投标人疏忽、笔误所造成差错的内容，评标委员会应当以书面形式要求投标人作出必要的澄清、说明或者补正。</w:t>
      </w:r>
    </w:p>
    <w:p w14:paraId="47DECA6B">
      <w:pPr>
        <w:tabs>
          <w:tab w:val="left" w:pos="1140"/>
        </w:tabs>
        <w:spacing w:line="360" w:lineRule="exact"/>
        <w:ind w:firstLine="420"/>
        <w:rPr>
          <w:rFonts w:ascii="宋体" w:hAnsi="宋体" w:cs="宋体"/>
          <w:szCs w:val="21"/>
        </w:rPr>
      </w:pPr>
      <w:r>
        <w:rPr>
          <w:rFonts w:hint="eastAsia" w:ascii="宋体" w:hAnsi="宋体" w:cs="宋体"/>
          <w:szCs w:val="21"/>
        </w:rPr>
        <w:t>投标人的澄清、说明或者补正应当采用书面形式，并加盖公章（CA签章），或者由法定代表人或其授权的代表签字（或个人CA签章）。投标人的澄清、说明或者补正不得超出投标文件的范围或者改变投标文件的实质性内容。</w:t>
      </w:r>
    </w:p>
    <w:p w14:paraId="773B8709">
      <w:pPr>
        <w:spacing w:line="360" w:lineRule="exact"/>
        <w:ind w:firstLine="411"/>
        <w:rPr>
          <w:rFonts w:ascii="宋体" w:hAnsi="宋体" w:cs="宋体"/>
          <w:szCs w:val="21"/>
        </w:rPr>
      </w:pPr>
      <w:r>
        <w:rPr>
          <w:rFonts w:hint="eastAsia" w:ascii="宋体" w:hAnsi="宋体" w:cs="宋体"/>
          <w:szCs w:val="21"/>
        </w:rPr>
        <w:t>26.6评标委员会应当按照招标文件中规定的评标方法和标准，对符合性审查合格的投标文件进行商务和技术评估，综合比较与评价。</w:t>
      </w:r>
    </w:p>
    <w:p w14:paraId="7B05A1A4">
      <w:pPr>
        <w:spacing w:line="360" w:lineRule="exact"/>
        <w:ind w:firstLine="411"/>
        <w:rPr>
          <w:rFonts w:ascii="宋体" w:hAnsi="宋体" w:cs="宋体"/>
          <w:szCs w:val="21"/>
        </w:rPr>
      </w:pPr>
      <w:r>
        <w:rPr>
          <w:rFonts w:hint="eastAsia" w:ascii="宋体" w:hAnsi="宋体" w:cs="宋体"/>
          <w:szCs w:val="21"/>
        </w:rPr>
        <w:t>26.7投标文件报价出现前后不一致的，除招标文件另有规定外，按照下列规定修正：</w:t>
      </w:r>
    </w:p>
    <w:p w14:paraId="18E46A89">
      <w:pPr>
        <w:spacing w:line="360" w:lineRule="exact"/>
        <w:ind w:firstLine="411"/>
        <w:rPr>
          <w:rFonts w:ascii="宋体" w:hAnsi="宋体" w:cs="宋体"/>
          <w:szCs w:val="21"/>
        </w:rPr>
      </w:pPr>
      <w:r>
        <w:rPr>
          <w:rFonts w:hint="eastAsia" w:ascii="宋体" w:hAnsi="宋体" w:cs="宋体"/>
          <w:szCs w:val="21"/>
        </w:rPr>
        <w:t>（1）投标文件中投标报价表内容与投标文件中相应内容不一致的，以投标报价表为准；</w:t>
      </w:r>
    </w:p>
    <w:p w14:paraId="1943BE8E">
      <w:pPr>
        <w:spacing w:line="360" w:lineRule="exact"/>
        <w:ind w:firstLine="411"/>
        <w:rPr>
          <w:rFonts w:ascii="宋体" w:hAnsi="宋体" w:cs="宋体"/>
          <w:szCs w:val="21"/>
        </w:rPr>
      </w:pPr>
      <w:r>
        <w:rPr>
          <w:rFonts w:hint="eastAsia" w:ascii="宋体" w:hAnsi="宋体" w:cs="宋体"/>
          <w:szCs w:val="21"/>
        </w:rPr>
        <w:t>（2）大写金额和小写金额不一致的，以大写金额为准；</w:t>
      </w:r>
    </w:p>
    <w:p w14:paraId="7DC67800">
      <w:pPr>
        <w:spacing w:line="360" w:lineRule="exact"/>
        <w:ind w:firstLine="411"/>
        <w:rPr>
          <w:rFonts w:ascii="宋体" w:hAnsi="宋体" w:cs="宋体"/>
          <w:szCs w:val="21"/>
        </w:rPr>
      </w:pPr>
      <w:r>
        <w:rPr>
          <w:rFonts w:hint="eastAsia" w:ascii="宋体" w:hAnsi="宋体" w:cs="宋体"/>
          <w:szCs w:val="21"/>
        </w:rPr>
        <w:t>（3）单价金额小数点或者百分比有明显错位的，以报价表的总价为准，并修改单价；</w:t>
      </w:r>
    </w:p>
    <w:p w14:paraId="5C99716E">
      <w:pPr>
        <w:spacing w:line="360" w:lineRule="exact"/>
        <w:ind w:firstLine="411"/>
        <w:rPr>
          <w:rFonts w:ascii="宋体" w:hAnsi="宋体" w:cs="宋体"/>
          <w:szCs w:val="21"/>
        </w:rPr>
      </w:pPr>
      <w:r>
        <w:rPr>
          <w:rFonts w:hint="eastAsia" w:ascii="宋体" w:hAnsi="宋体" w:cs="宋体"/>
          <w:szCs w:val="21"/>
        </w:rPr>
        <w:t>（4）总价金额与按单价汇总金额不一致的，以单价金额计算结果为准。</w:t>
      </w:r>
    </w:p>
    <w:p w14:paraId="5A85F10A">
      <w:pPr>
        <w:spacing w:line="360" w:lineRule="exact"/>
        <w:ind w:firstLine="411"/>
        <w:rPr>
          <w:rFonts w:ascii="宋体" w:hAnsi="宋体" w:cs="宋体"/>
          <w:szCs w:val="21"/>
        </w:rPr>
      </w:pPr>
      <w:r>
        <w:rPr>
          <w:rFonts w:hint="eastAsia" w:ascii="宋体" w:hAnsi="宋体" w:cs="宋体"/>
          <w:szCs w:val="21"/>
        </w:rPr>
        <w:t>同时出现两种以上不一致的，按照前款规定的顺序修正。修正后的报价（不得超出投标文件的范围或者改变投标文件的实质性内容）经投标人确认后产生约束力，投标人不确认的，其投标无效。</w:t>
      </w:r>
    </w:p>
    <w:p w14:paraId="0F708770">
      <w:pPr>
        <w:pStyle w:val="236"/>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360" w:lineRule="exact"/>
        <w:ind w:firstLine="480"/>
        <w:jc w:val="both"/>
        <w:rPr>
          <w:b/>
          <w:sz w:val="21"/>
          <w:szCs w:val="21"/>
        </w:rPr>
      </w:pPr>
      <w:r>
        <w:rPr>
          <w:rFonts w:hint="eastAsia"/>
          <w:szCs w:val="21"/>
        </w:rPr>
        <w:t>26.8</w:t>
      </w:r>
      <w:r>
        <w:rPr>
          <w:rFonts w:hint="eastAsia"/>
          <w:b/>
          <w:sz w:val="21"/>
          <w:szCs w:val="21"/>
          <w:shd w:val="clear" w:color="auto" w:fill="FFFFFF"/>
        </w:rPr>
        <w:t>根据</w:t>
      </w:r>
      <w:bookmarkStart w:id="264" w:name="OLE_LINK20"/>
      <w:bookmarkStart w:id="265" w:name="OLE_LINK4"/>
      <w:bookmarkStart w:id="266" w:name="OLE_LINK19"/>
      <w:r>
        <w:rPr>
          <w:b/>
          <w:bCs/>
          <w:sz w:val="21"/>
          <w:szCs w:val="21"/>
        </w:rPr>
        <w:t>《</w:t>
      </w:r>
      <w:r>
        <w:rPr>
          <w:rFonts w:hint="eastAsia"/>
          <w:b/>
          <w:sz w:val="21"/>
          <w:szCs w:val="21"/>
        </w:rPr>
        <w:t>关于推动解决政府采购异常低价问题的通知</w:t>
      </w:r>
      <w:r>
        <w:rPr>
          <w:b/>
          <w:bCs/>
          <w:sz w:val="21"/>
          <w:szCs w:val="21"/>
        </w:rPr>
        <w:t>》</w:t>
      </w:r>
      <w:r>
        <w:rPr>
          <w:rFonts w:hint="eastAsia"/>
          <w:b/>
          <w:bCs/>
          <w:sz w:val="21"/>
          <w:szCs w:val="21"/>
        </w:rPr>
        <w:t>（</w:t>
      </w:r>
      <w:r>
        <w:rPr>
          <w:b/>
          <w:bCs/>
          <w:sz w:val="21"/>
          <w:szCs w:val="21"/>
        </w:rPr>
        <w:t>财库〔2026〕2号</w:t>
      </w:r>
      <w:r>
        <w:rPr>
          <w:rFonts w:hint="eastAsia"/>
          <w:b/>
          <w:bCs/>
          <w:sz w:val="21"/>
          <w:szCs w:val="21"/>
        </w:rPr>
        <w:t>）</w:t>
      </w:r>
      <w:bookmarkEnd w:id="264"/>
      <w:bookmarkEnd w:id="265"/>
      <w:bookmarkEnd w:id="266"/>
      <w:r>
        <w:rPr>
          <w:rFonts w:hint="eastAsia"/>
          <w:b/>
          <w:bCs/>
          <w:sz w:val="21"/>
          <w:szCs w:val="21"/>
          <w:shd w:val="clear" w:color="auto" w:fill="FFFFFF"/>
        </w:rPr>
        <w:t>规定</w:t>
      </w:r>
      <w:r>
        <w:rPr>
          <w:rFonts w:hint="eastAsia" w:cs="Calibri"/>
          <w:b/>
          <w:sz w:val="21"/>
          <w:szCs w:val="21"/>
        </w:rPr>
        <w:t>，</w:t>
      </w:r>
      <w:r>
        <w:rPr>
          <w:rFonts w:hint="eastAsia"/>
          <w:b/>
          <w:sz w:val="21"/>
          <w:szCs w:val="21"/>
          <w:shd w:val="clear" w:color="auto" w:fill="FFFFFF"/>
        </w:rPr>
        <w:t>政府采购评审中出现下列情形之一的，评审委员会应当启动异常低价投标（响应）审查程序： </w:t>
      </w:r>
    </w:p>
    <w:p w14:paraId="4423CF3F">
      <w:pPr>
        <w:pStyle w:val="236"/>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360" w:lineRule="exact"/>
        <w:ind w:firstLine="420"/>
        <w:jc w:val="both"/>
        <w:rPr>
          <w:sz w:val="21"/>
          <w:szCs w:val="21"/>
        </w:rPr>
      </w:pPr>
      <w:r>
        <w:rPr>
          <w:rFonts w:hint="eastAsia"/>
          <w:sz w:val="21"/>
          <w:szCs w:val="21"/>
          <w:shd w:val="clear" w:color="auto" w:fill="FFFFFF"/>
        </w:rPr>
        <w:t>（1）投标（响应）报价低于全部通过符合性审查供应商投标（响应）报价平均值50%的，即投标（响应）报价&lt;全部通过符合性审查供应商投标（响应）报价平均值×50%； </w:t>
      </w:r>
    </w:p>
    <w:p w14:paraId="39C0FCB4">
      <w:pPr>
        <w:pStyle w:val="236"/>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360" w:lineRule="exact"/>
        <w:ind w:firstLine="420"/>
        <w:jc w:val="both"/>
        <w:rPr>
          <w:sz w:val="21"/>
          <w:szCs w:val="21"/>
        </w:rPr>
      </w:pPr>
      <w:r>
        <w:rPr>
          <w:rFonts w:hint="eastAsia"/>
          <w:sz w:val="21"/>
          <w:szCs w:val="21"/>
          <w:shd w:val="clear" w:color="auto" w:fill="FFFFFF"/>
        </w:rPr>
        <w:t>（2）投标（响应）报价低于通过符合性审查的次低报价供应商投标（响应）报价50%的，即投标（响应）报价&lt;通过符合性审查的次低报价供应商投标（响应）报价×50%； </w:t>
      </w:r>
    </w:p>
    <w:p w14:paraId="54677BE1">
      <w:pPr>
        <w:pStyle w:val="236"/>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360" w:lineRule="exact"/>
        <w:ind w:firstLine="420"/>
        <w:jc w:val="both"/>
        <w:rPr>
          <w:sz w:val="21"/>
          <w:szCs w:val="21"/>
        </w:rPr>
      </w:pPr>
      <w:r>
        <w:rPr>
          <w:rFonts w:hint="eastAsia"/>
          <w:sz w:val="21"/>
          <w:szCs w:val="21"/>
          <w:shd w:val="clear" w:color="auto" w:fill="FFFFFF"/>
        </w:rPr>
        <w:t>（3）投标（响应）报价低于采购项目最高限价45%的，即投标（响应）报价&lt;采购项目最高限价×45%； </w:t>
      </w:r>
    </w:p>
    <w:p w14:paraId="421B0E6B">
      <w:pPr>
        <w:pStyle w:val="236"/>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360" w:lineRule="exact"/>
        <w:ind w:firstLine="420"/>
        <w:jc w:val="both"/>
        <w:rPr>
          <w:sz w:val="21"/>
          <w:szCs w:val="21"/>
        </w:rPr>
      </w:pPr>
      <w:r>
        <w:rPr>
          <w:rFonts w:hint="eastAsia"/>
          <w:sz w:val="21"/>
          <w:szCs w:val="21"/>
          <w:shd w:val="clear" w:color="auto" w:fill="FFFFFF"/>
        </w:rPr>
        <w:t>（4）评审委员会基于专业判断，认为供应商报价过低，有可能影响产品质量或者不能诚信履约的其他情形。 </w:t>
      </w:r>
    </w:p>
    <w:p w14:paraId="02310316">
      <w:pPr>
        <w:spacing w:line="360" w:lineRule="exact"/>
        <w:ind w:firstLine="420"/>
        <w:rPr>
          <w:rFonts w:ascii="宋体" w:hAnsi="宋体" w:cs="宋体"/>
          <w:szCs w:val="21"/>
        </w:rPr>
      </w:pPr>
      <w:r>
        <w:rPr>
          <w:rFonts w:hint="eastAsia" w:ascii="宋体" w:hAnsi="宋体" w:cs="宋体"/>
          <w:szCs w:val="21"/>
          <w:shd w:val="clear" w:color="auto" w:fill="FFFFFF"/>
        </w:rPr>
        <w:t>评审委员会启动异常低价投标（响应）审查后，属于前述第1项至第4项情形的，应当要求相关供应商</w:t>
      </w:r>
      <w:r>
        <w:rPr>
          <w:rFonts w:hint="eastAsia"/>
          <w:szCs w:val="21"/>
        </w:rPr>
        <w:t>在评审委员会要求的时间内</w:t>
      </w:r>
      <w:r>
        <w:rPr>
          <w:rFonts w:hint="eastAsia" w:ascii="宋体" w:hAnsi="宋体" w:cs="宋体"/>
          <w:szCs w:val="21"/>
          <w:shd w:val="clear" w:color="auto" w:fill="FFFFFF"/>
        </w:rPr>
        <w:t>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r>
        <w:rPr>
          <w:rFonts w:hint="eastAsia" w:ascii="宋体" w:hAnsi="宋体" w:cs="宋体"/>
          <w:b/>
          <w:szCs w:val="21"/>
          <w:shd w:val="clear" w:color="auto" w:fill="FFFFFF"/>
        </w:rPr>
        <w:t>投标（响应）供应商不能提供书面说明、证明材料，或者提供的书面说明、证明材料不能证明其报价合理性的，评审委员会应当将其作为无效投标（响应）处理。</w:t>
      </w:r>
      <w:r>
        <w:rPr>
          <w:rFonts w:hint="eastAsia"/>
          <w:szCs w:val="21"/>
        </w:rPr>
        <w:t> 异常低价投标（响应）审查的启动原因、审查意见和审查结果应当在评审报告中记录。</w:t>
      </w:r>
    </w:p>
    <w:p w14:paraId="6B8B6D14">
      <w:pPr>
        <w:spacing w:line="360" w:lineRule="exact"/>
        <w:ind w:firstLine="411"/>
        <w:rPr>
          <w:rFonts w:ascii="宋体" w:hAnsi="宋体" w:cs="宋体"/>
          <w:szCs w:val="21"/>
        </w:rPr>
      </w:pPr>
      <w:r>
        <w:rPr>
          <w:rFonts w:hint="eastAsia" w:ascii="宋体" w:hAnsi="宋体" w:cs="宋体"/>
          <w:szCs w:val="21"/>
        </w:rPr>
        <w:t>26.9评标委员会成员对需要共同认定的事项存在争议的，应当按照少数服从多数的原则作出结论。持不同意见的评标委员会成员应当在评标报告上签署不同意见及理由，否则视为同意评标报告。</w:t>
      </w:r>
    </w:p>
    <w:p w14:paraId="42E470D7">
      <w:pPr>
        <w:spacing w:line="360" w:lineRule="exact"/>
        <w:ind w:firstLine="420"/>
        <w:rPr>
          <w:rFonts w:ascii="宋体" w:hAnsi="宋体" w:cs="宋体"/>
          <w:szCs w:val="21"/>
        </w:rPr>
      </w:pPr>
      <w:r>
        <w:rPr>
          <w:rFonts w:hint="eastAsia" w:ascii="宋体" w:hAnsi="宋体" w:cs="宋体"/>
          <w:szCs w:val="21"/>
        </w:rPr>
        <w:t>26.10评标结果汇总完成后，除下列情形外，任何人不得修改评标结果：</w:t>
      </w:r>
    </w:p>
    <w:p w14:paraId="527AF8A1">
      <w:pPr>
        <w:spacing w:line="360" w:lineRule="exact"/>
        <w:ind w:firstLine="420"/>
        <w:rPr>
          <w:rFonts w:ascii="宋体" w:hAnsi="宋体" w:cs="宋体"/>
          <w:szCs w:val="21"/>
        </w:rPr>
      </w:pPr>
      <w:r>
        <w:rPr>
          <w:rFonts w:hint="eastAsia" w:ascii="宋体" w:hAnsi="宋体" w:cs="宋体"/>
          <w:szCs w:val="21"/>
        </w:rPr>
        <w:t>（一）分值汇总计算错误的；</w:t>
      </w:r>
    </w:p>
    <w:p w14:paraId="033F17D3">
      <w:pPr>
        <w:spacing w:line="360" w:lineRule="exact"/>
        <w:ind w:firstLine="420"/>
        <w:rPr>
          <w:rFonts w:ascii="宋体" w:hAnsi="宋体" w:cs="宋体"/>
          <w:szCs w:val="21"/>
        </w:rPr>
      </w:pPr>
      <w:r>
        <w:rPr>
          <w:rFonts w:hint="eastAsia" w:ascii="宋体" w:hAnsi="宋体" w:cs="宋体"/>
          <w:szCs w:val="21"/>
        </w:rPr>
        <w:t>（二）分项评分超出评分标准范围的；</w:t>
      </w:r>
    </w:p>
    <w:p w14:paraId="4D7D1699">
      <w:pPr>
        <w:spacing w:line="360" w:lineRule="exact"/>
        <w:ind w:firstLine="420"/>
        <w:rPr>
          <w:rFonts w:ascii="宋体" w:hAnsi="宋体" w:cs="宋体"/>
          <w:szCs w:val="21"/>
        </w:rPr>
      </w:pPr>
      <w:r>
        <w:rPr>
          <w:rFonts w:hint="eastAsia" w:ascii="宋体" w:hAnsi="宋体" w:cs="宋体"/>
          <w:szCs w:val="21"/>
        </w:rPr>
        <w:t>（三）评标委员会成员对客观评审因素评分不一致的；</w:t>
      </w:r>
    </w:p>
    <w:p w14:paraId="39F88F6B">
      <w:pPr>
        <w:spacing w:line="360" w:lineRule="exact"/>
        <w:ind w:firstLine="420"/>
        <w:rPr>
          <w:rFonts w:ascii="宋体" w:hAnsi="宋体" w:cs="宋体"/>
          <w:szCs w:val="21"/>
        </w:rPr>
      </w:pPr>
      <w:r>
        <w:rPr>
          <w:rFonts w:hint="eastAsia" w:ascii="宋体" w:hAnsi="宋体" w:cs="宋体"/>
          <w:szCs w:val="21"/>
        </w:rPr>
        <w:t>（四）经评标委员会认定评分畸高、畸低的。</w:t>
      </w:r>
    </w:p>
    <w:p w14:paraId="24C49842">
      <w:pPr>
        <w:spacing w:line="360" w:lineRule="exact"/>
        <w:ind w:firstLine="420"/>
        <w:rPr>
          <w:rFonts w:ascii="宋体" w:hAnsi="宋体" w:cs="宋体"/>
          <w:szCs w:val="21"/>
        </w:rPr>
      </w:pPr>
      <w:r>
        <w:rPr>
          <w:rFonts w:hint="eastAsia" w:ascii="宋体" w:hAnsi="宋体" w:cs="宋体"/>
          <w:szCs w:val="21"/>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6EF20C1A">
      <w:pPr>
        <w:spacing w:line="360" w:lineRule="exact"/>
        <w:ind w:firstLine="420"/>
        <w:rPr>
          <w:rFonts w:ascii="宋体" w:hAnsi="宋体" w:cs="宋体"/>
          <w:szCs w:val="21"/>
        </w:rPr>
      </w:pPr>
      <w:r>
        <w:rPr>
          <w:rFonts w:hint="eastAsia" w:ascii="宋体" w:hAnsi="宋体" w:cs="宋体"/>
          <w:szCs w:val="21"/>
        </w:rPr>
        <w:t>投标人对本条第一款情形提出质疑的，采购人或者采购代理机构可以组织原评标委员会进行重新评审，重新评审改变评标结果的，应当书面报告本级财政部门。</w:t>
      </w:r>
    </w:p>
    <w:p w14:paraId="15B5ED4C">
      <w:pPr>
        <w:spacing w:line="360" w:lineRule="exact"/>
        <w:ind w:firstLine="411"/>
        <w:rPr>
          <w:rFonts w:ascii="宋体" w:hAnsi="宋体" w:cs="宋体"/>
          <w:szCs w:val="21"/>
        </w:rPr>
      </w:pPr>
      <w:r>
        <w:rPr>
          <w:rFonts w:hint="eastAsia" w:ascii="宋体" w:hAnsi="宋体" w:cs="宋体"/>
          <w:szCs w:val="21"/>
        </w:rPr>
        <w:t>26.11采购代理机构发现评标委员会有明显的违规倾向或歧视现象，或不按评标办法进行，或其他不正常行为的，应当及时制止。如制止无效，应及时向本级财政部门报告。</w:t>
      </w:r>
    </w:p>
    <w:p w14:paraId="13F8058F">
      <w:pPr>
        <w:spacing w:line="360" w:lineRule="exact"/>
        <w:ind w:firstLine="413"/>
        <w:outlineLvl w:val="2"/>
        <w:rPr>
          <w:rFonts w:ascii="宋体" w:hAnsi="宋体" w:cs="宋体"/>
          <w:b/>
          <w:szCs w:val="21"/>
        </w:rPr>
      </w:pPr>
      <w:bookmarkStart w:id="267" w:name="_Toc23656"/>
      <w:bookmarkStart w:id="268" w:name="_Toc240644524"/>
      <w:bookmarkStart w:id="269" w:name="_Toc25944"/>
      <w:bookmarkStart w:id="270" w:name="_Toc239867331"/>
      <w:bookmarkStart w:id="271" w:name="_Toc30450"/>
      <w:r>
        <w:rPr>
          <w:rFonts w:hint="eastAsia" w:ascii="宋体" w:hAnsi="宋体" w:cs="宋体"/>
          <w:b/>
          <w:szCs w:val="21"/>
        </w:rPr>
        <w:t>27. 推荐及确定中标候选供应商原则</w:t>
      </w:r>
      <w:bookmarkEnd w:id="267"/>
      <w:bookmarkEnd w:id="268"/>
      <w:bookmarkEnd w:id="269"/>
      <w:bookmarkEnd w:id="270"/>
      <w:bookmarkEnd w:id="271"/>
    </w:p>
    <w:p w14:paraId="31977F3B">
      <w:pPr>
        <w:tabs>
          <w:tab w:val="left" w:pos="4214"/>
        </w:tabs>
        <w:spacing w:line="360" w:lineRule="exact"/>
        <w:ind w:firstLine="420"/>
        <w:rPr>
          <w:rFonts w:ascii="宋体" w:hAnsi="宋体" w:cs="宋体"/>
          <w:szCs w:val="21"/>
        </w:rPr>
      </w:pPr>
      <w:r>
        <w:rPr>
          <w:rFonts w:hint="eastAsia" w:ascii="宋体" w:hAnsi="宋体" w:cs="宋体"/>
          <w:szCs w:val="21"/>
        </w:rPr>
        <w:t>（1）评</w:t>
      </w:r>
      <w:r>
        <w:rPr>
          <w:rFonts w:hint="eastAsia" w:hAnsi="宋体" w:cs="宋体"/>
          <w:szCs w:val="21"/>
        </w:rPr>
        <w:t>标委员会根据综合得分由高到低排列次序，若得分相同时，以评标报价由低到高顺序排列；若得分相同且评标报价相同的，以投标报价由低到高顺序排列；若仍相同的，按</w:t>
      </w:r>
      <w:r>
        <w:rPr>
          <w:rFonts w:hint="eastAsia" w:hAnsi="宋体" w:cs="宋体"/>
        </w:rPr>
        <w:t>服务方案分、人员配置分、服务承诺分、业绩分</w:t>
      </w:r>
      <w:r>
        <w:rPr>
          <w:rFonts w:hint="eastAsia" w:hAnsi="宋体" w:cs="宋体"/>
          <w:szCs w:val="21"/>
        </w:rPr>
        <w:t>依次由高到低顺序排列；若均相同的</w:t>
      </w:r>
      <w:r>
        <w:rPr>
          <w:rFonts w:hint="eastAsia" w:ascii="宋体" w:hAnsi="宋体" w:cs="宋体"/>
          <w:szCs w:val="21"/>
        </w:rPr>
        <w:t>由评标委员会按照抽签的方式决定排次次序</w:t>
      </w:r>
      <w:r>
        <w:rPr>
          <w:rFonts w:hint="eastAsia" w:hAnsi="宋体" w:cs="宋体"/>
          <w:sz w:val="22"/>
          <w:szCs w:val="22"/>
        </w:rPr>
        <w:t>，</w:t>
      </w:r>
      <w:r>
        <w:rPr>
          <w:rFonts w:hint="eastAsia" w:hAnsi="宋体" w:cs="宋体"/>
          <w:szCs w:val="21"/>
        </w:rPr>
        <w:t>并推荐中标候选供应商。</w:t>
      </w:r>
    </w:p>
    <w:p w14:paraId="3D9ECEDA">
      <w:pPr>
        <w:tabs>
          <w:tab w:val="left" w:pos="4214"/>
        </w:tabs>
        <w:spacing w:line="360" w:lineRule="exact"/>
        <w:ind w:firstLine="420"/>
        <w:rPr>
          <w:rFonts w:ascii="宋体" w:hAnsi="宋体" w:cs="宋体"/>
          <w:szCs w:val="21"/>
        </w:rPr>
      </w:pPr>
      <w:r>
        <w:rPr>
          <w:rFonts w:hint="eastAsia" w:ascii="宋体" w:hAnsi="宋体" w:cs="宋体"/>
          <w:szCs w:val="21"/>
        </w:rPr>
        <w:t>（2）评标委员会可推荐前三名为中标候选供应商，采购人应当确定评标委员会推荐排名第一的中标候选供应商为中标人。</w:t>
      </w:r>
    </w:p>
    <w:p w14:paraId="40CEF3A8">
      <w:pPr>
        <w:spacing w:line="360" w:lineRule="exact"/>
        <w:ind w:firstLine="447"/>
        <w:rPr>
          <w:rFonts w:ascii="宋体" w:hAnsi="宋体" w:cs="宋体"/>
          <w:szCs w:val="21"/>
        </w:rPr>
      </w:pPr>
      <w:r>
        <w:rPr>
          <w:rFonts w:hint="eastAsia" w:ascii="宋体" w:hAnsi="宋体" w:cs="宋体"/>
          <w:szCs w:val="21"/>
        </w:rPr>
        <w:t>（3）排名第一的中标候选供应商放弃中标、因不可抗力提出不能履行合同，或者招标文件规定应当提交履约保证金而在规定的期限内未能提交的，或因失信行为被取消中标候选供应商资格的，采购人可以确定排名第二的中标候选供应商为中标人，并依此类推。</w:t>
      </w:r>
    </w:p>
    <w:p w14:paraId="44B0571C">
      <w:pPr>
        <w:spacing w:line="360" w:lineRule="exact"/>
        <w:ind w:firstLine="413"/>
        <w:outlineLvl w:val="2"/>
        <w:rPr>
          <w:rFonts w:ascii="宋体" w:hAnsi="宋体" w:cs="宋体"/>
          <w:b/>
          <w:szCs w:val="21"/>
        </w:rPr>
      </w:pPr>
      <w:bookmarkStart w:id="272" w:name="_Toc1836"/>
      <w:bookmarkStart w:id="273" w:name="_Toc3571"/>
      <w:bookmarkStart w:id="274" w:name="_Toc239867332"/>
      <w:bookmarkStart w:id="275" w:name="_Toc31991"/>
      <w:bookmarkStart w:id="276" w:name="_Toc240644525"/>
      <w:r>
        <w:rPr>
          <w:rFonts w:hint="eastAsia" w:ascii="宋体" w:hAnsi="宋体" w:cs="宋体"/>
          <w:b/>
          <w:szCs w:val="21"/>
        </w:rPr>
        <w:t>28. 属于下列情况之一者，投标无效</w:t>
      </w:r>
      <w:bookmarkEnd w:id="272"/>
      <w:bookmarkEnd w:id="273"/>
      <w:bookmarkEnd w:id="274"/>
      <w:bookmarkEnd w:id="275"/>
      <w:bookmarkEnd w:id="276"/>
    </w:p>
    <w:p w14:paraId="22FB01AC">
      <w:pPr>
        <w:spacing w:line="360" w:lineRule="exact"/>
        <w:ind w:firstLine="411"/>
        <w:rPr>
          <w:rFonts w:ascii="宋体" w:hAnsi="宋体" w:cs="宋体"/>
          <w:szCs w:val="21"/>
        </w:rPr>
      </w:pPr>
      <w:r>
        <w:rPr>
          <w:rFonts w:hint="eastAsia" w:ascii="宋体" w:hAnsi="宋体" w:cs="宋体"/>
          <w:szCs w:val="21"/>
        </w:rPr>
        <w:t>（1）未按照招标文件规定要求签字、盖章的；</w:t>
      </w:r>
    </w:p>
    <w:p w14:paraId="1C1B4DC9">
      <w:pPr>
        <w:spacing w:line="360" w:lineRule="exact"/>
        <w:ind w:firstLine="420"/>
        <w:rPr>
          <w:rFonts w:ascii="宋体" w:hAnsi="宋体" w:cs="宋体"/>
          <w:szCs w:val="21"/>
        </w:rPr>
      </w:pPr>
      <w:r>
        <w:rPr>
          <w:rFonts w:hint="eastAsia" w:ascii="宋体" w:hAnsi="宋体" w:cs="宋体"/>
          <w:szCs w:val="21"/>
        </w:rPr>
        <w:t>（2）报价超过招标文件中规定的预算金额的；</w:t>
      </w:r>
    </w:p>
    <w:p w14:paraId="702AB589">
      <w:pPr>
        <w:spacing w:line="360" w:lineRule="exact"/>
        <w:ind w:firstLine="411"/>
        <w:rPr>
          <w:rFonts w:ascii="宋体" w:hAnsi="宋体" w:cs="宋体"/>
          <w:szCs w:val="21"/>
        </w:rPr>
      </w:pPr>
      <w:r>
        <w:rPr>
          <w:rFonts w:hint="eastAsia" w:ascii="宋体" w:hAnsi="宋体" w:cs="宋体"/>
          <w:szCs w:val="21"/>
        </w:rPr>
        <w:t>（3）不具备招标文件中规定的资格要求的</w:t>
      </w:r>
      <w:r>
        <w:rPr>
          <w:rFonts w:hint="eastAsia" w:ascii="宋体" w:hAnsi="宋体" w:cs="宋体"/>
        </w:rPr>
        <w:t>；</w:t>
      </w:r>
    </w:p>
    <w:p w14:paraId="02D51D23">
      <w:pPr>
        <w:spacing w:line="360" w:lineRule="exact"/>
        <w:ind w:firstLine="411"/>
        <w:rPr>
          <w:rFonts w:ascii="宋体" w:hAnsi="宋体" w:cs="宋体"/>
          <w:szCs w:val="21"/>
        </w:rPr>
      </w:pPr>
      <w:r>
        <w:rPr>
          <w:rFonts w:hint="eastAsia" w:ascii="宋体" w:hAnsi="宋体" w:cs="宋体"/>
          <w:szCs w:val="21"/>
        </w:rPr>
        <w:t>（4）投标文件含有采购人不能接受的附加条件的；</w:t>
      </w:r>
    </w:p>
    <w:p w14:paraId="02E736BC">
      <w:pPr>
        <w:spacing w:line="360" w:lineRule="exact"/>
        <w:ind w:firstLine="411"/>
        <w:rPr>
          <w:rFonts w:ascii="宋体" w:hAnsi="宋体" w:cs="宋体"/>
          <w:szCs w:val="21"/>
        </w:rPr>
      </w:pPr>
      <w:r>
        <w:rPr>
          <w:rFonts w:hint="eastAsia" w:ascii="宋体" w:hAnsi="宋体" w:cs="宋体"/>
          <w:szCs w:val="21"/>
        </w:rPr>
        <w:t>（5）投标文件未按招标文件的内容和要求编制，或提供虚假材料的；</w:t>
      </w:r>
    </w:p>
    <w:p w14:paraId="7487482C">
      <w:pPr>
        <w:spacing w:line="360" w:lineRule="exact"/>
        <w:ind w:firstLine="411"/>
        <w:rPr>
          <w:rFonts w:ascii="宋体" w:hAnsi="宋体" w:cs="宋体"/>
        </w:rPr>
      </w:pPr>
      <w:r>
        <w:rPr>
          <w:rFonts w:hint="eastAsia" w:ascii="宋体" w:hAnsi="宋体" w:cs="宋体"/>
          <w:szCs w:val="21"/>
        </w:rPr>
        <w:t>（6）</w:t>
      </w:r>
      <w:r>
        <w:rPr>
          <w:rFonts w:hint="eastAsia" w:ascii="宋体" w:hAnsi="宋体" w:cs="宋体"/>
        </w:rPr>
        <w:t>投标</w:t>
      </w:r>
      <w:r>
        <w:rPr>
          <w:rFonts w:hint="eastAsia" w:ascii="宋体" w:hAnsi="宋体" w:cs="宋体"/>
          <w:szCs w:val="21"/>
        </w:rPr>
        <w:t>人未就“采购需求”中的所有内容作完整唯一报价的</w:t>
      </w:r>
      <w:r>
        <w:rPr>
          <w:rFonts w:hint="eastAsia" w:ascii="宋体" w:hAnsi="宋体" w:cs="宋体"/>
        </w:rPr>
        <w:t>；</w:t>
      </w:r>
    </w:p>
    <w:p w14:paraId="00B9F974">
      <w:pPr>
        <w:spacing w:line="360" w:lineRule="exact"/>
        <w:ind w:firstLine="411"/>
        <w:rPr>
          <w:rFonts w:ascii="宋体" w:hAnsi="宋体" w:cs="宋体"/>
          <w:szCs w:val="21"/>
        </w:rPr>
      </w:pPr>
      <w:r>
        <w:rPr>
          <w:rFonts w:hint="eastAsia" w:ascii="宋体" w:hAnsi="宋体" w:cs="宋体"/>
          <w:szCs w:val="21"/>
        </w:rPr>
        <w:t>（7）未完全响应招标文件实质性要求的；</w:t>
      </w:r>
    </w:p>
    <w:p w14:paraId="1093411A">
      <w:pPr>
        <w:spacing w:line="360" w:lineRule="exact"/>
        <w:ind w:firstLine="420"/>
        <w:rPr>
          <w:rFonts w:ascii="宋体" w:hAnsi="宋体" w:cs="宋体"/>
          <w:szCs w:val="21"/>
        </w:rPr>
      </w:pPr>
      <w:r>
        <w:rPr>
          <w:rFonts w:hint="eastAsia" w:ascii="宋体" w:hAnsi="宋体" w:cs="宋体"/>
          <w:szCs w:val="21"/>
        </w:rPr>
        <w:t>（8）法律、法规和招标文件规定的其他无效情形。</w:t>
      </w:r>
    </w:p>
    <w:p w14:paraId="6861BAB4">
      <w:pPr>
        <w:spacing w:line="360" w:lineRule="exact"/>
        <w:ind w:firstLine="413"/>
        <w:outlineLvl w:val="2"/>
        <w:rPr>
          <w:rFonts w:ascii="宋体" w:hAnsi="宋体" w:cs="宋体"/>
          <w:b/>
          <w:szCs w:val="21"/>
        </w:rPr>
      </w:pPr>
      <w:bookmarkStart w:id="277" w:name="_Toc32362"/>
      <w:bookmarkStart w:id="278" w:name="_Toc240644526"/>
      <w:bookmarkStart w:id="279" w:name="_Toc15081"/>
      <w:bookmarkStart w:id="280" w:name="_Toc7907"/>
      <w:bookmarkStart w:id="281" w:name="_Toc239867333"/>
      <w:r>
        <w:rPr>
          <w:rFonts w:hint="eastAsia" w:ascii="宋体" w:hAnsi="宋体" w:cs="宋体"/>
          <w:b/>
          <w:szCs w:val="21"/>
        </w:rPr>
        <w:t>29. 投标人有下列情形之一的，视为串通投标，投标文件将被视为无效</w:t>
      </w:r>
      <w:bookmarkEnd w:id="277"/>
      <w:bookmarkEnd w:id="278"/>
      <w:bookmarkEnd w:id="279"/>
      <w:bookmarkEnd w:id="280"/>
      <w:bookmarkEnd w:id="281"/>
    </w:p>
    <w:p w14:paraId="6DA415F3">
      <w:pPr>
        <w:spacing w:line="360" w:lineRule="exact"/>
        <w:ind w:left="355" w:firstLine="102"/>
        <w:rPr>
          <w:rFonts w:ascii="宋体" w:hAnsi="宋体" w:cs="宋体"/>
        </w:rPr>
      </w:pPr>
      <w:r>
        <w:rPr>
          <w:rFonts w:hint="eastAsia" w:ascii="宋体" w:hAnsi="宋体" w:cs="宋体"/>
        </w:rPr>
        <w:t>（1）不同投标人的投标文件由同一单位或者个人编制；</w:t>
      </w:r>
    </w:p>
    <w:p w14:paraId="35125A70">
      <w:pPr>
        <w:spacing w:line="360" w:lineRule="exact"/>
        <w:ind w:left="355" w:firstLine="102"/>
        <w:rPr>
          <w:rFonts w:ascii="宋体" w:hAnsi="宋体" w:cs="宋体"/>
        </w:rPr>
      </w:pPr>
      <w:r>
        <w:rPr>
          <w:rFonts w:hint="eastAsia" w:ascii="宋体" w:hAnsi="宋体" w:cs="宋体"/>
        </w:rPr>
        <w:t>（2）不同投标人委托同一单位或者个人办理投标事宜；</w:t>
      </w:r>
    </w:p>
    <w:p w14:paraId="6772A066">
      <w:pPr>
        <w:spacing w:line="360" w:lineRule="exact"/>
        <w:ind w:left="355" w:firstLine="102"/>
        <w:rPr>
          <w:rFonts w:ascii="宋体" w:hAnsi="宋体" w:cs="宋体"/>
        </w:rPr>
      </w:pPr>
      <w:r>
        <w:rPr>
          <w:rFonts w:hint="eastAsia" w:ascii="宋体" w:hAnsi="宋体" w:cs="宋体"/>
        </w:rPr>
        <w:t>（3）不同的投标人的投标文件载明的项目管理员或者联系人员为同一个人；</w:t>
      </w:r>
    </w:p>
    <w:p w14:paraId="1192D87A">
      <w:pPr>
        <w:spacing w:line="360" w:lineRule="exact"/>
        <w:ind w:left="355" w:firstLine="102"/>
        <w:rPr>
          <w:rFonts w:ascii="宋体" w:hAnsi="宋体" w:cs="宋体"/>
        </w:rPr>
      </w:pPr>
      <w:r>
        <w:rPr>
          <w:rFonts w:hint="eastAsia" w:ascii="宋体" w:hAnsi="宋体" w:cs="宋体"/>
        </w:rPr>
        <w:t xml:space="preserve">（4）不同投标人的投标文件异常一致或投标报价呈规律性差异； </w:t>
      </w:r>
    </w:p>
    <w:p w14:paraId="234FEE90">
      <w:pPr>
        <w:spacing w:line="360" w:lineRule="exact"/>
        <w:ind w:left="355" w:firstLine="102"/>
        <w:rPr>
          <w:rFonts w:ascii="宋体" w:hAnsi="宋体" w:cs="宋体"/>
        </w:rPr>
      </w:pPr>
      <w:r>
        <w:rPr>
          <w:rFonts w:hint="eastAsia" w:ascii="宋体" w:hAnsi="宋体" w:cs="宋体"/>
        </w:rPr>
        <w:t>（5）不同投标人的投标文件相互混编；</w:t>
      </w:r>
    </w:p>
    <w:p w14:paraId="20BDDF12">
      <w:pPr>
        <w:spacing w:line="360" w:lineRule="exact"/>
        <w:ind w:left="355" w:firstLine="102"/>
        <w:rPr>
          <w:rFonts w:ascii="宋体" w:hAnsi="宋体" w:cs="宋体"/>
        </w:rPr>
      </w:pPr>
      <w:r>
        <w:rPr>
          <w:rFonts w:hint="eastAsia" w:ascii="宋体" w:hAnsi="宋体" w:cs="宋体"/>
        </w:rPr>
        <w:t>（6）不同投标人的投标保证金从同一单位或者个人账户转出。</w:t>
      </w:r>
    </w:p>
    <w:p w14:paraId="619BAB49">
      <w:pPr>
        <w:spacing w:line="360" w:lineRule="exact"/>
        <w:ind w:firstLine="413"/>
        <w:outlineLvl w:val="2"/>
        <w:rPr>
          <w:rFonts w:ascii="宋体" w:hAnsi="宋体" w:cs="宋体"/>
          <w:b/>
          <w:szCs w:val="21"/>
        </w:rPr>
      </w:pPr>
      <w:bookmarkStart w:id="282" w:name="_Toc9029"/>
      <w:bookmarkStart w:id="283" w:name="_Toc239867334"/>
      <w:bookmarkStart w:id="284" w:name="_Toc240644527"/>
      <w:bookmarkStart w:id="285" w:name="_Toc18148"/>
      <w:bookmarkStart w:id="286" w:name="_Toc2973"/>
      <w:r>
        <w:rPr>
          <w:rFonts w:hint="eastAsia" w:ascii="宋体" w:hAnsi="宋体" w:cs="宋体"/>
          <w:b/>
          <w:szCs w:val="21"/>
        </w:rPr>
        <w:t>30. 属于下列情形之一的，应予废标</w:t>
      </w:r>
      <w:bookmarkEnd w:id="282"/>
      <w:bookmarkEnd w:id="283"/>
      <w:bookmarkEnd w:id="284"/>
      <w:bookmarkEnd w:id="285"/>
      <w:bookmarkEnd w:id="286"/>
    </w:p>
    <w:p w14:paraId="7BC1BA05">
      <w:pPr>
        <w:tabs>
          <w:tab w:val="left" w:pos="840"/>
        </w:tabs>
        <w:spacing w:line="360" w:lineRule="exact"/>
        <w:ind w:left="330" w:firstLine="102"/>
        <w:rPr>
          <w:rFonts w:ascii="宋体" w:hAnsi="宋体" w:cs="宋体"/>
          <w:szCs w:val="21"/>
        </w:rPr>
      </w:pPr>
      <w:r>
        <w:rPr>
          <w:rFonts w:hint="eastAsia" w:ascii="宋体" w:hAnsi="宋体" w:cs="宋体"/>
          <w:szCs w:val="21"/>
        </w:rPr>
        <w:t>（1）符合专业条件的供应商或者对招标文件作实质响应的供应商不足3家的；</w:t>
      </w:r>
    </w:p>
    <w:p w14:paraId="3B2B450C">
      <w:pPr>
        <w:tabs>
          <w:tab w:val="left" w:pos="840"/>
        </w:tabs>
        <w:spacing w:line="360" w:lineRule="exact"/>
        <w:ind w:left="330" w:firstLine="105"/>
        <w:rPr>
          <w:rFonts w:ascii="宋体" w:hAnsi="宋体" w:cs="宋体"/>
          <w:szCs w:val="21"/>
        </w:rPr>
      </w:pPr>
      <w:r>
        <w:rPr>
          <w:rFonts w:hint="eastAsia" w:ascii="宋体" w:hAnsi="宋体" w:cs="宋体"/>
          <w:szCs w:val="21"/>
        </w:rPr>
        <w:t>（2）出现影响采购公正的违法、违规行为的；</w:t>
      </w:r>
    </w:p>
    <w:p w14:paraId="3A0E0A12">
      <w:pPr>
        <w:tabs>
          <w:tab w:val="left" w:pos="840"/>
        </w:tabs>
        <w:spacing w:line="360" w:lineRule="exact"/>
        <w:ind w:left="330" w:firstLine="105"/>
        <w:rPr>
          <w:rFonts w:ascii="宋体" w:hAnsi="宋体" w:cs="宋体"/>
        </w:rPr>
      </w:pPr>
      <w:r>
        <w:rPr>
          <w:rFonts w:hint="eastAsia" w:ascii="宋体" w:hAnsi="宋体" w:cs="宋体"/>
        </w:rPr>
        <w:t>（3）采购文件内容违反国家有关强制性规定的；</w:t>
      </w:r>
    </w:p>
    <w:p w14:paraId="255EBDB5">
      <w:pPr>
        <w:tabs>
          <w:tab w:val="left" w:pos="840"/>
        </w:tabs>
        <w:spacing w:line="360" w:lineRule="exact"/>
        <w:ind w:left="330" w:firstLine="105"/>
        <w:rPr>
          <w:rFonts w:ascii="宋体" w:hAnsi="宋体" w:cs="宋体"/>
        </w:rPr>
      </w:pPr>
      <w:r>
        <w:rPr>
          <w:rFonts w:hint="eastAsia" w:ascii="宋体" w:hAnsi="宋体" w:cs="宋体"/>
        </w:rPr>
        <w:t>（4）因重大变故，采购任务取消的。</w:t>
      </w:r>
    </w:p>
    <w:p w14:paraId="4CFB5A1E">
      <w:pPr>
        <w:spacing w:line="360" w:lineRule="exact"/>
        <w:ind w:firstLine="413"/>
        <w:outlineLvl w:val="2"/>
        <w:rPr>
          <w:rFonts w:ascii="宋体" w:hAnsi="宋体" w:cs="宋体"/>
          <w:b/>
          <w:szCs w:val="21"/>
        </w:rPr>
      </w:pPr>
      <w:bookmarkStart w:id="287" w:name="_Toc12274"/>
      <w:bookmarkStart w:id="288" w:name="_Toc239867335"/>
      <w:bookmarkStart w:id="289" w:name="_Toc14557"/>
      <w:bookmarkStart w:id="290" w:name="_Toc240644528"/>
      <w:bookmarkStart w:id="291" w:name="_Toc28686"/>
      <w:r>
        <w:rPr>
          <w:rFonts w:hint="eastAsia" w:ascii="宋体" w:hAnsi="宋体" w:cs="宋体"/>
          <w:b/>
          <w:szCs w:val="21"/>
        </w:rPr>
        <w:t>31. 开标、评标过程的监控</w:t>
      </w:r>
      <w:bookmarkEnd w:id="287"/>
      <w:bookmarkEnd w:id="288"/>
      <w:bookmarkEnd w:id="289"/>
      <w:bookmarkEnd w:id="290"/>
      <w:bookmarkEnd w:id="291"/>
    </w:p>
    <w:p w14:paraId="16165803">
      <w:pPr>
        <w:spacing w:line="360" w:lineRule="exact"/>
        <w:ind w:firstLine="411"/>
        <w:rPr>
          <w:rFonts w:ascii="宋体" w:hAnsi="宋体" w:cs="宋体"/>
        </w:rPr>
      </w:pPr>
      <w:r>
        <w:rPr>
          <w:rFonts w:hint="eastAsia" w:ascii="宋体" w:hAnsi="宋体" w:cs="宋体"/>
        </w:rPr>
        <w:t>本项目开标、评标过程实行全程录音、录像监控，投标人在评标过程中所进行的试图影响评标结果的不公正活动，可能导致其投标被拒绝。</w:t>
      </w:r>
    </w:p>
    <w:p w14:paraId="7CCE8204">
      <w:pPr>
        <w:spacing w:line="360" w:lineRule="exact"/>
        <w:ind w:firstLine="413"/>
        <w:outlineLvl w:val="2"/>
        <w:rPr>
          <w:rFonts w:ascii="宋体" w:hAnsi="宋体" w:cs="宋体"/>
          <w:b/>
          <w:szCs w:val="21"/>
        </w:rPr>
      </w:pPr>
      <w:bookmarkStart w:id="292" w:name="_Toc11343"/>
      <w:bookmarkStart w:id="293" w:name="_Toc239867336"/>
      <w:bookmarkStart w:id="294" w:name="_Toc26650"/>
      <w:bookmarkStart w:id="295" w:name="_Toc240644529"/>
      <w:bookmarkStart w:id="296" w:name="_Toc1321"/>
      <w:r>
        <w:rPr>
          <w:rFonts w:hint="eastAsia" w:ascii="宋体" w:hAnsi="宋体" w:cs="宋体"/>
          <w:b/>
          <w:szCs w:val="21"/>
        </w:rPr>
        <w:t>32. 信用查询</w:t>
      </w:r>
      <w:bookmarkEnd w:id="292"/>
      <w:bookmarkEnd w:id="293"/>
      <w:bookmarkEnd w:id="294"/>
      <w:bookmarkEnd w:id="295"/>
      <w:bookmarkEnd w:id="296"/>
    </w:p>
    <w:p w14:paraId="4CA0ECBD">
      <w:pPr>
        <w:spacing w:line="360" w:lineRule="exact"/>
        <w:ind w:firstLine="411"/>
        <w:rPr>
          <w:rFonts w:ascii="宋体" w:hAnsi="宋体" w:cs="宋体"/>
        </w:rPr>
      </w:pPr>
      <w:r>
        <w:rPr>
          <w:rFonts w:hint="eastAsia" w:ascii="宋体" w:hAnsi="宋体" w:cs="宋体"/>
        </w:rPr>
        <w:t>根据《关于做好政府采购有关信用主体标识码登记及在政府采购活动中查询使用信用记录有关问题的通知》（桂财采〔2016〕37号），中标通知书发出前，由采购代理机构对第一中标候选供应商进行信用查询：</w:t>
      </w:r>
    </w:p>
    <w:p w14:paraId="17B207C3">
      <w:pPr>
        <w:spacing w:line="360" w:lineRule="exact"/>
        <w:ind w:firstLine="411"/>
        <w:rPr>
          <w:rFonts w:ascii="宋体" w:hAnsi="宋体" w:cs="宋体"/>
        </w:rPr>
      </w:pPr>
      <w:r>
        <w:rPr>
          <w:rFonts w:hint="eastAsia" w:ascii="宋体" w:hAnsi="宋体" w:cs="宋体"/>
        </w:rPr>
        <w:t>⑴查询渠道：“信用中国”网站(www.creditchina.gov.cn)、中国政府采购网(www.ccgp.gov.cn)等；</w:t>
      </w:r>
    </w:p>
    <w:p w14:paraId="75379C97">
      <w:pPr>
        <w:spacing w:line="360" w:lineRule="exact"/>
        <w:ind w:firstLine="411"/>
        <w:rPr>
          <w:rFonts w:ascii="宋体" w:hAnsi="宋体" w:cs="宋体"/>
        </w:rPr>
      </w:pPr>
      <w:r>
        <w:rPr>
          <w:rFonts w:hint="eastAsia" w:ascii="宋体" w:hAnsi="宋体" w:cs="宋体"/>
        </w:rPr>
        <w:t>⑵查询时间：中标通知书发出前；</w:t>
      </w:r>
    </w:p>
    <w:p w14:paraId="150633FB">
      <w:pPr>
        <w:spacing w:line="360" w:lineRule="exact"/>
        <w:ind w:firstLine="411"/>
        <w:rPr>
          <w:rFonts w:ascii="宋体" w:hAnsi="宋体" w:cs="宋体"/>
        </w:rPr>
      </w:pPr>
      <w:r>
        <w:rPr>
          <w:rFonts w:hint="eastAsia" w:ascii="宋体" w:hAnsi="宋体" w:cs="宋体"/>
        </w:rPr>
        <w:t>⑶信用信息查询记录和证据留存方式：在查询网站中直接打印查询记录，打印材料作为采购活动资料保存；</w:t>
      </w:r>
    </w:p>
    <w:p w14:paraId="1039092E">
      <w:pPr>
        <w:spacing w:line="360" w:lineRule="exact"/>
        <w:ind w:firstLine="411"/>
        <w:rPr>
          <w:rFonts w:ascii="宋体" w:hAnsi="宋体" w:cs="宋体"/>
        </w:rPr>
      </w:pPr>
      <w:r>
        <w:rPr>
          <w:rFonts w:hint="eastAsia" w:ascii="宋体" w:hAnsi="宋体" w:cs="宋体"/>
        </w:rPr>
        <w:t>⑷信用信息使用规则：对在“信用中国”网站(www.creditchina.gov.cn)、中国政府采购网(www.ccgp.gov.cn)等渠道列入失信被执行人、重大税收违法失信主体名单、政府采购严重违法失信行为记录名单及其他不符合《中华人民共和国政府采购法》第二十二条规定条件的供应商，取消其中标候选供应商资格。</w:t>
      </w:r>
    </w:p>
    <w:p w14:paraId="10405215">
      <w:pPr>
        <w:spacing w:line="360" w:lineRule="exact"/>
        <w:ind w:firstLine="411"/>
        <w:rPr>
          <w:rFonts w:ascii="宋体" w:hAnsi="宋体" w:cs="宋体"/>
        </w:rPr>
      </w:pPr>
      <w:r>
        <w:rPr>
          <w:rFonts w:hint="eastAsia" w:ascii="宋体" w:hAnsi="宋体" w:cs="宋体"/>
        </w:rPr>
        <w:t>两个以上的自然人、法人或者其他组织组成一个联合体，以一个供应商的身份共同参加政府采购活动的，对所有联合体成员进行信用记录查询，联合体成员存在不良信用记录的，视同联合体存在不良信用记录。</w:t>
      </w:r>
    </w:p>
    <w:p w14:paraId="02A2F740">
      <w:pPr>
        <w:spacing w:line="360" w:lineRule="exact"/>
        <w:ind w:firstLine="413"/>
        <w:outlineLvl w:val="2"/>
        <w:rPr>
          <w:rFonts w:ascii="宋体" w:hAnsi="宋体" w:cs="宋体"/>
          <w:b/>
          <w:szCs w:val="21"/>
        </w:rPr>
      </w:pPr>
      <w:bookmarkStart w:id="297" w:name="_Toc27712"/>
      <w:bookmarkStart w:id="298" w:name="_Toc23283"/>
      <w:bookmarkStart w:id="299" w:name="_Toc240644530"/>
      <w:bookmarkStart w:id="300" w:name="_Toc30043"/>
      <w:bookmarkStart w:id="301" w:name="_Toc239867337"/>
      <w:r>
        <w:rPr>
          <w:rFonts w:hint="eastAsia" w:ascii="宋体" w:hAnsi="宋体" w:cs="宋体"/>
          <w:b/>
          <w:szCs w:val="21"/>
        </w:rPr>
        <w:t>33. 中标公告及中标通知书</w:t>
      </w:r>
      <w:bookmarkEnd w:id="297"/>
      <w:bookmarkEnd w:id="298"/>
      <w:bookmarkEnd w:id="299"/>
      <w:bookmarkEnd w:id="300"/>
      <w:bookmarkEnd w:id="301"/>
    </w:p>
    <w:p w14:paraId="6B8423F2">
      <w:pPr>
        <w:tabs>
          <w:tab w:val="left" w:pos="455"/>
        </w:tabs>
        <w:spacing w:line="360" w:lineRule="exact"/>
        <w:ind w:firstLine="420"/>
        <w:rPr>
          <w:rFonts w:ascii="宋体" w:hAnsi="宋体" w:cs="宋体"/>
        </w:rPr>
      </w:pPr>
      <w:r>
        <w:rPr>
          <w:rFonts w:hint="eastAsia" w:ascii="宋体" w:hAnsi="宋体" w:cs="宋体"/>
          <w:szCs w:val="21"/>
        </w:rPr>
        <w:t>33.1采购代理机构于评标结束后两个工作日内将评标报告送交采购人，采购人应当自收到评标报告五个工作日内在评标报告推荐的中标候选供应商中按顺序确定中标人；采购代理机构在中标人确定之日起两个工作日内在指定媒体上公告中标结果，中标公告期限为一个工作日。</w:t>
      </w:r>
    </w:p>
    <w:p w14:paraId="6EC73DAF">
      <w:pPr>
        <w:spacing w:line="360" w:lineRule="exact"/>
        <w:ind w:firstLine="420"/>
        <w:rPr>
          <w:rFonts w:ascii="宋体" w:hAnsi="宋体" w:cs="宋体"/>
          <w:szCs w:val="21"/>
        </w:rPr>
      </w:pPr>
      <w:r>
        <w:rPr>
          <w:rFonts w:hint="eastAsia" w:ascii="宋体" w:hAnsi="宋体" w:cs="宋体"/>
          <w:szCs w:val="21"/>
        </w:rPr>
        <w:t>33.2中标公告发布的同时，采购代理机构在线向中标供应商发出电子中标通知书。</w:t>
      </w:r>
      <w:bookmarkStart w:id="302" w:name="_Toc495841760"/>
      <w:bookmarkStart w:id="303" w:name="_Toc31543"/>
    </w:p>
    <w:p w14:paraId="4EDF3174">
      <w:pPr>
        <w:pStyle w:val="258"/>
        <w:rPr>
          <w:color w:val="auto"/>
        </w:rPr>
      </w:pPr>
    </w:p>
    <w:p w14:paraId="3F2F1FF4">
      <w:pPr>
        <w:spacing w:line="360" w:lineRule="auto"/>
        <w:jc w:val="center"/>
        <w:outlineLvl w:val="1"/>
        <w:rPr>
          <w:rFonts w:ascii="宋体" w:hAnsi="宋体" w:cs="宋体"/>
          <w:b/>
          <w:sz w:val="28"/>
          <w:szCs w:val="28"/>
        </w:rPr>
      </w:pPr>
      <w:bookmarkStart w:id="304" w:name="_Toc240644531"/>
      <w:bookmarkStart w:id="305" w:name="_Toc10328"/>
      <w:bookmarkStart w:id="306" w:name="_Toc31963"/>
      <w:bookmarkStart w:id="307" w:name="_Toc239867338"/>
      <w:r>
        <w:rPr>
          <w:rFonts w:hint="eastAsia" w:ascii="宋体" w:hAnsi="宋体" w:cs="宋体"/>
          <w:b/>
          <w:sz w:val="28"/>
          <w:szCs w:val="28"/>
        </w:rPr>
        <w:t>七、履约保证金及签订合同</w:t>
      </w:r>
      <w:bookmarkEnd w:id="302"/>
      <w:bookmarkEnd w:id="303"/>
      <w:bookmarkEnd w:id="304"/>
      <w:bookmarkEnd w:id="305"/>
      <w:bookmarkEnd w:id="306"/>
      <w:bookmarkEnd w:id="307"/>
    </w:p>
    <w:p w14:paraId="30BE429B">
      <w:pPr>
        <w:spacing w:line="360" w:lineRule="exact"/>
        <w:ind w:firstLine="413"/>
        <w:outlineLvl w:val="2"/>
        <w:rPr>
          <w:rFonts w:ascii="宋体" w:hAnsi="宋体" w:cs="宋体"/>
          <w:b/>
          <w:szCs w:val="21"/>
        </w:rPr>
      </w:pPr>
      <w:bookmarkStart w:id="308" w:name="_Toc6994"/>
      <w:bookmarkStart w:id="309" w:name="_Toc240644532"/>
      <w:bookmarkStart w:id="310" w:name="_Toc10047"/>
      <w:bookmarkStart w:id="311" w:name="_Toc239867339"/>
      <w:bookmarkStart w:id="312" w:name="_Toc17550"/>
      <w:r>
        <w:rPr>
          <w:rFonts w:hint="eastAsia" w:ascii="宋体" w:hAnsi="宋体" w:cs="宋体"/>
          <w:b/>
          <w:szCs w:val="21"/>
        </w:rPr>
        <w:t>34. 履约保证金</w:t>
      </w:r>
      <w:bookmarkEnd w:id="308"/>
      <w:bookmarkEnd w:id="309"/>
      <w:bookmarkEnd w:id="310"/>
      <w:bookmarkEnd w:id="311"/>
      <w:bookmarkEnd w:id="312"/>
    </w:p>
    <w:p w14:paraId="4DBD46EF">
      <w:pPr>
        <w:pStyle w:val="220"/>
        <w:spacing w:line="360" w:lineRule="exact"/>
        <w:ind w:firstLine="420" w:firstLineChars="200"/>
        <w:rPr>
          <w:rFonts w:hAnsi="宋体" w:cs="宋体"/>
          <w:b/>
        </w:rPr>
      </w:pPr>
      <w:bookmarkStart w:id="313" w:name="_Toc240644533"/>
      <w:bookmarkStart w:id="314" w:name="_Toc18160"/>
      <w:bookmarkStart w:id="315" w:name="_Toc9324"/>
      <w:bookmarkStart w:id="316" w:name="_Toc14679"/>
      <w:bookmarkStart w:id="317" w:name="_Toc239867340"/>
      <w:r>
        <w:rPr>
          <w:rFonts w:hint="eastAsia" w:hAnsi="宋体" w:cs="Times New Roman"/>
          <w:lang w:eastAsia="zh-CN"/>
        </w:rPr>
        <w:t>本项目无需缴纳履约保证金。</w:t>
      </w:r>
    </w:p>
    <w:p w14:paraId="290BAD59">
      <w:pPr>
        <w:spacing w:line="360" w:lineRule="exact"/>
        <w:ind w:firstLine="413"/>
        <w:outlineLvl w:val="2"/>
        <w:rPr>
          <w:rFonts w:ascii="宋体" w:hAnsi="宋体" w:cs="宋体"/>
          <w:b/>
          <w:szCs w:val="21"/>
        </w:rPr>
      </w:pPr>
      <w:r>
        <w:rPr>
          <w:rFonts w:hint="eastAsia" w:ascii="宋体" w:hAnsi="宋体" w:cs="宋体"/>
          <w:b/>
          <w:szCs w:val="21"/>
        </w:rPr>
        <w:t>35. 签订合同</w:t>
      </w:r>
      <w:bookmarkEnd w:id="313"/>
      <w:bookmarkEnd w:id="314"/>
      <w:bookmarkEnd w:id="315"/>
      <w:bookmarkEnd w:id="316"/>
      <w:bookmarkEnd w:id="317"/>
    </w:p>
    <w:p w14:paraId="27BFE85E">
      <w:pPr>
        <w:spacing w:line="360" w:lineRule="exact"/>
        <w:ind w:left="2" w:firstLine="420"/>
        <w:rPr>
          <w:rFonts w:ascii="宋体" w:hAnsi="宋体" w:cs="宋体"/>
          <w:szCs w:val="21"/>
        </w:rPr>
      </w:pPr>
      <w:r>
        <w:rPr>
          <w:rFonts w:hint="eastAsia" w:ascii="宋体" w:hAnsi="宋体" w:cs="宋体"/>
          <w:szCs w:val="21"/>
        </w:rPr>
        <w:t>35.1签订合同时间：中标通知书发出之日起八个工作日内。中标人收到中标通知书后，应按规定与采购人在“广西政府采购云平台”上在线签订电子合同。</w:t>
      </w:r>
    </w:p>
    <w:p w14:paraId="456EAB7C">
      <w:pPr>
        <w:spacing w:line="360" w:lineRule="exact"/>
        <w:ind w:left="2" w:firstLine="420"/>
        <w:rPr>
          <w:rFonts w:ascii="宋体" w:hAnsi="宋体" w:cs="宋体"/>
          <w:b/>
          <w:szCs w:val="21"/>
        </w:rPr>
      </w:pPr>
      <w:r>
        <w:rPr>
          <w:rFonts w:hint="eastAsia" w:ascii="宋体" w:hAnsi="宋体" w:cs="宋体"/>
        </w:rPr>
        <w:t>35.2中标人为联合体的，联合体各方均应与采购人签订合同，并承担连带责任。</w:t>
      </w:r>
    </w:p>
    <w:p w14:paraId="1B316D51">
      <w:pPr>
        <w:spacing w:line="360" w:lineRule="exact"/>
        <w:ind w:left="2" w:firstLine="420"/>
        <w:rPr>
          <w:rFonts w:ascii="宋体" w:hAnsi="宋体" w:cs="宋体"/>
          <w:szCs w:val="21"/>
        </w:rPr>
      </w:pPr>
      <w:r>
        <w:rPr>
          <w:rFonts w:hint="eastAsia" w:ascii="宋体" w:hAnsi="宋体" w:cs="宋体"/>
          <w:szCs w:val="21"/>
        </w:rPr>
        <w:t>35.3如中标人有下列情形之一的，情节严重的，由财政部门将其列入不良行为记录名单，在一至三年内禁止参加政府采购活动，并予以通报。采购人或者采购代理机构可从评标委员会推荐的中标候选供应商中按顺序重新确定中标人或重新组织招标。</w:t>
      </w:r>
    </w:p>
    <w:p w14:paraId="4609CE34">
      <w:pPr>
        <w:spacing w:line="360" w:lineRule="exact"/>
        <w:ind w:firstLine="315"/>
        <w:rPr>
          <w:rFonts w:ascii="宋体" w:hAnsi="宋体" w:cs="宋体"/>
          <w:szCs w:val="21"/>
        </w:rPr>
      </w:pPr>
      <w:r>
        <w:rPr>
          <w:rFonts w:hint="eastAsia" w:ascii="宋体" w:hAnsi="宋体" w:cs="宋体"/>
          <w:szCs w:val="21"/>
        </w:rPr>
        <w:t>（1）中标后不与采购人签订合同的（不可抗力除外）；</w:t>
      </w:r>
    </w:p>
    <w:p w14:paraId="0ECA13D8">
      <w:pPr>
        <w:spacing w:line="360" w:lineRule="exact"/>
        <w:ind w:left="2" w:firstLine="315"/>
        <w:rPr>
          <w:rFonts w:ascii="宋体" w:hAnsi="宋体" w:cs="宋体"/>
          <w:szCs w:val="21"/>
        </w:rPr>
      </w:pPr>
      <w:r>
        <w:rPr>
          <w:rFonts w:hint="eastAsia" w:ascii="宋体" w:hAnsi="宋体" w:cs="宋体"/>
          <w:szCs w:val="21"/>
        </w:rPr>
        <w:t>（2）将中标项目转让给他人，或者在投标文件中未说明，且未经采购人同意，将中标项目分包给他人的；</w:t>
      </w:r>
    </w:p>
    <w:p w14:paraId="4368F460">
      <w:pPr>
        <w:spacing w:line="360" w:lineRule="exact"/>
        <w:ind w:firstLine="315"/>
        <w:rPr>
          <w:rFonts w:ascii="宋体" w:hAnsi="宋体" w:cs="宋体"/>
          <w:szCs w:val="21"/>
        </w:rPr>
      </w:pPr>
      <w:r>
        <w:rPr>
          <w:rFonts w:hint="eastAsia" w:ascii="宋体" w:hAnsi="宋体" w:cs="宋体"/>
          <w:szCs w:val="21"/>
        </w:rPr>
        <w:t>（3）拒绝履行合同义务的。</w:t>
      </w:r>
    </w:p>
    <w:p w14:paraId="63D210AA">
      <w:pPr>
        <w:spacing w:line="360" w:lineRule="exact"/>
        <w:ind w:left="2" w:firstLine="420"/>
        <w:rPr>
          <w:rFonts w:ascii="宋体" w:hAnsi="宋体" w:cs="宋体"/>
          <w:szCs w:val="21"/>
        </w:rPr>
      </w:pPr>
      <w:r>
        <w:rPr>
          <w:rFonts w:hint="eastAsia" w:ascii="宋体" w:hAnsi="宋体" w:cs="宋体"/>
          <w:szCs w:val="21"/>
        </w:rPr>
        <w:t>35.4合同备案存档：政府采购合同双方自签订之日起将自动存档于“广西政府采购云平台”上。</w:t>
      </w:r>
    </w:p>
    <w:p w14:paraId="08D644C7">
      <w:pPr>
        <w:spacing w:line="360" w:lineRule="auto"/>
        <w:jc w:val="center"/>
        <w:outlineLvl w:val="1"/>
        <w:rPr>
          <w:rFonts w:ascii="宋体" w:hAnsi="宋体" w:cs="宋体"/>
          <w:b/>
          <w:sz w:val="28"/>
          <w:szCs w:val="28"/>
        </w:rPr>
      </w:pPr>
      <w:bookmarkStart w:id="318" w:name="_Toc4983"/>
      <w:bookmarkStart w:id="319" w:name="_Toc239867341"/>
      <w:bookmarkStart w:id="320" w:name="_Toc25150"/>
      <w:bookmarkStart w:id="321" w:name="_Toc1909"/>
      <w:bookmarkStart w:id="322" w:name="_Toc240644534"/>
      <w:bookmarkStart w:id="323" w:name="_Toc495841761"/>
      <w:r>
        <w:rPr>
          <w:rFonts w:hint="eastAsia" w:ascii="宋体" w:hAnsi="宋体" w:cs="宋体"/>
          <w:b/>
          <w:sz w:val="28"/>
          <w:szCs w:val="28"/>
        </w:rPr>
        <w:t>八、其他事项</w:t>
      </w:r>
      <w:bookmarkEnd w:id="318"/>
      <w:bookmarkEnd w:id="319"/>
      <w:bookmarkEnd w:id="320"/>
      <w:bookmarkEnd w:id="321"/>
      <w:bookmarkEnd w:id="322"/>
      <w:bookmarkEnd w:id="323"/>
    </w:p>
    <w:p w14:paraId="6BE77F43">
      <w:pPr>
        <w:spacing w:line="380" w:lineRule="exact"/>
        <w:ind w:firstLine="413"/>
        <w:outlineLvl w:val="2"/>
        <w:rPr>
          <w:rFonts w:ascii="宋体" w:hAnsi="宋体" w:cs="宋体"/>
          <w:b/>
          <w:szCs w:val="21"/>
        </w:rPr>
      </w:pPr>
      <w:bookmarkStart w:id="324" w:name="_Toc24506"/>
      <w:bookmarkStart w:id="325" w:name="_Toc240644535"/>
      <w:bookmarkStart w:id="326" w:name="_Toc18260"/>
      <w:bookmarkStart w:id="327" w:name="_Toc5655"/>
      <w:bookmarkStart w:id="328" w:name="_Toc19503"/>
      <w:bookmarkStart w:id="329" w:name="_Toc2437"/>
      <w:bookmarkStart w:id="330" w:name="_Toc239867342"/>
      <w:bookmarkStart w:id="331" w:name="_Toc4309"/>
      <w:bookmarkStart w:id="332" w:name="_Toc32243"/>
      <w:r>
        <w:rPr>
          <w:rFonts w:hint="eastAsia" w:ascii="宋体" w:hAnsi="宋体" w:cs="宋体"/>
          <w:b/>
          <w:szCs w:val="21"/>
        </w:rPr>
        <w:t>36. 招标代理服务费</w:t>
      </w:r>
      <w:bookmarkEnd w:id="324"/>
      <w:bookmarkEnd w:id="325"/>
      <w:bookmarkEnd w:id="326"/>
      <w:bookmarkEnd w:id="327"/>
      <w:bookmarkEnd w:id="328"/>
      <w:bookmarkEnd w:id="329"/>
      <w:bookmarkEnd w:id="330"/>
      <w:bookmarkEnd w:id="331"/>
    </w:p>
    <w:p w14:paraId="039003F0">
      <w:pPr>
        <w:pStyle w:val="220"/>
        <w:spacing w:line="360" w:lineRule="exact"/>
        <w:ind w:firstLine="420" w:firstLineChars="200"/>
        <w:rPr>
          <w:rFonts w:hAnsi="宋体" w:cs="宋体"/>
          <w:szCs w:val="21"/>
        </w:rPr>
      </w:pPr>
      <w:bookmarkStart w:id="333" w:name="_Toc5344"/>
      <w:bookmarkStart w:id="334" w:name="_Toc19124"/>
      <w:r>
        <w:rPr>
          <w:rFonts w:hint="eastAsia" w:hAnsi="宋体" w:cs="宋体"/>
          <w:szCs w:val="21"/>
        </w:rPr>
        <w:t>本项目的采购代理服务收费标准参照国家计委《招标代理服务收费管理暂行办法》（计价格[2002]1980号）服务类收费标准的规定，按差额定率累进法计算计取（采购代理服务费收费基数按中标金额×3计算）</w:t>
      </w:r>
      <w:r>
        <w:rPr>
          <w:rFonts w:hint="eastAsia" w:hAnsi="宋体" w:cs="宋体"/>
          <w:szCs w:val="21"/>
          <w:lang w:eastAsia="zh-CN"/>
        </w:rPr>
        <w:t>，</w:t>
      </w:r>
      <w:r>
        <w:rPr>
          <w:rFonts w:hint="eastAsia" w:hAnsi="宋体" w:cs="宋体"/>
          <w:szCs w:val="21"/>
        </w:rPr>
        <w:t>在领取中标通知书前，由中标人向采购代理机构一次性付清代理服务费。</w:t>
      </w:r>
    </w:p>
    <w:p w14:paraId="27E579CF">
      <w:pPr>
        <w:spacing w:line="360" w:lineRule="exact"/>
        <w:ind w:left="2" w:hanging="2"/>
        <w:jc w:val="center"/>
        <w:rPr>
          <w:rFonts w:ascii="宋体" w:hAnsi="宋体" w:cs="宋体"/>
          <w:szCs w:val="21"/>
        </w:rPr>
      </w:pPr>
      <w:r>
        <w:rPr>
          <w:rFonts w:hint="eastAsia" w:ascii="宋体" w:hAnsi="宋体" w:cs="宋体"/>
          <w:szCs w:val="21"/>
        </w:rPr>
        <w:t>招标代理服务费市场参考费率表</w:t>
      </w:r>
    </w:p>
    <w:tbl>
      <w:tblPr>
        <w:tblStyle w:val="3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88"/>
        <w:gridCol w:w="1910"/>
        <w:gridCol w:w="2067"/>
        <w:gridCol w:w="2379"/>
      </w:tblGrid>
      <w:tr w14:paraId="4A86D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atLeast"/>
        </w:trPr>
        <w:tc>
          <w:tcPr>
            <w:tcW w:w="1599" w:type="pct"/>
          </w:tcPr>
          <w:p w14:paraId="6AB97586">
            <w:pPr>
              <w:wordWrap w:val="0"/>
              <w:spacing w:line="380" w:lineRule="exact"/>
              <w:ind w:left="25"/>
              <w:rPr>
                <w:rFonts w:ascii="宋体" w:hAnsi="宋体"/>
                <w:kern w:val="2"/>
                <w:szCs w:val="20"/>
              </w:rPr>
            </w:pPr>
            <w:bookmarkStart w:id="335" w:name="OLE_LINK102"/>
            <w:r>
              <w:rPr>
                <w:rFonts w:ascii="宋体" w:hAnsi="宋体"/>
                <w:kern w:val="2"/>
                <w:szCs w:val="20"/>
              </w:rPr>
              <mc:AlternateContent>
                <mc:Choice Requires="wps">
                  <w:drawing>
                    <wp:anchor distT="0" distB="0" distL="114300" distR="114300" simplePos="0" relativeHeight="251662336" behindDoc="0" locked="0" layoutInCell="1" allowOverlap="1">
                      <wp:simplePos x="0" y="0"/>
                      <wp:positionH relativeFrom="column">
                        <wp:posOffset>-61595</wp:posOffset>
                      </wp:positionH>
                      <wp:positionV relativeFrom="paragraph">
                        <wp:posOffset>149860</wp:posOffset>
                      </wp:positionV>
                      <wp:extent cx="1550670" cy="540385"/>
                      <wp:effectExtent l="1270" t="4445" r="10160" b="7620"/>
                      <wp:wrapNone/>
                      <wp:docPr id="3" name="直线 16"/>
                      <wp:cNvGraphicFramePr/>
                      <a:graphic xmlns:a="http://schemas.openxmlformats.org/drawingml/2006/main">
                        <a:graphicData uri="http://schemas.microsoft.com/office/word/2010/wordprocessingShape">
                          <wps:wsp>
                            <wps:cNvCnPr/>
                            <wps:spPr>
                              <a:xfrm>
                                <a:off x="0" y="0"/>
                                <a:ext cx="1550670" cy="54038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6" o:spid="_x0000_s1026" o:spt="20" style="position:absolute;left:0pt;margin-left:-4.85pt;margin-top:11.8pt;height:42.55pt;width:122.1pt;z-index:251662336;mso-width-relative:page;mso-height-relative:page;" filled="f" stroked="t" coordsize="21600,21600" o:gfxdata="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kpllGtgAAAAJAQAADwAAAAAAAAABACAAAAAiAAAAZHJzL2Rvd25yZXYueG1sUEsBAhQAFAAAAAgA&#10;h07iQEhjO0bsAQAA4QMAAA4AAAAAAAAAAQAgAAAAJwEAAGRycy9lMm9Eb2MueG1sUEsFBgAAAAAG&#10;AAYAWQEAAIUFAAAAAA==&#10;">
                      <v:fill on="f" focussize="0,0"/>
                      <v:stroke color="#000000" joinstyle="round"/>
                      <v:imagedata o:title=""/>
                      <o:lock v:ext="edit" aspectratio="f"/>
                    </v:line>
                  </w:pict>
                </mc:Fallback>
              </mc:AlternateContent>
            </w:r>
            <w:r>
              <w:rPr>
                <w:rFonts w:ascii="宋体" w:hAnsi="宋体"/>
                <w:kern w:val="2"/>
                <w:szCs w:val="20"/>
              </w:rPr>
              <mc:AlternateContent>
                <mc:Choice Requires="wps">
                  <w:drawing>
                    <wp:anchor distT="0" distB="0" distL="114300" distR="114300" simplePos="0" relativeHeight="251661312" behindDoc="0" locked="0" layoutInCell="1" allowOverlap="1">
                      <wp:simplePos x="0" y="0"/>
                      <wp:positionH relativeFrom="column">
                        <wp:posOffset>-61595</wp:posOffset>
                      </wp:positionH>
                      <wp:positionV relativeFrom="paragraph">
                        <wp:posOffset>10795</wp:posOffset>
                      </wp:positionV>
                      <wp:extent cx="1757045" cy="480695"/>
                      <wp:effectExtent l="1270" t="4445" r="13335" b="10160"/>
                      <wp:wrapNone/>
                      <wp:docPr id="2" name="直线 15"/>
                      <wp:cNvGraphicFramePr/>
                      <a:graphic xmlns:a="http://schemas.openxmlformats.org/drawingml/2006/main">
                        <a:graphicData uri="http://schemas.microsoft.com/office/word/2010/wordprocessingShape">
                          <wps:wsp>
                            <wps:cNvCnPr/>
                            <wps:spPr>
                              <a:xfrm>
                                <a:off x="0" y="0"/>
                                <a:ext cx="1757045" cy="48069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5" o:spid="_x0000_s1026" o:spt="20" style="position:absolute;left:0pt;margin-left:-4.85pt;margin-top:0.85pt;height:37.85pt;width:138.35pt;z-index:251661312;mso-width-relative:page;mso-height-relative:page;" filled="f" stroked="t" coordsize="21600,21600" o:gfxdata="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BIdI6jWAAAABwEAAA8AAAAAAAAAAQAgAAAAIgAAAGRycy9kb3ducmV2LnhtbFBLAQIUABQAAAAI&#10;AIdO4kAKAOA+7wEAAOEDAAAOAAAAAAAAAAEAIAAAACUBAABkcnMvZTJvRG9jLnhtbFBLBQYAAAAA&#10;BgAGAFkBAACGBQAAAAA=&#10;">
                      <v:fill on="f" focussize="0,0"/>
                      <v:stroke color="#000000" joinstyle="round"/>
                      <v:imagedata o:title=""/>
                      <o:lock v:ext="edit" aspectratio="f"/>
                    </v:line>
                  </w:pict>
                </mc:Fallback>
              </mc:AlternateContent>
            </w:r>
            <w:r>
              <w:rPr>
                <w:rFonts w:hint="eastAsia" w:ascii="宋体" w:hAnsi="宋体"/>
                <w:kern w:val="2"/>
                <w:szCs w:val="20"/>
              </w:rPr>
              <w:t>费率           服务类型</w:t>
            </w:r>
          </w:p>
          <w:p w14:paraId="5B756D2D">
            <w:pPr>
              <w:wordWrap w:val="0"/>
              <w:spacing w:line="380" w:lineRule="exact"/>
              <w:ind w:left="25"/>
              <w:rPr>
                <w:rFonts w:ascii="宋体" w:hAnsi="宋体"/>
                <w:kern w:val="2"/>
                <w:szCs w:val="20"/>
              </w:rPr>
            </w:pPr>
          </w:p>
          <w:p w14:paraId="34C5820D">
            <w:pPr>
              <w:wordWrap w:val="0"/>
              <w:spacing w:line="380" w:lineRule="exact"/>
              <w:ind w:left="25"/>
              <w:rPr>
                <w:rFonts w:ascii="宋体" w:hAnsi="宋体"/>
                <w:kern w:val="2"/>
                <w:szCs w:val="20"/>
              </w:rPr>
            </w:pPr>
            <w:r>
              <w:rPr>
                <w:rFonts w:hint="eastAsia" w:ascii="宋体" w:hAnsi="宋体"/>
                <w:kern w:val="2"/>
                <w:szCs w:val="20"/>
              </w:rPr>
              <w:t>中标金额（万元）</w:t>
            </w:r>
          </w:p>
        </w:tc>
        <w:tc>
          <w:tcPr>
            <w:tcW w:w="1022" w:type="pct"/>
            <w:vAlign w:val="center"/>
          </w:tcPr>
          <w:p w14:paraId="7F9B938A">
            <w:pPr>
              <w:wordWrap w:val="0"/>
              <w:spacing w:line="380" w:lineRule="exact"/>
              <w:ind w:left="25"/>
              <w:jc w:val="center"/>
              <w:rPr>
                <w:rFonts w:ascii="宋体" w:hAnsi="宋体"/>
                <w:kern w:val="2"/>
                <w:szCs w:val="20"/>
              </w:rPr>
            </w:pPr>
            <w:r>
              <w:rPr>
                <w:rFonts w:hint="eastAsia" w:ascii="宋体" w:hAnsi="宋体"/>
                <w:kern w:val="2"/>
                <w:szCs w:val="20"/>
              </w:rPr>
              <w:t>货物招标</w:t>
            </w:r>
          </w:p>
        </w:tc>
        <w:tc>
          <w:tcPr>
            <w:tcW w:w="1106" w:type="pct"/>
            <w:vAlign w:val="center"/>
          </w:tcPr>
          <w:p w14:paraId="76B0BA9E">
            <w:pPr>
              <w:wordWrap w:val="0"/>
              <w:spacing w:line="380" w:lineRule="exact"/>
              <w:ind w:left="25"/>
              <w:jc w:val="center"/>
              <w:rPr>
                <w:rFonts w:ascii="宋体" w:hAnsi="宋体"/>
                <w:kern w:val="2"/>
                <w:szCs w:val="20"/>
              </w:rPr>
            </w:pPr>
            <w:r>
              <w:rPr>
                <w:rFonts w:hint="eastAsia" w:ascii="宋体" w:hAnsi="宋体"/>
                <w:kern w:val="2"/>
                <w:szCs w:val="20"/>
              </w:rPr>
              <w:t>服务招标</w:t>
            </w:r>
          </w:p>
        </w:tc>
        <w:tc>
          <w:tcPr>
            <w:tcW w:w="1273" w:type="pct"/>
            <w:vAlign w:val="center"/>
          </w:tcPr>
          <w:p w14:paraId="5A733F94">
            <w:pPr>
              <w:wordWrap w:val="0"/>
              <w:spacing w:line="380" w:lineRule="exact"/>
              <w:ind w:left="25"/>
              <w:jc w:val="center"/>
              <w:rPr>
                <w:rFonts w:ascii="宋体" w:hAnsi="宋体"/>
                <w:kern w:val="2"/>
                <w:szCs w:val="20"/>
              </w:rPr>
            </w:pPr>
            <w:r>
              <w:rPr>
                <w:rFonts w:hint="eastAsia" w:ascii="宋体" w:hAnsi="宋体"/>
                <w:kern w:val="2"/>
                <w:szCs w:val="20"/>
              </w:rPr>
              <w:t>工程招标</w:t>
            </w:r>
          </w:p>
        </w:tc>
      </w:tr>
      <w:tr w14:paraId="78B99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1599" w:type="pct"/>
          </w:tcPr>
          <w:p w14:paraId="75AF73D6">
            <w:pPr>
              <w:wordWrap w:val="0"/>
              <w:spacing w:line="380" w:lineRule="exact"/>
              <w:ind w:left="25"/>
              <w:rPr>
                <w:rFonts w:ascii="宋体" w:hAnsi="宋体"/>
                <w:kern w:val="2"/>
                <w:szCs w:val="20"/>
              </w:rPr>
            </w:pPr>
            <w:r>
              <w:rPr>
                <w:rFonts w:hint="eastAsia" w:ascii="宋体" w:hAnsi="宋体"/>
                <w:kern w:val="2"/>
                <w:szCs w:val="20"/>
              </w:rPr>
              <w:t>100以下</w:t>
            </w:r>
          </w:p>
        </w:tc>
        <w:tc>
          <w:tcPr>
            <w:tcW w:w="1022" w:type="pct"/>
          </w:tcPr>
          <w:p w14:paraId="7F92692A">
            <w:pPr>
              <w:wordWrap w:val="0"/>
              <w:spacing w:line="380" w:lineRule="exact"/>
              <w:ind w:left="25"/>
              <w:jc w:val="center"/>
              <w:rPr>
                <w:rFonts w:ascii="宋体" w:hAnsi="宋体"/>
                <w:kern w:val="2"/>
                <w:szCs w:val="20"/>
              </w:rPr>
            </w:pPr>
            <w:r>
              <w:rPr>
                <w:rFonts w:hint="eastAsia" w:ascii="宋体" w:hAnsi="宋体"/>
                <w:kern w:val="2"/>
                <w:szCs w:val="20"/>
              </w:rPr>
              <w:t>1.5%</w:t>
            </w:r>
          </w:p>
        </w:tc>
        <w:tc>
          <w:tcPr>
            <w:tcW w:w="1106" w:type="pct"/>
          </w:tcPr>
          <w:p w14:paraId="79022199">
            <w:pPr>
              <w:wordWrap w:val="0"/>
              <w:spacing w:line="380" w:lineRule="exact"/>
              <w:ind w:left="25"/>
              <w:jc w:val="center"/>
              <w:rPr>
                <w:rFonts w:ascii="宋体" w:hAnsi="宋体"/>
                <w:kern w:val="2"/>
                <w:szCs w:val="20"/>
              </w:rPr>
            </w:pPr>
            <w:r>
              <w:rPr>
                <w:rFonts w:hint="eastAsia" w:ascii="宋体" w:hAnsi="宋体"/>
                <w:kern w:val="2"/>
                <w:szCs w:val="20"/>
              </w:rPr>
              <w:t>1.5%</w:t>
            </w:r>
          </w:p>
        </w:tc>
        <w:tc>
          <w:tcPr>
            <w:tcW w:w="1273" w:type="pct"/>
          </w:tcPr>
          <w:p w14:paraId="42968B49">
            <w:pPr>
              <w:wordWrap w:val="0"/>
              <w:spacing w:line="380" w:lineRule="exact"/>
              <w:ind w:left="25"/>
              <w:jc w:val="center"/>
              <w:rPr>
                <w:rFonts w:ascii="宋体" w:hAnsi="宋体"/>
                <w:kern w:val="2"/>
                <w:szCs w:val="20"/>
              </w:rPr>
            </w:pPr>
            <w:r>
              <w:rPr>
                <w:rFonts w:hint="eastAsia" w:ascii="宋体" w:hAnsi="宋体"/>
                <w:kern w:val="2"/>
                <w:szCs w:val="20"/>
              </w:rPr>
              <w:t>1.0%</w:t>
            </w:r>
          </w:p>
        </w:tc>
      </w:tr>
      <w:tr w14:paraId="3D9E3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 w:hRule="atLeast"/>
        </w:trPr>
        <w:tc>
          <w:tcPr>
            <w:tcW w:w="1599" w:type="pct"/>
          </w:tcPr>
          <w:p w14:paraId="7964C9D2">
            <w:pPr>
              <w:wordWrap w:val="0"/>
              <w:spacing w:line="380" w:lineRule="exact"/>
              <w:ind w:left="25"/>
              <w:rPr>
                <w:rFonts w:ascii="宋体" w:hAnsi="宋体"/>
                <w:kern w:val="2"/>
                <w:szCs w:val="20"/>
              </w:rPr>
            </w:pPr>
            <w:r>
              <w:rPr>
                <w:rFonts w:hint="eastAsia" w:ascii="宋体" w:hAnsi="宋体"/>
                <w:kern w:val="2"/>
                <w:szCs w:val="20"/>
              </w:rPr>
              <w:t>100-500</w:t>
            </w:r>
          </w:p>
        </w:tc>
        <w:tc>
          <w:tcPr>
            <w:tcW w:w="1022" w:type="pct"/>
          </w:tcPr>
          <w:p w14:paraId="1B671316">
            <w:pPr>
              <w:wordWrap w:val="0"/>
              <w:spacing w:line="380" w:lineRule="exact"/>
              <w:ind w:left="25"/>
              <w:jc w:val="center"/>
              <w:rPr>
                <w:rFonts w:ascii="宋体" w:hAnsi="宋体"/>
                <w:kern w:val="2"/>
                <w:szCs w:val="20"/>
              </w:rPr>
            </w:pPr>
            <w:r>
              <w:rPr>
                <w:rFonts w:hint="eastAsia" w:ascii="宋体" w:hAnsi="宋体"/>
                <w:kern w:val="2"/>
                <w:szCs w:val="20"/>
              </w:rPr>
              <w:t>1.1%</w:t>
            </w:r>
          </w:p>
        </w:tc>
        <w:tc>
          <w:tcPr>
            <w:tcW w:w="1106" w:type="pct"/>
          </w:tcPr>
          <w:p w14:paraId="1C31C997">
            <w:pPr>
              <w:wordWrap w:val="0"/>
              <w:spacing w:line="380" w:lineRule="exact"/>
              <w:ind w:left="25"/>
              <w:jc w:val="center"/>
              <w:rPr>
                <w:rFonts w:ascii="宋体" w:hAnsi="宋体"/>
                <w:kern w:val="2"/>
                <w:szCs w:val="20"/>
              </w:rPr>
            </w:pPr>
            <w:r>
              <w:rPr>
                <w:rFonts w:hint="eastAsia" w:ascii="宋体" w:hAnsi="宋体"/>
                <w:kern w:val="2"/>
                <w:szCs w:val="20"/>
              </w:rPr>
              <w:t>0.8%</w:t>
            </w:r>
          </w:p>
        </w:tc>
        <w:tc>
          <w:tcPr>
            <w:tcW w:w="1273" w:type="pct"/>
          </w:tcPr>
          <w:p w14:paraId="147F0BB7">
            <w:pPr>
              <w:wordWrap w:val="0"/>
              <w:spacing w:line="380" w:lineRule="exact"/>
              <w:ind w:left="25"/>
              <w:jc w:val="center"/>
              <w:rPr>
                <w:rFonts w:ascii="宋体" w:hAnsi="宋体"/>
                <w:kern w:val="2"/>
                <w:szCs w:val="20"/>
              </w:rPr>
            </w:pPr>
            <w:r>
              <w:rPr>
                <w:rFonts w:hint="eastAsia" w:ascii="宋体" w:hAnsi="宋体"/>
                <w:kern w:val="2"/>
                <w:szCs w:val="20"/>
              </w:rPr>
              <w:t>0.7%</w:t>
            </w:r>
          </w:p>
        </w:tc>
      </w:tr>
      <w:tr w14:paraId="76371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1599" w:type="pct"/>
          </w:tcPr>
          <w:p w14:paraId="6ED064CC">
            <w:pPr>
              <w:wordWrap w:val="0"/>
              <w:spacing w:line="380" w:lineRule="exact"/>
              <w:ind w:left="25"/>
              <w:rPr>
                <w:rFonts w:ascii="宋体" w:hAnsi="宋体"/>
                <w:kern w:val="2"/>
                <w:szCs w:val="20"/>
              </w:rPr>
            </w:pPr>
            <w:r>
              <w:rPr>
                <w:rFonts w:hint="eastAsia" w:ascii="宋体" w:hAnsi="宋体"/>
                <w:kern w:val="2"/>
                <w:szCs w:val="20"/>
              </w:rPr>
              <w:t>500-1000</w:t>
            </w:r>
          </w:p>
        </w:tc>
        <w:tc>
          <w:tcPr>
            <w:tcW w:w="1022" w:type="pct"/>
          </w:tcPr>
          <w:p w14:paraId="1FF0E505">
            <w:pPr>
              <w:wordWrap w:val="0"/>
              <w:spacing w:line="380" w:lineRule="exact"/>
              <w:ind w:left="25"/>
              <w:jc w:val="center"/>
              <w:rPr>
                <w:rFonts w:ascii="宋体" w:hAnsi="宋体"/>
                <w:kern w:val="2"/>
                <w:szCs w:val="20"/>
              </w:rPr>
            </w:pPr>
            <w:r>
              <w:rPr>
                <w:rFonts w:hint="eastAsia" w:ascii="宋体" w:hAnsi="宋体"/>
                <w:kern w:val="2"/>
                <w:szCs w:val="20"/>
              </w:rPr>
              <w:t>0.8%</w:t>
            </w:r>
          </w:p>
        </w:tc>
        <w:tc>
          <w:tcPr>
            <w:tcW w:w="1106" w:type="pct"/>
          </w:tcPr>
          <w:p w14:paraId="41EC4EF6">
            <w:pPr>
              <w:wordWrap w:val="0"/>
              <w:spacing w:line="380" w:lineRule="exact"/>
              <w:ind w:left="25"/>
              <w:jc w:val="center"/>
              <w:rPr>
                <w:rFonts w:ascii="宋体" w:hAnsi="宋体"/>
                <w:kern w:val="2"/>
                <w:szCs w:val="20"/>
              </w:rPr>
            </w:pPr>
            <w:r>
              <w:rPr>
                <w:rFonts w:hint="eastAsia" w:ascii="宋体" w:hAnsi="宋体"/>
                <w:kern w:val="2"/>
                <w:szCs w:val="20"/>
              </w:rPr>
              <w:t>0.45%</w:t>
            </w:r>
          </w:p>
        </w:tc>
        <w:tc>
          <w:tcPr>
            <w:tcW w:w="1273" w:type="pct"/>
          </w:tcPr>
          <w:p w14:paraId="55F93508">
            <w:pPr>
              <w:wordWrap w:val="0"/>
              <w:spacing w:line="380" w:lineRule="exact"/>
              <w:ind w:left="25"/>
              <w:jc w:val="center"/>
              <w:rPr>
                <w:rFonts w:ascii="宋体" w:hAnsi="宋体"/>
                <w:kern w:val="2"/>
                <w:szCs w:val="20"/>
              </w:rPr>
            </w:pPr>
            <w:r>
              <w:rPr>
                <w:rFonts w:hint="eastAsia" w:ascii="宋体" w:hAnsi="宋体"/>
                <w:kern w:val="2"/>
                <w:szCs w:val="20"/>
              </w:rPr>
              <w:t>0.55%</w:t>
            </w:r>
          </w:p>
        </w:tc>
      </w:tr>
      <w:tr w14:paraId="11E99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1599" w:type="pct"/>
            <w:vAlign w:val="bottom"/>
          </w:tcPr>
          <w:p w14:paraId="4F489B54">
            <w:pPr>
              <w:wordWrap w:val="0"/>
              <w:spacing w:line="380" w:lineRule="exact"/>
              <w:ind w:left="25"/>
              <w:rPr>
                <w:rFonts w:ascii="宋体" w:hAnsi="宋体"/>
                <w:kern w:val="2"/>
                <w:szCs w:val="20"/>
              </w:rPr>
            </w:pPr>
            <w:r>
              <w:rPr>
                <w:rFonts w:hint="eastAsia" w:ascii="宋体" w:hAnsi="宋体"/>
                <w:kern w:val="2"/>
                <w:szCs w:val="20"/>
              </w:rPr>
              <w:t>1000-5000</w:t>
            </w:r>
          </w:p>
        </w:tc>
        <w:tc>
          <w:tcPr>
            <w:tcW w:w="1022" w:type="pct"/>
            <w:vAlign w:val="bottom"/>
          </w:tcPr>
          <w:p w14:paraId="4A060048">
            <w:pPr>
              <w:wordWrap w:val="0"/>
              <w:spacing w:line="380" w:lineRule="exact"/>
              <w:ind w:left="25"/>
              <w:jc w:val="center"/>
              <w:rPr>
                <w:rFonts w:ascii="宋体" w:hAnsi="宋体"/>
                <w:kern w:val="2"/>
                <w:szCs w:val="20"/>
              </w:rPr>
            </w:pPr>
            <w:r>
              <w:rPr>
                <w:rFonts w:hint="eastAsia" w:ascii="宋体" w:hAnsi="宋体"/>
                <w:kern w:val="2"/>
                <w:szCs w:val="20"/>
              </w:rPr>
              <w:t>0.50%</w:t>
            </w:r>
          </w:p>
        </w:tc>
        <w:tc>
          <w:tcPr>
            <w:tcW w:w="1106" w:type="pct"/>
            <w:vAlign w:val="bottom"/>
          </w:tcPr>
          <w:p w14:paraId="7AE7105A">
            <w:pPr>
              <w:wordWrap w:val="0"/>
              <w:spacing w:line="380" w:lineRule="exact"/>
              <w:ind w:left="25"/>
              <w:jc w:val="center"/>
              <w:rPr>
                <w:rFonts w:ascii="宋体" w:hAnsi="宋体"/>
                <w:kern w:val="2"/>
                <w:szCs w:val="20"/>
              </w:rPr>
            </w:pPr>
            <w:r>
              <w:rPr>
                <w:rFonts w:hint="eastAsia" w:ascii="宋体" w:hAnsi="宋体"/>
                <w:kern w:val="2"/>
                <w:szCs w:val="20"/>
              </w:rPr>
              <w:t>0.25%</w:t>
            </w:r>
          </w:p>
        </w:tc>
        <w:tc>
          <w:tcPr>
            <w:tcW w:w="1273" w:type="pct"/>
            <w:vAlign w:val="bottom"/>
          </w:tcPr>
          <w:p w14:paraId="2DAC309E">
            <w:pPr>
              <w:wordWrap w:val="0"/>
              <w:spacing w:line="380" w:lineRule="exact"/>
              <w:ind w:left="25"/>
              <w:jc w:val="center"/>
              <w:rPr>
                <w:rFonts w:ascii="宋体" w:hAnsi="宋体"/>
                <w:kern w:val="2"/>
                <w:szCs w:val="20"/>
              </w:rPr>
            </w:pPr>
            <w:r>
              <w:rPr>
                <w:rFonts w:hint="eastAsia" w:ascii="宋体" w:hAnsi="宋体"/>
                <w:kern w:val="2"/>
                <w:szCs w:val="20"/>
              </w:rPr>
              <w:t>0.35%</w:t>
            </w:r>
          </w:p>
        </w:tc>
      </w:tr>
      <w:tr w14:paraId="207D8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1599" w:type="pct"/>
            <w:vAlign w:val="bottom"/>
          </w:tcPr>
          <w:p w14:paraId="0B533047">
            <w:pPr>
              <w:wordWrap w:val="0"/>
              <w:spacing w:line="380" w:lineRule="exact"/>
              <w:ind w:left="25"/>
              <w:rPr>
                <w:rFonts w:ascii="宋体" w:hAnsi="宋体"/>
                <w:kern w:val="2"/>
                <w:szCs w:val="20"/>
              </w:rPr>
            </w:pPr>
            <w:r>
              <w:rPr>
                <w:rFonts w:hint="eastAsia" w:ascii="宋体" w:hAnsi="宋体"/>
                <w:kern w:val="2"/>
                <w:szCs w:val="20"/>
              </w:rPr>
              <w:t>5000-10000</w:t>
            </w:r>
          </w:p>
        </w:tc>
        <w:tc>
          <w:tcPr>
            <w:tcW w:w="1022" w:type="pct"/>
            <w:vAlign w:val="bottom"/>
          </w:tcPr>
          <w:p w14:paraId="578E8417">
            <w:pPr>
              <w:wordWrap w:val="0"/>
              <w:spacing w:line="380" w:lineRule="exact"/>
              <w:ind w:left="25"/>
              <w:jc w:val="center"/>
              <w:rPr>
                <w:rFonts w:ascii="宋体" w:hAnsi="宋体"/>
                <w:kern w:val="2"/>
                <w:szCs w:val="20"/>
              </w:rPr>
            </w:pPr>
            <w:r>
              <w:rPr>
                <w:rFonts w:hint="eastAsia" w:ascii="宋体" w:hAnsi="宋体"/>
                <w:kern w:val="2"/>
                <w:szCs w:val="20"/>
              </w:rPr>
              <w:t>0.25%</w:t>
            </w:r>
          </w:p>
        </w:tc>
        <w:tc>
          <w:tcPr>
            <w:tcW w:w="1106" w:type="pct"/>
            <w:vAlign w:val="bottom"/>
          </w:tcPr>
          <w:p w14:paraId="1D9A666C">
            <w:pPr>
              <w:wordWrap w:val="0"/>
              <w:spacing w:line="380" w:lineRule="exact"/>
              <w:ind w:left="25"/>
              <w:jc w:val="center"/>
              <w:rPr>
                <w:rFonts w:ascii="宋体" w:hAnsi="宋体"/>
                <w:kern w:val="2"/>
                <w:szCs w:val="20"/>
              </w:rPr>
            </w:pPr>
            <w:r>
              <w:rPr>
                <w:rFonts w:hint="eastAsia" w:ascii="宋体" w:hAnsi="宋体"/>
                <w:kern w:val="2"/>
                <w:szCs w:val="20"/>
              </w:rPr>
              <w:t>0.10%</w:t>
            </w:r>
          </w:p>
        </w:tc>
        <w:tc>
          <w:tcPr>
            <w:tcW w:w="1273" w:type="pct"/>
            <w:vAlign w:val="bottom"/>
          </w:tcPr>
          <w:p w14:paraId="663B918A">
            <w:pPr>
              <w:wordWrap w:val="0"/>
              <w:spacing w:line="380" w:lineRule="exact"/>
              <w:ind w:left="25"/>
              <w:jc w:val="center"/>
              <w:rPr>
                <w:rFonts w:ascii="宋体" w:hAnsi="宋体"/>
                <w:kern w:val="2"/>
                <w:szCs w:val="20"/>
              </w:rPr>
            </w:pPr>
            <w:r>
              <w:rPr>
                <w:rFonts w:hint="eastAsia" w:ascii="宋体" w:hAnsi="宋体"/>
                <w:kern w:val="2"/>
                <w:szCs w:val="20"/>
              </w:rPr>
              <w:t>0.20%</w:t>
            </w:r>
          </w:p>
        </w:tc>
      </w:tr>
    </w:tbl>
    <w:p w14:paraId="2C07E09F">
      <w:pPr>
        <w:spacing w:line="276" w:lineRule="auto"/>
        <w:ind w:left="2" w:hanging="2"/>
        <w:jc w:val="left"/>
        <w:rPr>
          <w:rFonts w:ascii="宋体" w:hAnsi="宋体" w:cs="宋体"/>
          <w:sz w:val="18"/>
          <w:szCs w:val="18"/>
        </w:rPr>
      </w:pPr>
      <w:r>
        <w:rPr>
          <w:rFonts w:ascii="宋体" w:hAnsi="宋体" w:cs="宋体"/>
          <w:sz w:val="18"/>
          <w:szCs w:val="18"/>
        </w:rPr>
        <w:t>注：</w:t>
      </w:r>
      <w:r>
        <w:rPr>
          <w:rFonts w:hint="eastAsia" w:ascii="宋体" w:hAnsi="宋体" w:cs="宋体"/>
          <w:sz w:val="18"/>
          <w:szCs w:val="18"/>
        </w:rPr>
        <w:t>采购代理服务收费按差额定率累进法计算。</w:t>
      </w:r>
    </w:p>
    <w:bookmarkEnd w:id="335"/>
    <w:p w14:paraId="5996FC87">
      <w:pPr>
        <w:spacing w:line="360" w:lineRule="exact"/>
        <w:ind w:firstLine="413" w:firstLineChars="196"/>
        <w:rPr>
          <w:rFonts w:ascii="宋体" w:hAnsi="宋体"/>
          <w:kern w:val="2"/>
          <w:szCs w:val="21"/>
        </w:rPr>
      </w:pPr>
      <w:r>
        <w:rPr>
          <w:rFonts w:hint="eastAsia" w:ascii="宋体" w:hAnsi="宋体" w:cs="宋体"/>
          <w:b/>
          <w:kern w:val="2"/>
          <w:szCs w:val="21"/>
        </w:rPr>
        <w:t>代理服务费的缴纳账户：</w:t>
      </w:r>
    </w:p>
    <w:p w14:paraId="1830A260">
      <w:pPr>
        <w:spacing w:line="340" w:lineRule="exact"/>
        <w:ind w:firstLine="420" w:firstLineChars="200"/>
        <w:rPr>
          <w:rFonts w:hint="eastAsia" w:ascii="宋体" w:hAnsi="宋体" w:eastAsia="宋体"/>
          <w:kern w:val="2"/>
          <w:szCs w:val="21"/>
          <w:lang w:eastAsia="zh-CN"/>
        </w:rPr>
      </w:pPr>
      <w:r>
        <w:rPr>
          <w:rFonts w:hint="eastAsia" w:ascii="宋体" w:hAnsi="宋体"/>
          <w:kern w:val="2"/>
          <w:szCs w:val="21"/>
        </w:rPr>
        <w:t>账户名称：</w:t>
      </w:r>
      <w:r>
        <w:rPr>
          <w:rFonts w:hint="eastAsia" w:ascii="宋体" w:hAnsi="宋体" w:eastAsia="宋体" w:cs="宋体"/>
          <w:color w:val="auto"/>
          <w:szCs w:val="21"/>
          <w:highlight w:val="none"/>
          <w:lang w:eastAsia="zh-CN"/>
        </w:rPr>
        <w:t>广西北部湾宏亚建设管理有限公司</w:t>
      </w:r>
      <w:r>
        <w:rPr>
          <w:rFonts w:hint="eastAsia" w:ascii="宋体" w:hAnsi="宋体" w:eastAsia="宋体" w:cs="宋体"/>
          <w:color w:val="auto"/>
          <w:szCs w:val="21"/>
          <w:highlight w:val="none"/>
        </w:rPr>
        <w:t>桂林分公司</w:t>
      </w:r>
    </w:p>
    <w:p w14:paraId="4F27DB49">
      <w:pPr>
        <w:spacing w:line="340" w:lineRule="exact"/>
        <w:ind w:firstLine="420" w:firstLineChars="200"/>
        <w:rPr>
          <w:rFonts w:ascii="宋体" w:hAnsi="宋体"/>
          <w:kern w:val="2"/>
          <w:szCs w:val="21"/>
        </w:rPr>
      </w:pPr>
      <w:r>
        <w:rPr>
          <w:rFonts w:hint="eastAsia" w:ascii="宋体" w:hAnsi="宋体"/>
          <w:kern w:val="2"/>
          <w:szCs w:val="21"/>
        </w:rPr>
        <w:t>开户银行：</w:t>
      </w:r>
      <w:r>
        <w:rPr>
          <w:rFonts w:hint="eastAsia" w:ascii="宋体" w:hAnsi="宋体" w:cs="宋体"/>
          <w:color w:val="auto"/>
        </w:rPr>
        <w:t>中国建设银行股份有限公司桂林经济技术开发区支行</w:t>
      </w:r>
    </w:p>
    <w:p w14:paraId="0175C08D">
      <w:pPr>
        <w:spacing w:line="400" w:lineRule="exact"/>
        <w:ind w:firstLine="413"/>
        <w:outlineLvl w:val="2"/>
        <w:rPr>
          <w:rFonts w:ascii="宋体" w:hAnsi="宋体"/>
          <w:kern w:val="2"/>
          <w:szCs w:val="21"/>
        </w:rPr>
      </w:pPr>
      <w:bookmarkStart w:id="336" w:name="_Toc239867343"/>
      <w:bookmarkStart w:id="337" w:name="_Toc240644536"/>
      <w:r>
        <w:rPr>
          <w:rFonts w:hint="eastAsia" w:ascii="宋体" w:hAnsi="宋体"/>
          <w:kern w:val="2"/>
          <w:szCs w:val="21"/>
        </w:rPr>
        <w:t>银行账号：</w:t>
      </w:r>
      <w:bookmarkEnd w:id="336"/>
      <w:bookmarkEnd w:id="337"/>
      <w:r>
        <w:rPr>
          <w:rFonts w:hint="eastAsia" w:ascii="宋体" w:hAnsi="宋体" w:cs="宋体"/>
          <w:color w:val="auto"/>
        </w:rPr>
        <w:t>4505011169250000007</w:t>
      </w:r>
      <w:r>
        <w:rPr>
          <w:rFonts w:hint="eastAsia" w:ascii="宋体" w:hAnsi="宋体" w:cs="宋体"/>
          <w:color w:val="auto"/>
          <w:lang w:val="en-US" w:eastAsia="zh-CN"/>
        </w:rPr>
        <w:t>0</w:t>
      </w:r>
    </w:p>
    <w:p w14:paraId="2D83DE97">
      <w:pPr>
        <w:spacing w:line="400" w:lineRule="exact"/>
        <w:ind w:firstLine="413"/>
        <w:outlineLvl w:val="2"/>
        <w:rPr>
          <w:rFonts w:ascii="宋体" w:hAnsi="宋体" w:cs="宋体"/>
          <w:b/>
          <w:szCs w:val="21"/>
        </w:rPr>
      </w:pPr>
      <w:bookmarkStart w:id="338" w:name="_Toc239867344"/>
      <w:bookmarkStart w:id="339" w:name="_Toc240644537"/>
      <w:r>
        <w:rPr>
          <w:rFonts w:hint="eastAsia" w:ascii="宋体" w:hAnsi="宋体" w:cs="宋体"/>
          <w:b/>
          <w:szCs w:val="21"/>
        </w:rPr>
        <w:t>37. 编制依据</w:t>
      </w:r>
      <w:bookmarkEnd w:id="332"/>
      <w:bookmarkEnd w:id="333"/>
      <w:bookmarkEnd w:id="338"/>
      <w:bookmarkEnd w:id="339"/>
    </w:p>
    <w:p w14:paraId="0FCA7D33">
      <w:pPr>
        <w:spacing w:line="400" w:lineRule="exact"/>
        <w:ind w:firstLine="420"/>
        <w:rPr>
          <w:rFonts w:ascii="宋体" w:hAnsi="宋体" w:cs="宋体"/>
        </w:rPr>
      </w:pPr>
      <w:r>
        <w:rPr>
          <w:rFonts w:hint="eastAsia" w:ascii="宋体" w:hAnsi="宋体" w:cs="宋体"/>
        </w:rPr>
        <w:t>本招标文件是根据《中华人民共和国政府采购法》《中华人民共和国政府采购法实施条例》及《政府采购货物和服务招标投标管理办法》（财政部令第87号）和政府采购管理有关规定编制。</w:t>
      </w:r>
      <w:bookmarkEnd w:id="334"/>
    </w:p>
    <w:p w14:paraId="19EB3F5B">
      <w:pPr>
        <w:spacing w:line="400" w:lineRule="exact"/>
        <w:ind w:firstLine="413"/>
        <w:outlineLvl w:val="2"/>
        <w:rPr>
          <w:rFonts w:ascii="宋体" w:hAnsi="宋体" w:cs="宋体"/>
          <w:b/>
          <w:szCs w:val="21"/>
        </w:rPr>
      </w:pPr>
      <w:bookmarkStart w:id="340" w:name="_Toc29343"/>
      <w:bookmarkStart w:id="341" w:name="_Toc240644538"/>
      <w:bookmarkStart w:id="342" w:name="_Toc239867345"/>
      <w:bookmarkStart w:id="343" w:name="_Toc11077"/>
      <w:bookmarkStart w:id="344" w:name="_Toc13645"/>
      <w:r>
        <w:rPr>
          <w:rFonts w:hint="eastAsia" w:ascii="宋体" w:hAnsi="宋体" w:cs="宋体"/>
          <w:b/>
          <w:szCs w:val="21"/>
        </w:rPr>
        <w:t>38. 监督管理机构</w:t>
      </w:r>
      <w:bookmarkEnd w:id="340"/>
      <w:bookmarkEnd w:id="341"/>
      <w:bookmarkEnd w:id="342"/>
      <w:bookmarkEnd w:id="343"/>
      <w:bookmarkEnd w:id="344"/>
    </w:p>
    <w:p w14:paraId="081CC972">
      <w:pPr>
        <w:spacing w:line="400" w:lineRule="exact"/>
        <w:ind w:firstLine="420"/>
        <w:rPr>
          <w:rFonts w:ascii="宋体" w:hAnsi="宋体" w:cs="宋体"/>
          <w:szCs w:val="21"/>
        </w:rPr>
      </w:pPr>
      <w:bookmarkStart w:id="345" w:name="_Toc12929"/>
      <w:bookmarkStart w:id="346" w:name="_Toc30701"/>
      <w:bookmarkStart w:id="347" w:name="_Toc23297"/>
      <w:bookmarkStart w:id="348" w:name="_Toc20149"/>
      <w:r>
        <w:rPr>
          <w:rFonts w:hint="eastAsia" w:ascii="宋体" w:hAnsi="宋体" w:cs="宋体"/>
          <w:szCs w:val="21"/>
          <w:lang w:eastAsia="zh-CN"/>
        </w:rPr>
        <w:t>灌阳县财政局；电话：0773-4250206</w:t>
      </w:r>
      <w:r>
        <w:rPr>
          <w:rFonts w:ascii="宋体" w:hAnsi="宋体" w:cs="宋体"/>
          <w:szCs w:val="21"/>
        </w:rPr>
        <w:br w:type="page"/>
      </w:r>
    </w:p>
    <w:p w14:paraId="5926CCF3">
      <w:pPr>
        <w:jc w:val="center"/>
        <w:outlineLvl w:val="0"/>
        <w:rPr>
          <w:rFonts w:hint="eastAsia" w:ascii="宋体" w:hAnsi="宋体" w:eastAsia="宋体" w:cs="宋体"/>
          <w:b/>
          <w:bCs/>
          <w:sz w:val="32"/>
          <w:szCs w:val="32"/>
          <w:lang w:eastAsia="zh-CN"/>
        </w:rPr>
      </w:pPr>
      <w:bookmarkStart w:id="349" w:name="_Toc240644539"/>
      <w:r>
        <w:rPr>
          <w:rFonts w:hint="eastAsia" w:ascii="宋体" w:hAnsi="宋体" w:cs="宋体"/>
          <w:b/>
          <w:bCs/>
          <w:sz w:val="32"/>
          <w:szCs w:val="32"/>
        </w:rPr>
        <w:t xml:space="preserve">第三章  </w:t>
      </w:r>
      <w:bookmarkEnd w:id="345"/>
      <w:bookmarkEnd w:id="346"/>
      <w:bookmarkEnd w:id="347"/>
      <w:bookmarkEnd w:id="349"/>
      <w:r>
        <w:rPr>
          <w:rFonts w:hint="eastAsia" w:ascii="宋体" w:hAnsi="宋体" w:cs="宋体"/>
          <w:b/>
          <w:bCs/>
          <w:sz w:val="32"/>
          <w:szCs w:val="32"/>
          <w:lang w:eastAsia="zh-CN"/>
        </w:rPr>
        <w:t>采购需求</w:t>
      </w:r>
    </w:p>
    <w:p w14:paraId="500ED805">
      <w:pPr>
        <w:jc w:val="center"/>
        <w:outlineLvl w:val="9"/>
        <w:rPr>
          <w:sz w:val="32"/>
          <w:szCs w:val="32"/>
        </w:rPr>
      </w:pPr>
      <w:bookmarkStart w:id="350" w:name="_Toc30534"/>
      <w:bookmarkStart w:id="351" w:name="_Toc17907"/>
    </w:p>
    <w:p w14:paraId="64822416">
      <w:pPr>
        <w:pStyle w:val="24"/>
        <w:tabs>
          <w:tab w:val="center" w:pos="4153"/>
          <w:tab w:val="right" w:pos="8306"/>
          <w:tab w:val="clear" w:pos="4844"/>
          <w:tab w:val="clear" w:pos="9689"/>
        </w:tabs>
      </w:pPr>
    </w:p>
    <w:tbl>
      <w:tblPr>
        <w:tblStyle w:val="35"/>
        <w:tblW w:w="9653" w:type="dxa"/>
        <w:jc w:val="center"/>
        <w:tblLayout w:type="fixed"/>
        <w:tblCellMar>
          <w:top w:w="0" w:type="dxa"/>
          <w:left w:w="108" w:type="dxa"/>
          <w:bottom w:w="0" w:type="dxa"/>
          <w:right w:w="108" w:type="dxa"/>
        </w:tblCellMar>
      </w:tblPr>
      <w:tblGrid>
        <w:gridCol w:w="496"/>
        <w:gridCol w:w="694"/>
        <w:gridCol w:w="405"/>
        <w:gridCol w:w="6950"/>
        <w:gridCol w:w="545"/>
        <w:gridCol w:w="563"/>
      </w:tblGrid>
      <w:tr w14:paraId="00644EDC">
        <w:tblPrEx>
          <w:tblCellMar>
            <w:top w:w="0" w:type="dxa"/>
            <w:left w:w="108" w:type="dxa"/>
            <w:bottom w:w="0" w:type="dxa"/>
            <w:right w:w="108" w:type="dxa"/>
          </w:tblCellMar>
        </w:tblPrEx>
        <w:trPr>
          <w:trHeight w:val="672" w:hRule="atLeast"/>
          <w:jc w:val="center"/>
        </w:trPr>
        <w:tc>
          <w:tcPr>
            <w:tcW w:w="496" w:type="dxa"/>
            <w:tcBorders>
              <w:top w:val="single" w:color="auto" w:sz="4" w:space="0"/>
              <w:left w:val="single" w:color="auto" w:sz="4" w:space="0"/>
              <w:bottom w:val="single" w:color="auto" w:sz="4" w:space="0"/>
              <w:right w:val="single" w:color="auto" w:sz="4" w:space="0"/>
            </w:tcBorders>
            <w:vAlign w:val="center"/>
          </w:tcPr>
          <w:p w14:paraId="6FAF4BE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Cs w:val="21"/>
              </w:rPr>
            </w:pPr>
            <w:r>
              <w:rPr>
                <w:rFonts w:hint="eastAsia" w:ascii="宋体" w:hAnsi="宋体" w:eastAsia="宋体" w:cs="宋体"/>
                <w:kern w:val="0"/>
                <w:szCs w:val="21"/>
              </w:rPr>
              <w:t>序号</w:t>
            </w:r>
          </w:p>
        </w:tc>
        <w:tc>
          <w:tcPr>
            <w:tcW w:w="1099" w:type="dxa"/>
            <w:gridSpan w:val="2"/>
            <w:tcBorders>
              <w:top w:val="single" w:color="auto" w:sz="4" w:space="0"/>
              <w:left w:val="nil"/>
              <w:bottom w:val="single" w:color="auto" w:sz="4" w:space="0"/>
              <w:right w:val="single" w:color="auto" w:sz="4" w:space="0"/>
            </w:tcBorders>
            <w:vAlign w:val="center"/>
          </w:tcPr>
          <w:p w14:paraId="32FF32E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Cs w:val="21"/>
              </w:rPr>
            </w:pPr>
            <w:r>
              <w:rPr>
                <w:rFonts w:hint="eastAsia" w:ascii="宋体" w:hAnsi="宋体" w:eastAsia="宋体" w:cs="宋体"/>
                <w:kern w:val="0"/>
                <w:szCs w:val="21"/>
              </w:rPr>
              <w:t>服务名称</w:t>
            </w:r>
          </w:p>
        </w:tc>
        <w:tc>
          <w:tcPr>
            <w:tcW w:w="6950" w:type="dxa"/>
            <w:tcBorders>
              <w:top w:val="single" w:color="auto" w:sz="4" w:space="0"/>
              <w:left w:val="nil"/>
              <w:bottom w:val="single" w:color="auto" w:sz="4" w:space="0"/>
              <w:right w:val="single" w:color="auto" w:sz="4" w:space="0"/>
            </w:tcBorders>
            <w:vAlign w:val="center"/>
          </w:tcPr>
          <w:p w14:paraId="034FE5D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Cs w:val="21"/>
              </w:rPr>
            </w:pPr>
            <w:r>
              <w:rPr>
                <w:rFonts w:hint="eastAsia" w:ascii="宋体" w:hAnsi="宋体" w:eastAsia="宋体" w:cs="宋体"/>
                <w:kern w:val="0"/>
                <w:szCs w:val="21"/>
              </w:rPr>
              <w:t>配套服务相关性能参数</w:t>
            </w:r>
          </w:p>
        </w:tc>
        <w:tc>
          <w:tcPr>
            <w:tcW w:w="545" w:type="dxa"/>
            <w:tcBorders>
              <w:top w:val="single" w:color="auto" w:sz="4" w:space="0"/>
              <w:left w:val="nil"/>
              <w:bottom w:val="single" w:color="auto" w:sz="4" w:space="0"/>
              <w:right w:val="single" w:color="auto" w:sz="4" w:space="0"/>
            </w:tcBorders>
            <w:vAlign w:val="center"/>
          </w:tcPr>
          <w:p w14:paraId="2B31258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Cs w:val="21"/>
              </w:rPr>
            </w:pPr>
            <w:r>
              <w:rPr>
                <w:rFonts w:hint="eastAsia" w:ascii="宋体" w:hAnsi="宋体" w:eastAsia="宋体" w:cs="宋体"/>
                <w:kern w:val="0"/>
                <w:szCs w:val="21"/>
              </w:rPr>
              <w:t>单位</w:t>
            </w:r>
          </w:p>
        </w:tc>
        <w:tc>
          <w:tcPr>
            <w:tcW w:w="563" w:type="dxa"/>
            <w:tcBorders>
              <w:top w:val="single" w:color="auto" w:sz="4" w:space="0"/>
              <w:left w:val="nil"/>
              <w:bottom w:val="single" w:color="auto" w:sz="4" w:space="0"/>
              <w:right w:val="single" w:color="auto" w:sz="4" w:space="0"/>
            </w:tcBorders>
            <w:vAlign w:val="center"/>
          </w:tcPr>
          <w:p w14:paraId="1778626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Cs w:val="21"/>
              </w:rPr>
            </w:pPr>
            <w:r>
              <w:rPr>
                <w:rFonts w:hint="eastAsia" w:ascii="宋体" w:hAnsi="宋体" w:eastAsia="宋体" w:cs="宋体"/>
                <w:kern w:val="0"/>
                <w:szCs w:val="21"/>
              </w:rPr>
              <w:t>数量</w:t>
            </w:r>
          </w:p>
        </w:tc>
      </w:tr>
      <w:tr w14:paraId="207FED81">
        <w:tblPrEx>
          <w:tblCellMar>
            <w:top w:w="0" w:type="dxa"/>
            <w:left w:w="108" w:type="dxa"/>
            <w:bottom w:w="0" w:type="dxa"/>
            <w:right w:w="108" w:type="dxa"/>
          </w:tblCellMar>
        </w:tblPrEx>
        <w:trPr>
          <w:jc w:val="center"/>
        </w:trPr>
        <w:tc>
          <w:tcPr>
            <w:tcW w:w="496" w:type="dxa"/>
            <w:tcBorders>
              <w:top w:val="single" w:color="auto" w:sz="4" w:space="0"/>
              <w:left w:val="single" w:color="auto" w:sz="4" w:space="0"/>
              <w:bottom w:val="single" w:color="auto" w:sz="4" w:space="0"/>
              <w:right w:val="single" w:color="auto" w:sz="4" w:space="0"/>
            </w:tcBorders>
            <w:vAlign w:val="center"/>
          </w:tcPr>
          <w:p w14:paraId="2331F2F0">
            <w:pPr>
              <w:widowControl/>
              <w:spacing w:line="360" w:lineRule="auto"/>
              <w:jc w:val="center"/>
              <w:rPr>
                <w:rFonts w:hint="eastAsia" w:ascii="宋体" w:hAnsi="宋体" w:cs="宋体"/>
                <w:kern w:val="0"/>
                <w:szCs w:val="21"/>
              </w:rPr>
            </w:pPr>
            <w:r>
              <w:rPr>
                <w:rFonts w:hint="eastAsia" w:ascii="宋体" w:hAnsi="宋体" w:cs="宋体"/>
                <w:kern w:val="0"/>
                <w:szCs w:val="21"/>
              </w:rPr>
              <w:t>1</w:t>
            </w:r>
          </w:p>
        </w:tc>
        <w:tc>
          <w:tcPr>
            <w:tcW w:w="1099" w:type="dxa"/>
            <w:gridSpan w:val="2"/>
            <w:tcBorders>
              <w:top w:val="single" w:color="auto" w:sz="4" w:space="0"/>
              <w:left w:val="nil"/>
              <w:bottom w:val="single" w:color="auto" w:sz="4" w:space="0"/>
              <w:right w:val="single" w:color="auto" w:sz="4" w:space="0"/>
            </w:tcBorders>
            <w:vAlign w:val="center"/>
          </w:tcPr>
          <w:p w14:paraId="4E41B0B0">
            <w:pPr>
              <w:widowControl/>
              <w:spacing w:line="360" w:lineRule="auto"/>
              <w:jc w:val="center"/>
              <w:rPr>
                <w:rFonts w:hint="eastAsia" w:ascii="宋体" w:hAnsi="宋体" w:cs="等线 Light"/>
                <w:color w:val="000000"/>
                <w:szCs w:val="21"/>
              </w:rPr>
            </w:pPr>
            <w:r>
              <w:rPr>
                <w:rFonts w:hint="eastAsia" w:ascii="宋体" w:hAnsi="宋体" w:cs="等线 Light"/>
                <w:szCs w:val="21"/>
                <w:lang w:val="en-US" w:eastAsia="zh-CN"/>
              </w:rPr>
              <w:t>灌阳县雪亮工程一期到期后运维服务项目</w:t>
            </w:r>
          </w:p>
        </w:tc>
        <w:tc>
          <w:tcPr>
            <w:tcW w:w="6950" w:type="dxa"/>
            <w:tcBorders>
              <w:top w:val="single" w:color="auto" w:sz="4" w:space="0"/>
              <w:left w:val="nil"/>
              <w:bottom w:val="single" w:color="auto" w:sz="4" w:space="0"/>
              <w:right w:val="single" w:color="auto" w:sz="4" w:space="0"/>
            </w:tcBorders>
            <w:vAlign w:val="center"/>
          </w:tcPr>
          <w:p w14:paraId="770CE9B6">
            <w:pPr>
              <w:widowControl/>
              <w:numPr>
                <w:ilvl w:val="0"/>
                <w:numId w:val="2"/>
              </w:numPr>
              <w:spacing w:line="360" w:lineRule="auto"/>
              <w:jc w:val="left"/>
              <w:rPr>
                <w:rFonts w:ascii="宋体" w:hAnsi="宋体" w:cs="等线 Light"/>
                <w:color w:val="000000"/>
                <w:szCs w:val="21"/>
              </w:rPr>
            </w:pPr>
            <w:r>
              <w:rPr>
                <w:rFonts w:hint="eastAsia" w:ascii="宋体" w:hAnsi="宋体" w:cs="等线 Light"/>
                <w:b/>
                <w:bCs/>
                <w:color w:val="000000"/>
                <w:szCs w:val="21"/>
              </w:rPr>
              <w:t>提供</w:t>
            </w:r>
            <w:r>
              <w:rPr>
                <w:rFonts w:hint="eastAsia" w:ascii="宋体" w:hAnsi="宋体" w:cs="等线 Light"/>
                <w:b/>
                <w:bCs/>
                <w:color w:val="000000"/>
                <w:szCs w:val="21"/>
                <w:lang w:val="en-US" w:eastAsia="zh-CN"/>
              </w:rPr>
              <w:t>3200</w:t>
            </w:r>
            <w:r>
              <w:rPr>
                <w:rFonts w:hint="eastAsia" w:ascii="宋体" w:hAnsi="宋体" w:cs="等线 Light"/>
                <w:b/>
                <w:bCs/>
                <w:color w:val="000000"/>
                <w:szCs w:val="21"/>
              </w:rPr>
              <w:t>路视频采集服务</w:t>
            </w:r>
            <w:r>
              <w:rPr>
                <w:rFonts w:hint="eastAsia" w:ascii="宋体" w:hAnsi="宋体" w:cs="等线 Light"/>
                <w:b/>
                <w:bCs/>
                <w:color w:val="000000"/>
                <w:szCs w:val="21"/>
                <w:lang w:val="en-US" w:eastAsia="zh-CN"/>
              </w:rPr>
              <w:t>及运维服务</w:t>
            </w:r>
          </w:p>
          <w:p w14:paraId="0C8EF2AD">
            <w:pPr>
              <w:keepNext w:val="0"/>
              <w:keepLines w:val="0"/>
              <w:pageBreakBefore w:val="0"/>
              <w:widowControl/>
              <w:numPr>
                <w:ilvl w:val="0"/>
                <w:numId w:val="0"/>
              </w:numPr>
              <w:kinsoku/>
              <w:wordWrap/>
              <w:overflowPunct/>
              <w:topLinePunct w:val="0"/>
              <w:autoSpaceDE/>
              <w:autoSpaceDN/>
              <w:bidi w:val="0"/>
              <w:adjustRightInd/>
              <w:snapToGrid/>
              <w:spacing w:line="348" w:lineRule="auto"/>
              <w:jc w:val="left"/>
              <w:rPr>
                <w:rFonts w:ascii="宋体" w:hAnsi="宋体" w:cs="等线 Light"/>
                <w:color w:val="000000"/>
                <w:szCs w:val="21"/>
              </w:rPr>
            </w:pPr>
            <w:r>
              <w:rPr>
                <w:rFonts w:hint="eastAsia" w:ascii="宋体" w:hAnsi="宋体" w:cs="等线 Light"/>
                <w:color w:val="000000"/>
                <w:szCs w:val="21"/>
              </w:rPr>
              <w:t>（</w:t>
            </w:r>
            <w:r>
              <w:rPr>
                <w:rFonts w:hint="eastAsia" w:ascii="宋体" w:hAnsi="宋体" w:eastAsia="宋体" w:cs="等线 Light"/>
                <w:b/>
                <w:bCs/>
                <w:color w:val="000000"/>
                <w:szCs w:val="21"/>
              </w:rPr>
              <w:t>一）前端</w:t>
            </w:r>
            <w:r>
              <w:rPr>
                <w:rFonts w:hint="eastAsia" w:ascii="宋体" w:hAnsi="宋体" w:eastAsia="宋体" w:cs="等线 Light"/>
                <w:b/>
                <w:bCs/>
                <w:color w:val="000000"/>
                <w:szCs w:val="21"/>
                <w:lang w:val="en-US" w:eastAsia="zh-CN"/>
              </w:rPr>
              <w:t>采集</w:t>
            </w:r>
            <w:r>
              <w:rPr>
                <w:rFonts w:hint="eastAsia" w:ascii="宋体" w:hAnsi="宋体" w:eastAsia="宋体" w:cs="等线 Light"/>
                <w:b/>
                <w:bCs/>
                <w:color w:val="000000"/>
                <w:szCs w:val="21"/>
              </w:rPr>
              <w:t>服务</w:t>
            </w:r>
            <w:r>
              <w:rPr>
                <w:rFonts w:hint="eastAsia" w:ascii="宋体" w:hAnsi="宋体" w:eastAsia="宋体" w:cs="等线 Light"/>
                <w:b/>
                <w:bCs/>
                <w:color w:val="000000"/>
                <w:szCs w:val="21"/>
                <w:lang w:val="en-US" w:eastAsia="zh-CN"/>
              </w:rPr>
              <w:t>及运维服务</w:t>
            </w:r>
          </w:p>
          <w:p w14:paraId="74D74352">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rPr>
            </w:pPr>
            <w:r>
              <w:rPr>
                <w:rFonts w:hint="eastAsia" w:ascii="Times New Roman" w:hAnsi="Times New Roman" w:eastAsia="宋体" w:cs="Times New Roman"/>
                <w:sz w:val="21"/>
                <w:szCs w:val="24"/>
                <w:lang w:val="en-US" w:eastAsia="zh-CN" w:bidi="ar-SA"/>
              </w:rPr>
              <w:t>1、</w:t>
            </w:r>
            <w:r>
              <w:rPr>
                <w:rFonts w:hint="eastAsia" w:ascii="宋体" w:hAnsi="宋体" w:cs="等线 Light"/>
                <w:color w:val="000000"/>
                <w:szCs w:val="21"/>
              </w:rPr>
              <w:t>提供在</w:t>
            </w:r>
            <w:r>
              <w:rPr>
                <w:rFonts w:hint="eastAsia" w:ascii="宋体" w:hAnsi="宋体" w:cs="等线 Light"/>
                <w:color w:val="000000"/>
                <w:szCs w:val="21"/>
                <w:lang w:val="en-US" w:eastAsia="zh-CN"/>
              </w:rPr>
              <w:t>灌阳</w:t>
            </w:r>
            <w:r>
              <w:rPr>
                <w:rFonts w:hint="eastAsia" w:ascii="宋体" w:hAnsi="宋体" w:cs="等线 Light"/>
                <w:color w:val="000000"/>
                <w:szCs w:val="21"/>
              </w:rPr>
              <w:t>县内</w:t>
            </w:r>
            <w:r>
              <w:rPr>
                <w:rFonts w:hint="eastAsia" w:ascii="宋体" w:hAnsi="宋体" w:cs="等线 Light"/>
                <w:color w:val="000000"/>
                <w:szCs w:val="21"/>
                <w:lang w:val="en-US" w:eastAsia="zh-CN"/>
              </w:rPr>
              <w:t>3200</w:t>
            </w:r>
            <w:r>
              <w:rPr>
                <w:rFonts w:hint="eastAsia" w:ascii="宋体" w:hAnsi="宋体" w:cs="等线 Light"/>
                <w:color w:val="000000"/>
                <w:szCs w:val="21"/>
              </w:rPr>
              <w:t>路视频图像采集画面服务，进行24小时全实时监控,并实现联网功能,可进行远程录像及观看，主要是加强</w:t>
            </w:r>
            <w:r>
              <w:rPr>
                <w:rFonts w:hint="eastAsia" w:ascii="宋体" w:hAnsi="宋体" w:cs="等线 Light"/>
                <w:color w:val="000000"/>
                <w:szCs w:val="21"/>
                <w:lang w:val="en-US" w:eastAsia="zh-CN"/>
              </w:rPr>
              <w:t>灌阳</w:t>
            </w:r>
            <w:r>
              <w:rPr>
                <w:rFonts w:hint="eastAsia" w:ascii="宋体" w:hAnsi="宋体" w:cs="等线 Light"/>
                <w:color w:val="000000"/>
                <w:szCs w:val="21"/>
              </w:rPr>
              <w:t>县的安全保卫工作，能够满足安全保卫的需要。</w:t>
            </w:r>
          </w:p>
          <w:p w14:paraId="72815221">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000000"/>
                <w:szCs w:val="21"/>
                <w:lang w:eastAsia="zh-CN"/>
              </w:rPr>
            </w:pPr>
            <w:r>
              <w:rPr>
                <w:rFonts w:hint="eastAsia" w:ascii="宋体" w:hAnsi="宋体" w:eastAsia="宋体" w:cs="等线 Light"/>
                <w:color w:val="000000"/>
                <w:sz w:val="21"/>
                <w:szCs w:val="21"/>
                <w:lang w:val="en-US" w:eastAsia="zh-CN" w:bidi="ar-SA"/>
              </w:rPr>
              <w:t>2、</w:t>
            </w:r>
            <w:r>
              <w:rPr>
                <w:rFonts w:hint="eastAsia" w:ascii="Times New Roman" w:hAnsi="Times New Roman" w:eastAsia="宋体" w:cs="Times New Roman"/>
                <w:sz w:val="21"/>
                <w:szCs w:val="24"/>
                <w:lang w:val="en-US" w:eastAsia="zh-CN" w:bidi="ar-SA"/>
              </w:rPr>
              <w:t>提供</w:t>
            </w:r>
            <w:r>
              <w:rPr>
                <w:rFonts w:hint="eastAsia" w:ascii="宋体" w:hAnsi="宋体" w:cs="等线 Light"/>
                <w:color w:val="000000"/>
                <w:szCs w:val="21"/>
                <w:lang w:val="en-US" w:eastAsia="zh-CN"/>
              </w:rPr>
              <w:t>3200</w:t>
            </w:r>
            <w:r>
              <w:rPr>
                <w:rFonts w:hint="eastAsia" w:ascii="宋体" w:hAnsi="宋体" w:cs="等线 Light"/>
                <w:color w:val="000000"/>
                <w:szCs w:val="21"/>
              </w:rPr>
              <w:t>路监控画面的故障处理及保养服务</w:t>
            </w:r>
            <w:r>
              <w:rPr>
                <w:rFonts w:hint="eastAsia" w:ascii="宋体" w:hAnsi="宋体" w:cs="等线 Light"/>
                <w:color w:val="000000"/>
                <w:szCs w:val="21"/>
                <w:lang w:val="en-US" w:eastAsia="zh-CN"/>
              </w:rPr>
              <w:t>(不含电费)</w:t>
            </w:r>
            <w:r>
              <w:rPr>
                <w:rFonts w:hint="eastAsia" w:ascii="宋体" w:hAnsi="宋体" w:cs="等线 Light"/>
                <w:color w:val="000000"/>
                <w:szCs w:val="21"/>
              </w:rPr>
              <w:t>，服务内容主要分别为故障检修、维护保养及定期巡检三个部分，保证监控摄像机的在线率大于等于</w:t>
            </w:r>
            <w:r>
              <w:rPr>
                <w:rFonts w:hint="eastAsia" w:ascii="宋体" w:hAnsi="宋体" w:cs="等线 Light"/>
                <w:color w:val="000000"/>
                <w:szCs w:val="21"/>
                <w:lang w:val="en-US" w:eastAsia="zh-CN"/>
              </w:rPr>
              <w:t>90</w:t>
            </w:r>
            <w:r>
              <w:rPr>
                <w:rFonts w:hint="eastAsia" w:ascii="宋体" w:hAnsi="宋体" w:cs="等线 Light"/>
                <w:color w:val="000000"/>
                <w:szCs w:val="21"/>
              </w:rPr>
              <w:t>%。</w:t>
            </w:r>
          </w:p>
          <w:p w14:paraId="63EAAC73">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1" w:firstLineChars="100"/>
              <w:jc w:val="left"/>
              <w:textAlignment w:val="top"/>
              <w:rPr>
                <w:rFonts w:hint="eastAsia" w:ascii="宋体" w:hAnsi="宋体" w:eastAsia="宋体" w:cs="等线 Light"/>
                <w:b/>
                <w:bCs/>
                <w:color w:val="000000"/>
                <w:szCs w:val="21"/>
                <w:lang w:eastAsia="zh-CN"/>
              </w:rPr>
            </w:pPr>
            <w:r>
              <w:rPr>
                <w:rFonts w:hint="eastAsia" w:ascii="宋体" w:hAnsi="宋体" w:cs="等线 Light"/>
                <w:b/>
                <w:bCs/>
                <w:color w:val="000000"/>
                <w:szCs w:val="21"/>
              </w:rPr>
              <w:t>（二）视频采集服务</w:t>
            </w:r>
            <w:r>
              <w:rPr>
                <w:rFonts w:hint="eastAsia" w:ascii="宋体" w:hAnsi="宋体" w:cs="等线 Light"/>
                <w:b/>
                <w:bCs/>
                <w:color w:val="000000"/>
                <w:szCs w:val="21"/>
                <w:lang w:val="en-US" w:eastAsia="zh-CN"/>
              </w:rPr>
              <w:t>具体</w:t>
            </w:r>
            <w:r>
              <w:rPr>
                <w:rFonts w:hint="eastAsia" w:ascii="宋体" w:hAnsi="宋体" w:cs="等线 Light"/>
                <w:b/>
                <w:bCs/>
                <w:color w:val="000000"/>
                <w:szCs w:val="21"/>
              </w:rPr>
              <w:t>参数要求：</w:t>
            </w:r>
          </w:p>
          <w:p w14:paraId="4144E6FC">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Times New Roman" w:hAnsi="Times New Roman" w:eastAsia="宋体" w:cs="Times New Roman"/>
                <w:sz w:val="21"/>
                <w:szCs w:val="24"/>
                <w:lang w:val="en-US" w:eastAsia="zh-CN" w:bidi="ar-SA"/>
              </w:rPr>
            </w:pPr>
            <w:r>
              <w:rPr>
                <w:rFonts w:hint="eastAsia" w:ascii="宋体" w:hAnsi="宋体" w:eastAsia="宋体" w:cs="等线 Light"/>
                <w:color w:val="000000"/>
                <w:szCs w:val="21"/>
              </w:rPr>
              <w:t>1</w:t>
            </w:r>
            <w:r>
              <w:rPr>
                <w:rFonts w:hint="eastAsia" w:ascii="Times New Roman" w:hAnsi="Times New Roman" w:eastAsia="宋体" w:cs="Times New Roman"/>
                <w:sz w:val="21"/>
                <w:szCs w:val="24"/>
                <w:lang w:val="en-US" w:eastAsia="zh-CN" w:bidi="ar-SA"/>
              </w:rPr>
              <w:t>、具有≥400 万像素， CMOS 传感器。</w:t>
            </w:r>
          </w:p>
          <w:p w14:paraId="424BED9A">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Times New Roman" w:hAnsi="Times New Roman" w:eastAsia="宋体" w:cs="Times New Roman"/>
                <w:sz w:val="21"/>
                <w:szCs w:val="24"/>
                <w:lang w:val="en-US" w:eastAsia="zh-CN" w:bidi="ar-SA"/>
              </w:rPr>
            </w:pPr>
            <w:r>
              <w:rPr>
                <w:rFonts w:hint="eastAsia" w:ascii="Times New Roman" w:hAnsi="Times New Roman" w:eastAsia="宋体" w:cs="Times New Roman"/>
                <w:sz w:val="21"/>
                <w:szCs w:val="24"/>
                <w:lang w:val="en-US" w:eastAsia="zh-CN" w:bidi="ar-SA"/>
              </w:rPr>
              <w:t>2、设备支持最低照度彩色≤0.005 lx，黑白≤0.001 lx，红外补光距离≥50米。</w:t>
            </w:r>
          </w:p>
          <w:p w14:paraId="2E9AD689">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Times New Roman" w:hAnsi="Times New Roman" w:eastAsia="宋体" w:cs="Times New Roman"/>
                <w:sz w:val="21"/>
                <w:szCs w:val="24"/>
                <w:lang w:val="en-US" w:eastAsia="zh-CN" w:bidi="ar-SA"/>
              </w:rPr>
            </w:pPr>
            <w:r>
              <w:rPr>
                <w:rFonts w:hint="eastAsia" w:ascii="Times New Roman" w:hAnsi="Times New Roman" w:eastAsia="宋体" w:cs="Times New Roman"/>
                <w:sz w:val="21"/>
                <w:szCs w:val="24"/>
                <w:lang w:val="en-US" w:eastAsia="zh-CN" w:bidi="ar-SA"/>
              </w:rPr>
              <w:t>3、支持H.264、H.265视频编码格式，且具有High Profile编码能力。</w:t>
            </w:r>
          </w:p>
          <w:p w14:paraId="308E9DDB">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Times New Roman" w:hAnsi="Times New Roman" w:eastAsia="宋体" w:cs="Times New Roman"/>
                <w:sz w:val="21"/>
                <w:szCs w:val="24"/>
                <w:lang w:val="en-US" w:eastAsia="zh-CN" w:bidi="ar-SA"/>
              </w:rPr>
            </w:pPr>
            <w:r>
              <w:rPr>
                <w:rFonts w:hint="eastAsia" w:ascii="Times New Roman" w:hAnsi="Times New Roman" w:eastAsia="宋体" w:cs="Times New Roman"/>
                <w:sz w:val="21"/>
                <w:szCs w:val="24"/>
                <w:lang w:val="en-US" w:eastAsia="zh-CN" w:bidi="ar-SA"/>
              </w:rPr>
              <w:t>4、设备支持区域遮盖功能，当功能开启后，可最多设置≥4块视频遮盖区域，遮盖区域的大小、位置可设置，且遮盖区域允许移动、重叠。</w:t>
            </w:r>
          </w:p>
          <w:p w14:paraId="11004F1E">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Times New Roman" w:hAnsi="Times New Roman" w:eastAsia="宋体" w:cs="Times New Roman"/>
                <w:sz w:val="21"/>
                <w:szCs w:val="24"/>
                <w:lang w:val="en-US" w:eastAsia="zh-CN" w:bidi="ar-SA"/>
              </w:rPr>
            </w:pPr>
            <w:r>
              <w:rPr>
                <w:rFonts w:hint="eastAsia" w:ascii="Times New Roman" w:hAnsi="Times New Roman" w:eastAsia="宋体" w:cs="Times New Roman"/>
                <w:sz w:val="21"/>
                <w:szCs w:val="24"/>
                <w:lang w:val="en-US" w:eastAsia="zh-CN" w:bidi="ar-SA"/>
              </w:rPr>
              <w:t>5、设备支持多浏览器浏览功能，可通过IE、Chrome、Firefox、Safari等浏览器浏览视频图像，支持音频异常侦测，音频陡升侦测，音频陡降侦测功能。</w:t>
            </w:r>
          </w:p>
          <w:p w14:paraId="3E66C4B1">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Times New Roman" w:hAnsi="Times New Roman" w:eastAsia="宋体" w:cs="Times New Roman"/>
                <w:sz w:val="21"/>
                <w:szCs w:val="24"/>
                <w:lang w:val="en-US" w:eastAsia="zh-CN" w:bidi="ar-SA"/>
              </w:rPr>
            </w:pPr>
            <w:r>
              <w:rPr>
                <w:rFonts w:hint="eastAsia" w:ascii="Times New Roman" w:hAnsi="Times New Roman" w:eastAsia="宋体" w:cs="Times New Roman"/>
                <w:sz w:val="21"/>
                <w:szCs w:val="24"/>
                <w:lang w:val="en-US" w:eastAsia="zh-CN" w:bidi="ar-SA"/>
              </w:rPr>
              <w:t>6、支持移动侦测功能，在设定的侦测区域内有目标移动时，该区域边框应变为绿色，并可在客户端给出报警提示并上传中心、联动录像。</w:t>
            </w:r>
          </w:p>
          <w:p w14:paraId="107F23AB">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Times New Roman" w:hAnsi="Times New Roman" w:eastAsia="宋体" w:cs="Times New Roman"/>
                <w:sz w:val="21"/>
                <w:szCs w:val="24"/>
                <w:lang w:val="en-US" w:eastAsia="zh-CN" w:bidi="ar-SA"/>
              </w:rPr>
            </w:pPr>
            <w:r>
              <w:rPr>
                <w:rFonts w:hint="eastAsia" w:ascii="Times New Roman" w:hAnsi="Times New Roman" w:eastAsia="宋体" w:cs="Times New Roman"/>
                <w:sz w:val="21"/>
                <w:szCs w:val="24"/>
                <w:lang w:val="en-US" w:eastAsia="zh-CN" w:bidi="ar-SA"/>
              </w:rPr>
              <w:t>7、支持多路访问功能，在同客户端上，可最多同时开启≥6个视频窗口进行画面浏览。</w:t>
            </w:r>
          </w:p>
          <w:p w14:paraId="3B3D9E64">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Times New Roman" w:hAnsi="Times New Roman" w:eastAsia="宋体" w:cs="Times New Roman"/>
                <w:sz w:val="21"/>
                <w:szCs w:val="24"/>
                <w:lang w:val="en-US" w:eastAsia="zh-CN" w:bidi="ar-SA"/>
              </w:rPr>
            </w:pPr>
            <w:r>
              <w:rPr>
                <w:rFonts w:hint="eastAsia" w:ascii="Times New Roman" w:hAnsi="Times New Roman" w:eastAsia="宋体" w:cs="Times New Roman"/>
                <w:sz w:val="21"/>
                <w:szCs w:val="24"/>
                <w:lang w:val="en-US" w:eastAsia="zh-CN" w:bidi="ar-SA"/>
              </w:rPr>
              <w:t>8、设备的防护等级≥IP66，支持DC12V供电，且在 DC12V±25%范围内变化时可以正常工作。</w:t>
            </w:r>
          </w:p>
          <w:p w14:paraId="02767139">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cs="等线 Light"/>
                <w:color w:val="000000"/>
                <w:szCs w:val="21"/>
              </w:rPr>
            </w:pPr>
            <w:r>
              <w:rPr>
                <w:rFonts w:hint="eastAsia" w:ascii="Times New Roman" w:hAnsi="Times New Roman" w:eastAsia="宋体" w:cs="Times New Roman"/>
                <w:sz w:val="21"/>
                <w:szCs w:val="24"/>
                <w:lang w:val="en-US" w:eastAsia="zh-CN" w:bidi="ar-SA"/>
              </w:rPr>
              <w:t>9、提</w:t>
            </w:r>
            <w:r>
              <w:rPr>
                <w:rFonts w:hint="eastAsia" w:ascii="宋体" w:hAnsi="宋体" w:eastAsia="宋体" w:cs="等线 Light"/>
                <w:color w:val="000000"/>
                <w:szCs w:val="21"/>
              </w:rPr>
              <w:t>供相应平台接入、视频图像链路接入及存储服务</w:t>
            </w:r>
            <w:r>
              <w:rPr>
                <w:rFonts w:hint="eastAsia" w:ascii="宋体" w:hAnsi="宋体" w:cs="等线 Light"/>
                <w:color w:val="000000"/>
                <w:szCs w:val="21"/>
              </w:rPr>
              <w:t>。</w:t>
            </w:r>
          </w:p>
          <w:p w14:paraId="1C0AFE14">
            <w:pPr>
              <w:pStyle w:val="220"/>
              <w:keepNext w:val="0"/>
              <w:keepLines w:val="0"/>
              <w:pageBreakBefore w:val="0"/>
              <w:kinsoku/>
              <w:wordWrap/>
              <w:overflowPunct/>
              <w:topLinePunct w:val="0"/>
              <w:autoSpaceDE/>
              <w:autoSpaceDN/>
              <w:bidi w:val="0"/>
              <w:adjustRightInd/>
              <w:snapToGrid/>
              <w:spacing w:line="348" w:lineRule="auto"/>
              <w:rPr>
                <w:rFonts w:hint="eastAsia" w:ascii="宋体" w:hAnsi="宋体" w:eastAsia="宋体" w:cs="等线 Light"/>
                <w:b/>
                <w:bCs/>
                <w:color w:val="auto"/>
                <w:szCs w:val="21"/>
                <w:lang w:val="en-US" w:eastAsia="zh-CN"/>
              </w:rPr>
            </w:pPr>
            <w:r>
              <w:rPr>
                <w:rFonts w:hint="eastAsia" w:ascii="宋体" w:hAnsi="宋体" w:cs="等线 Light"/>
                <w:color w:val="auto"/>
                <w:szCs w:val="21"/>
              </w:rPr>
              <w:t>（</w:t>
            </w:r>
            <w:r>
              <w:rPr>
                <w:rFonts w:hint="eastAsia" w:ascii="宋体" w:hAnsi="宋体" w:eastAsia="宋体" w:cs="等线 Light"/>
                <w:b/>
                <w:bCs/>
                <w:color w:val="auto"/>
                <w:szCs w:val="21"/>
                <w:lang w:val="en-US" w:eastAsia="zh-CN"/>
              </w:rPr>
              <w:t>三</w:t>
            </w:r>
            <w:r>
              <w:rPr>
                <w:rFonts w:hint="eastAsia" w:ascii="宋体" w:hAnsi="宋体" w:eastAsia="宋体" w:cs="等线 Light"/>
                <w:b/>
                <w:bCs/>
                <w:color w:val="auto"/>
                <w:szCs w:val="21"/>
              </w:rPr>
              <w:t>）前端</w:t>
            </w:r>
            <w:r>
              <w:rPr>
                <w:rFonts w:hint="eastAsia" w:ascii="宋体" w:hAnsi="宋体" w:eastAsia="宋体" w:cs="等线 Light"/>
                <w:b/>
                <w:bCs/>
                <w:color w:val="auto"/>
                <w:szCs w:val="21"/>
                <w:lang w:val="en-US" w:eastAsia="zh-CN"/>
              </w:rPr>
              <w:t>采集</w:t>
            </w:r>
            <w:r>
              <w:rPr>
                <w:rFonts w:hint="eastAsia" w:ascii="宋体" w:hAnsi="宋体" w:eastAsia="宋体" w:cs="等线 Light"/>
                <w:b/>
                <w:bCs/>
                <w:color w:val="auto"/>
                <w:szCs w:val="21"/>
              </w:rPr>
              <w:t>服务</w:t>
            </w:r>
            <w:r>
              <w:rPr>
                <w:rFonts w:hint="eastAsia" w:ascii="宋体" w:hAnsi="宋体" w:eastAsia="宋体" w:cs="等线 Light"/>
                <w:b/>
                <w:bCs/>
                <w:color w:val="auto"/>
                <w:szCs w:val="21"/>
                <w:lang w:val="en-US" w:eastAsia="zh-CN"/>
              </w:rPr>
              <w:t>升级及迁改服务</w:t>
            </w:r>
          </w:p>
          <w:p w14:paraId="221DFE2F">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auto"/>
                <w:sz w:val="21"/>
                <w:szCs w:val="21"/>
              </w:rPr>
            </w:pPr>
            <w:r>
              <w:rPr>
                <w:rFonts w:hint="eastAsia" w:ascii="宋体" w:hAnsi="宋体" w:eastAsia="宋体" w:cs="等线 Light"/>
                <w:color w:val="auto"/>
                <w:sz w:val="21"/>
                <w:szCs w:val="21"/>
                <w:lang w:val="en-US" w:eastAsia="zh-CN" w:bidi="ar-SA"/>
              </w:rPr>
              <w:t>1、</w:t>
            </w:r>
            <w:r>
              <w:rPr>
                <w:rFonts w:hint="eastAsia" w:ascii="宋体" w:hAnsi="宋体" w:eastAsia="宋体" w:cs="等线 Light"/>
                <w:color w:val="auto"/>
                <w:szCs w:val="21"/>
                <w:lang w:val="en-US" w:eastAsia="zh-CN"/>
              </w:rPr>
              <w:t>提供</w:t>
            </w:r>
            <w:r>
              <w:rPr>
                <w:rFonts w:ascii="宋体" w:hAnsi="宋体" w:eastAsia="宋体" w:cs="宋体"/>
                <w:color w:val="auto"/>
                <w:sz w:val="21"/>
                <w:szCs w:val="21"/>
              </w:rPr>
              <w:t xml:space="preserve">不少于 </w:t>
            </w:r>
            <w:r>
              <w:rPr>
                <w:rFonts w:hint="eastAsia" w:ascii="宋体" w:hAnsi="宋体" w:cs="宋体"/>
                <w:color w:val="auto"/>
                <w:sz w:val="21"/>
                <w:szCs w:val="21"/>
                <w:lang w:val="en-US" w:eastAsia="zh-CN"/>
              </w:rPr>
              <w:t>1000</w:t>
            </w:r>
            <w:r>
              <w:rPr>
                <w:rFonts w:ascii="宋体" w:hAnsi="宋体" w:eastAsia="宋体" w:cs="宋体"/>
                <w:color w:val="auto"/>
                <w:sz w:val="21"/>
                <w:szCs w:val="21"/>
              </w:rPr>
              <w:t>路视频画面升级服务，合同期内按采购人要求完成</w:t>
            </w:r>
            <w:r>
              <w:rPr>
                <w:rFonts w:hint="eastAsia" w:ascii="Times New Roman" w:hAnsi="Times New Roman" w:eastAsia="宋体" w:cs="Times New Roman"/>
                <w:sz w:val="21"/>
                <w:szCs w:val="24"/>
                <w:lang w:val="en-US" w:eastAsia="zh-CN" w:bidi="ar-SA"/>
              </w:rPr>
              <w:t>指定</w:t>
            </w:r>
            <w:r>
              <w:rPr>
                <w:rFonts w:ascii="宋体" w:hAnsi="宋体" w:eastAsia="宋体" w:cs="宋体"/>
                <w:color w:val="auto"/>
                <w:sz w:val="21"/>
                <w:szCs w:val="21"/>
              </w:rPr>
              <w:t>点位视频画面的升级改造，确保升级后视频画面满足下列要求：像素</w:t>
            </w:r>
            <w:r>
              <w:rPr>
                <w:rFonts w:hint="eastAsia" w:ascii="宋体" w:hAnsi="宋体" w:eastAsia="宋体" w:cs="宋体"/>
                <w:color w:val="auto"/>
                <w:sz w:val="21"/>
                <w:szCs w:val="21"/>
                <w:lang w:val="en-US" w:eastAsia="zh-CN"/>
              </w:rPr>
              <w:t>≥</w:t>
            </w:r>
            <w:r>
              <w:rPr>
                <w:rFonts w:ascii="宋体" w:hAnsi="宋体" w:eastAsia="宋体" w:cs="宋体"/>
                <w:color w:val="auto"/>
                <w:sz w:val="21"/>
                <w:szCs w:val="21"/>
              </w:rPr>
              <w:t xml:space="preserve"> </w:t>
            </w:r>
            <w:r>
              <w:rPr>
                <w:rFonts w:hint="eastAsia" w:ascii="宋体" w:hAnsi="宋体" w:cs="宋体"/>
                <w:color w:val="auto"/>
                <w:sz w:val="21"/>
                <w:szCs w:val="21"/>
                <w:lang w:val="en-US" w:eastAsia="zh-CN"/>
              </w:rPr>
              <w:t>400</w:t>
            </w:r>
            <w:r>
              <w:rPr>
                <w:rFonts w:ascii="宋体" w:hAnsi="宋体" w:eastAsia="宋体" w:cs="宋体"/>
                <w:color w:val="auto"/>
                <w:sz w:val="21"/>
                <w:szCs w:val="21"/>
              </w:rPr>
              <w:t>万，视频分辨率</w:t>
            </w:r>
            <w:r>
              <w:rPr>
                <w:rFonts w:hint="eastAsia" w:ascii="宋体" w:hAnsi="宋体" w:eastAsia="宋体" w:cs="宋体"/>
                <w:color w:val="auto"/>
                <w:sz w:val="21"/>
                <w:szCs w:val="21"/>
                <w:lang w:val="en-US" w:eastAsia="zh-CN"/>
              </w:rPr>
              <w:t>≥</w:t>
            </w:r>
            <w:r>
              <w:rPr>
                <w:rFonts w:ascii="宋体" w:hAnsi="宋体" w:eastAsia="宋体" w:cs="宋体"/>
                <w:color w:val="auto"/>
                <w:sz w:val="21"/>
                <w:szCs w:val="21"/>
              </w:rPr>
              <w:t xml:space="preserve"> 2560×1440，支持 POE 供电，支持背光补偿、强光抑制、3D 数字降噪、数字宽动态功能，支持人形侦测，支持双向语音通话。上述升级服务应包括所需</w:t>
            </w:r>
            <w:r>
              <w:rPr>
                <w:rFonts w:hint="eastAsia" w:ascii="宋体" w:hAnsi="宋体" w:eastAsia="宋体" w:cs="宋体"/>
                <w:color w:val="auto"/>
                <w:sz w:val="21"/>
                <w:szCs w:val="21"/>
                <w:lang w:val="en-US" w:eastAsia="zh-CN"/>
              </w:rPr>
              <w:t>材料</w:t>
            </w:r>
            <w:r>
              <w:rPr>
                <w:rFonts w:ascii="宋体" w:hAnsi="宋体" w:eastAsia="宋体" w:cs="宋体"/>
                <w:color w:val="auto"/>
                <w:sz w:val="21"/>
                <w:szCs w:val="21"/>
              </w:rPr>
              <w:t>及</w:t>
            </w:r>
            <w:r>
              <w:rPr>
                <w:rFonts w:hint="eastAsia" w:ascii="宋体" w:hAnsi="宋体" w:eastAsia="宋体" w:cs="宋体"/>
                <w:color w:val="auto"/>
                <w:sz w:val="21"/>
                <w:szCs w:val="21"/>
                <w:lang w:val="en-US" w:eastAsia="zh-CN"/>
              </w:rPr>
              <w:t>集成</w:t>
            </w:r>
            <w:r>
              <w:rPr>
                <w:rFonts w:ascii="宋体" w:hAnsi="宋体" w:eastAsia="宋体" w:cs="宋体"/>
                <w:color w:val="auto"/>
                <w:sz w:val="21"/>
                <w:szCs w:val="21"/>
              </w:rPr>
              <w:t>调试等全部工作，升级完成后须确保各点位视频画面清晰、功能正常，满足采购人业务使用需要。</w:t>
            </w:r>
          </w:p>
          <w:p w14:paraId="3537F9EF">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lang w:val="en-US" w:eastAsia="zh-CN"/>
              </w:rPr>
            </w:pPr>
            <w:r>
              <w:rPr>
                <w:rFonts w:hint="eastAsia" w:ascii="Times New Roman" w:hAnsi="Times New Roman" w:eastAsia="宋体" w:cs="Times New Roman"/>
                <w:sz w:val="21"/>
                <w:szCs w:val="24"/>
                <w:lang w:val="en-US" w:eastAsia="zh-CN" w:bidi="ar-SA"/>
              </w:rPr>
              <w:t>2、</w:t>
            </w:r>
            <w:r>
              <w:rPr>
                <w:rFonts w:hint="eastAsia" w:cs="Times New Roman"/>
                <w:sz w:val="21"/>
                <w:szCs w:val="24"/>
                <w:lang w:val="en-US" w:eastAsia="zh-CN" w:bidi="ar-SA"/>
              </w:rPr>
              <w:t>提</w:t>
            </w:r>
            <w:r>
              <w:rPr>
                <w:rFonts w:hint="eastAsia" w:ascii="宋体" w:hAnsi="宋体" w:eastAsia="宋体" w:cs="等线 Light"/>
                <w:color w:val="000000"/>
                <w:szCs w:val="21"/>
                <w:lang w:val="en-US" w:eastAsia="zh-CN"/>
              </w:rPr>
              <w:t>供不少于240 路监控点位迁改服务，服务内容包含横臂、立杆、防水箱、网线、电源线、抱箍条等辅材。其中， 2 米横臂不少于50根，3米横臂不少于50根，6.5米立杆不少于3套，防水箱不少于50台。上述服务须按采购人要求完成点位迁移及调试，确保迁移后监控点位正常运行</w:t>
            </w:r>
            <w:r>
              <w:rPr>
                <w:rFonts w:hint="eastAsia" w:ascii="宋体" w:hAnsi="宋体" w:eastAsia="宋体" w:cs="等线 Light"/>
                <w:color w:val="000000"/>
                <w:szCs w:val="21"/>
                <w:lang w:eastAsia="zh-CN"/>
              </w:rPr>
              <w:t>。</w:t>
            </w:r>
          </w:p>
          <w:p w14:paraId="73A19387">
            <w:pPr>
              <w:keepNext w:val="0"/>
              <w:keepLines w:val="0"/>
              <w:pageBreakBefore w:val="0"/>
              <w:widowControl/>
              <w:numPr>
                <w:ilvl w:val="0"/>
                <w:numId w:val="2"/>
              </w:numPr>
              <w:kinsoku/>
              <w:wordWrap/>
              <w:overflowPunct/>
              <w:topLinePunct w:val="0"/>
              <w:autoSpaceDE/>
              <w:autoSpaceDN/>
              <w:bidi w:val="0"/>
              <w:adjustRightInd/>
              <w:snapToGrid/>
              <w:spacing w:line="348" w:lineRule="auto"/>
              <w:jc w:val="left"/>
              <w:rPr>
                <w:rFonts w:hint="eastAsia" w:ascii="宋体" w:hAnsi="宋体" w:eastAsia="宋体" w:cs="等线 Light"/>
                <w:b/>
                <w:bCs/>
                <w:color w:val="000000"/>
                <w:szCs w:val="21"/>
                <w:lang w:val="en-US" w:eastAsia="zh-CN"/>
              </w:rPr>
            </w:pPr>
            <w:r>
              <w:rPr>
                <w:rFonts w:hint="eastAsia" w:ascii="宋体" w:hAnsi="宋体" w:eastAsia="宋体" w:cs="等线 Light"/>
                <w:b/>
                <w:bCs/>
                <w:color w:val="000000"/>
                <w:szCs w:val="21"/>
                <w:lang w:val="en-US" w:eastAsia="zh-CN"/>
              </w:rPr>
              <w:t>提供171路天网类</w:t>
            </w:r>
            <w:r>
              <w:rPr>
                <w:rFonts w:hint="eastAsia" w:ascii="宋体" w:hAnsi="宋体" w:eastAsia="宋体" w:cs="等线 Light"/>
                <w:b/>
                <w:bCs/>
                <w:color w:val="000000"/>
                <w:szCs w:val="21"/>
              </w:rPr>
              <w:t>人像</w:t>
            </w:r>
            <w:r>
              <w:rPr>
                <w:rFonts w:hint="eastAsia" w:ascii="宋体" w:hAnsi="宋体" w:eastAsia="宋体" w:cs="等线 Light"/>
                <w:b/>
                <w:bCs/>
                <w:color w:val="000000"/>
                <w:szCs w:val="21"/>
                <w:lang w:eastAsia="zh-CN"/>
              </w:rPr>
              <w:t>、</w:t>
            </w:r>
            <w:r>
              <w:rPr>
                <w:rFonts w:hint="eastAsia" w:ascii="宋体" w:hAnsi="宋体" w:eastAsia="宋体" w:cs="等线 Light"/>
                <w:b/>
                <w:bCs/>
                <w:color w:val="000000"/>
                <w:szCs w:val="21"/>
              </w:rPr>
              <w:t>卡口及违停</w:t>
            </w:r>
            <w:r>
              <w:rPr>
                <w:rFonts w:hint="eastAsia" w:ascii="宋体" w:hAnsi="宋体" w:eastAsia="宋体" w:cs="等线 Light"/>
                <w:b/>
                <w:bCs/>
                <w:color w:val="000000"/>
                <w:szCs w:val="21"/>
                <w:lang w:val="en-US" w:eastAsia="zh-CN"/>
              </w:rPr>
              <w:t>运维服务</w:t>
            </w:r>
          </w:p>
          <w:p w14:paraId="7B5E6350">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000000"/>
                <w:szCs w:val="21"/>
                <w:lang w:eastAsia="zh-CN"/>
              </w:rPr>
            </w:pPr>
            <w:r>
              <w:rPr>
                <w:rFonts w:hint="eastAsia" w:ascii="Times New Roman" w:hAnsi="Times New Roman" w:eastAsia="宋体" w:cs="Times New Roman"/>
                <w:sz w:val="21"/>
                <w:szCs w:val="24"/>
                <w:lang w:val="en-US" w:eastAsia="zh-CN" w:bidi="ar-SA"/>
              </w:rPr>
              <w:t>提供</w:t>
            </w:r>
            <w:r>
              <w:rPr>
                <w:rFonts w:hint="eastAsia" w:ascii="宋体" w:hAnsi="宋体" w:eastAsia="宋体" w:cs="等线 Light"/>
                <w:color w:val="000000"/>
                <w:szCs w:val="21"/>
                <w:lang w:val="en-US" w:eastAsia="zh-CN"/>
              </w:rPr>
              <w:t>灌阳县</w:t>
            </w:r>
            <w:r>
              <w:rPr>
                <w:rFonts w:hint="eastAsia" w:ascii="宋体" w:hAnsi="宋体" w:eastAsia="宋体" w:cs="等线 Light"/>
                <w:color w:val="000000"/>
                <w:szCs w:val="21"/>
              </w:rPr>
              <w:t>内前端设备运维及</w:t>
            </w:r>
            <w:r>
              <w:rPr>
                <w:rFonts w:hint="eastAsia" w:ascii="宋体" w:hAnsi="宋体" w:eastAsia="宋体" w:cs="等线 Light"/>
                <w:color w:val="000000"/>
                <w:szCs w:val="21"/>
                <w:lang w:val="en-US" w:eastAsia="zh-CN"/>
              </w:rPr>
              <w:t>该部分前端设备接入的</w:t>
            </w:r>
            <w:r>
              <w:rPr>
                <w:rFonts w:hint="eastAsia" w:ascii="宋体" w:hAnsi="宋体" w:eastAsia="宋体" w:cs="等线 Light"/>
                <w:color w:val="000000"/>
                <w:szCs w:val="21"/>
              </w:rPr>
              <w:t>平台</w:t>
            </w:r>
            <w:r>
              <w:rPr>
                <w:rFonts w:hint="eastAsia" w:ascii="宋体" w:hAnsi="宋体" w:eastAsia="宋体" w:cs="等线 Light"/>
                <w:color w:val="000000"/>
                <w:szCs w:val="21"/>
                <w:lang w:eastAsia="zh-CN"/>
              </w:rPr>
              <w:t>（</w:t>
            </w:r>
            <w:r>
              <w:rPr>
                <w:rFonts w:ascii="宋体" w:hAnsi="宋体" w:eastAsia="宋体" w:cs="宋体"/>
                <w:b w:val="0"/>
                <w:bCs w:val="0"/>
              </w:rPr>
              <w:t>云存储节点1台、磁盘阵列1台、图片存储服务器1台、广播应用服务器1台、授时服务器1台、县局平台服务器1台、交警平台服务器1台、流媒体服务器1台、借用融合大数据服务器2台、全分析服务器1台</w:t>
            </w:r>
            <w:r>
              <w:rPr>
                <w:rFonts w:hint="eastAsia" w:ascii="宋体" w:hAnsi="宋体" w:eastAsia="宋体" w:cs="等线 Light"/>
                <w:color w:val="000000"/>
                <w:szCs w:val="21"/>
                <w:lang w:eastAsia="zh-CN"/>
              </w:rPr>
              <w:t>）</w:t>
            </w:r>
            <w:r>
              <w:rPr>
                <w:rFonts w:hint="eastAsia" w:ascii="宋体" w:hAnsi="宋体" w:eastAsia="宋体" w:cs="等线 Light"/>
                <w:color w:val="000000"/>
                <w:szCs w:val="21"/>
              </w:rPr>
              <w:t>运维服务，包含</w:t>
            </w:r>
            <w:r>
              <w:rPr>
                <w:rFonts w:hint="eastAsia" w:ascii="宋体" w:hAnsi="宋体" w:eastAsia="宋体" w:cs="等线 Light"/>
                <w:color w:val="000000"/>
                <w:szCs w:val="21"/>
                <w:lang w:val="en-US" w:eastAsia="zh-CN"/>
              </w:rPr>
              <w:t>120</w:t>
            </w:r>
            <w:r>
              <w:rPr>
                <w:rFonts w:hint="eastAsia" w:ascii="宋体" w:hAnsi="宋体" w:eastAsia="宋体" w:cs="等线 Light"/>
                <w:color w:val="000000"/>
                <w:szCs w:val="21"/>
              </w:rPr>
              <w:t>路</w:t>
            </w:r>
            <w:r>
              <w:rPr>
                <w:rFonts w:hint="eastAsia" w:ascii="宋体" w:hAnsi="宋体" w:eastAsia="宋体" w:cs="等线 Light"/>
                <w:color w:val="000000"/>
                <w:szCs w:val="21"/>
                <w:lang w:val="en-US" w:eastAsia="zh-CN"/>
              </w:rPr>
              <w:t>人像</w:t>
            </w:r>
            <w:r>
              <w:rPr>
                <w:rFonts w:hint="eastAsia" w:ascii="宋体" w:hAnsi="宋体" w:eastAsia="宋体" w:cs="等线 Light"/>
                <w:color w:val="000000"/>
                <w:szCs w:val="21"/>
              </w:rPr>
              <w:t>监控、</w:t>
            </w:r>
            <w:r>
              <w:rPr>
                <w:rFonts w:hint="eastAsia" w:ascii="宋体" w:hAnsi="宋体" w:eastAsia="宋体" w:cs="等线 Light"/>
                <w:color w:val="000000"/>
                <w:szCs w:val="21"/>
                <w:lang w:val="en-US" w:eastAsia="zh-CN"/>
              </w:rPr>
              <w:t>40</w:t>
            </w:r>
            <w:r>
              <w:rPr>
                <w:rFonts w:hint="eastAsia" w:ascii="宋体" w:hAnsi="宋体" w:eastAsia="宋体" w:cs="等线 Light"/>
                <w:color w:val="000000"/>
                <w:szCs w:val="21"/>
              </w:rPr>
              <w:t>路</w:t>
            </w:r>
            <w:r>
              <w:rPr>
                <w:rFonts w:hint="eastAsia" w:ascii="宋体" w:hAnsi="宋体" w:eastAsia="宋体" w:cs="等线 Light"/>
                <w:color w:val="000000"/>
                <w:szCs w:val="21"/>
                <w:lang w:val="en-US" w:eastAsia="zh-CN"/>
              </w:rPr>
              <w:t>卡口监控</w:t>
            </w:r>
            <w:r>
              <w:rPr>
                <w:rFonts w:hint="eastAsia" w:ascii="宋体" w:hAnsi="宋体" w:eastAsia="宋体" w:cs="等线 Light"/>
                <w:color w:val="000000"/>
                <w:szCs w:val="21"/>
              </w:rPr>
              <w:t>、</w:t>
            </w:r>
            <w:r>
              <w:rPr>
                <w:rFonts w:hint="eastAsia" w:ascii="宋体" w:hAnsi="宋体" w:eastAsia="宋体" w:cs="等线 Light"/>
                <w:color w:val="000000"/>
                <w:szCs w:val="21"/>
                <w:lang w:val="en-US" w:eastAsia="zh-CN"/>
              </w:rPr>
              <w:t>11</w:t>
            </w:r>
            <w:r>
              <w:rPr>
                <w:rFonts w:hint="eastAsia" w:ascii="宋体" w:hAnsi="宋体" w:eastAsia="宋体" w:cs="等线 Light"/>
                <w:color w:val="000000"/>
                <w:szCs w:val="21"/>
              </w:rPr>
              <w:t>路违停抓拍球机运维服务</w:t>
            </w:r>
            <w:r>
              <w:rPr>
                <w:rFonts w:hint="eastAsia" w:ascii="宋体" w:hAnsi="宋体" w:cs="等线 Light"/>
                <w:color w:val="000000"/>
                <w:szCs w:val="21"/>
                <w:lang w:val="en-US" w:eastAsia="zh-CN"/>
              </w:rPr>
              <w:t>(不含电费)</w:t>
            </w:r>
            <w:r>
              <w:rPr>
                <w:rFonts w:hint="eastAsia" w:ascii="宋体" w:hAnsi="宋体" w:eastAsia="宋体" w:cs="等线 Light"/>
                <w:color w:val="000000"/>
                <w:szCs w:val="21"/>
              </w:rPr>
              <w:t>，具体要求如下：</w:t>
            </w:r>
          </w:p>
          <w:p w14:paraId="14394E47">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000000"/>
                <w:szCs w:val="21"/>
                <w:lang w:eastAsia="zh-CN"/>
              </w:rPr>
            </w:pPr>
            <w:r>
              <w:rPr>
                <w:rFonts w:hint="eastAsia" w:ascii="宋体" w:hAnsi="宋体" w:eastAsia="宋体" w:cs="等线 Light"/>
                <w:color w:val="000000"/>
                <w:szCs w:val="21"/>
              </w:rPr>
              <w:t>1</w:t>
            </w:r>
            <w:r>
              <w:rPr>
                <w:rFonts w:hint="eastAsia" w:ascii="宋体" w:hAnsi="宋体" w:eastAsia="宋体" w:cs="等线 Light"/>
                <w:color w:val="000000"/>
                <w:szCs w:val="21"/>
                <w:lang w:eastAsia="zh-CN"/>
              </w:rPr>
              <w:t>、</w:t>
            </w:r>
            <w:r>
              <w:rPr>
                <w:rFonts w:hint="default" w:ascii="宋体" w:hAnsi="宋体" w:eastAsia="宋体" w:cs="等线 Light"/>
                <w:color w:val="000000"/>
                <w:szCs w:val="21"/>
              </w:rPr>
              <w:t>末端综合箱中接入或传输设备输出端口之后的所有设备及配套（包括但不限于杆件、基础、电源、摄影头、连接线、综合箱、补光灯、供电等）问题导致的摄影头掉线或拍摄质量不达标故障定位、处理及处理配合等工作，直到故障恢复或质量达到标准，并根据要求提供故障报告、故障记录等。</w:t>
            </w:r>
          </w:p>
          <w:p w14:paraId="6D4A5EE8">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pPr>
            <w:r>
              <w:rPr>
                <w:rFonts w:hint="eastAsia" w:ascii="宋体" w:hAnsi="宋体" w:eastAsia="宋体" w:cs="等线 Light"/>
                <w:color w:val="000000"/>
                <w:szCs w:val="21"/>
              </w:rPr>
              <w:t>2</w:t>
            </w:r>
            <w:r>
              <w:rPr>
                <w:rFonts w:hint="eastAsia" w:ascii="宋体" w:hAnsi="宋体" w:eastAsia="宋体" w:cs="等线 Light"/>
                <w:color w:val="000000"/>
                <w:szCs w:val="21"/>
                <w:lang w:eastAsia="zh-CN"/>
              </w:rPr>
              <w:t>、</w:t>
            </w:r>
            <w:r>
              <w:rPr>
                <w:rFonts w:hint="eastAsia" w:ascii="Times New Roman" w:hAnsi="Times New Roman" w:eastAsia="宋体" w:cs="Times New Roman"/>
                <w:sz w:val="21"/>
                <w:szCs w:val="24"/>
                <w:lang w:val="en-US" w:eastAsia="zh-CN" w:bidi="ar-SA"/>
              </w:rPr>
              <w:t>视频</w:t>
            </w:r>
            <w:r>
              <w:rPr>
                <w:rFonts w:ascii="宋体" w:hAnsi="宋体" w:eastAsia="宋体" w:cs="宋体"/>
              </w:rPr>
              <w:t>在线率≥95%。</w:t>
            </w:r>
          </w:p>
          <w:p w14:paraId="527BB094">
            <w:pPr>
              <w:keepNext w:val="0"/>
              <w:keepLines w:val="0"/>
              <w:pageBreakBefore w:val="0"/>
              <w:widowControl/>
              <w:kinsoku/>
              <w:wordWrap/>
              <w:overflowPunct/>
              <w:topLinePunct w:val="0"/>
              <w:autoSpaceDE/>
              <w:autoSpaceDN/>
              <w:bidi w:val="0"/>
              <w:adjustRightInd/>
              <w:snapToGrid/>
              <w:spacing w:line="348" w:lineRule="auto"/>
              <w:jc w:val="left"/>
              <w:textAlignment w:val="top"/>
              <w:rPr>
                <w:rFonts w:ascii="宋体" w:hAnsi="宋体" w:eastAsia="宋体" w:cs="宋体"/>
              </w:rPr>
            </w:pPr>
            <w:r>
              <w:rPr>
                <w:rFonts w:ascii="宋体" w:hAnsi="宋体" w:eastAsia="宋体" w:cs="宋体"/>
              </w:rPr>
              <w:t>提供</w:t>
            </w:r>
            <w:r>
              <w:rPr>
                <w:rFonts w:hint="eastAsia" w:ascii="宋体" w:hAnsi="宋体" w:eastAsia="宋体" w:cs="宋体"/>
                <w:lang w:val="en-US" w:eastAsia="zh-CN"/>
              </w:rPr>
              <w:t>平台</w:t>
            </w:r>
            <w:r>
              <w:rPr>
                <w:rFonts w:ascii="宋体" w:hAnsi="宋体" w:eastAsia="宋体" w:cs="宋体"/>
              </w:rPr>
              <w:t>设备清洁除尘服务</w:t>
            </w:r>
            <w:r>
              <w:rPr>
                <w:rFonts w:hint="eastAsia" w:ascii="宋体" w:hAnsi="宋体" w:cs="宋体"/>
                <w:lang w:eastAsia="zh-CN"/>
              </w:rPr>
              <w:t>、</w:t>
            </w:r>
            <w:r>
              <w:rPr>
                <w:rFonts w:ascii="宋体" w:hAnsi="宋体" w:eastAsia="宋体" w:cs="宋体"/>
              </w:rPr>
              <w:t>设备运行电源检查</w:t>
            </w:r>
            <w:r>
              <w:rPr>
                <w:rFonts w:hint="eastAsia" w:ascii="宋体" w:hAnsi="宋体" w:cs="宋体"/>
                <w:lang w:eastAsia="zh-CN"/>
              </w:rPr>
              <w:t>、</w:t>
            </w:r>
            <w:r>
              <w:rPr>
                <w:rFonts w:ascii="宋体" w:hAnsi="宋体" w:eastAsia="宋体" w:cs="宋体"/>
              </w:rPr>
              <w:t>故障排查服务</w:t>
            </w:r>
            <w:r>
              <w:rPr>
                <w:rFonts w:hint="eastAsia" w:ascii="宋体" w:hAnsi="宋体" w:cs="宋体"/>
                <w:lang w:eastAsia="zh-CN"/>
              </w:rPr>
              <w:t>，</w:t>
            </w:r>
            <w:r>
              <w:rPr>
                <w:rFonts w:ascii="宋体" w:hAnsi="宋体" w:eastAsia="宋体" w:cs="宋体"/>
              </w:rPr>
              <w:t>保障机房设备稳定运行，发现故障及时处置并恢复。</w:t>
            </w:r>
          </w:p>
          <w:p w14:paraId="7D8A7992">
            <w:pPr>
              <w:pStyle w:val="340"/>
              <w:keepNext w:val="0"/>
              <w:keepLines w:val="0"/>
              <w:pageBreakBefore w:val="0"/>
              <w:widowControl/>
              <w:numPr>
                <w:ilvl w:val="0"/>
                <w:numId w:val="3"/>
              </w:numPr>
              <w:kinsoku/>
              <w:wordWrap/>
              <w:overflowPunct/>
              <w:topLinePunct w:val="0"/>
              <w:autoSpaceDE/>
              <w:autoSpaceDN/>
              <w:bidi w:val="0"/>
              <w:adjustRightInd/>
              <w:snapToGrid/>
              <w:spacing w:line="348" w:lineRule="auto"/>
              <w:ind w:left="660" w:leftChars="0" w:firstLineChars="0"/>
              <w:jc w:val="left"/>
              <w:rPr>
                <w:rFonts w:hint="eastAsia" w:ascii="宋体" w:hAnsi="宋体" w:eastAsia="宋体" w:cs="等线 Light"/>
                <w:b/>
                <w:bCs/>
                <w:color w:val="000000"/>
                <w:szCs w:val="21"/>
                <w:lang w:eastAsia="zh-CN"/>
              </w:rPr>
            </w:pPr>
            <w:r>
              <w:rPr>
                <w:rFonts w:hint="eastAsia" w:ascii="宋体" w:hAnsi="宋体" w:eastAsia="宋体" w:cs="等线 Light"/>
                <w:b/>
                <w:bCs/>
                <w:color w:val="000000"/>
                <w:szCs w:val="21"/>
              </w:rPr>
              <w:t>提供</w:t>
            </w:r>
            <w:r>
              <w:rPr>
                <w:rFonts w:hint="eastAsia" w:ascii="宋体" w:hAnsi="宋体" w:eastAsia="宋体" w:cs="等线 Light"/>
                <w:b/>
                <w:bCs/>
                <w:color w:val="000000"/>
                <w:szCs w:val="21"/>
                <w:lang w:val="en-US" w:eastAsia="zh-CN"/>
              </w:rPr>
              <w:t>2</w:t>
            </w:r>
            <w:r>
              <w:rPr>
                <w:rFonts w:hint="eastAsia" w:ascii="宋体" w:hAnsi="宋体" w:eastAsia="宋体" w:cs="等线 Light"/>
                <w:b/>
                <w:bCs/>
                <w:color w:val="000000"/>
                <w:szCs w:val="21"/>
              </w:rPr>
              <w:t>套大模型球机视频画面抓拍升级服务</w:t>
            </w:r>
          </w:p>
          <w:p w14:paraId="53455489">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b/>
                <w:bCs/>
                <w:color w:val="auto"/>
                <w:szCs w:val="21"/>
                <w:lang w:eastAsia="zh-CN"/>
              </w:rPr>
            </w:pPr>
            <w:r>
              <w:rPr>
                <w:rFonts w:hint="eastAsia" w:ascii="宋体" w:hAnsi="宋体" w:eastAsia="宋体" w:cs="等线 Light"/>
                <w:color w:val="auto"/>
                <w:szCs w:val="21"/>
              </w:rPr>
              <w:t>提供</w:t>
            </w:r>
            <w:r>
              <w:rPr>
                <w:rFonts w:hint="eastAsia" w:ascii="宋体" w:hAnsi="宋体" w:eastAsia="宋体" w:cs="等线 Light"/>
                <w:color w:val="auto"/>
                <w:szCs w:val="21"/>
                <w:lang w:val="en-US" w:eastAsia="zh-CN"/>
              </w:rPr>
              <w:t>灌阳县</w:t>
            </w:r>
            <w:r>
              <w:rPr>
                <w:rFonts w:hint="eastAsia" w:ascii="宋体" w:hAnsi="宋体" w:eastAsia="宋体" w:cs="等线 Light"/>
                <w:color w:val="auto"/>
                <w:szCs w:val="21"/>
              </w:rPr>
              <w:t>内</w:t>
            </w:r>
            <w:r>
              <w:rPr>
                <w:rFonts w:hint="eastAsia" w:ascii="宋体" w:hAnsi="宋体" w:eastAsia="宋体" w:cs="等线 Light"/>
                <w:color w:val="auto"/>
                <w:szCs w:val="21"/>
                <w:lang w:val="en-US" w:eastAsia="zh-CN"/>
              </w:rPr>
              <w:t>原有两个重点路口原有监控设备升级</w:t>
            </w:r>
            <w:r>
              <w:rPr>
                <w:rFonts w:hint="eastAsia" w:ascii="宋体" w:hAnsi="宋体" w:eastAsia="宋体" w:cs="等线 Light"/>
                <w:color w:val="auto"/>
                <w:szCs w:val="21"/>
              </w:rPr>
              <w:t>服务，具体要求如下：</w:t>
            </w:r>
          </w:p>
          <w:p w14:paraId="764D84B2">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1、全景路视频图像像素：≥600万，细节路视频图像像素：≥400万，支持：≥25倍光学变倍。</w:t>
            </w:r>
          </w:p>
          <w:p w14:paraId="65506962">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2、支持全景通道最低照度彩色：≤0.0005 lx，黑白：≤0.0001 lx；细节通道最低照度彩色：≤0.0005 lx，黑白：≤0.0001 lx,；补光灯距离：全景通道：≥50米，细节通道：≥200米。</w:t>
            </w:r>
          </w:p>
          <w:p w14:paraId="69002F13">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3、摄像机内置：≥3个镜头，可输出至少一路全景视频和一路细节</w:t>
            </w:r>
            <w:r>
              <w:rPr>
                <w:rFonts w:hint="eastAsia" w:ascii="宋体" w:hAnsi="宋体" w:eastAsia="宋体" w:cs="等线 Light"/>
                <w:color w:val="000000"/>
                <w:szCs w:val="21"/>
                <w:lang w:val="en-US" w:eastAsia="zh-CN"/>
              </w:rPr>
              <w:t>视频</w:t>
            </w:r>
            <w:r>
              <w:rPr>
                <w:rFonts w:hint="eastAsia" w:ascii="宋体" w:hAnsi="宋体" w:eastAsia="宋体" w:cs="宋体"/>
                <w:sz w:val="21"/>
                <w:szCs w:val="21"/>
                <w:lang w:val="en-US" w:eastAsia="zh-CN"/>
              </w:rPr>
              <w:t>，其中全景内置：≥2个镜头，细节内置：≥1个镜头。</w:t>
            </w:r>
          </w:p>
          <w:p w14:paraId="126B87EE">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4、内置：≥2颗GPU芯片，全景通道可输出两个镜头无缝拼接的全景图像，纵向拼接偏差像素不大于4个像素，全景画面水平视场角：≥190°，垂直视场角：≥80°。</w:t>
            </w:r>
          </w:p>
          <w:p w14:paraId="6B759031">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r>
              <w:rPr>
                <w:rFonts w:hint="eastAsia" w:ascii="宋体" w:hAnsi="宋体" w:eastAsia="宋体" w:cs="等线 Light"/>
                <w:color w:val="000000"/>
                <w:szCs w:val="21"/>
                <w:lang w:val="en-US" w:eastAsia="zh-CN"/>
              </w:rPr>
              <w:t>声音</w:t>
            </w:r>
            <w:r>
              <w:rPr>
                <w:rFonts w:hint="eastAsia" w:ascii="宋体" w:hAnsi="宋体" w:eastAsia="宋体" w:cs="宋体"/>
                <w:sz w:val="21"/>
                <w:szCs w:val="21"/>
                <w:lang w:val="en-US" w:eastAsia="zh-CN"/>
              </w:rPr>
              <w:t>报警输出功能，可通过IE浏览器设置音频类型为：≥10种警戒音、提示音、自定义语音，报警次数：≥1～50次可设；闪光灯报警输出功能，可通过IE浏览器设置闪光灯闪烁时间（≥1-300），闪烁频率（高、中、低、常亮），亮度（≥1-100），可通过区域入侵侦测、越界侦测、进入区域侦测、离开区域侦测等报警事件，联动闪光报警、声音报警。</w:t>
            </w:r>
          </w:p>
          <w:p w14:paraId="4ABDFAF0">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6、支持水平旋转范围360°连续旋转，垂直旋转范围≥-20°～90°，全景通道可进行垂直旋转，旋转角度范围≥12°，并可进行调节。</w:t>
            </w:r>
          </w:p>
          <w:p w14:paraId="709D0F86">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7、开启混合目标检测模式后，设备可同时对行人、非机动车、机动车进行检测、跟踪、抓拍，可支持人脸与人体，车牌与车辆的关联显示。</w:t>
            </w:r>
          </w:p>
          <w:p w14:paraId="416C37FF">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支持人脸、人体混合检测和人脸比对功能，对检测区域内的人脸、人体进行同时抓拍上传，支持人脸、人体结构化属性特征信息提取；前端存储≥15万张人脸图片进行建模后，对场景中抓拍的人脸进行比对并输出结果。</w:t>
            </w:r>
          </w:p>
          <w:p w14:paraId="5FB93C66">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9、在设备上方进行喷水操作，水流方向和水平方向夹角≥42°时，设备视窗应无水流直接接触。</w:t>
            </w:r>
          </w:p>
          <w:p w14:paraId="6E97C01B">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宋体"/>
                <w:sz w:val="21"/>
                <w:szCs w:val="21"/>
                <w:lang w:val="en-US" w:eastAsia="zh-CN"/>
              </w:rPr>
            </w:pPr>
            <w:r>
              <w:rPr>
                <w:rFonts w:hint="eastAsia" w:hAnsi="宋体" w:cs="宋体"/>
                <w:kern w:val="0"/>
                <w:szCs w:val="21"/>
                <w:lang w:bidi="ar"/>
              </w:rPr>
              <w:t>▲</w:t>
            </w:r>
            <w:r>
              <w:rPr>
                <w:rFonts w:hint="eastAsia" w:ascii="宋体" w:hAnsi="宋体" w:eastAsia="宋体" w:cs="宋体"/>
                <w:sz w:val="21"/>
                <w:szCs w:val="21"/>
                <w:lang w:val="en-US" w:eastAsia="zh-CN"/>
              </w:rPr>
              <w:t>10、具有AI-ISP图像质量提升功能，在低照度环境下，可自动调节预览场景视频画面中人脸、人体、车辆等目标及预览场景视频画面的区域曝光、亮度、色彩饱和度、对比度、锐度等。</w:t>
            </w:r>
          </w:p>
          <w:p w14:paraId="069F700E">
            <w:pPr>
              <w:pStyle w:val="220"/>
              <w:keepNext w:val="0"/>
              <w:keepLines w:val="0"/>
              <w:pageBreakBefore w:val="0"/>
              <w:kinsoku/>
              <w:wordWrap/>
              <w:overflowPunct/>
              <w:topLinePunct w:val="0"/>
              <w:autoSpaceDE/>
              <w:autoSpaceDN/>
              <w:bidi w:val="0"/>
              <w:adjustRightInd/>
              <w:snapToGrid/>
              <w:spacing w:line="348"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11、可通过客户端软件或IE浏览器在预览界面上用鼠标控制云台转动、镜头变倍、调焦，并用虚拟摇杆控制云台转动。</w:t>
            </w:r>
          </w:p>
          <w:p w14:paraId="2C270220">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宋体"/>
                <w:sz w:val="21"/>
                <w:szCs w:val="21"/>
                <w:lang w:val="en-US" w:eastAsia="zh-CN"/>
              </w:rPr>
            </w:pPr>
            <w:r>
              <w:rPr>
                <w:rFonts w:hint="eastAsia" w:hAnsi="宋体" w:cs="宋体"/>
                <w:kern w:val="0"/>
                <w:szCs w:val="21"/>
                <w:lang w:bidi="ar"/>
              </w:rPr>
              <w:t>▲</w:t>
            </w:r>
            <w:r>
              <w:rPr>
                <w:rFonts w:hint="eastAsia" w:ascii="宋体" w:hAnsi="宋体" w:eastAsia="宋体" w:cs="等线 Light"/>
                <w:color w:val="000000"/>
                <w:szCs w:val="21"/>
                <w:lang w:val="en-US" w:eastAsia="zh-CN"/>
              </w:rPr>
              <w:t>12</w:t>
            </w:r>
            <w:r>
              <w:rPr>
                <w:rFonts w:hint="eastAsia" w:ascii="宋体" w:hAnsi="宋体" w:eastAsia="宋体" w:cs="宋体"/>
                <w:sz w:val="21"/>
                <w:szCs w:val="21"/>
                <w:lang w:val="en-US" w:eastAsia="zh-CN"/>
              </w:rPr>
              <w:t>、内置≥8GB存储，内置大模型算法芯片，可调用大模型算法检测并分类识别目标（人员、机动车、动物）。</w:t>
            </w:r>
          </w:p>
          <w:p w14:paraId="112F7B08">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13、可从诊断信息中导出云台控制历史记录，包括：手动键控PTZ、3D定位、手动调用预置点、手动调用花扫、手动调用巡航。</w:t>
            </w:r>
          </w:p>
          <w:p w14:paraId="47FF3FCD">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宋体"/>
                <w:sz w:val="21"/>
                <w:szCs w:val="21"/>
                <w:lang w:val="en-US" w:eastAsia="zh-CN"/>
              </w:rPr>
            </w:pPr>
            <w:r>
              <w:rPr>
                <w:rFonts w:hint="eastAsia" w:hAnsi="宋体" w:cs="宋体"/>
                <w:kern w:val="0"/>
                <w:szCs w:val="21"/>
                <w:lang w:bidi="ar"/>
              </w:rPr>
              <w:t>▲</w:t>
            </w:r>
            <w:r>
              <w:rPr>
                <w:rFonts w:hint="eastAsia" w:ascii="宋体" w:hAnsi="宋体" w:eastAsia="宋体" w:cs="等线 Light"/>
                <w:color w:val="000000"/>
                <w:szCs w:val="21"/>
                <w:lang w:val="en-US" w:eastAsia="zh-CN"/>
              </w:rPr>
              <w:t>14</w:t>
            </w:r>
            <w:r>
              <w:rPr>
                <w:rFonts w:hint="eastAsia" w:ascii="宋体" w:hAnsi="宋体" w:eastAsia="宋体" w:cs="宋体"/>
                <w:sz w:val="21"/>
                <w:szCs w:val="21"/>
                <w:lang w:val="en-US" w:eastAsia="zh-CN"/>
              </w:rPr>
              <w:t xml:space="preserve">、支持大模型Smart事件功能，白天（大气能见度≤5km，白天环境照度≤19800lx）全景通道可检测距离设备≥60m处的人员，夜晚（辅助照明光照度≤26lx）全景通道可检测距离设备≥40m处的人员；白天（白天环境照度≤19800lx）细节通道可检测设备距离设备≥100m处的人员，夜晚（辅助照明光照度≤26lx）细节通道可检测距离设备≥70m处的人员。 </w:t>
            </w:r>
          </w:p>
          <w:p w14:paraId="47B9636F">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w:t>
            </w:r>
            <w:r>
              <w:rPr>
                <w:rFonts w:hint="eastAsia" w:ascii="宋体" w:hAnsi="宋体" w:eastAsia="宋体" w:cs="等线 Light"/>
                <w:color w:val="000000"/>
                <w:szCs w:val="21"/>
                <w:lang w:val="en-US" w:eastAsia="zh-CN"/>
              </w:rPr>
              <w:t>全景</w:t>
            </w:r>
            <w:r>
              <w:rPr>
                <w:rFonts w:hint="eastAsia" w:ascii="宋体" w:hAnsi="宋体" w:eastAsia="宋体" w:cs="宋体"/>
                <w:sz w:val="21"/>
                <w:szCs w:val="21"/>
                <w:lang w:val="en-US" w:eastAsia="zh-CN"/>
              </w:rPr>
              <w:t>通道支持拼接畸变矫正，可分别对全景拼接画面的畸变、姿态角、旋转角进行调节（1-100可调），优化拼接效果。</w:t>
            </w:r>
          </w:p>
          <w:p w14:paraId="37479D2C">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w:t>
            </w:r>
            <w:r>
              <w:rPr>
                <w:rFonts w:hint="eastAsia" w:ascii="宋体" w:hAnsi="宋体" w:eastAsia="宋体" w:cs="等线 Light"/>
                <w:color w:val="000000"/>
                <w:szCs w:val="21"/>
                <w:lang w:val="en-US" w:eastAsia="zh-CN"/>
              </w:rPr>
              <w:t>支持</w:t>
            </w:r>
            <w:r>
              <w:rPr>
                <w:rFonts w:hint="eastAsia" w:ascii="宋体" w:hAnsi="宋体" w:eastAsia="宋体" w:cs="宋体"/>
                <w:sz w:val="21"/>
                <w:szCs w:val="21"/>
                <w:lang w:val="en-US" w:eastAsia="zh-CN"/>
              </w:rPr>
              <w:t>AR标签管理功能，最多可添加500个标签，支持AR标签联动查看功能，可选中标签并将该标签置于屏幕中心位置进行显示，可通过点击视频画面中的标签查看标签内容并对标签关联的摄像机视频图像进行预览，并可通过点击摄像机预览窗口进行放大窗口操作。</w:t>
            </w:r>
          </w:p>
          <w:p w14:paraId="0DAE4AE6">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17、可同时对行人、非机动车、机动车进行检测、跟踪、抓拍,可支持人脸与人体、车牌与车辆关联显示。目标属性显示功能支持人脸属性、人体属性、非机动车属性、机动车属性。</w:t>
            </w:r>
          </w:p>
          <w:p w14:paraId="24A8ED7C">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lang w:val="en-US" w:eastAsia="zh-CN"/>
              </w:rPr>
            </w:pPr>
            <w:r>
              <w:rPr>
                <w:rFonts w:hint="eastAsia" w:ascii="宋体" w:hAnsi="宋体" w:eastAsia="宋体" w:cs="宋体"/>
                <w:sz w:val="21"/>
                <w:szCs w:val="21"/>
                <w:lang w:val="en-US" w:eastAsia="zh-CN"/>
              </w:rPr>
              <w:t>18、</w:t>
            </w:r>
            <w:r>
              <w:rPr>
                <w:rFonts w:hint="eastAsia" w:ascii="宋体" w:hAnsi="宋体" w:eastAsia="宋体" w:cs="等线 Light"/>
                <w:color w:val="000000"/>
                <w:szCs w:val="21"/>
                <w:lang w:val="en-US" w:eastAsia="zh-CN"/>
              </w:rPr>
              <w:t>防护</w:t>
            </w:r>
            <w:r>
              <w:rPr>
                <w:rFonts w:hint="eastAsia" w:ascii="宋体" w:hAnsi="宋体" w:eastAsia="宋体" w:cs="宋体"/>
                <w:sz w:val="21"/>
                <w:szCs w:val="21"/>
                <w:lang w:val="en-US" w:eastAsia="zh-CN"/>
              </w:rPr>
              <w:t>等级≥IP67，支持在-40 ℃～70 ℃温度变化范围内正常稳定的工作。</w:t>
            </w:r>
          </w:p>
          <w:p w14:paraId="0BF062A2">
            <w:pPr>
              <w:pStyle w:val="340"/>
              <w:keepNext w:val="0"/>
              <w:keepLines w:val="0"/>
              <w:pageBreakBefore w:val="0"/>
              <w:widowControl/>
              <w:numPr>
                <w:ilvl w:val="0"/>
                <w:numId w:val="3"/>
              </w:numPr>
              <w:kinsoku/>
              <w:wordWrap/>
              <w:overflowPunct/>
              <w:topLinePunct w:val="0"/>
              <w:autoSpaceDE/>
              <w:autoSpaceDN/>
              <w:bidi w:val="0"/>
              <w:adjustRightInd/>
              <w:snapToGrid/>
              <w:spacing w:line="348" w:lineRule="auto"/>
              <w:ind w:left="660" w:leftChars="0" w:firstLineChars="0"/>
              <w:jc w:val="left"/>
              <w:rPr>
                <w:rFonts w:hint="eastAsia" w:ascii="宋体" w:hAnsi="宋体" w:eastAsia="宋体" w:cs="等线 Light"/>
                <w:b/>
                <w:bCs/>
                <w:color w:val="000000"/>
                <w:szCs w:val="21"/>
              </w:rPr>
            </w:pPr>
            <w:r>
              <w:rPr>
                <w:rFonts w:hint="eastAsia" w:ascii="宋体" w:hAnsi="宋体" w:eastAsia="宋体" w:cs="等线 Light"/>
                <w:b/>
                <w:bCs/>
                <w:color w:val="000000"/>
                <w:szCs w:val="21"/>
              </w:rPr>
              <w:t>综合监控应用平台服务</w:t>
            </w:r>
          </w:p>
          <w:p w14:paraId="34F55ECA">
            <w:pPr>
              <w:keepNext w:val="0"/>
              <w:keepLines w:val="0"/>
              <w:pageBreakBefore w:val="0"/>
              <w:widowControl/>
              <w:numPr>
                <w:ilvl w:val="0"/>
                <w:numId w:val="4"/>
              </w:numPr>
              <w:kinsoku/>
              <w:wordWrap/>
              <w:overflowPunct/>
              <w:topLinePunct w:val="0"/>
              <w:autoSpaceDE/>
              <w:autoSpaceDN/>
              <w:bidi w:val="0"/>
              <w:adjustRightInd/>
              <w:snapToGrid/>
              <w:spacing w:line="348" w:lineRule="auto"/>
              <w:jc w:val="left"/>
              <w:rPr>
                <w:rFonts w:ascii="宋体" w:hAnsi="宋体" w:cs="等线 Light"/>
                <w:color w:val="000000"/>
                <w:szCs w:val="21"/>
              </w:rPr>
            </w:pPr>
            <w:r>
              <w:rPr>
                <w:rFonts w:hint="eastAsia" w:ascii="宋体" w:hAnsi="宋体" w:cs="等线 Light"/>
                <w:b/>
                <w:bCs/>
                <w:color w:val="000000"/>
                <w:szCs w:val="21"/>
              </w:rPr>
              <w:t>提供综合监控应用平台使用服务</w:t>
            </w:r>
            <w:r>
              <w:rPr>
                <w:rFonts w:hint="eastAsia" w:ascii="宋体" w:hAnsi="宋体" w:cs="等线 Light"/>
                <w:color w:val="000000"/>
                <w:szCs w:val="21"/>
              </w:rPr>
              <w:t>，并将</w:t>
            </w:r>
            <w:r>
              <w:rPr>
                <w:rFonts w:hint="eastAsia" w:ascii="宋体" w:hAnsi="宋体" w:cs="等线 Light"/>
                <w:color w:val="000000"/>
                <w:szCs w:val="21"/>
                <w:lang w:val="en-US" w:eastAsia="zh-CN"/>
              </w:rPr>
              <w:t>3200</w:t>
            </w:r>
            <w:r>
              <w:rPr>
                <w:rFonts w:hint="eastAsia" w:ascii="宋体" w:hAnsi="宋体" w:cs="等线 Light"/>
                <w:color w:val="000000"/>
                <w:szCs w:val="21"/>
              </w:rPr>
              <w:t>个分散、独立的视频图像采集点进行联网、画面查看、录像调阅，实现跨区域、全网范围内的统一监控、统一存储、统一管理和资源共享，支持标准SDK、ONVIF、GB28181 协议的IPC、CVR 设备等对接，同时开放接口供第三方厂家接入。监控应用平台系统集视频采集分析、图片存储以及数据检索的分析和应用，可以对实时视频及历史视频进行检索与调用</w:t>
            </w:r>
            <w:r>
              <w:rPr>
                <w:rFonts w:hint="eastAsia" w:ascii="宋体" w:hAnsi="宋体" w:cs="等线 Light"/>
                <w:color w:val="000000"/>
                <w:szCs w:val="21"/>
                <w:lang w:eastAsia="zh-CN"/>
              </w:rPr>
              <w:t>，</w:t>
            </w:r>
            <w:r>
              <w:rPr>
                <w:rFonts w:hint="eastAsia" w:ascii="宋体" w:hAnsi="宋体" w:cs="等线 Light"/>
                <w:color w:val="000000"/>
                <w:szCs w:val="21"/>
                <w:lang w:val="en-US" w:eastAsia="zh-CN"/>
              </w:rPr>
              <w:t>并提供视频的接入授权及平台运维</w:t>
            </w:r>
            <w:r>
              <w:rPr>
                <w:rFonts w:hint="eastAsia" w:ascii="宋体" w:hAnsi="宋体" w:cs="等线 Light"/>
                <w:color w:val="000000"/>
                <w:szCs w:val="21"/>
              </w:rPr>
              <w:t>服务，综合监控应用平台服务应包含以下功能：</w:t>
            </w:r>
          </w:p>
          <w:p w14:paraId="44787323">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cs="等线 Light"/>
                <w:color w:val="000000"/>
                <w:szCs w:val="21"/>
              </w:rPr>
            </w:pPr>
            <w:r>
              <w:rPr>
                <w:rFonts w:hint="eastAsia"/>
              </w:rPr>
              <w:t>1</w:t>
            </w:r>
            <w:r>
              <w:rPr>
                <w:rFonts w:hint="eastAsia" w:ascii="宋体" w:hAnsi="宋体" w:cs="等线 Light"/>
                <w:color w:val="000000"/>
                <w:szCs w:val="21"/>
              </w:rPr>
              <w:t>、</w:t>
            </w:r>
            <w:r>
              <w:rPr>
                <w:rFonts w:hint="eastAsia" w:ascii="宋体" w:hAnsi="宋体" w:eastAsia="宋体" w:cs="等线 Light"/>
                <w:color w:val="000000"/>
                <w:szCs w:val="21"/>
              </w:rPr>
              <w:t>用户</w:t>
            </w:r>
            <w:r>
              <w:rPr>
                <w:rFonts w:hint="eastAsia" w:ascii="宋体" w:hAnsi="宋体" w:cs="等线 Light"/>
                <w:color w:val="000000"/>
                <w:szCs w:val="21"/>
              </w:rPr>
              <w:t>身份认证服务：支持用户名密码登录方式，用户首次登录或重置密码后登录需强制修改密码，支持密码输入自动隐藏明文功能。</w:t>
            </w:r>
          </w:p>
          <w:p w14:paraId="5BE5D690">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cs="等线 Light"/>
                <w:color w:val="000000"/>
                <w:szCs w:val="21"/>
              </w:rPr>
            </w:pPr>
            <w:r>
              <w:rPr>
                <w:rFonts w:hint="eastAsia" w:ascii="宋体" w:hAnsi="宋体" w:cs="等线 Light"/>
                <w:color w:val="000000"/>
                <w:szCs w:val="21"/>
              </w:rPr>
              <w:t>2、</w:t>
            </w:r>
            <w:r>
              <w:rPr>
                <w:rFonts w:hint="eastAsia" w:ascii="宋体" w:hAnsi="宋体" w:eastAsia="宋体" w:cs="等线 Light"/>
                <w:color w:val="000000"/>
                <w:szCs w:val="21"/>
              </w:rPr>
              <w:t>应用</w:t>
            </w:r>
            <w:r>
              <w:rPr>
                <w:rFonts w:hint="eastAsia" w:ascii="宋体" w:hAnsi="宋体" w:cs="等线 Light"/>
                <w:color w:val="000000"/>
                <w:szCs w:val="21"/>
              </w:rPr>
              <w:t>标签服务：支持应用以标签页方式嵌入显示在门户中，最多支持打开20个标签页；支持刷新、关闭当前标签页，同时支持快速关闭当前标签页左侧或右侧所有应用、关闭除了当前应用外所有应用、以及关闭所有已打开的应用。</w:t>
            </w:r>
          </w:p>
          <w:p w14:paraId="1B652BC8">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cs="等线 Light"/>
                <w:color w:val="000000"/>
                <w:szCs w:val="21"/>
              </w:rPr>
            </w:pPr>
            <w:r>
              <w:rPr>
                <w:rFonts w:hint="eastAsia" w:ascii="宋体" w:hAnsi="宋体" w:cs="等线 Light"/>
                <w:color w:val="000000"/>
                <w:szCs w:val="21"/>
              </w:rPr>
              <w:t>▲3、资源目录服务：支持切换查看基础目录及业务目录，资源以资源树形式展示，点击可查看下层资源及点位，支持点位周边搜索，在地图上自由选择当前等点位周边点位，并支持对所选点位进行预览、回放、收藏、定位到资源树及查看属性。</w:t>
            </w:r>
          </w:p>
          <w:p w14:paraId="134D467D">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cs="等线 Light"/>
                <w:color w:val="000000"/>
                <w:szCs w:val="21"/>
              </w:rPr>
            </w:pPr>
            <w:r>
              <w:rPr>
                <w:rFonts w:hint="eastAsia" w:ascii="宋体" w:hAnsi="宋体" w:cs="等线 Light"/>
                <w:color w:val="000000"/>
                <w:szCs w:val="21"/>
              </w:rPr>
              <w:t>4、实时预览控制服务：支持多屏播放，支持切换画面为1、4、9、16、25、1+5、3+4、1+7、2+9、3+8、1+12、1+1+12、4+9、1+16及自定义屏幕分屏，支持画面以4:3或16:9展示，支持全屏播放。</w:t>
            </w:r>
          </w:p>
          <w:p w14:paraId="1695F10B">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cs="等线 Light"/>
                <w:color w:val="000000"/>
                <w:szCs w:val="21"/>
              </w:rPr>
            </w:pPr>
            <w:r>
              <w:rPr>
                <w:rFonts w:hint="eastAsia" w:ascii="宋体" w:hAnsi="宋体" w:cs="等线 Light"/>
                <w:color w:val="000000"/>
                <w:szCs w:val="21"/>
              </w:rPr>
              <w:t>5、</w:t>
            </w:r>
            <w:r>
              <w:rPr>
                <w:rFonts w:hint="eastAsia" w:ascii="宋体" w:hAnsi="宋体" w:eastAsia="宋体" w:cs="等线 Light"/>
                <w:color w:val="000000"/>
                <w:szCs w:val="21"/>
              </w:rPr>
              <w:t>云台</w:t>
            </w:r>
            <w:r>
              <w:rPr>
                <w:rFonts w:hint="eastAsia" w:ascii="宋体" w:hAnsi="宋体" w:cs="等线 Light"/>
                <w:color w:val="000000"/>
                <w:szCs w:val="21"/>
              </w:rPr>
              <w:t>控制服务：支持高权限用户抢占云台控制权限，并支持云台锁定，可设置云台锁定时长。</w:t>
            </w:r>
          </w:p>
          <w:p w14:paraId="114CFF5A">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000000"/>
                <w:szCs w:val="21"/>
              </w:rPr>
            </w:pPr>
            <w:r>
              <w:rPr>
                <w:rFonts w:hint="eastAsia" w:ascii="宋体" w:hAnsi="宋体" w:cs="等线 Light"/>
                <w:color w:val="000000"/>
                <w:szCs w:val="21"/>
              </w:rPr>
              <w:t>▲6</w:t>
            </w:r>
            <w:r>
              <w:rPr>
                <w:rFonts w:hint="eastAsia" w:ascii="宋体" w:hAnsi="宋体" w:eastAsia="宋体" w:cs="等线 Light"/>
                <w:color w:val="000000"/>
                <w:szCs w:val="21"/>
              </w:rPr>
              <w:t>、录像回放服务：支持录像分段回放功能，可以将录像文件等分成多个片段同时回放，通过分割点的图像差异，快速确定回放关键录像时段，支持针对一段录像进行标签标注。</w:t>
            </w:r>
          </w:p>
          <w:p w14:paraId="51ECD6B1">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000000"/>
                <w:szCs w:val="21"/>
              </w:rPr>
            </w:pPr>
            <w:r>
              <w:rPr>
                <w:rFonts w:hint="eastAsia" w:ascii="宋体" w:hAnsi="宋体" w:eastAsia="宋体" w:cs="等线 Light"/>
                <w:color w:val="000000"/>
                <w:szCs w:val="21"/>
              </w:rPr>
              <w:t>7、回放配置服务：支持设置是否开启直连云存储高倍速回放，开启后点位可支持32倍、64倍高倍速播放，支持高倍速播放的点位画面上会有图标标明。</w:t>
            </w:r>
          </w:p>
          <w:p w14:paraId="05F52A95">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000000"/>
                <w:szCs w:val="21"/>
              </w:rPr>
            </w:pPr>
            <w:r>
              <w:rPr>
                <w:rFonts w:hint="eastAsia" w:ascii="宋体" w:hAnsi="宋体" w:eastAsia="宋体" w:cs="等线 Light"/>
                <w:color w:val="000000"/>
                <w:szCs w:val="21"/>
              </w:rPr>
              <w:t>8、视频预案服务：支持查看预案点位，支持在资源列表或者地图上选中某个视频监控点位，可以查看点位的具体详情，如点位名称、功能、状态、类型等；支持点位视频预览、回放、周边信息检索等快捷操作。</w:t>
            </w:r>
          </w:p>
          <w:p w14:paraId="296F4749">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000000"/>
                <w:szCs w:val="21"/>
              </w:rPr>
            </w:pPr>
            <w:r>
              <w:rPr>
                <w:rFonts w:hint="eastAsia" w:ascii="宋体" w:hAnsi="宋体" w:eastAsia="宋体" w:cs="等线 Light"/>
                <w:color w:val="000000"/>
                <w:szCs w:val="21"/>
              </w:rPr>
              <w:t>▲9、查询中心服务：支持勾选暂存架内文件，生成多类型目标混合的单条轨迹，并在地图上展示，支持勾选暂存架内文件，依照目标分类生成不同目标的多条轨迹，并在地图上展示。</w:t>
            </w:r>
          </w:p>
          <w:p w14:paraId="2D0E74FE">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cs="等线 Light"/>
                <w:color w:val="000000"/>
                <w:szCs w:val="21"/>
              </w:rPr>
            </w:pPr>
            <w:r>
              <w:rPr>
                <w:rFonts w:hint="eastAsia" w:ascii="宋体" w:hAnsi="宋体" w:eastAsia="宋体" w:cs="等线 Light"/>
                <w:color w:val="000000"/>
                <w:szCs w:val="21"/>
              </w:rPr>
              <w:t>▲10、一键</w:t>
            </w:r>
            <w:r>
              <w:rPr>
                <w:rFonts w:hint="eastAsia" w:ascii="宋体" w:hAnsi="宋体" w:cs="等线 Light"/>
                <w:color w:val="000000"/>
                <w:szCs w:val="21"/>
              </w:rPr>
              <w:t>运维服务：B/S端支持针对所选区域下的监控点状态、录像巡检状态、视频诊断状态及点播状态进行一键巡检，并展示异常状态及在线状态数据，同时支持巡检数据导出，同时支持依照所选区域及其子区域的巡检得分排名。</w:t>
            </w:r>
          </w:p>
          <w:p w14:paraId="1EAAF3F7">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000000"/>
                <w:szCs w:val="21"/>
              </w:rPr>
            </w:pPr>
            <w:r>
              <w:rPr>
                <w:rFonts w:hint="eastAsia" w:ascii="宋体" w:hAnsi="宋体" w:cs="等线 Light"/>
                <w:color w:val="000000"/>
                <w:szCs w:val="21"/>
              </w:rPr>
              <w:t>▲11</w:t>
            </w:r>
            <w:r>
              <w:rPr>
                <w:rFonts w:hint="eastAsia" w:ascii="宋体" w:hAnsi="宋体" w:eastAsia="宋体" w:cs="等线 Light"/>
                <w:color w:val="000000"/>
                <w:szCs w:val="21"/>
              </w:rPr>
              <w:t>、监控点在线监测服务：监控点取流链路诊断，支持图形化展示监控取流链路诊断结果，并显示错误信息以及错误解决建议，同时支持展示设备最近告警信息及监控点最近告警信息。</w:t>
            </w:r>
          </w:p>
          <w:p w14:paraId="1F5E0D58">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000000"/>
                <w:szCs w:val="21"/>
              </w:rPr>
            </w:pPr>
            <w:r>
              <w:rPr>
                <w:rFonts w:hint="eastAsia" w:ascii="宋体" w:hAnsi="宋体" w:eastAsia="宋体" w:cs="等线 Light"/>
                <w:color w:val="000000"/>
                <w:szCs w:val="21"/>
              </w:rPr>
              <w:t>▲12、运行管理中心服务：支持组件化微服务架构设计，支持整个系统的健康状况概览，可视化界面展示监控服务器及组件服务数量、运行状态、资源状态及告警状态，并支持以颜色区分节点及服务器连接的告警紧急程度。</w:t>
            </w:r>
          </w:p>
          <w:p w14:paraId="7632AECD">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cs="等线 Light"/>
                <w:color w:val="000000"/>
                <w:szCs w:val="21"/>
              </w:rPr>
            </w:pPr>
            <w:r>
              <w:rPr>
                <w:rFonts w:hint="eastAsia" w:ascii="宋体" w:hAnsi="宋体" w:eastAsia="宋体" w:cs="等线 Light"/>
                <w:color w:val="000000"/>
                <w:szCs w:val="21"/>
              </w:rPr>
              <w:t>13、门户管理</w:t>
            </w:r>
            <w:r>
              <w:rPr>
                <w:rFonts w:hint="eastAsia" w:ascii="宋体" w:hAnsi="宋体" w:cs="等线 Light"/>
                <w:color w:val="000000"/>
                <w:szCs w:val="21"/>
              </w:rPr>
              <w:t>服务：支持设置接收报警后是否有声音提示，支持设置告警声音为语音引擎、蜂鸣器或本地声音文件，支持设置声音播放次数。</w:t>
            </w:r>
          </w:p>
          <w:p w14:paraId="1168D367">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000000"/>
                <w:szCs w:val="21"/>
              </w:rPr>
            </w:pPr>
            <w:r>
              <w:rPr>
                <w:rFonts w:hint="eastAsia" w:ascii="宋体" w:hAnsi="宋体" w:cs="等线 Light"/>
                <w:color w:val="000000"/>
                <w:szCs w:val="21"/>
              </w:rPr>
              <w:t>14、系</w:t>
            </w:r>
            <w:r>
              <w:rPr>
                <w:rFonts w:hint="eastAsia" w:ascii="宋体" w:hAnsi="宋体" w:eastAsia="宋体" w:cs="等线 Light"/>
                <w:color w:val="000000"/>
                <w:szCs w:val="21"/>
              </w:rPr>
              <w:t>统维护服务：支持针对服务参数、客户端参数、告警策略、校时、多线路和防火墙策略进行配置，并支持配置下发，支持集群license管理。</w:t>
            </w:r>
          </w:p>
          <w:p w14:paraId="7D82E3AA">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000000"/>
                <w:szCs w:val="21"/>
              </w:rPr>
            </w:pPr>
            <w:r>
              <w:rPr>
                <w:rFonts w:hint="eastAsia" w:ascii="宋体" w:hAnsi="宋体" w:eastAsia="宋体" w:cs="等线 Light"/>
                <w:color w:val="000000"/>
                <w:szCs w:val="21"/>
              </w:rPr>
              <w:t>15、点播功能服务：按照指定设备、指定通道进行图像的实时点播，支持点播图像的显示、缩放、抓拍和录像，支持多用户对同一图像资源的同时点播，支持基于GIS地图的图像点播。</w:t>
            </w:r>
          </w:p>
          <w:p w14:paraId="2164FB61">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000000"/>
                <w:szCs w:val="21"/>
              </w:rPr>
            </w:pPr>
            <w:r>
              <w:rPr>
                <w:rFonts w:hint="eastAsia" w:ascii="宋体" w:hAnsi="宋体" w:eastAsia="宋体" w:cs="等线 Light"/>
                <w:color w:val="000000"/>
                <w:szCs w:val="21"/>
              </w:rPr>
              <w:t>16、用户身份认证服务：应对管理平台的用户身份进行合法性认证。只有通过身份认证的用户才能访问管理平台。</w:t>
            </w:r>
          </w:p>
          <w:p w14:paraId="200489C4">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000000"/>
                <w:szCs w:val="21"/>
              </w:rPr>
            </w:pPr>
            <w:r>
              <w:rPr>
                <w:rFonts w:hint="eastAsia" w:ascii="宋体" w:hAnsi="宋体" w:eastAsia="宋体" w:cs="等线 Light"/>
                <w:color w:val="000000"/>
                <w:szCs w:val="21"/>
              </w:rPr>
              <w:t>17、录像检查服务：支持录像详情查看，详情项包括基本信息（所在区域、监控点名称、IP地址及端口号、通道号、设备厂商、录像结果、在线状态、存储类型、所属设备状态、录像巡检时间、在线巡检时间、录像保存天数、资源编码）。</w:t>
            </w:r>
          </w:p>
          <w:p w14:paraId="226702E9">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default" w:ascii="宋体" w:hAnsi="宋体" w:eastAsia="宋体" w:cs="宋体"/>
                <w:lang w:val="en-US" w:eastAsia="zh-CN"/>
              </w:rPr>
            </w:pPr>
            <w:r>
              <w:rPr>
                <w:rFonts w:hint="eastAsia" w:ascii="宋体" w:hAnsi="宋体" w:eastAsia="宋体" w:cs="等线 Light"/>
                <w:color w:val="000000"/>
                <w:szCs w:val="21"/>
                <w:lang w:val="en-US" w:eastAsia="zh-CN"/>
              </w:rPr>
              <w:t>18、满足3</w:t>
            </w:r>
            <w:r>
              <w:rPr>
                <w:rFonts w:hint="eastAsia" w:ascii="宋体" w:hAnsi="宋体" w:eastAsia="宋体" w:cs="宋体"/>
                <w:lang w:val="en-US" w:eastAsia="zh-CN"/>
              </w:rPr>
              <w:t>200路</w:t>
            </w:r>
            <w:r>
              <w:rPr>
                <w:rFonts w:ascii="宋体" w:hAnsi="宋体" w:eastAsia="宋体" w:cs="宋体"/>
              </w:rPr>
              <w:t>视频接入授权服务</w:t>
            </w:r>
            <w:r>
              <w:rPr>
                <w:rFonts w:hint="eastAsia" w:ascii="宋体" w:hAnsi="宋体" w:eastAsia="宋体" w:cs="宋体"/>
                <w:lang w:eastAsia="zh-CN"/>
              </w:rPr>
              <w:t>。</w:t>
            </w:r>
          </w:p>
          <w:p w14:paraId="6925DE6C">
            <w:pPr>
              <w:keepNext w:val="0"/>
              <w:keepLines w:val="0"/>
              <w:pageBreakBefore w:val="0"/>
              <w:widowControl/>
              <w:numPr>
                <w:ilvl w:val="0"/>
                <w:numId w:val="4"/>
              </w:numPr>
              <w:kinsoku/>
              <w:wordWrap/>
              <w:overflowPunct/>
              <w:topLinePunct w:val="0"/>
              <w:autoSpaceDE/>
              <w:autoSpaceDN/>
              <w:bidi w:val="0"/>
              <w:adjustRightInd/>
              <w:snapToGrid/>
              <w:spacing w:line="348" w:lineRule="auto"/>
              <w:jc w:val="left"/>
              <w:rPr>
                <w:rFonts w:hint="eastAsia" w:ascii="宋体" w:hAnsi="宋体" w:cs="等线 Light"/>
                <w:color w:val="000000"/>
                <w:szCs w:val="21"/>
              </w:rPr>
            </w:pPr>
            <w:r>
              <w:rPr>
                <w:rFonts w:hint="eastAsia" w:ascii="宋体" w:hAnsi="宋体" w:cs="等线 Light"/>
                <w:b/>
                <w:bCs/>
                <w:color w:val="000000"/>
                <w:szCs w:val="21"/>
              </w:rPr>
              <w:t>提供摄像机视频云存储服务</w:t>
            </w:r>
            <w:r>
              <w:rPr>
                <w:rFonts w:hint="eastAsia" w:ascii="宋体" w:hAnsi="宋体" w:cs="等线 Light"/>
                <w:color w:val="000000"/>
                <w:szCs w:val="21"/>
              </w:rPr>
              <w:t>，该服务需构建一套监控中心视频云存储平台系统，该系统基于云计算、海量数据，满足本期</w:t>
            </w:r>
            <w:r>
              <w:rPr>
                <w:rFonts w:hint="eastAsia" w:ascii="宋体" w:hAnsi="宋体" w:cs="等线 Light"/>
                <w:color w:val="000000"/>
                <w:szCs w:val="21"/>
                <w:lang w:val="en-US" w:eastAsia="zh-CN"/>
              </w:rPr>
              <w:t>3200</w:t>
            </w:r>
            <w:r>
              <w:rPr>
                <w:rFonts w:hint="eastAsia" w:ascii="宋体" w:hAnsi="宋体" w:cs="等线 Light"/>
                <w:color w:val="000000"/>
                <w:szCs w:val="21"/>
              </w:rPr>
              <w:t>台摄像机30 天数据（H.265 编码格式，2M 码流）24小时连续存储需求；提供的海量数据存储,安全和高可靠的云存储服务,存储容量和处理能力的弹性扩展,音视频转码,内容加速分发,归档服务等多种数据服务。提供配套设备的系统集成服务、安装、维护服务。</w:t>
            </w:r>
          </w:p>
          <w:p w14:paraId="6CD2B43E">
            <w:pPr>
              <w:keepNext w:val="0"/>
              <w:keepLines w:val="0"/>
              <w:pageBreakBefore w:val="0"/>
              <w:numPr>
                <w:ilvl w:val="0"/>
                <w:numId w:val="4"/>
              </w:numPr>
              <w:kinsoku/>
              <w:wordWrap/>
              <w:overflowPunct/>
              <w:topLinePunct w:val="0"/>
              <w:autoSpaceDE/>
              <w:autoSpaceDN/>
              <w:bidi w:val="0"/>
              <w:adjustRightInd/>
              <w:snapToGrid/>
              <w:spacing w:line="348" w:lineRule="auto"/>
              <w:rPr>
                <w:rFonts w:hint="eastAsia" w:ascii="宋体" w:hAnsi="宋体" w:cs="等线 Light"/>
                <w:b/>
                <w:bCs/>
                <w:color w:val="000000"/>
                <w:szCs w:val="21"/>
              </w:rPr>
            </w:pPr>
            <w:r>
              <w:rPr>
                <w:rFonts w:hint="eastAsia" w:ascii="宋体" w:hAnsi="宋体" w:cs="等线 Light"/>
                <w:b/>
                <w:bCs/>
                <w:color w:val="000000"/>
                <w:szCs w:val="21"/>
              </w:rPr>
              <w:t>提供视频云存储管理平台服务</w:t>
            </w:r>
          </w:p>
          <w:p w14:paraId="6D4F0142">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cs="等线 Light"/>
                <w:color w:val="000000"/>
                <w:szCs w:val="21"/>
              </w:rPr>
            </w:pPr>
            <w:r>
              <w:rPr>
                <w:rFonts w:hint="eastAsia" w:ascii="宋体" w:hAnsi="宋体" w:cs="等线 Light"/>
                <w:color w:val="000000"/>
                <w:szCs w:val="21"/>
                <w:lang w:val="en-US" w:eastAsia="zh-CN"/>
              </w:rPr>
              <w:t>1、提供</w:t>
            </w:r>
            <w:r>
              <w:rPr>
                <w:rFonts w:hint="eastAsia" w:ascii="宋体" w:hAnsi="宋体" w:cs="等线 Light"/>
                <w:color w:val="000000"/>
                <w:szCs w:val="21"/>
              </w:rPr>
              <w:t>1项缓存加速服务（SSD、内存）授权。</w:t>
            </w:r>
          </w:p>
          <w:p w14:paraId="1E0047A5">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000000"/>
                <w:szCs w:val="21"/>
              </w:rPr>
            </w:pPr>
            <w:r>
              <w:rPr>
                <w:rFonts w:hint="eastAsia" w:ascii="宋体" w:hAnsi="宋体" w:cs="等线 Light"/>
                <w:color w:val="000000"/>
                <w:szCs w:val="21"/>
              </w:rPr>
              <w:t>2</w:t>
            </w:r>
            <w:r>
              <w:rPr>
                <w:rFonts w:hint="eastAsia" w:ascii="宋体" w:hAnsi="宋体" w:eastAsia="宋体" w:cs="等线 Light"/>
                <w:color w:val="000000"/>
                <w:szCs w:val="21"/>
              </w:rPr>
              <w:t>、通过平台下发的录像计划，从前端编码器获取实时视频数据并完成录像存储。</w:t>
            </w:r>
          </w:p>
          <w:p w14:paraId="09B848B1">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000000"/>
                <w:szCs w:val="21"/>
              </w:rPr>
            </w:pPr>
            <w:r>
              <w:rPr>
                <w:rFonts w:hint="eastAsia" w:ascii="宋体" w:hAnsi="宋体" w:eastAsia="宋体" w:cs="等线 Light"/>
                <w:color w:val="000000"/>
                <w:szCs w:val="21"/>
              </w:rPr>
              <w:t>3、平台下发录像计划后，可通过事件脉冲方式通知云存储进行事件录像。</w:t>
            </w:r>
          </w:p>
          <w:p w14:paraId="4560A417">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000000"/>
                <w:szCs w:val="21"/>
              </w:rPr>
            </w:pPr>
            <w:r>
              <w:rPr>
                <w:rFonts w:hint="eastAsia" w:ascii="宋体" w:hAnsi="宋体" w:eastAsia="宋体" w:cs="等线 Light"/>
                <w:color w:val="000000"/>
                <w:szCs w:val="21"/>
              </w:rPr>
              <w:t>4、支持对定时/手动/事件录像/移动侦测录像进行预录，开启视频预录时需配置预录时长。</w:t>
            </w:r>
          </w:p>
          <w:p w14:paraId="21A994BD">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000000"/>
                <w:szCs w:val="21"/>
              </w:rPr>
            </w:pPr>
            <w:r>
              <w:rPr>
                <w:rFonts w:hint="eastAsia" w:ascii="宋体" w:hAnsi="宋体" w:eastAsia="宋体" w:cs="等线 Light"/>
                <w:color w:val="000000"/>
                <w:szCs w:val="21"/>
              </w:rPr>
              <w:t>5、手动录像开启到停止期间，因存储与IPC之间网络异常导致缺失的录像段可在网络恢复后自动将其补录完整，达到保障录像完整性。</w:t>
            </w:r>
          </w:p>
          <w:p w14:paraId="56CAD5A1">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000000"/>
                <w:szCs w:val="21"/>
              </w:rPr>
            </w:pPr>
            <w:r>
              <w:rPr>
                <w:rFonts w:hint="eastAsia" w:ascii="宋体" w:hAnsi="宋体" w:eastAsia="宋体" w:cs="等线 Light"/>
                <w:color w:val="000000"/>
                <w:szCs w:val="21"/>
              </w:rPr>
              <w:t>6、支持图片流直存，抓拍图片无需经过任何转发服务器/虚拟机即可实现前端数据直接存储至云存储系统；支持设置资源池自动分流策略，策略包含按图片大小、图片类型(类型包含人脸、人体、车辆、电动车等)。支持将同一点位产生的多种不同大小、不同类型的图片数据按策略自动分池存储到不同存储资源池中。</w:t>
            </w:r>
          </w:p>
          <w:p w14:paraId="295E566C">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000000"/>
                <w:szCs w:val="21"/>
              </w:rPr>
            </w:pPr>
            <w:r>
              <w:rPr>
                <w:rFonts w:hint="eastAsia" w:ascii="宋体" w:hAnsi="宋体" w:eastAsia="宋体" w:cs="等线 Light"/>
                <w:color w:val="000000"/>
                <w:szCs w:val="21"/>
              </w:rPr>
              <w:t>7、支持历史流录像数据进行帧分析后存储，实现历史流视频倍速/定位/倒放/缩略图等视频回放应用。</w:t>
            </w:r>
          </w:p>
          <w:p w14:paraId="24D88E4F">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000000"/>
                <w:szCs w:val="21"/>
              </w:rPr>
            </w:pPr>
            <w:r>
              <w:rPr>
                <w:rFonts w:hint="eastAsia" w:ascii="宋体" w:hAnsi="宋体" w:eastAsia="宋体" w:cs="等线 Light"/>
                <w:color w:val="000000"/>
                <w:szCs w:val="21"/>
              </w:rPr>
              <w:t>8、按监控点编号、录像类型、时间组合、锁定等条件查询录像数据。</w:t>
            </w:r>
          </w:p>
          <w:p w14:paraId="1EC2156C">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000000"/>
                <w:szCs w:val="21"/>
              </w:rPr>
            </w:pPr>
            <w:r>
              <w:rPr>
                <w:rFonts w:hint="eastAsia" w:ascii="宋体" w:hAnsi="宋体" w:eastAsia="宋体" w:cs="等线 Light"/>
                <w:color w:val="000000"/>
                <w:szCs w:val="21"/>
              </w:rPr>
              <w:t>9、支持流式数据按监控点编号、开始时间、结束时间下载为MP4封装格式，便于第三方在线通过浏览器无插件在线点播。</w:t>
            </w:r>
          </w:p>
          <w:p w14:paraId="767CB2C4">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000000"/>
                <w:szCs w:val="21"/>
              </w:rPr>
            </w:pPr>
            <w:r>
              <w:rPr>
                <w:rFonts w:hint="eastAsia" w:ascii="宋体" w:hAnsi="宋体" w:eastAsia="宋体" w:cs="等线 Light"/>
                <w:color w:val="000000"/>
                <w:szCs w:val="21"/>
              </w:rPr>
              <w:t>10、支持流式视频数据（视频文件、视频流）备份为对象文件片段，便于上层平台管理和使用。</w:t>
            </w:r>
          </w:p>
          <w:p w14:paraId="6563DCB8">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000000"/>
                <w:szCs w:val="21"/>
              </w:rPr>
            </w:pPr>
            <w:r>
              <w:rPr>
                <w:rFonts w:hint="eastAsia" w:ascii="宋体" w:hAnsi="宋体" w:eastAsia="宋体" w:cs="等线 Light"/>
                <w:color w:val="000000"/>
                <w:szCs w:val="21"/>
              </w:rPr>
              <w:t>11、支持视频数据按编码器+时间段方式，直接通用云存储节点归档到磁带库进行归档存储。</w:t>
            </w:r>
          </w:p>
          <w:p w14:paraId="69CF575D">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000000"/>
                <w:szCs w:val="21"/>
              </w:rPr>
            </w:pPr>
            <w:r>
              <w:rPr>
                <w:rFonts w:hint="eastAsia" w:ascii="宋体" w:hAnsi="宋体" w:eastAsia="宋体" w:cs="等线 Light"/>
                <w:color w:val="000000"/>
                <w:szCs w:val="21"/>
              </w:rPr>
              <w:t>12、支持图片数量统计，支持在运维界面上展示对应编码器时间段内图片张数、所有图片大小统计。</w:t>
            </w:r>
          </w:p>
          <w:p w14:paraId="1C83CE2C">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000000"/>
                <w:szCs w:val="21"/>
              </w:rPr>
            </w:pPr>
            <w:r>
              <w:rPr>
                <w:rFonts w:hint="eastAsia" w:ascii="宋体" w:hAnsi="宋体" w:eastAsia="宋体" w:cs="等线 Light"/>
                <w:color w:val="000000"/>
                <w:szCs w:val="21"/>
              </w:rPr>
              <w:t>13、系统支持多级加速：支持对不同规格图片数据分级加速存储，小图支持SSD缓存加速，大图支持内存加速；系统支持自定义设置内存加速缓存大小、SSD缓存加速池容量大小，可最高针对4096 KB 图片加速提取。</w:t>
            </w:r>
          </w:p>
          <w:p w14:paraId="2CF4FE34">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000000"/>
                <w:szCs w:val="21"/>
              </w:rPr>
            </w:pPr>
            <w:r>
              <w:rPr>
                <w:rFonts w:hint="eastAsia" w:ascii="宋体" w:hAnsi="宋体" w:eastAsia="宋体" w:cs="等线 Light"/>
                <w:color w:val="000000"/>
                <w:szCs w:val="21"/>
              </w:rPr>
              <w:t>14、支持视频流和图片流数据进行加密存储，加密类型支持软件加密和加密卡加密。</w:t>
            </w:r>
          </w:p>
          <w:p w14:paraId="3101433B">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000000"/>
                <w:szCs w:val="21"/>
              </w:rPr>
            </w:pPr>
            <w:r>
              <w:rPr>
                <w:rFonts w:hint="eastAsia" w:ascii="宋体" w:hAnsi="宋体" w:eastAsia="宋体" w:cs="等线 Light"/>
                <w:color w:val="000000"/>
                <w:szCs w:val="21"/>
              </w:rPr>
              <w:t>15、支持系统组管理，在域内进行组划分，优先保障条带资源分配在同一组内，实现条带数据快速读写。</w:t>
            </w:r>
          </w:p>
          <w:p w14:paraId="12D76455">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000000"/>
                <w:szCs w:val="21"/>
              </w:rPr>
            </w:pPr>
            <w:r>
              <w:rPr>
                <w:rFonts w:hint="eastAsia" w:ascii="宋体" w:hAnsi="宋体" w:eastAsia="宋体" w:cs="等线 Light"/>
                <w:color w:val="000000"/>
                <w:szCs w:val="21"/>
              </w:rPr>
              <w:t>16、支持对云系统运行中压力进行统计分析，包括：异常情况、告警情况、容量使用情况；支持对云系统运行中状态进行统计分析，包括：服务器状态、磁盘运行状态、存储使用空间、RAID组运行状态、监控点在线/离线数量和在线/离线比例等。</w:t>
            </w:r>
          </w:p>
          <w:p w14:paraId="6627CCCE">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000000"/>
                <w:szCs w:val="21"/>
              </w:rPr>
            </w:pPr>
            <w:r>
              <w:rPr>
                <w:rFonts w:hint="eastAsia" w:ascii="宋体" w:hAnsi="宋体" w:eastAsia="宋体" w:cs="等线 Light"/>
                <w:color w:val="000000"/>
                <w:szCs w:val="21"/>
              </w:rPr>
              <w:t>17、支持硬盘在节点间的漫游，将正常或异常状态的存储节点上的正常磁盘插入其他数据节点中，数据仍可继续使用。</w:t>
            </w:r>
          </w:p>
          <w:p w14:paraId="6A5994A6">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cs="等线 Light"/>
                <w:color w:val="000000"/>
                <w:szCs w:val="21"/>
              </w:rPr>
            </w:pPr>
            <w:r>
              <w:rPr>
                <w:rFonts w:hint="eastAsia" w:ascii="宋体" w:hAnsi="宋体" w:eastAsia="宋体" w:cs="等线 Light"/>
                <w:color w:val="000000"/>
                <w:szCs w:val="21"/>
              </w:rPr>
              <w:t>18、支持一个文件有多种N+M:K容错机制，能自适应调整N+M:</w:t>
            </w:r>
            <w:r>
              <w:rPr>
                <w:rFonts w:hint="eastAsia" w:ascii="宋体" w:hAnsi="宋体" w:cs="等线 Light"/>
                <w:color w:val="000000"/>
                <w:szCs w:val="21"/>
              </w:rPr>
              <w:t>K，系统根据当前节点情况自动配置使用哪种容错算法以达到最可靠的容错，以实现最大化节点容错能力。</w:t>
            </w:r>
          </w:p>
          <w:p w14:paraId="3C08CC51">
            <w:pPr>
              <w:pStyle w:val="340"/>
              <w:keepNext w:val="0"/>
              <w:keepLines w:val="0"/>
              <w:pageBreakBefore w:val="0"/>
              <w:widowControl/>
              <w:numPr>
                <w:ilvl w:val="0"/>
                <w:numId w:val="3"/>
              </w:numPr>
              <w:kinsoku/>
              <w:wordWrap/>
              <w:overflowPunct/>
              <w:topLinePunct w:val="0"/>
              <w:autoSpaceDE/>
              <w:autoSpaceDN/>
              <w:bidi w:val="0"/>
              <w:adjustRightInd/>
              <w:snapToGrid/>
              <w:spacing w:line="348" w:lineRule="auto"/>
              <w:ind w:left="660" w:leftChars="0" w:firstLineChars="0"/>
              <w:jc w:val="left"/>
              <w:rPr>
                <w:rFonts w:hint="eastAsia" w:ascii="宋体" w:hAnsi="宋体" w:cs="等线 Light"/>
                <w:b/>
                <w:bCs/>
                <w:color w:val="000000"/>
                <w:szCs w:val="21"/>
              </w:rPr>
            </w:pPr>
            <w:r>
              <w:rPr>
                <w:rFonts w:hint="eastAsia" w:ascii="宋体" w:hAnsi="宋体" w:cs="等线 Light"/>
                <w:b/>
                <w:bCs/>
                <w:color w:val="000000"/>
                <w:szCs w:val="21"/>
              </w:rPr>
              <w:t>提供智慧广播管理平台服务</w:t>
            </w:r>
          </w:p>
          <w:p w14:paraId="48E94935">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000000"/>
                <w:szCs w:val="21"/>
                <w:lang w:val="en-US" w:eastAsia="zh-CN"/>
              </w:rPr>
            </w:pPr>
            <w:r>
              <w:rPr>
                <w:rFonts w:hint="eastAsia" w:ascii="宋体" w:hAnsi="宋体" w:eastAsia="宋体" w:cs="等线 Light"/>
                <w:color w:val="000000"/>
                <w:szCs w:val="21"/>
                <w:lang w:val="en-US" w:eastAsia="zh-CN"/>
              </w:rPr>
              <w:t>提供智慧广播管理平台服务，实现广播系统与视频监控系统的融合应用，支持广播点位管理、分区广播、实时广播、预案广播、视频可视化广播等功能，具体要求如下：</w:t>
            </w:r>
          </w:p>
          <w:p w14:paraId="4F84AE31">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000000"/>
                <w:szCs w:val="21"/>
                <w:lang w:val="en-US" w:eastAsia="zh-CN"/>
              </w:rPr>
            </w:pPr>
            <w:r>
              <w:rPr>
                <w:rFonts w:hint="eastAsia" w:ascii="宋体" w:hAnsi="宋体" w:eastAsia="宋体" w:cs="等线 Light"/>
                <w:color w:val="000000"/>
                <w:szCs w:val="21"/>
                <w:lang w:val="en-US" w:eastAsia="zh-CN"/>
              </w:rPr>
              <w:t>1、设备最大支持管理100000路广播点位，1000个广播分区，2000路实时广播并发播报。</w:t>
            </w:r>
          </w:p>
          <w:p w14:paraId="34DCA51E">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000000"/>
                <w:szCs w:val="21"/>
                <w:lang w:val="en-US" w:eastAsia="zh-CN"/>
              </w:rPr>
            </w:pPr>
            <w:r>
              <w:rPr>
                <w:rFonts w:hint="eastAsia" w:ascii="宋体" w:hAnsi="宋体" w:eastAsia="宋体" w:cs="等线 Light"/>
                <w:color w:val="000000"/>
                <w:szCs w:val="21"/>
                <w:lang w:val="en-US" w:eastAsia="zh-CN"/>
              </w:rPr>
              <w:t>2、系统支持B/S架构WEB应用、广播C/S客户端、广播移动APP客户端、广播寻呼话筒客户端应用。</w:t>
            </w:r>
          </w:p>
          <w:p w14:paraId="50FF555F">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000000"/>
                <w:szCs w:val="21"/>
                <w:lang w:val="en-US" w:eastAsia="zh-CN"/>
              </w:rPr>
            </w:pPr>
            <w:r>
              <w:rPr>
                <w:rFonts w:hint="eastAsia" w:ascii="宋体" w:hAnsi="宋体" w:eastAsia="宋体" w:cs="等线 Light"/>
                <w:color w:val="000000"/>
                <w:szCs w:val="21"/>
                <w:lang w:val="en-US" w:eastAsia="zh-CN"/>
              </w:rPr>
              <w:t>▲3、支持将带对讲通道的视频监控点位作为广播点位，并可实现分区广播、实时广播、定时广播、文件播放、紧急广播。</w:t>
            </w:r>
          </w:p>
          <w:p w14:paraId="1FB77114">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000000"/>
                <w:szCs w:val="21"/>
                <w:lang w:val="en-US" w:eastAsia="zh-CN"/>
              </w:rPr>
            </w:pPr>
            <w:r>
              <w:rPr>
                <w:rFonts w:hint="eastAsia" w:ascii="宋体" w:hAnsi="宋体" w:eastAsia="宋体" w:cs="等线 Light"/>
                <w:color w:val="000000"/>
                <w:szCs w:val="21"/>
                <w:lang w:val="en-US" w:eastAsia="zh-CN"/>
              </w:rPr>
              <w:t>4、支持广播一体机接入平台，实现中心-分站管理模式，支持数据同步管理。</w:t>
            </w:r>
          </w:p>
          <w:p w14:paraId="3C009C0A">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000000"/>
                <w:szCs w:val="21"/>
                <w:lang w:val="en-US" w:eastAsia="zh-CN"/>
              </w:rPr>
            </w:pPr>
            <w:r>
              <w:rPr>
                <w:rFonts w:hint="eastAsia" w:ascii="宋体" w:hAnsi="宋体" w:eastAsia="宋体" w:cs="等线 Light"/>
                <w:color w:val="000000"/>
                <w:szCs w:val="21"/>
                <w:lang w:val="en-US" w:eastAsia="zh-CN"/>
              </w:rPr>
              <w:t>5、支持广播视频对讲。</w:t>
            </w:r>
          </w:p>
          <w:p w14:paraId="764ABAB8">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000000"/>
                <w:szCs w:val="21"/>
                <w:lang w:val="en-US" w:eastAsia="zh-CN"/>
              </w:rPr>
            </w:pPr>
            <w:r>
              <w:rPr>
                <w:rFonts w:hint="eastAsia" w:ascii="宋体" w:hAnsi="宋体" w:eastAsia="宋体" w:cs="等线 Light"/>
                <w:color w:val="000000"/>
                <w:szCs w:val="21"/>
                <w:lang w:val="en-US" w:eastAsia="zh-CN"/>
              </w:rPr>
              <w:t>▲6、支持视频可视化广播，在视频预览时可实现定点广播。</w:t>
            </w:r>
          </w:p>
          <w:p w14:paraId="7E08F067">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等线 Light"/>
                <w:color w:val="000000"/>
                <w:szCs w:val="21"/>
                <w:lang w:val="en-US" w:eastAsia="zh-CN"/>
              </w:rPr>
            </w:pPr>
            <w:r>
              <w:rPr>
                <w:rFonts w:hint="eastAsia" w:ascii="宋体" w:hAnsi="宋体" w:eastAsia="宋体" w:cs="等线 Light"/>
                <w:color w:val="000000"/>
                <w:szCs w:val="21"/>
                <w:lang w:val="en-US" w:eastAsia="zh-CN"/>
              </w:rPr>
              <w:t>7、支持TTS文字转语音广播，可进行男/女声、音量、语速设置，可试听。</w:t>
            </w:r>
          </w:p>
          <w:p w14:paraId="304CA2D7">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rPr>
            </w:pPr>
            <w:r>
              <w:rPr>
                <w:rFonts w:hint="eastAsia" w:ascii="宋体" w:hAnsi="宋体" w:eastAsia="宋体" w:cs="等线 Light"/>
                <w:color w:val="000000"/>
                <w:szCs w:val="21"/>
                <w:lang w:val="en-US" w:eastAsia="zh-CN"/>
              </w:rPr>
              <w:t>▲8、支</w:t>
            </w:r>
            <w:r>
              <w:rPr>
                <w:rFonts w:hint="eastAsia" w:ascii="宋体" w:hAnsi="宋体" w:eastAsia="宋体" w:cs="宋体"/>
              </w:rPr>
              <w:t>持预案广播，支持预案编辑管理，可一键触发播报，支持单次、循环播放模式。</w:t>
            </w:r>
          </w:p>
          <w:p w14:paraId="09A89453">
            <w:pPr>
              <w:pStyle w:val="340"/>
              <w:keepNext w:val="0"/>
              <w:keepLines w:val="0"/>
              <w:pageBreakBefore w:val="0"/>
              <w:widowControl/>
              <w:numPr>
                <w:ilvl w:val="0"/>
                <w:numId w:val="3"/>
              </w:numPr>
              <w:kinsoku/>
              <w:wordWrap/>
              <w:overflowPunct/>
              <w:topLinePunct w:val="0"/>
              <w:autoSpaceDE/>
              <w:autoSpaceDN/>
              <w:bidi w:val="0"/>
              <w:adjustRightInd/>
              <w:snapToGrid/>
              <w:spacing w:line="348" w:lineRule="auto"/>
              <w:ind w:left="660" w:leftChars="0" w:firstLineChars="0"/>
              <w:jc w:val="left"/>
              <w:rPr>
                <w:rFonts w:hint="eastAsia" w:ascii="宋体" w:hAnsi="宋体" w:cs="等线 Light"/>
                <w:b/>
                <w:bCs/>
                <w:color w:val="000000"/>
                <w:szCs w:val="21"/>
              </w:rPr>
            </w:pPr>
            <w:r>
              <w:rPr>
                <w:rFonts w:hint="eastAsia" w:ascii="宋体" w:hAnsi="宋体" w:cs="等线 Light"/>
                <w:b/>
                <w:bCs/>
                <w:color w:val="000000"/>
                <w:szCs w:val="21"/>
              </w:rPr>
              <w:t>网络传输</w:t>
            </w:r>
            <w:r>
              <w:rPr>
                <w:rFonts w:hint="eastAsia" w:ascii="宋体" w:hAnsi="宋体" w:cs="等线 Light"/>
                <w:b/>
                <w:bCs/>
                <w:color w:val="000000"/>
                <w:szCs w:val="21"/>
                <w:lang w:eastAsia="zh-CN"/>
              </w:rPr>
              <w:t>、</w:t>
            </w:r>
            <w:r>
              <w:rPr>
                <w:rFonts w:hint="eastAsia" w:ascii="宋体" w:hAnsi="宋体" w:cs="等线 Light"/>
                <w:b/>
                <w:bCs/>
                <w:color w:val="000000"/>
                <w:szCs w:val="21"/>
                <w:lang w:val="en-US" w:eastAsia="zh-CN"/>
              </w:rPr>
              <w:t>应急保障及智算</w:t>
            </w:r>
            <w:r>
              <w:rPr>
                <w:rFonts w:hint="eastAsia" w:ascii="宋体" w:hAnsi="宋体" w:cs="等线 Light"/>
                <w:b/>
                <w:bCs/>
                <w:color w:val="000000"/>
                <w:szCs w:val="21"/>
              </w:rPr>
              <w:t>服务</w:t>
            </w:r>
          </w:p>
          <w:p w14:paraId="234EFCD6">
            <w:pPr>
              <w:keepNext w:val="0"/>
              <w:keepLines w:val="0"/>
              <w:pageBreakBefore w:val="0"/>
              <w:widowControl/>
              <w:numPr>
                <w:ilvl w:val="0"/>
                <w:numId w:val="5"/>
              </w:numPr>
              <w:kinsoku/>
              <w:wordWrap/>
              <w:overflowPunct/>
              <w:topLinePunct w:val="0"/>
              <w:autoSpaceDE/>
              <w:autoSpaceDN/>
              <w:bidi w:val="0"/>
              <w:adjustRightInd/>
              <w:snapToGrid/>
              <w:spacing w:line="348" w:lineRule="auto"/>
              <w:jc w:val="left"/>
              <w:rPr>
                <w:rFonts w:hint="eastAsia" w:ascii="宋体" w:hAnsi="宋体" w:cs="等线 Light"/>
                <w:b/>
                <w:bCs/>
                <w:color w:val="auto"/>
                <w:szCs w:val="21"/>
              </w:rPr>
            </w:pPr>
            <w:r>
              <w:rPr>
                <w:rFonts w:hint="eastAsia" w:ascii="宋体" w:hAnsi="宋体" w:cs="等线 Light"/>
                <w:b/>
                <w:bCs/>
                <w:color w:val="auto"/>
                <w:szCs w:val="21"/>
                <w:lang w:val="en-US" w:eastAsia="zh-CN"/>
              </w:rPr>
              <w:t>网络传输</w:t>
            </w:r>
            <w:r>
              <w:rPr>
                <w:rFonts w:hint="eastAsia" w:ascii="宋体" w:hAnsi="宋体" w:cs="等线 Light"/>
                <w:b/>
                <w:bCs/>
                <w:color w:val="auto"/>
                <w:szCs w:val="21"/>
              </w:rPr>
              <w:t>服务</w:t>
            </w:r>
          </w:p>
          <w:p w14:paraId="3ECFAA12">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宋体"/>
              </w:rPr>
            </w:pPr>
            <w:r>
              <w:rPr>
                <w:rFonts w:hint="eastAsia" w:ascii="宋体" w:hAnsi="宋体" w:cs="等线 Light"/>
                <w:color w:val="auto"/>
                <w:szCs w:val="21"/>
                <w:lang w:val="en-US" w:eastAsia="zh-CN"/>
              </w:rPr>
              <w:t>1</w:t>
            </w:r>
            <w:r>
              <w:rPr>
                <w:rFonts w:hint="eastAsia" w:ascii="宋体" w:hAnsi="宋体" w:eastAsia="宋体" w:cs="宋体"/>
                <w:lang w:val="en-US" w:eastAsia="zh-CN"/>
              </w:rPr>
              <w:t>、</w:t>
            </w:r>
            <w:r>
              <w:rPr>
                <w:rFonts w:hint="eastAsia" w:ascii="宋体" w:hAnsi="宋体" w:eastAsia="宋体" w:cs="宋体"/>
              </w:rPr>
              <w:t>提供</w:t>
            </w:r>
            <w:r>
              <w:rPr>
                <w:rFonts w:hint="eastAsia" w:ascii="宋体" w:hAnsi="宋体" w:eastAsia="宋体" w:cs="宋体"/>
                <w:lang w:val="en-US" w:eastAsia="zh-CN"/>
              </w:rPr>
              <w:t>1943</w:t>
            </w:r>
            <w:r>
              <w:rPr>
                <w:rFonts w:hint="eastAsia" w:ascii="宋体" w:hAnsi="宋体" w:eastAsia="宋体" w:cs="宋体"/>
              </w:rPr>
              <w:t>条</w:t>
            </w:r>
            <w:r>
              <w:rPr>
                <w:rFonts w:hint="eastAsia" w:ascii="宋体" w:hAnsi="宋体" w:eastAsia="宋体" w:cs="宋体"/>
                <w:lang w:val="en-US" w:eastAsia="zh-CN"/>
              </w:rPr>
              <w:t>传输</w:t>
            </w:r>
            <w:r>
              <w:rPr>
                <w:rFonts w:hint="eastAsia" w:ascii="宋体" w:hAnsi="宋体" w:eastAsia="宋体" w:cs="宋体"/>
              </w:rPr>
              <w:t>链路服务</w:t>
            </w:r>
            <w:r>
              <w:rPr>
                <w:rFonts w:hint="eastAsia" w:ascii="宋体" w:hAnsi="宋体" w:eastAsia="宋体" w:cs="宋体"/>
                <w:lang w:eastAsia="zh-CN"/>
              </w:rPr>
              <w:t>，</w:t>
            </w:r>
            <w:r>
              <w:rPr>
                <w:rFonts w:hint="eastAsia" w:ascii="宋体" w:hAnsi="宋体" w:eastAsia="宋体" w:cs="宋体"/>
                <w:lang w:val="en-US" w:eastAsia="zh-CN"/>
              </w:rPr>
              <w:t>其中1850条带宽 ≥ 20Mbps</w:t>
            </w:r>
            <w:r>
              <w:rPr>
                <w:rFonts w:hint="eastAsia" w:ascii="宋体" w:hAnsi="宋体" w:eastAsia="宋体" w:cs="宋体"/>
              </w:rPr>
              <w:t>，满足</w:t>
            </w:r>
            <w:r>
              <w:rPr>
                <w:rFonts w:hint="eastAsia" w:ascii="宋体" w:hAnsi="宋体" w:eastAsia="宋体" w:cs="宋体"/>
                <w:lang w:val="en-US" w:eastAsia="zh-CN"/>
              </w:rPr>
              <w:t>3200</w:t>
            </w:r>
            <w:r>
              <w:rPr>
                <w:rFonts w:hint="eastAsia" w:ascii="宋体" w:hAnsi="宋体" w:eastAsia="宋体" w:cs="宋体"/>
              </w:rPr>
              <w:t>路监控点位回传至综合监控应用平台</w:t>
            </w:r>
            <w:r>
              <w:rPr>
                <w:rFonts w:hint="eastAsia" w:ascii="宋体" w:hAnsi="宋体" w:eastAsia="宋体" w:cs="宋体"/>
                <w:lang w:eastAsia="zh-CN"/>
              </w:rPr>
              <w:t>；</w:t>
            </w:r>
            <w:r>
              <w:rPr>
                <w:rFonts w:hint="eastAsia" w:ascii="宋体" w:hAnsi="宋体" w:eastAsia="宋体" w:cs="宋体"/>
                <w:lang w:val="en-US" w:eastAsia="zh-CN"/>
              </w:rPr>
              <w:t>70</w:t>
            </w:r>
            <w:r>
              <w:rPr>
                <w:rFonts w:hint="eastAsia" w:ascii="宋体" w:hAnsi="宋体" w:eastAsia="宋体" w:cs="宋体"/>
              </w:rPr>
              <w:t>条</w:t>
            </w:r>
            <w:r>
              <w:rPr>
                <w:rFonts w:hint="eastAsia" w:ascii="宋体" w:hAnsi="宋体" w:eastAsia="宋体" w:cs="宋体"/>
                <w:lang w:val="en-US" w:eastAsia="zh-CN"/>
              </w:rPr>
              <w:t>带宽 ≥ 30Mbps</w:t>
            </w:r>
            <w:r>
              <w:rPr>
                <w:rFonts w:hint="eastAsia" w:ascii="宋体" w:hAnsi="宋体" w:eastAsia="宋体" w:cs="宋体"/>
              </w:rPr>
              <w:t>，满足</w:t>
            </w:r>
            <w:r>
              <w:rPr>
                <w:rFonts w:hint="eastAsia" w:ascii="宋体" w:hAnsi="宋体" w:eastAsia="宋体" w:cs="宋体"/>
                <w:lang w:val="en-US" w:eastAsia="zh-CN"/>
              </w:rPr>
              <w:t>120</w:t>
            </w:r>
            <w:r>
              <w:rPr>
                <w:rFonts w:hint="eastAsia" w:ascii="宋体" w:hAnsi="宋体" w:eastAsia="宋体" w:cs="宋体"/>
              </w:rPr>
              <w:t>路</w:t>
            </w:r>
            <w:r>
              <w:rPr>
                <w:rFonts w:hint="eastAsia" w:ascii="宋体" w:hAnsi="宋体" w:eastAsia="宋体" w:cs="宋体"/>
                <w:lang w:val="en-US" w:eastAsia="zh-CN"/>
              </w:rPr>
              <w:t>人像</w:t>
            </w:r>
            <w:r>
              <w:rPr>
                <w:rFonts w:hint="eastAsia" w:ascii="宋体" w:hAnsi="宋体" w:eastAsia="宋体" w:cs="宋体"/>
              </w:rPr>
              <w:t>监控点位回传至</w:t>
            </w:r>
            <w:r>
              <w:rPr>
                <w:rFonts w:hint="eastAsia" w:ascii="宋体" w:hAnsi="宋体" w:eastAsia="宋体" w:cs="宋体"/>
                <w:lang w:val="en-US" w:eastAsia="zh-CN"/>
              </w:rPr>
              <w:t>公安视频专网</w:t>
            </w:r>
            <w:r>
              <w:rPr>
                <w:rFonts w:hint="eastAsia" w:ascii="宋体" w:hAnsi="宋体" w:eastAsia="宋体" w:cs="宋体"/>
              </w:rPr>
              <w:t>平台</w:t>
            </w:r>
            <w:r>
              <w:rPr>
                <w:rFonts w:hint="eastAsia" w:ascii="宋体" w:hAnsi="宋体" w:eastAsia="宋体" w:cs="宋体"/>
                <w:lang w:eastAsia="zh-CN"/>
              </w:rPr>
              <w:t>；</w:t>
            </w:r>
            <w:r>
              <w:rPr>
                <w:rFonts w:hint="eastAsia" w:ascii="宋体" w:hAnsi="宋体" w:eastAsia="宋体" w:cs="宋体"/>
                <w:lang w:val="en-US" w:eastAsia="zh-CN"/>
              </w:rPr>
              <w:t>10</w:t>
            </w:r>
            <w:r>
              <w:rPr>
                <w:rFonts w:hint="eastAsia" w:ascii="宋体" w:hAnsi="宋体" w:eastAsia="宋体" w:cs="宋体"/>
              </w:rPr>
              <w:t>条</w:t>
            </w:r>
            <w:r>
              <w:rPr>
                <w:rFonts w:hint="eastAsia" w:ascii="宋体" w:hAnsi="宋体" w:eastAsia="宋体" w:cs="宋体"/>
                <w:lang w:val="en-US" w:eastAsia="zh-CN"/>
              </w:rPr>
              <w:t>带宽 ≥ 100Mbps</w:t>
            </w:r>
            <w:r>
              <w:rPr>
                <w:rFonts w:hint="eastAsia" w:ascii="宋体" w:hAnsi="宋体" w:eastAsia="宋体" w:cs="宋体"/>
              </w:rPr>
              <w:t>，满足</w:t>
            </w:r>
            <w:r>
              <w:rPr>
                <w:rFonts w:hint="eastAsia" w:ascii="宋体" w:hAnsi="宋体" w:eastAsia="宋体" w:cs="宋体"/>
                <w:lang w:val="en-US" w:eastAsia="zh-CN"/>
              </w:rPr>
              <w:t>40</w:t>
            </w:r>
            <w:r>
              <w:rPr>
                <w:rFonts w:hint="eastAsia" w:ascii="宋体" w:hAnsi="宋体" w:eastAsia="宋体" w:cs="宋体"/>
              </w:rPr>
              <w:t>路</w:t>
            </w:r>
            <w:r>
              <w:rPr>
                <w:rFonts w:hint="eastAsia" w:ascii="宋体" w:hAnsi="宋体" w:eastAsia="宋体" w:cs="宋体"/>
                <w:lang w:val="en-US" w:eastAsia="zh-CN"/>
              </w:rPr>
              <w:t>卡口</w:t>
            </w:r>
            <w:r>
              <w:rPr>
                <w:rFonts w:hint="eastAsia" w:ascii="宋体" w:hAnsi="宋体" w:eastAsia="宋体" w:cs="宋体"/>
              </w:rPr>
              <w:t>监控点位回传至</w:t>
            </w:r>
            <w:r>
              <w:rPr>
                <w:rFonts w:hint="eastAsia" w:ascii="宋体" w:hAnsi="宋体" w:eastAsia="宋体" w:cs="宋体"/>
                <w:lang w:val="en-US" w:eastAsia="zh-CN"/>
              </w:rPr>
              <w:t>公安视频专网</w:t>
            </w:r>
            <w:r>
              <w:rPr>
                <w:rFonts w:hint="eastAsia" w:ascii="宋体" w:hAnsi="宋体" w:eastAsia="宋体" w:cs="宋体"/>
              </w:rPr>
              <w:t>平台</w:t>
            </w:r>
            <w:r>
              <w:rPr>
                <w:rFonts w:hint="eastAsia" w:ascii="宋体" w:hAnsi="宋体" w:eastAsia="宋体" w:cs="宋体"/>
                <w:lang w:eastAsia="zh-CN"/>
              </w:rPr>
              <w:t>；</w:t>
            </w:r>
            <w:r>
              <w:rPr>
                <w:rFonts w:hint="eastAsia" w:ascii="宋体" w:hAnsi="宋体" w:eastAsia="宋体" w:cs="宋体"/>
                <w:lang w:val="en-US" w:eastAsia="zh-CN"/>
              </w:rPr>
              <w:t>11</w:t>
            </w:r>
            <w:r>
              <w:rPr>
                <w:rFonts w:hint="eastAsia" w:ascii="宋体" w:hAnsi="宋体" w:eastAsia="宋体" w:cs="宋体"/>
              </w:rPr>
              <w:t>条</w:t>
            </w:r>
            <w:r>
              <w:rPr>
                <w:rFonts w:hint="eastAsia" w:ascii="宋体" w:hAnsi="宋体" w:eastAsia="宋体" w:cs="宋体"/>
                <w:lang w:val="en-US" w:eastAsia="zh-CN"/>
              </w:rPr>
              <w:t>带宽 ≥ 50Mbps</w:t>
            </w:r>
            <w:r>
              <w:rPr>
                <w:rFonts w:hint="eastAsia" w:ascii="宋体" w:hAnsi="宋体" w:eastAsia="宋体" w:cs="宋体"/>
              </w:rPr>
              <w:t>，满足</w:t>
            </w:r>
            <w:r>
              <w:rPr>
                <w:rFonts w:hint="eastAsia" w:ascii="宋体" w:hAnsi="宋体" w:eastAsia="宋体" w:cs="宋体"/>
                <w:lang w:val="en-US" w:eastAsia="zh-CN"/>
              </w:rPr>
              <w:t>11</w:t>
            </w:r>
            <w:r>
              <w:rPr>
                <w:rFonts w:hint="eastAsia" w:ascii="宋体" w:hAnsi="宋体" w:eastAsia="宋体" w:cs="宋体"/>
              </w:rPr>
              <w:t>路</w:t>
            </w:r>
            <w:r>
              <w:rPr>
                <w:rFonts w:hint="eastAsia" w:ascii="宋体" w:hAnsi="宋体" w:eastAsia="宋体" w:cs="宋体"/>
                <w:lang w:val="en-US" w:eastAsia="zh-CN"/>
              </w:rPr>
              <w:t>违停抓拍</w:t>
            </w:r>
            <w:r>
              <w:rPr>
                <w:rFonts w:hint="eastAsia" w:ascii="宋体" w:hAnsi="宋体" w:eastAsia="宋体" w:cs="宋体"/>
              </w:rPr>
              <w:t>监控点位回传至</w:t>
            </w:r>
            <w:r>
              <w:rPr>
                <w:rFonts w:hint="eastAsia" w:ascii="宋体" w:hAnsi="宋体" w:eastAsia="宋体" w:cs="宋体"/>
                <w:lang w:val="en-US" w:eastAsia="zh-CN"/>
              </w:rPr>
              <w:t>公安视频专网</w:t>
            </w:r>
            <w:r>
              <w:rPr>
                <w:rFonts w:hint="eastAsia" w:ascii="宋体" w:hAnsi="宋体" w:eastAsia="宋体" w:cs="宋体"/>
              </w:rPr>
              <w:t>平台</w:t>
            </w:r>
            <w:r>
              <w:rPr>
                <w:rFonts w:hint="eastAsia" w:ascii="宋体" w:hAnsi="宋体" w:eastAsia="宋体" w:cs="宋体"/>
                <w:lang w:eastAsia="zh-CN"/>
              </w:rPr>
              <w:t>；</w:t>
            </w:r>
            <w:r>
              <w:rPr>
                <w:rFonts w:hint="eastAsia" w:ascii="宋体" w:hAnsi="宋体" w:eastAsia="宋体" w:cs="宋体"/>
                <w:lang w:val="en-US" w:eastAsia="zh-CN"/>
              </w:rPr>
              <w:t>1</w:t>
            </w:r>
            <w:r>
              <w:rPr>
                <w:rFonts w:hint="eastAsia" w:ascii="宋体" w:hAnsi="宋体" w:eastAsia="宋体" w:cs="宋体"/>
              </w:rPr>
              <w:t>条</w:t>
            </w:r>
            <w:r>
              <w:rPr>
                <w:rFonts w:hint="eastAsia" w:ascii="宋体" w:hAnsi="宋体" w:eastAsia="宋体" w:cs="宋体"/>
                <w:lang w:val="en-US" w:eastAsia="zh-CN"/>
              </w:rPr>
              <w:t>带宽 ≥ 800Mbps，连通县交警大队</w:t>
            </w:r>
            <w:r>
              <w:rPr>
                <w:rFonts w:hint="eastAsia" w:ascii="宋体" w:hAnsi="宋体" w:eastAsia="宋体" w:cs="宋体"/>
                <w:lang w:eastAsia="zh-CN"/>
              </w:rPr>
              <w:t>；</w:t>
            </w:r>
            <w:r>
              <w:rPr>
                <w:rFonts w:hint="eastAsia" w:ascii="宋体" w:hAnsi="宋体" w:eastAsia="宋体" w:cs="宋体"/>
                <w:lang w:val="en-US" w:eastAsia="zh-CN"/>
              </w:rPr>
              <w:t>1</w:t>
            </w:r>
            <w:r>
              <w:rPr>
                <w:rFonts w:hint="eastAsia" w:ascii="宋体" w:hAnsi="宋体" w:eastAsia="宋体" w:cs="宋体"/>
              </w:rPr>
              <w:t>条</w:t>
            </w:r>
            <w:r>
              <w:rPr>
                <w:rFonts w:hint="eastAsia" w:ascii="宋体" w:hAnsi="宋体" w:eastAsia="宋体" w:cs="宋体"/>
                <w:lang w:val="en-US" w:eastAsia="zh-CN"/>
              </w:rPr>
              <w:t>带宽 ≥ 1000Mbp数据回传汇聚链路</w:t>
            </w:r>
            <w:r>
              <w:rPr>
                <w:rFonts w:hint="eastAsia" w:ascii="宋体" w:hAnsi="宋体" w:eastAsia="宋体" w:cs="宋体"/>
              </w:rPr>
              <w:t>。</w:t>
            </w:r>
          </w:p>
          <w:p w14:paraId="08189DFB">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、网络需要扩展或升级时，投标人免费提供相应解决方案等技术支持。</w:t>
            </w:r>
          </w:p>
          <w:p w14:paraId="0042FED7">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宋体"/>
              </w:rPr>
            </w:pPr>
            <w:r>
              <w:rPr>
                <w:rFonts w:hint="eastAsia" w:ascii="宋体" w:hAnsi="宋体" w:eastAsia="宋体" w:cs="宋体"/>
                <w:lang w:val="en-US" w:eastAsia="zh-CN"/>
              </w:rPr>
              <w:t>3</w:t>
            </w:r>
            <w:r>
              <w:rPr>
                <w:rFonts w:hint="eastAsia" w:ascii="宋体" w:hAnsi="宋体" w:eastAsia="宋体" w:cs="宋体"/>
              </w:rPr>
              <w:t>、投标人提供线路的延时要求：终端网络接入ping测1M报文时间小于10毫秒。</w:t>
            </w:r>
          </w:p>
          <w:p w14:paraId="4166FEB9">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rPr>
              <w:t>、线路丢帧率：小于0.5%，且不允许出现连续丢包。</w:t>
            </w:r>
          </w:p>
          <w:p w14:paraId="6F4A0B54">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宋体"/>
              </w:rPr>
            </w:pPr>
            <w:r>
              <w:rPr>
                <w:rFonts w:hint="eastAsia" w:ascii="宋体" w:hAnsi="宋体" w:eastAsia="宋体" w:cs="宋体"/>
                <w:lang w:val="en-US" w:eastAsia="zh-CN"/>
              </w:rPr>
              <w:t>5</w:t>
            </w:r>
            <w:r>
              <w:rPr>
                <w:rFonts w:hint="eastAsia" w:ascii="宋体" w:hAnsi="宋体" w:eastAsia="宋体" w:cs="宋体"/>
              </w:rPr>
              <w:t>、提供的专线传输设备必须能满足后续扩容的需求。</w:t>
            </w:r>
          </w:p>
          <w:p w14:paraId="6D54DDDD">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宋体"/>
              </w:rPr>
            </w:pPr>
            <w:r>
              <w:rPr>
                <w:rFonts w:hint="eastAsia" w:ascii="宋体" w:hAnsi="宋体" w:eastAsia="宋体" w:cs="宋体"/>
                <w:lang w:val="en-US" w:eastAsia="zh-CN"/>
              </w:rPr>
              <w:t>6</w:t>
            </w:r>
            <w:r>
              <w:rPr>
                <w:rFonts w:hint="eastAsia" w:ascii="宋体" w:hAnsi="宋体" w:eastAsia="宋体" w:cs="宋体"/>
              </w:rPr>
              <w:t>、供应商不得将线路宽带与其他单位共用。</w:t>
            </w:r>
          </w:p>
          <w:p w14:paraId="28465890">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cs="等线 Light"/>
                <w:color w:val="000000"/>
                <w:szCs w:val="21"/>
              </w:rPr>
            </w:pPr>
            <w:r>
              <w:rPr>
                <w:rFonts w:hint="eastAsia" w:ascii="宋体" w:hAnsi="宋体" w:eastAsia="宋体" w:cs="宋体"/>
                <w:lang w:val="en-US" w:eastAsia="zh-CN"/>
              </w:rPr>
              <w:t>7</w:t>
            </w:r>
            <w:r>
              <w:rPr>
                <w:rFonts w:hint="eastAsia" w:ascii="宋体" w:hAnsi="宋体" w:cs="等线 Light"/>
                <w:color w:val="000000"/>
                <w:szCs w:val="21"/>
              </w:rPr>
              <w:t>、因施工、网络割接等原因影响宽带网络运行的，应当提前二天通知使用人。</w:t>
            </w:r>
          </w:p>
          <w:p w14:paraId="2DC05658">
            <w:pPr>
              <w:keepNext w:val="0"/>
              <w:keepLines w:val="0"/>
              <w:pageBreakBefore w:val="0"/>
              <w:widowControl/>
              <w:numPr>
                <w:ilvl w:val="0"/>
                <w:numId w:val="5"/>
              </w:numPr>
              <w:kinsoku/>
              <w:wordWrap/>
              <w:overflowPunct/>
              <w:topLinePunct w:val="0"/>
              <w:autoSpaceDE/>
              <w:autoSpaceDN/>
              <w:bidi w:val="0"/>
              <w:adjustRightInd/>
              <w:snapToGrid/>
              <w:spacing w:line="348" w:lineRule="auto"/>
              <w:jc w:val="left"/>
              <w:rPr>
                <w:rFonts w:hint="eastAsia" w:ascii="宋体" w:hAnsi="宋体" w:cs="等线 Light"/>
                <w:b/>
                <w:bCs/>
                <w:color w:val="auto"/>
                <w:szCs w:val="21"/>
              </w:rPr>
            </w:pPr>
            <w:r>
              <w:rPr>
                <w:rFonts w:hint="eastAsia" w:ascii="宋体" w:hAnsi="宋体" w:cs="等线 Light"/>
                <w:b/>
                <w:bCs/>
                <w:color w:val="auto"/>
                <w:szCs w:val="21"/>
              </w:rPr>
              <w:t>提供</w:t>
            </w:r>
            <w:r>
              <w:rPr>
                <w:rFonts w:hint="eastAsia" w:ascii="宋体" w:hAnsi="宋体" w:cs="等线 Light"/>
                <w:b/>
                <w:bCs/>
                <w:color w:val="auto"/>
                <w:szCs w:val="21"/>
                <w:lang w:val="en-US" w:eastAsia="zh-CN"/>
              </w:rPr>
              <w:t>应急保障及智算</w:t>
            </w:r>
            <w:r>
              <w:rPr>
                <w:rFonts w:hint="eastAsia" w:ascii="宋体" w:hAnsi="宋体" w:cs="等线 Light"/>
                <w:b/>
                <w:bCs/>
                <w:color w:val="auto"/>
                <w:szCs w:val="21"/>
              </w:rPr>
              <w:t>服务</w:t>
            </w:r>
          </w:p>
          <w:p w14:paraId="23CE26B0">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宋体"/>
              </w:rPr>
            </w:pPr>
            <w:r>
              <w:rPr>
                <w:rFonts w:hint="eastAsia" w:ascii="宋体" w:hAnsi="宋体" w:eastAsia="宋体" w:cs="等线 Light"/>
                <w:color w:val="auto"/>
                <w:sz w:val="21"/>
                <w:szCs w:val="21"/>
                <w:lang w:val="en-US" w:eastAsia="zh-CN" w:bidi="ar-SA"/>
              </w:rPr>
              <w:t>1</w:t>
            </w:r>
            <w:r>
              <w:rPr>
                <w:rFonts w:hint="eastAsia" w:ascii="宋体" w:hAnsi="宋体" w:eastAsia="宋体" w:cs="等线 Light"/>
                <w:color w:val="auto"/>
                <w:szCs w:val="21"/>
                <w:lang w:val="en-US" w:eastAsia="zh-CN"/>
              </w:rPr>
              <w:t>、</w:t>
            </w:r>
            <w:r>
              <w:rPr>
                <w:rFonts w:hint="eastAsia" w:ascii="宋体" w:hAnsi="宋体" w:eastAsia="宋体" w:cs="宋体"/>
              </w:rPr>
              <w:t>提供</w:t>
            </w:r>
            <w:r>
              <w:rPr>
                <w:rFonts w:hint="eastAsia" w:ascii="宋体" w:hAnsi="宋体" w:eastAsia="宋体" w:cs="宋体"/>
                <w:lang w:val="en-US" w:eastAsia="zh-CN"/>
              </w:rPr>
              <w:t>应急保障服务</w:t>
            </w:r>
            <w:r>
              <w:rPr>
                <w:rFonts w:hint="eastAsia" w:ascii="宋体" w:hAnsi="宋体" w:eastAsia="宋体" w:cs="宋体"/>
                <w:lang w:eastAsia="zh-CN"/>
              </w:rPr>
              <w:t>，</w:t>
            </w:r>
            <w:r>
              <w:rPr>
                <w:rFonts w:hint="eastAsia" w:ascii="宋体" w:hAnsi="宋体" w:eastAsia="宋体" w:cs="宋体"/>
                <w:lang w:val="en-US" w:eastAsia="zh-CN"/>
              </w:rPr>
              <w:t>确保重大节假日及重要活动期间业务系统的稳定运行，服务内容包括节前系统巡检、资源预检、节假日期间的实时监控值守及突发故障应急处置。</w:t>
            </w:r>
          </w:p>
          <w:p w14:paraId="342F86A7">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宋体"/>
              </w:rPr>
            </w:pPr>
            <w:r>
              <w:rPr>
                <w:rFonts w:hint="eastAsia" w:ascii="宋体" w:hAnsi="宋体" w:eastAsia="宋体" w:cs="宋体"/>
                <w:lang w:val="en-US" w:eastAsia="zh-CN"/>
              </w:rPr>
              <w:t>2、提供</w:t>
            </w:r>
            <w:r>
              <w:rPr>
                <w:rFonts w:hint="eastAsia" w:ascii="宋体" w:hAnsi="宋体" w:eastAsia="宋体" w:cs="宋体"/>
              </w:rPr>
              <w:t>桌面级智算服务，以AI工作站为载体，提供可快速上手、安全可靠的人工智能应用环境，</w:t>
            </w:r>
            <w:r>
              <w:rPr>
                <w:rFonts w:hint="eastAsia" w:ascii="宋体" w:hAnsi="宋体" w:eastAsia="宋体" w:cs="宋体"/>
                <w:lang w:val="en-US" w:eastAsia="zh-CN"/>
              </w:rPr>
              <w:t>达成</w:t>
            </w:r>
            <w:r>
              <w:rPr>
                <w:rFonts w:hint="eastAsia" w:ascii="宋体" w:hAnsi="宋体" w:eastAsia="宋体" w:cs="宋体"/>
              </w:rPr>
              <w:t>高效、安全地开展日常工作。</w:t>
            </w:r>
          </w:p>
          <w:p w14:paraId="19B2E73C">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cs="等线 Light"/>
                <w:color w:val="auto"/>
                <w:szCs w:val="21"/>
              </w:rPr>
            </w:pPr>
            <w:r>
              <w:rPr>
                <w:rFonts w:hint="eastAsia" w:ascii="宋体" w:hAnsi="宋体" w:eastAsia="宋体" w:cs="宋体"/>
                <w:lang w:val="en-US" w:eastAsia="zh-CN"/>
              </w:rPr>
              <w:t>3、</w:t>
            </w:r>
            <w:r>
              <w:rPr>
                <w:rFonts w:hint="eastAsia" w:ascii="宋体" w:hAnsi="宋体" w:eastAsia="宋体" w:cs="宋体"/>
              </w:rPr>
              <w:t>智算服务突破大模型长序列处理瓶颈，实现基于工作站本地算力的单模型</w:t>
            </w:r>
            <w:r>
              <w:rPr>
                <w:rFonts w:hint="eastAsia" w:ascii="宋体" w:hAnsi="宋体" w:cs="等线 Light"/>
                <w:color w:val="auto"/>
                <w:szCs w:val="21"/>
              </w:rPr>
              <w:t>最高支持1M超长上下文窗口。显著增强长文档理解能力、复杂逻辑推理能力与多轮对话的连贯性</w:t>
            </w:r>
            <w:r>
              <w:rPr>
                <w:rFonts w:hint="eastAsia" w:ascii="宋体" w:hAnsi="宋体" w:cs="等线 Light"/>
                <w:color w:val="auto"/>
                <w:szCs w:val="21"/>
                <w:lang w:eastAsia="zh-CN"/>
              </w:rPr>
              <w:t>。</w:t>
            </w:r>
          </w:p>
          <w:p w14:paraId="635F4590">
            <w:pPr>
              <w:keepNext w:val="0"/>
              <w:keepLines w:val="0"/>
              <w:pageBreakBefore w:val="0"/>
              <w:widowControl/>
              <w:numPr>
                <w:ilvl w:val="0"/>
                <w:numId w:val="5"/>
              </w:numPr>
              <w:kinsoku/>
              <w:wordWrap/>
              <w:overflowPunct/>
              <w:topLinePunct w:val="0"/>
              <w:autoSpaceDE/>
              <w:autoSpaceDN/>
              <w:bidi w:val="0"/>
              <w:adjustRightInd/>
              <w:snapToGrid/>
              <w:spacing w:line="348" w:lineRule="auto"/>
              <w:jc w:val="left"/>
              <w:rPr>
                <w:rFonts w:hint="eastAsia" w:ascii="宋体" w:hAnsi="宋体" w:cs="等线 Light"/>
                <w:b/>
                <w:bCs/>
                <w:color w:val="000000"/>
                <w:szCs w:val="21"/>
              </w:rPr>
            </w:pPr>
            <w:r>
              <w:rPr>
                <w:rFonts w:hint="eastAsia" w:ascii="宋体" w:hAnsi="宋体" w:cs="等线 Light"/>
                <w:b/>
                <w:bCs/>
                <w:color w:val="000000"/>
                <w:szCs w:val="21"/>
              </w:rPr>
              <w:t>提供视频联</w:t>
            </w:r>
            <w:r>
              <w:rPr>
                <w:rFonts w:hint="eastAsia" w:ascii="宋体" w:hAnsi="宋体" w:cs="等线 Light"/>
                <w:b/>
                <w:bCs/>
                <w:color w:val="000000"/>
                <w:szCs w:val="21"/>
                <w:lang w:val="en-US" w:eastAsia="zh-CN"/>
              </w:rPr>
              <w:t>网</w:t>
            </w:r>
            <w:r>
              <w:rPr>
                <w:rFonts w:hint="eastAsia" w:ascii="宋体" w:hAnsi="宋体" w:cs="等线 Light"/>
                <w:b/>
                <w:bCs/>
                <w:color w:val="000000"/>
                <w:szCs w:val="21"/>
              </w:rPr>
              <w:t>推送服务</w:t>
            </w:r>
          </w:p>
          <w:p w14:paraId="62049305">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eastAsia" w:ascii="宋体" w:hAnsi="宋体" w:eastAsia="宋体" w:cs="宋体"/>
              </w:rPr>
            </w:pPr>
            <w:r>
              <w:rPr>
                <w:rFonts w:hint="eastAsia" w:ascii="宋体" w:hAnsi="宋体" w:cs="等线 Light"/>
                <w:color w:val="000000"/>
                <w:szCs w:val="21"/>
              </w:rPr>
              <w:t>提</w:t>
            </w:r>
            <w:r>
              <w:rPr>
                <w:rFonts w:hint="eastAsia" w:ascii="宋体" w:hAnsi="宋体" w:eastAsia="宋体" w:cs="宋体"/>
              </w:rPr>
              <w:t>供视频</w:t>
            </w:r>
            <w:r>
              <w:rPr>
                <w:rFonts w:hint="eastAsia" w:ascii="宋体" w:hAnsi="宋体" w:eastAsia="宋体" w:cs="宋体"/>
                <w:lang w:val="en-US" w:eastAsia="zh-CN"/>
              </w:rPr>
              <w:t>联网</w:t>
            </w:r>
            <w:r>
              <w:rPr>
                <w:rFonts w:hint="eastAsia" w:ascii="宋体" w:hAnsi="宋体" w:eastAsia="宋体" w:cs="宋体"/>
              </w:rPr>
              <w:t>推送服务，将</w:t>
            </w:r>
            <w:r>
              <w:rPr>
                <w:rFonts w:hint="eastAsia" w:ascii="宋体" w:hAnsi="宋体" w:eastAsia="宋体" w:cs="宋体"/>
                <w:lang w:val="en-US" w:eastAsia="zh-CN"/>
              </w:rPr>
              <w:t>3200</w:t>
            </w:r>
            <w:r>
              <w:rPr>
                <w:rFonts w:hint="eastAsia" w:ascii="宋体" w:hAnsi="宋体" w:eastAsia="宋体" w:cs="宋体"/>
              </w:rPr>
              <w:t xml:space="preserve"> 路前端视频图像，通过安全边界单向受控推送至</w:t>
            </w:r>
            <w:r>
              <w:rPr>
                <w:rFonts w:hint="eastAsia" w:ascii="宋体" w:hAnsi="宋体" w:eastAsia="宋体" w:cs="宋体"/>
                <w:lang w:val="en-US" w:eastAsia="zh-CN"/>
              </w:rPr>
              <w:t>灌阳</w:t>
            </w:r>
            <w:r>
              <w:rPr>
                <w:rFonts w:hint="eastAsia" w:ascii="宋体" w:hAnsi="宋体" w:eastAsia="宋体" w:cs="宋体"/>
              </w:rPr>
              <w:t>县公安局视频监控管理平台。</w:t>
            </w:r>
          </w:p>
          <w:p w14:paraId="22959EB1">
            <w:pPr>
              <w:keepNext w:val="0"/>
              <w:keepLines w:val="0"/>
              <w:pageBreakBefore w:val="0"/>
              <w:widowControl/>
              <w:numPr>
                <w:ilvl w:val="0"/>
                <w:numId w:val="0"/>
              </w:numPr>
              <w:kinsoku/>
              <w:wordWrap/>
              <w:overflowPunct/>
              <w:topLinePunct w:val="0"/>
              <w:autoSpaceDE/>
              <w:autoSpaceDN/>
              <w:bidi w:val="0"/>
              <w:adjustRightInd/>
              <w:snapToGrid/>
              <w:spacing w:line="348" w:lineRule="auto"/>
              <w:ind w:firstLine="210" w:firstLineChars="100"/>
              <w:jc w:val="left"/>
              <w:textAlignment w:val="top"/>
              <w:rPr>
                <w:rFonts w:hint="default"/>
                <w:lang w:val="en-US" w:eastAsia="zh-CN"/>
              </w:rPr>
            </w:pPr>
            <w:r>
              <w:rPr>
                <w:rFonts w:hint="eastAsia" w:ascii="宋体" w:hAnsi="宋体" w:eastAsia="宋体" w:cs="宋体"/>
                <w:lang w:val="en-US" w:eastAsia="zh-CN"/>
              </w:rPr>
              <w:t>视频联网推送须符合 GB/T 28181《公共安全视频监控联网系统信息传输、</w:t>
            </w:r>
            <w:r>
              <w:rPr>
                <w:rFonts w:hint="eastAsia" w:ascii="宋体" w:hAnsi="宋体" w:cs="等线 Light"/>
                <w:color w:val="000000"/>
                <w:szCs w:val="21"/>
                <w:lang w:val="en-US" w:eastAsia="zh-CN"/>
              </w:rPr>
              <w:t>交</w:t>
            </w:r>
            <w:r>
              <w:rPr>
                <w:rFonts w:hint="eastAsia" w:ascii="宋体" w:hAnsi="宋体" w:eastAsia="宋体" w:cs="等线 Light"/>
                <w:color w:val="000000"/>
                <w:kern w:val="2"/>
                <w:sz w:val="21"/>
                <w:szCs w:val="21"/>
                <w:lang w:val="en-US" w:eastAsia="zh-CN" w:bidi="ar-SA"/>
              </w:rPr>
              <w:t>换、控制技术要求》国家标准，支持标准</w:t>
            </w:r>
            <w:r>
              <w:rPr>
                <w:rFonts w:hint="eastAsia" w:ascii="宋体" w:hAnsi="宋体" w:cs="等线 Light"/>
                <w:color w:val="000000"/>
                <w:szCs w:val="21"/>
                <w:lang w:val="en-US" w:eastAsia="zh-CN"/>
              </w:rPr>
              <w:t>联网</w:t>
            </w:r>
            <w:r>
              <w:rPr>
                <w:rFonts w:hint="eastAsia" w:ascii="宋体" w:hAnsi="宋体" w:eastAsia="宋体" w:cs="等线 Light"/>
                <w:color w:val="000000"/>
                <w:kern w:val="2"/>
                <w:sz w:val="21"/>
                <w:szCs w:val="21"/>
                <w:lang w:val="en-US" w:eastAsia="zh-CN" w:bidi="ar-SA"/>
              </w:rPr>
              <w:t>方式，实现上下级平台的注册、心跳、信令交互、视频点播及状态上报</w:t>
            </w:r>
            <w:r>
              <w:rPr>
                <w:rFonts w:hint="eastAsia" w:hAnsi="宋体" w:eastAsia="宋体" w:cs="等线 Light"/>
                <w:color w:val="000000"/>
                <w:kern w:val="2"/>
                <w:sz w:val="21"/>
                <w:szCs w:val="21"/>
                <w:lang w:val="en-US" w:eastAsia="zh-CN" w:bidi="ar-SA"/>
              </w:rPr>
              <w:t>。</w:t>
            </w:r>
          </w:p>
        </w:tc>
        <w:tc>
          <w:tcPr>
            <w:tcW w:w="545" w:type="dxa"/>
            <w:tcBorders>
              <w:top w:val="single" w:color="000000" w:sz="4" w:space="0"/>
              <w:left w:val="single" w:color="000000" w:sz="4" w:space="0"/>
              <w:bottom w:val="single" w:color="auto" w:sz="4" w:space="0"/>
              <w:right w:val="single" w:color="000000" w:sz="4" w:space="0"/>
            </w:tcBorders>
            <w:vAlign w:val="center"/>
          </w:tcPr>
          <w:p w14:paraId="2AC5518A">
            <w:pPr>
              <w:widowControl/>
              <w:spacing w:line="360" w:lineRule="auto"/>
              <w:jc w:val="center"/>
              <w:rPr>
                <w:rFonts w:hint="eastAsia" w:ascii="宋体" w:hAnsi="宋体" w:cs="等线 Light"/>
                <w:color w:val="000000"/>
                <w:szCs w:val="21"/>
              </w:rPr>
            </w:pPr>
            <w:r>
              <w:rPr>
                <w:rFonts w:hint="eastAsia" w:ascii="宋体" w:hAnsi="宋体" w:cs="等线 Light"/>
                <w:color w:val="000000"/>
                <w:szCs w:val="21"/>
              </w:rPr>
              <w:t>1</w:t>
            </w:r>
          </w:p>
        </w:tc>
        <w:tc>
          <w:tcPr>
            <w:tcW w:w="563" w:type="dxa"/>
            <w:tcBorders>
              <w:top w:val="single" w:color="000000" w:sz="4" w:space="0"/>
              <w:left w:val="single" w:color="000000" w:sz="4" w:space="0"/>
              <w:bottom w:val="single" w:color="auto" w:sz="4" w:space="0"/>
              <w:right w:val="single" w:color="000000" w:sz="4" w:space="0"/>
            </w:tcBorders>
            <w:vAlign w:val="center"/>
          </w:tcPr>
          <w:p w14:paraId="6ED5F0B3">
            <w:pPr>
              <w:widowControl/>
              <w:spacing w:line="360" w:lineRule="auto"/>
              <w:jc w:val="center"/>
              <w:rPr>
                <w:rFonts w:hint="eastAsia" w:ascii="宋体" w:hAnsi="宋体" w:cs="等线 Light"/>
                <w:color w:val="000000"/>
                <w:szCs w:val="21"/>
              </w:rPr>
            </w:pPr>
            <w:r>
              <w:rPr>
                <w:rFonts w:hint="eastAsia" w:ascii="宋体" w:hAnsi="宋体" w:cs="等线 Light"/>
                <w:color w:val="000000"/>
                <w:szCs w:val="21"/>
              </w:rPr>
              <w:t>项</w:t>
            </w:r>
          </w:p>
        </w:tc>
      </w:tr>
      <w:tr w14:paraId="00FD90C8">
        <w:tblPrEx>
          <w:tblCellMar>
            <w:top w:w="0" w:type="dxa"/>
            <w:left w:w="108" w:type="dxa"/>
            <w:bottom w:w="0" w:type="dxa"/>
            <w:right w:w="108" w:type="dxa"/>
          </w:tblCellMar>
        </w:tblPrEx>
        <w:trPr>
          <w:trHeight w:val="440" w:hRule="atLeast"/>
          <w:jc w:val="center"/>
        </w:trPr>
        <w:tc>
          <w:tcPr>
            <w:tcW w:w="9653" w:type="dxa"/>
            <w:gridSpan w:val="6"/>
            <w:tcBorders>
              <w:top w:val="single" w:color="auto" w:sz="4" w:space="0"/>
              <w:left w:val="single" w:color="auto" w:sz="4" w:space="0"/>
              <w:bottom w:val="single" w:color="auto" w:sz="4" w:space="0"/>
              <w:right w:val="single" w:color="auto" w:sz="4" w:space="0"/>
            </w:tcBorders>
            <w:vAlign w:val="center"/>
          </w:tcPr>
          <w:p w14:paraId="66C725A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cs="宋体"/>
                <w:b/>
                <w:bCs/>
                <w:kern w:val="0"/>
                <w:szCs w:val="21"/>
              </w:rPr>
            </w:pPr>
            <w:r>
              <w:rPr>
                <w:rFonts w:hint="eastAsia" w:ascii="宋体" w:hAnsi="宋体" w:cs="宋体"/>
                <w:b/>
                <w:bCs/>
                <w:kern w:val="0"/>
                <w:szCs w:val="21"/>
              </w:rPr>
              <w:t>商务要求</w:t>
            </w:r>
          </w:p>
        </w:tc>
      </w:tr>
      <w:tr w14:paraId="49023C27">
        <w:tblPrEx>
          <w:tblCellMar>
            <w:top w:w="0" w:type="dxa"/>
            <w:left w:w="108" w:type="dxa"/>
            <w:bottom w:w="0" w:type="dxa"/>
            <w:right w:w="108" w:type="dxa"/>
          </w:tblCellMar>
        </w:tblPrEx>
        <w:trPr>
          <w:trHeight w:val="955" w:hRule="atLeast"/>
          <w:jc w:val="center"/>
        </w:trPr>
        <w:tc>
          <w:tcPr>
            <w:tcW w:w="1190" w:type="dxa"/>
            <w:gridSpan w:val="2"/>
            <w:tcBorders>
              <w:top w:val="single" w:color="auto" w:sz="4" w:space="0"/>
              <w:left w:val="single" w:color="auto" w:sz="4" w:space="0"/>
              <w:bottom w:val="single" w:color="auto" w:sz="4" w:space="0"/>
              <w:right w:val="single" w:color="auto" w:sz="4" w:space="0"/>
            </w:tcBorders>
            <w:vAlign w:val="center"/>
          </w:tcPr>
          <w:p w14:paraId="1AA7F2D8">
            <w:pPr>
              <w:spacing w:line="360" w:lineRule="auto"/>
              <w:jc w:val="center"/>
              <w:rPr>
                <w:rFonts w:hint="eastAsia" w:ascii="宋体" w:hAnsi="宋体" w:cs="宋体"/>
                <w:szCs w:val="21"/>
              </w:rPr>
            </w:pPr>
            <w:r>
              <w:rPr>
                <w:rFonts w:hint="eastAsia" w:ascii="宋体" w:hAnsi="宋体" w:cs="宋体"/>
                <w:szCs w:val="21"/>
              </w:rPr>
              <w:t>服务要求</w:t>
            </w:r>
          </w:p>
        </w:tc>
        <w:tc>
          <w:tcPr>
            <w:tcW w:w="8463" w:type="dxa"/>
            <w:gridSpan w:val="4"/>
            <w:tcBorders>
              <w:top w:val="single" w:color="auto" w:sz="4" w:space="0"/>
              <w:left w:val="single" w:color="auto" w:sz="4" w:space="0"/>
              <w:bottom w:val="single" w:color="auto" w:sz="4" w:space="0"/>
              <w:right w:val="single" w:color="auto" w:sz="4" w:space="0"/>
            </w:tcBorders>
            <w:vAlign w:val="center"/>
          </w:tcPr>
          <w:p w14:paraId="381C0610">
            <w:pPr>
              <w:keepNext w:val="0"/>
              <w:keepLines w:val="0"/>
              <w:pageBreakBefore w:val="0"/>
              <w:widowControl w:val="0"/>
              <w:kinsoku/>
              <w:wordWrap w:val="0"/>
              <w:overflowPunct/>
              <w:topLinePunct w:val="0"/>
              <w:autoSpaceDE/>
              <w:autoSpaceDN/>
              <w:bidi w:val="0"/>
              <w:adjustRightInd/>
              <w:snapToGrid/>
              <w:spacing w:line="420" w:lineRule="exact"/>
              <w:jc w:val="both"/>
              <w:textAlignment w:val="auto"/>
              <w:rPr>
                <w:rFonts w:hint="eastAsia" w:ascii="宋体" w:hAnsi="宋体" w:cs="Times New Roman"/>
                <w:szCs w:val="21"/>
              </w:rPr>
            </w:pPr>
            <w:r>
              <w:rPr>
                <w:rFonts w:hint="eastAsia" w:ascii="宋体" w:hAnsi="宋体" w:cs="Times New Roman"/>
                <w:szCs w:val="21"/>
              </w:rPr>
              <w:t>1、定期进行回访并对今后系统升级改造后的软硬件继续提供技术支持。</w:t>
            </w:r>
          </w:p>
          <w:p w14:paraId="287C70DB">
            <w:pPr>
              <w:keepNext w:val="0"/>
              <w:keepLines w:val="0"/>
              <w:pageBreakBefore w:val="0"/>
              <w:widowControl w:val="0"/>
              <w:kinsoku/>
              <w:wordWrap w:val="0"/>
              <w:overflowPunct/>
              <w:topLinePunct w:val="0"/>
              <w:autoSpaceDE/>
              <w:autoSpaceDN/>
              <w:bidi w:val="0"/>
              <w:adjustRightInd/>
              <w:snapToGrid/>
              <w:spacing w:line="420" w:lineRule="exact"/>
              <w:jc w:val="both"/>
              <w:textAlignment w:val="auto"/>
              <w:rPr>
                <w:rFonts w:hint="eastAsia" w:ascii="宋体" w:hAnsi="宋体" w:cs="Times New Roman"/>
                <w:szCs w:val="21"/>
              </w:rPr>
            </w:pPr>
            <w:r>
              <w:rPr>
                <w:rFonts w:hint="eastAsia" w:ascii="宋体" w:hAnsi="宋体" w:cs="Times New Roman"/>
                <w:szCs w:val="21"/>
              </w:rPr>
              <w:t>2、服务</w:t>
            </w:r>
            <w:r>
              <w:rPr>
                <w:rFonts w:hint="eastAsia" w:ascii="宋体" w:hAnsi="宋体" w:cs="Times New Roman"/>
                <w:szCs w:val="21"/>
                <w:lang w:val="en-US" w:eastAsia="zh-CN"/>
              </w:rPr>
              <w:t>时限</w:t>
            </w:r>
            <w:r>
              <w:rPr>
                <w:rFonts w:hint="eastAsia" w:ascii="宋体" w:hAnsi="宋体" w:cs="Times New Roman"/>
                <w:szCs w:val="21"/>
              </w:rPr>
              <w:t>：提供7×24小时</w:t>
            </w:r>
            <w:r>
              <w:rPr>
                <w:rFonts w:hint="eastAsia" w:ascii="宋体" w:hAnsi="宋体" w:cs="Times New Roman"/>
                <w:szCs w:val="21"/>
                <w:lang w:val="en-US" w:eastAsia="zh-CN"/>
              </w:rPr>
              <w:t>热线</w:t>
            </w:r>
            <w:r>
              <w:rPr>
                <w:rFonts w:hint="eastAsia" w:ascii="宋体" w:hAnsi="宋体" w:cs="Times New Roman"/>
                <w:szCs w:val="21"/>
              </w:rPr>
              <w:t>服务。</w:t>
            </w:r>
          </w:p>
          <w:p w14:paraId="2F24A237">
            <w:pPr>
              <w:keepNext w:val="0"/>
              <w:keepLines w:val="0"/>
              <w:pageBreakBefore w:val="0"/>
              <w:widowControl w:val="0"/>
              <w:kinsoku/>
              <w:wordWrap/>
              <w:overflowPunct/>
              <w:topLinePunct w:val="0"/>
              <w:autoSpaceDE/>
              <w:autoSpaceDN/>
              <w:bidi w:val="0"/>
              <w:adjustRightInd/>
              <w:snapToGrid/>
              <w:spacing w:line="440" w:lineRule="exact"/>
              <w:textAlignment w:val="auto"/>
              <w:outlineLvl w:val="1"/>
              <w:rPr>
                <w:rFonts w:hint="default" w:ascii="宋体" w:hAnsi="宋体" w:eastAsia="宋体" w:cs="Times New Roman"/>
                <w:sz w:val="21"/>
                <w:szCs w:val="21"/>
                <w:lang w:val="en-US" w:eastAsia="zh-CN"/>
              </w:rPr>
            </w:pPr>
            <w:r>
              <w:rPr>
                <w:rFonts w:hint="eastAsia" w:ascii="宋体" w:hAnsi="宋体" w:eastAsia="宋体" w:cs="Times New Roman"/>
                <w:sz w:val="21"/>
                <w:szCs w:val="21"/>
                <w:lang w:val="en-US" w:eastAsia="zh-CN"/>
              </w:rPr>
              <w:t>3</w:t>
            </w:r>
            <w:r>
              <w:rPr>
                <w:rFonts w:hint="default" w:ascii="宋体" w:hAnsi="宋体" w:eastAsia="宋体" w:cs="Times New Roman"/>
                <w:sz w:val="21"/>
                <w:szCs w:val="21"/>
                <w:lang w:val="en-US" w:eastAsia="zh-CN"/>
              </w:rPr>
              <w:t>、对原有</w:t>
            </w:r>
            <w:r>
              <w:rPr>
                <w:rFonts w:hint="eastAsia" w:ascii="宋体" w:hAnsi="宋体" w:eastAsia="宋体" w:cs="Times New Roman"/>
                <w:sz w:val="21"/>
                <w:szCs w:val="21"/>
                <w:lang w:val="en-US" w:eastAsia="zh-CN"/>
              </w:rPr>
              <w:t>“雪亮工程一期”</w:t>
            </w:r>
            <w:r>
              <w:rPr>
                <w:rFonts w:hint="default" w:ascii="宋体" w:hAnsi="宋体" w:eastAsia="宋体" w:cs="Times New Roman"/>
                <w:sz w:val="21"/>
                <w:szCs w:val="21"/>
                <w:lang w:val="en-US" w:eastAsia="zh-CN"/>
              </w:rPr>
              <w:t>的</w:t>
            </w:r>
            <w:r>
              <w:rPr>
                <w:rFonts w:hint="eastAsia" w:ascii="宋体" w:hAnsi="宋体" w:eastAsia="宋体" w:cs="Times New Roman"/>
                <w:sz w:val="21"/>
                <w:szCs w:val="21"/>
                <w:lang w:val="en-US" w:eastAsia="zh-CN"/>
              </w:rPr>
              <w:t>所有</w:t>
            </w:r>
            <w:r>
              <w:rPr>
                <w:rFonts w:hint="default" w:ascii="宋体" w:hAnsi="宋体" w:eastAsia="宋体" w:cs="Times New Roman"/>
                <w:sz w:val="21"/>
                <w:szCs w:val="21"/>
                <w:lang w:val="en-US" w:eastAsia="zh-CN"/>
              </w:rPr>
              <w:t>设备进行网络上线运行</w:t>
            </w:r>
            <w:r>
              <w:rPr>
                <w:rFonts w:hint="eastAsia" w:ascii="宋体" w:hAnsi="宋体" w:eastAsia="宋体" w:cs="Times New Roman"/>
                <w:sz w:val="21"/>
                <w:szCs w:val="21"/>
                <w:lang w:val="en-US" w:eastAsia="zh-CN"/>
              </w:rPr>
              <w:t>（灌阳雪亮一期点位列表另附）</w:t>
            </w:r>
            <w:r>
              <w:rPr>
                <w:rFonts w:hint="default" w:ascii="宋体" w:hAnsi="宋体" w:eastAsia="宋体" w:cs="Times New Roman"/>
                <w:sz w:val="21"/>
                <w:szCs w:val="21"/>
                <w:lang w:val="en-US" w:eastAsia="zh-CN"/>
              </w:rPr>
              <w:t>。</w:t>
            </w:r>
          </w:p>
          <w:p w14:paraId="5351F506">
            <w:pPr>
              <w:keepNext w:val="0"/>
              <w:keepLines w:val="0"/>
              <w:pageBreakBefore w:val="0"/>
              <w:widowControl w:val="0"/>
              <w:kinsoku/>
              <w:wordWrap w:val="0"/>
              <w:overflowPunct/>
              <w:topLinePunct w:val="0"/>
              <w:autoSpaceDE/>
              <w:autoSpaceDN/>
              <w:bidi w:val="0"/>
              <w:adjustRightInd/>
              <w:snapToGrid/>
              <w:spacing w:line="420" w:lineRule="exact"/>
              <w:jc w:val="both"/>
              <w:textAlignment w:val="auto"/>
              <w:rPr>
                <w:rFonts w:hint="eastAsia" w:ascii="宋体" w:hAnsi="宋体" w:cs="Times New Roman"/>
                <w:szCs w:val="21"/>
              </w:rPr>
            </w:pPr>
            <w:r>
              <w:rPr>
                <w:rFonts w:hint="eastAsia" w:ascii="宋体" w:hAnsi="宋体" w:eastAsia="宋体" w:cs="Times New Roman"/>
                <w:sz w:val="21"/>
                <w:szCs w:val="21"/>
                <w:lang w:val="en-US" w:eastAsia="zh-CN"/>
              </w:rPr>
              <w:t>4</w:t>
            </w:r>
            <w:r>
              <w:rPr>
                <w:rFonts w:hint="default" w:ascii="宋体" w:hAnsi="宋体" w:eastAsia="宋体" w:cs="Times New Roman"/>
                <w:sz w:val="21"/>
                <w:szCs w:val="21"/>
                <w:lang w:val="en-US" w:eastAsia="zh-CN"/>
              </w:rPr>
              <w:t>、平台对接：录像平台须与公安视频专网无缝对接，保障数据安全规范。</w:t>
            </w:r>
          </w:p>
        </w:tc>
      </w:tr>
      <w:tr w14:paraId="6CC83EB0">
        <w:tblPrEx>
          <w:tblCellMar>
            <w:top w:w="0" w:type="dxa"/>
            <w:left w:w="108" w:type="dxa"/>
            <w:bottom w:w="0" w:type="dxa"/>
            <w:right w:w="108" w:type="dxa"/>
          </w:tblCellMar>
        </w:tblPrEx>
        <w:trPr>
          <w:jc w:val="center"/>
        </w:trPr>
        <w:tc>
          <w:tcPr>
            <w:tcW w:w="1190" w:type="dxa"/>
            <w:gridSpan w:val="2"/>
            <w:tcBorders>
              <w:top w:val="single" w:color="auto" w:sz="4" w:space="0"/>
              <w:left w:val="single" w:color="auto" w:sz="4" w:space="0"/>
              <w:bottom w:val="single" w:color="auto" w:sz="4" w:space="0"/>
              <w:right w:val="single" w:color="auto" w:sz="4" w:space="0"/>
            </w:tcBorders>
            <w:vAlign w:val="center"/>
          </w:tcPr>
          <w:p w14:paraId="75CA7FA7">
            <w:pPr>
              <w:adjustRightInd w:val="0"/>
              <w:snapToGrid w:val="0"/>
              <w:spacing w:line="360" w:lineRule="auto"/>
              <w:jc w:val="center"/>
              <w:rPr>
                <w:rFonts w:hint="eastAsia" w:ascii="宋体" w:hAnsi="宋体" w:cs="宋体"/>
                <w:szCs w:val="21"/>
              </w:rPr>
            </w:pPr>
            <w:r>
              <w:rPr>
                <w:rFonts w:hint="eastAsia" w:ascii="宋体" w:hAnsi="宋体" w:cs="宋体"/>
                <w:szCs w:val="21"/>
              </w:rPr>
              <w:t>服务期限及服务地点</w:t>
            </w:r>
          </w:p>
        </w:tc>
        <w:tc>
          <w:tcPr>
            <w:tcW w:w="8463" w:type="dxa"/>
            <w:gridSpan w:val="4"/>
            <w:tcBorders>
              <w:top w:val="single" w:color="auto" w:sz="4" w:space="0"/>
              <w:left w:val="single" w:color="auto" w:sz="4" w:space="0"/>
              <w:bottom w:val="single" w:color="auto" w:sz="4" w:space="0"/>
              <w:right w:val="single" w:color="auto" w:sz="4" w:space="0"/>
            </w:tcBorders>
            <w:vAlign w:val="center"/>
          </w:tcPr>
          <w:p w14:paraId="7490218D">
            <w:pPr>
              <w:keepNext w:val="0"/>
              <w:keepLines w:val="0"/>
              <w:pageBreakBefore w:val="0"/>
              <w:widowControl w:val="0"/>
              <w:kinsoku/>
              <w:wordWrap w:val="0"/>
              <w:overflowPunct/>
              <w:topLinePunct w:val="0"/>
              <w:autoSpaceDE/>
              <w:autoSpaceDN/>
              <w:bidi w:val="0"/>
              <w:adjustRightInd/>
              <w:snapToGrid/>
              <w:spacing w:line="420" w:lineRule="exact"/>
              <w:jc w:val="both"/>
              <w:textAlignment w:val="auto"/>
              <w:rPr>
                <w:rFonts w:hint="eastAsia" w:ascii="宋体" w:hAnsi="宋体" w:cs="Times New Roman"/>
                <w:szCs w:val="21"/>
              </w:rPr>
            </w:pPr>
            <w:r>
              <w:rPr>
                <w:rFonts w:hint="eastAsia" w:ascii="宋体" w:hAnsi="宋体" w:cs="Times New Roman"/>
                <w:szCs w:val="21"/>
                <w:lang w:val="en-US" w:eastAsia="zh-CN"/>
              </w:rPr>
              <w:t>1</w:t>
            </w:r>
            <w:r>
              <w:rPr>
                <w:rFonts w:hint="eastAsia" w:ascii="宋体" w:hAnsi="宋体" w:cs="Times New Roman"/>
                <w:szCs w:val="21"/>
              </w:rPr>
              <w:t>、服务期限：自验收合格并交付使用之日起36个月。</w:t>
            </w:r>
          </w:p>
          <w:p w14:paraId="5864100A">
            <w:pPr>
              <w:keepNext w:val="0"/>
              <w:keepLines w:val="0"/>
              <w:pageBreakBefore w:val="0"/>
              <w:widowControl w:val="0"/>
              <w:kinsoku/>
              <w:wordWrap w:val="0"/>
              <w:overflowPunct/>
              <w:topLinePunct w:val="0"/>
              <w:autoSpaceDE/>
              <w:autoSpaceDN/>
              <w:bidi w:val="0"/>
              <w:adjustRightInd/>
              <w:snapToGrid/>
              <w:spacing w:line="420" w:lineRule="exact"/>
              <w:jc w:val="both"/>
              <w:textAlignment w:val="auto"/>
              <w:rPr>
                <w:rFonts w:hint="eastAsia" w:ascii="宋体" w:hAnsi="宋体" w:cs="Times New Roman"/>
                <w:szCs w:val="21"/>
              </w:rPr>
            </w:pPr>
            <w:r>
              <w:rPr>
                <w:rFonts w:hint="eastAsia" w:ascii="宋体" w:hAnsi="宋体" w:cs="Times New Roman"/>
                <w:szCs w:val="21"/>
                <w:lang w:val="en-US" w:eastAsia="zh-CN"/>
              </w:rPr>
              <w:t>2</w:t>
            </w:r>
            <w:r>
              <w:rPr>
                <w:rFonts w:hint="eastAsia" w:ascii="宋体" w:hAnsi="宋体" w:cs="Times New Roman"/>
                <w:szCs w:val="21"/>
              </w:rPr>
              <w:t>、服务地点：采购人指定地点。</w:t>
            </w:r>
          </w:p>
          <w:p w14:paraId="11C8262E">
            <w:pPr>
              <w:keepNext w:val="0"/>
              <w:keepLines w:val="0"/>
              <w:pageBreakBefore w:val="0"/>
              <w:widowControl w:val="0"/>
              <w:kinsoku/>
              <w:wordWrap w:val="0"/>
              <w:overflowPunct/>
              <w:topLinePunct w:val="0"/>
              <w:autoSpaceDE/>
              <w:autoSpaceDN/>
              <w:bidi w:val="0"/>
              <w:adjustRightInd/>
              <w:snapToGrid/>
              <w:spacing w:line="420" w:lineRule="exact"/>
              <w:jc w:val="both"/>
              <w:textAlignment w:val="auto"/>
              <w:rPr>
                <w:rFonts w:hint="eastAsia" w:ascii="宋体" w:hAnsi="宋体" w:cs="Times New Roman"/>
                <w:szCs w:val="21"/>
              </w:rPr>
            </w:pPr>
            <w:r>
              <w:rPr>
                <w:rFonts w:hint="eastAsia" w:ascii="宋体" w:hAnsi="宋体" w:cs="Times New Roman"/>
                <w:szCs w:val="21"/>
                <w:lang w:val="en-US" w:eastAsia="zh-CN"/>
              </w:rPr>
              <w:t>3</w:t>
            </w:r>
            <w:r>
              <w:rPr>
                <w:rFonts w:hint="eastAsia" w:ascii="宋体" w:hAnsi="宋体" w:cs="Times New Roman"/>
                <w:szCs w:val="21"/>
              </w:rPr>
              <w:t>、交付使用期限：自签订合同之日起</w:t>
            </w:r>
            <w:r>
              <w:rPr>
                <w:rFonts w:hint="eastAsia" w:ascii="宋体" w:hAnsi="宋体" w:cs="Times New Roman"/>
                <w:szCs w:val="21"/>
                <w:lang w:val="en-US" w:eastAsia="zh-CN"/>
              </w:rPr>
              <w:t>30</w:t>
            </w:r>
            <w:r>
              <w:rPr>
                <w:rFonts w:hint="eastAsia" w:ascii="宋体" w:hAnsi="宋体" w:cs="Times New Roman"/>
                <w:szCs w:val="21"/>
              </w:rPr>
              <w:t>个工作日内完成交付。</w:t>
            </w:r>
          </w:p>
          <w:p w14:paraId="466D5E52">
            <w:pPr>
              <w:keepNext w:val="0"/>
              <w:keepLines w:val="0"/>
              <w:pageBreakBefore w:val="0"/>
              <w:widowControl w:val="0"/>
              <w:kinsoku/>
              <w:wordWrap w:val="0"/>
              <w:overflowPunct/>
              <w:topLinePunct w:val="0"/>
              <w:autoSpaceDE/>
              <w:autoSpaceDN/>
              <w:bidi w:val="0"/>
              <w:adjustRightInd/>
              <w:snapToGrid/>
              <w:spacing w:line="420" w:lineRule="exact"/>
              <w:jc w:val="both"/>
              <w:textAlignment w:val="auto"/>
              <w:rPr>
                <w:rFonts w:hint="eastAsia" w:ascii="宋体" w:hAnsi="宋体" w:cs="Times New Roman"/>
                <w:szCs w:val="21"/>
              </w:rPr>
            </w:pPr>
            <w:r>
              <w:rPr>
                <w:rFonts w:hint="eastAsia" w:ascii="宋体" w:hAnsi="宋体" w:cs="Times New Roman"/>
                <w:szCs w:val="21"/>
                <w:lang w:val="en-US" w:eastAsia="zh-CN"/>
              </w:rPr>
              <w:t>4</w:t>
            </w:r>
            <w:r>
              <w:rPr>
                <w:rFonts w:hint="eastAsia" w:ascii="宋体" w:hAnsi="宋体" w:cs="Times New Roman"/>
                <w:szCs w:val="21"/>
              </w:rPr>
              <w:t>、交付方式：现场服务。</w:t>
            </w:r>
          </w:p>
        </w:tc>
      </w:tr>
      <w:tr w14:paraId="0BFC8DFB">
        <w:tblPrEx>
          <w:tblCellMar>
            <w:top w:w="0" w:type="dxa"/>
            <w:left w:w="108" w:type="dxa"/>
            <w:bottom w:w="0" w:type="dxa"/>
            <w:right w:w="108" w:type="dxa"/>
          </w:tblCellMar>
        </w:tblPrEx>
        <w:trPr>
          <w:jc w:val="center"/>
        </w:trPr>
        <w:tc>
          <w:tcPr>
            <w:tcW w:w="1190" w:type="dxa"/>
            <w:gridSpan w:val="2"/>
            <w:tcBorders>
              <w:top w:val="single" w:color="auto" w:sz="4" w:space="0"/>
              <w:left w:val="single" w:color="auto" w:sz="4" w:space="0"/>
              <w:bottom w:val="single" w:color="auto" w:sz="4" w:space="0"/>
              <w:right w:val="single" w:color="auto" w:sz="4" w:space="0"/>
            </w:tcBorders>
            <w:vAlign w:val="center"/>
          </w:tcPr>
          <w:p w14:paraId="4AF632B7">
            <w:pPr>
              <w:adjustRightInd w:val="0"/>
              <w:snapToGrid w:val="0"/>
              <w:spacing w:line="360" w:lineRule="auto"/>
              <w:jc w:val="center"/>
              <w:rPr>
                <w:rFonts w:hint="eastAsia" w:ascii="宋体" w:hAnsi="宋体" w:cs="宋体"/>
                <w:szCs w:val="21"/>
              </w:rPr>
            </w:pPr>
            <w:r>
              <w:rPr>
                <w:rFonts w:hint="eastAsia" w:ascii="宋体" w:hAnsi="宋体" w:cs="宋体"/>
                <w:szCs w:val="21"/>
              </w:rPr>
              <w:t>付款方式</w:t>
            </w:r>
          </w:p>
        </w:tc>
        <w:tc>
          <w:tcPr>
            <w:tcW w:w="8463" w:type="dxa"/>
            <w:gridSpan w:val="4"/>
            <w:tcBorders>
              <w:top w:val="single" w:color="auto" w:sz="4" w:space="0"/>
              <w:left w:val="single" w:color="auto" w:sz="4" w:space="0"/>
              <w:bottom w:val="single" w:color="auto" w:sz="4" w:space="0"/>
              <w:right w:val="single" w:color="auto" w:sz="4" w:space="0"/>
            </w:tcBorders>
            <w:vAlign w:val="center"/>
          </w:tcPr>
          <w:p w14:paraId="5F9C3E96">
            <w:pPr>
              <w:keepNext w:val="0"/>
              <w:keepLines w:val="0"/>
              <w:pageBreakBefore w:val="0"/>
              <w:widowControl w:val="0"/>
              <w:kinsoku/>
              <w:wordWrap w:val="0"/>
              <w:overflowPunct/>
              <w:topLinePunct w:val="0"/>
              <w:autoSpaceDE/>
              <w:autoSpaceDN/>
              <w:bidi w:val="0"/>
              <w:adjustRightInd/>
              <w:snapToGrid/>
              <w:spacing w:line="420" w:lineRule="exact"/>
              <w:jc w:val="both"/>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rPr>
              <w:t>签</w:t>
            </w:r>
            <w:r>
              <w:rPr>
                <w:rFonts w:hint="eastAsia" w:ascii="宋体" w:hAnsi="宋体" w:eastAsia="宋体" w:cs="宋体"/>
                <w:szCs w:val="21"/>
                <w:highlight w:val="none"/>
                <w:lang w:val="en-US" w:eastAsia="zh-CN"/>
              </w:rPr>
              <w:t>定合同</w:t>
            </w:r>
            <w:r>
              <w:rPr>
                <w:rFonts w:hint="eastAsia" w:ascii="宋体" w:hAnsi="宋体" w:eastAsia="宋体" w:cs="宋体"/>
                <w:szCs w:val="21"/>
                <w:highlight w:val="none"/>
              </w:rPr>
              <w:t>后10个工作日内支付</w:t>
            </w:r>
            <w:r>
              <w:rPr>
                <w:rFonts w:hint="eastAsia" w:ascii="宋体" w:hAnsi="宋体" w:eastAsia="宋体" w:cs="宋体"/>
                <w:szCs w:val="21"/>
                <w:highlight w:val="none"/>
                <w:lang w:val="en-US" w:eastAsia="zh-CN"/>
              </w:rPr>
              <w:t>当年的合同款（中标金额）；</w:t>
            </w:r>
          </w:p>
          <w:p w14:paraId="4B3591D8">
            <w:pPr>
              <w:keepNext w:val="0"/>
              <w:keepLines w:val="0"/>
              <w:pageBreakBefore w:val="0"/>
              <w:widowControl w:val="0"/>
              <w:kinsoku/>
              <w:wordWrap w:val="0"/>
              <w:overflowPunct/>
              <w:topLinePunct w:val="0"/>
              <w:autoSpaceDE/>
              <w:autoSpaceDN/>
              <w:bidi w:val="0"/>
              <w:adjustRightInd/>
              <w:snapToGrid/>
              <w:spacing w:line="420" w:lineRule="exact"/>
              <w:jc w:val="both"/>
              <w:textAlignment w:val="auto"/>
              <w:rPr>
                <w:rFonts w:hint="eastAsia" w:ascii="宋体" w:hAnsi="宋体"/>
                <w:color w:val="000000"/>
                <w:szCs w:val="21"/>
                <w:highlight w:val="none"/>
                <w:lang w:eastAsia="zh-CN"/>
              </w:rPr>
            </w:pPr>
            <w:r>
              <w:rPr>
                <w:rFonts w:hint="eastAsia" w:ascii="宋体" w:hAnsi="宋体"/>
                <w:color w:val="000000"/>
                <w:szCs w:val="21"/>
                <w:highlight w:val="none"/>
              </w:rPr>
              <w:t>合同期满1年后的1个月内支付</w:t>
            </w:r>
            <w:r>
              <w:rPr>
                <w:rFonts w:hint="eastAsia" w:ascii="宋体" w:hAnsi="宋体"/>
                <w:color w:val="000000"/>
                <w:szCs w:val="21"/>
                <w:highlight w:val="none"/>
                <w:lang w:val="en-US" w:eastAsia="zh-CN"/>
              </w:rPr>
              <w:t>第二年的</w:t>
            </w:r>
            <w:r>
              <w:rPr>
                <w:rFonts w:hint="eastAsia" w:ascii="宋体" w:hAnsi="宋体"/>
                <w:color w:val="000000"/>
                <w:szCs w:val="21"/>
                <w:highlight w:val="none"/>
              </w:rPr>
              <w:t>合同款</w:t>
            </w:r>
            <w:r>
              <w:rPr>
                <w:rFonts w:hint="eastAsia" w:ascii="宋体" w:hAnsi="宋体"/>
                <w:color w:val="000000"/>
                <w:szCs w:val="21"/>
                <w:highlight w:val="none"/>
                <w:lang w:eastAsia="zh-CN"/>
              </w:rPr>
              <w:t>；</w:t>
            </w:r>
          </w:p>
          <w:p w14:paraId="3CDEDC06">
            <w:pPr>
              <w:keepNext w:val="0"/>
              <w:keepLines w:val="0"/>
              <w:pageBreakBefore w:val="0"/>
              <w:widowControl w:val="0"/>
              <w:kinsoku/>
              <w:wordWrap w:val="0"/>
              <w:overflowPunct/>
              <w:topLinePunct w:val="0"/>
              <w:autoSpaceDE/>
              <w:autoSpaceDN/>
              <w:bidi w:val="0"/>
              <w:adjustRightInd/>
              <w:snapToGrid/>
              <w:spacing w:line="420" w:lineRule="exact"/>
              <w:jc w:val="both"/>
              <w:textAlignment w:val="auto"/>
              <w:rPr>
                <w:rFonts w:hint="eastAsia" w:ascii="宋体" w:hAnsi="宋体" w:cs="Times New Roman"/>
                <w:szCs w:val="21"/>
                <w:lang w:val="en-US" w:eastAsia="zh-CN"/>
              </w:rPr>
            </w:pPr>
            <w:r>
              <w:rPr>
                <w:rFonts w:hint="eastAsia" w:ascii="宋体" w:hAnsi="宋体"/>
                <w:color w:val="000000"/>
                <w:szCs w:val="21"/>
                <w:highlight w:val="none"/>
              </w:rPr>
              <w:t>合同期满2年后的1个月内</w:t>
            </w:r>
            <w:r>
              <w:rPr>
                <w:rFonts w:hint="eastAsia" w:ascii="宋体" w:hAnsi="宋体"/>
                <w:color w:val="000000"/>
                <w:szCs w:val="21"/>
                <w:highlight w:val="none"/>
                <w:lang w:val="en-US" w:eastAsia="zh-CN"/>
              </w:rPr>
              <w:t>第三年的</w:t>
            </w:r>
            <w:r>
              <w:rPr>
                <w:rFonts w:hint="eastAsia" w:ascii="宋体" w:hAnsi="宋体"/>
                <w:color w:val="000000"/>
                <w:szCs w:val="21"/>
                <w:highlight w:val="none"/>
              </w:rPr>
              <w:t>合同款</w:t>
            </w:r>
            <w:r>
              <w:rPr>
                <w:rFonts w:hint="eastAsia" w:ascii="宋体" w:hAnsi="宋体" w:eastAsia="宋体" w:cs="宋体"/>
                <w:szCs w:val="21"/>
                <w:highlight w:val="none"/>
              </w:rPr>
              <w:t>。</w:t>
            </w:r>
          </w:p>
        </w:tc>
      </w:tr>
      <w:tr w14:paraId="1A8C979F">
        <w:tblPrEx>
          <w:tblCellMar>
            <w:top w:w="0" w:type="dxa"/>
            <w:left w:w="108" w:type="dxa"/>
            <w:bottom w:w="0" w:type="dxa"/>
            <w:right w:w="108" w:type="dxa"/>
          </w:tblCellMar>
        </w:tblPrEx>
        <w:trPr>
          <w:jc w:val="center"/>
        </w:trPr>
        <w:tc>
          <w:tcPr>
            <w:tcW w:w="1190" w:type="dxa"/>
            <w:gridSpan w:val="2"/>
            <w:tcBorders>
              <w:top w:val="single" w:color="auto" w:sz="4" w:space="0"/>
              <w:left w:val="single" w:color="auto" w:sz="4" w:space="0"/>
              <w:bottom w:val="single" w:color="auto" w:sz="4" w:space="0"/>
              <w:right w:val="single" w:color="auto" w:sz="4" w:space="0"/>
            </w:tcBorders>
            <w:vAlign w:val="center"/>
          </w:tcPr>
          <w:p w14:paraId="72DF7A5F">
            <w:pPr>
              <w:spacing w:line="360" w:lineRule="auto"/>
              <w:jc w:val="center"/>
              <w:rPr>
                <w:rFonts w:hint="eastAsia" w:ascii="宋体" w:hAnsi="宋体"/>
                <w:szCs w:val="21"/>
              </w:rPr>
            </w:pPr>
            <w:r>
              <w:rPr>
                <w:rFonts w:hint="eastAsia" w:ascii="宋体" w:hAnsi="宋体"/>
                <w:szCs w:val="21"/>
              </w:rPr>
              <w:t>验收标准、规范</w:t>
            </w:r>
          </w:p>
        </w:tc>
        <w:tc>
          <w:tcPr>
            <w:tcW w:w="8463" w:type="dxa"/>
            <w:gridSpan w:val="4"/>
            <w:tcBorders>
              <w:top w:val="single" w:color="auto" w:sz="4" w:space="0"/>
              <w:left w:val="single" w:color="auto" w:sz="4" w:space="0"/>
              <w:bottom w:val="single" w:color="auto" w:sz="4" w:space="0"/>
              <w:right w:val="single" w:color="auto" w:sz="4" w:space="0"/>
            </w:tcBorders>
            <w:vAlign w:val="center"/>
          </w:tcPr>
          <w:p w14:paraId="02668474">
            <w:pPr>
              <w:keepNext w:val="0"/>
              <w:keepLines w:val="0"/>
              <w:pageBreakBefore w:val="0"/>
              <w:widowControl w:val="0"/>
              <w:kinsoku/>
              <w:wordWrap w:val="0"/>
              <w:overflowPunct/>
              <w:topLinePunct w:val="0"/>
              <w:autoSpaceDE/>
              <w:autoSpaceDN/>
              <w:bidi w:val="0"/>
              <w:adjustRightInd/>
              <w:snapToGrid/>
              <w:spacing w:line="420" w:lineRule="exact"/>
              <w:jc w:val="both"/>
              <w:textAlignment w:val="auto"/>
              <w:rPr>
                <w:rFonts w:hint="eastAsia" w:ascii="宋体" w:hAnsi="宋体" w:cs="Times New Roman"/>
                <w:szCs w:val="21"/>
              </w:rPr>
            </w:pPr>
            <w:r>
              <w:rPr>
                <w:rFonts w:hint="eastAsia" w:ascii="宋体" w:hAnsi="宋体" w:cs="Times New Roman"/>
                <w:szCs w:val="21"/>
              </w:rPr>
              <w:t>1、符合合同要求及国家相关标准；</w:t>
            </w:r>
          </w:p>
          <w:p w14:paraId="31F40605">
            <w:pPr>
              <w:keepNext w:val="0"/>
              <w:keepLines w:val="0"/>
              <w:pageBreakBefore w:val="0"/>
              <w:widowControl w:val="0"/>
              <w:kinsoku/>
              <w:wordWrap w:val="0"/>
              <w:overflowPunct/>
              <w:topLinePunct w:val="0"/>
              <w:autoSpaceDE/>
              <w:autoSpaceDN/>
              <w:bidi w:val="0"/>
              <w:adjustRightInd/>
              <w:snapToGrid/>
              <w:spacing w:line="420" w:lineRule="exact"/>
              <w:jc w:val="both"/>
              <w:textAlignment w:val="auto"/>
              <w:rPr>
                <w:rFonts w:hint="eastAsia" w:ascii="宋体" w:hAnsi="宋体" w:cs="Times New Roman"/>
                <w:szCs w:val="21"/>
              </w:rPr>
            </w:pPr>
            <w:r>
              <w:rPr>
                <w:rFonts w:hint="eastAsia" w:ascii="宋体" w:hAnsi="宋体" w:cs="Times New Roman"/>
                <w:szCs w:val="21"/>
              </w:rPr>
              <w:t>2、服务内容符合或优于合同要求；</w:t>
            </w:r>
          </w:p>
          <w:p w14:paraId="7997CA47">
            <w:pPr>
              <w:keepNext w:val="0"/>
              <w:keepLines w:val="0"/>
              <w:pageBreakBefore w:val="0"/>
              <w:widowControl w:val="0"/>
              <w:kinsoku/>
              <w:wordWrap w:val="0"/>
              <w:overflowPunct/>
              <w:topLinePunct w:val="0"/>
              <w:autoSpaceDE/>
              <w:autoSpaceDN/>
              <w:bidi w:val="0"/>
              <w:adjustRightInd/>
              <w:snapToGrid/>
              <w:spacing w:line="420" w:lineRule="exact"/>
              <w:jc w:val="both"/>
              <w:textAlignment w:val="auto"/>
              <w:rPr>
                <w:rFonts w:hint="eastAsia" w:ascii="宋体" w:hAnsi="宋体" w:cs="Times New Roman"/>
                <w:szCs w:val="21"/>
              </w:rPr>
            </w:pPr>
            <w:r>
              <w:rPr>
                <w:rFonts w:hint="eastAsia" w:ascii="宋体" w:hAnsi="宋体" w:cs="Times New Roman"/>
                <w:szCs w:val="21"/>
              </w:rPr>
              <w:t>3、供应商提供所招标采购的服务、配套设备、所属装置等有关技术资料作为验收的参考依据；</w:t>
            </w:r>
          </w:p>
          <w:p w14:paraId="4F37FC2E">
            <w:pPr>
              <w:keepNext w:val="0"/>
              <w:keepLines w:val="0"/>
              <w:pageBreakBefore w:val="0"/>
              <w:widowControl w:val="0"/>
              <w:kinsoku/>
              <w:wordWrap w:val="0"/>
              <w:overflowPunct/>
              <w:topLinePunct w:val="0"/>
              <w:autoSpaceDE/>
              <w:autoSpaceDN/>
              <w:bidi w:val="0"/>
              <w:adjustRightInd/>
              <w:snapToGrid/>
              <w:spacing w:line="420" w:lineRule="exact"/>
              <w:jc w:val="both"/>
              <w:textAlignment w:val="auto"/>
              <w:rPr>
                <w:rFonts w:hint="eastAsia" w:ascii="宋体" w:hAnsi="宋体" w:cs="Times New Roman"/>
                <w:szCs w:val="21"/>
                <w:lang w:eastAsia="zh-CN"/>
              </w:rPr>
            </w:pPr>
            <w:r>
              <w:rPr>
                <w:rFonts w:hint="eastAsia" w:ascii="宋体" w:hAnsi="宋体" w:cs="Times New Roman"/>
                <w:szCs w:val="21"/>
              </w:rPr>
              <w:t>4、验收过程中所产生的一切费用均由供应商承担，供应商报价时应考虑相关费用</w:t>
            </w:r>
            <w:r>
              <w:rPr>
                <w:rFonts w:hint="eastAsia" w:ascii="宋体" w:hAnsi="宋体" w:cs="Times New Roman"/>
                <w:szCs w:val="21"/>
                <w:lang w:eastAsia="zh-CN"/>
              </w:rPr>
              <w:t>；</w:t>
            </w:r>
          </w:p>
          <w:p w14:paraId="6B775569">
            <w:pPr>
              <w:keepNext w:val="0"/>
              <w:keepLines w:val="0"/>
              <w:pageBreakBefore w:val="0"/>
              <w:widowControl w:val="0"/>
              <w:kinsoku/>
              <w:wordWrap w:val="0"/>
              <w:overflowPunct/>
              <w:topLinePunct w:val="0"/>
              <w:autoSpaceDE/>
              <w:autoSpaceDN/>
              <w:bidi w:val="0"/>
              <w:adjustRightInd/>
              <w:snapToGrid/>
              <w:spacing w:line="420" w:lineRule="exact"/>
              <w:jc w:val="both"/>
              <w:textAlignment w:val="auto"/>
              <w:rPr>
                <w:rFonts w:hint="eastAsia" w:ascii="宋体" w:hAnsi="宋体" w:cs="Times New Roman"/>
                <w:szCs w:val="21"/>
              </w:rPr>
            </w:pPr>
            <w:r>
              <w:rPr>
                <w:rFonts w:hint="eastAsia" w:ascii="宋体" w:hAnsi="宋体" w:cs="Times New Roman"/>
                <w:szCs w:val="21"/>
              </w:rPr>
              <w:t>5、采购标的需执行国家标准、行业标准、地方标准或者其他标准、规范，如有最新的按最新的执行；</w:t>
            </w:r>
          </w:p>
          <w:p w14:paraId="5C148704">
            <w:pPr>
              <w:keepNext w:val="0"/>
              <w:keepLines w:val="0"/>
              <w:pageBreakBefore w:val="0"/>
              <w:widowControl w:val="0"/>
              <w:kinsoku/>
              <w:wordWrap w:val="0"/>
              <w:overflowPunct/>
              <w:topLinePunct w:val="0"/>
              <w:autoSpaceDE/>
              <w:autoSpaceDN/>
              <w:bidi w:val="0"/>
              <w:adjustRightInd/>
              <w:snapToGrid/>
              <w:spacing w:line="420" w:lineRule="exact"/>
              <w:jc w:val="both"/>
              <w:textAlignment w:val="auto"/>
              <w:rPr>
                <w:rFonts w:hint="eastAsia" w:ascii="宋体" w:hAnsi="宋体" w:cs="Times New Roman"/>
                <w:szCs w:val="21"/>
              </w:rPr>
            </w:pPr>
            <w:r>
              <w:rPr>
                <w:rFonts w:hint="eastAsia" w:ascii="宋体" w:hAnsi="宋体" w:cs="Times New Roman"/>
                <w:szCs w:val="21"/>
                <w:lang w:val="en-US" w:eastAsia="zh-CN"/>
              </w:rPr>
              <w:t>6</w:t>
            </w:r>
            <w:r>
              <w:rPr>
                <w:rFonts w:hint="eastAsia" w:ascii="宋体" w:hAnsi="宋体" w:cs="Times New Roman"/>
                <w:szCs w:val="21"/>
              </w:rPr>
              <w:t>、验收不通过的，根据采购人意见进行整改，直到验收通过为止，期间产生相关费用由供应商承担。</w:t>
            </w:r>
          </w:p>
        </w:tc>
      </w:tr>
      <w:tr w14:paraId="49F3D26D">
        <w:tblPrEx>
          <w:tblCellMar>
            <w:top w:w="0" w:type="dxa"/>
            <w:left w:w="108" w:type="dxa"/>
            <w:bottom w:w="0" w:type="dxa"/>
            <w:right w:w="108" w:type="dxa"/>
          </w:tblCellMar>
        </w:tblPrEx>
        <w:trPr>
          <w:jc w:val="center"/>
        </w:trPr>
        <w:tc>
          <w:tcPr>
            <w:tcW w:w="1190" w:type="dxa"/>
            <w:gridSpan w:val="2"/>
            <w:tcBorders>
              <w:top w:val="single" w:color="auto" w:sz="4" w:space="0"/>
              <w:left w:val="single" w:color="auto" w:sz="4" w:space="0"/>
              <w:bottom w:val="single" w:color="auto" w:sz="4" w:space="0"/>
              <w:right w:val="single" w:color="auto" w:sz="4" w:space="0"/>
            </w:tcBorders>
            <w:vAlign w:val="center"/>
          </w:tcPr>
          <w:p w14:paraId="1EA16935">
            <w:pPr>
              <w:snapToGrid w:val="0"/>
              <w:spacing w:line="360" w:lineRule="auto"/>
              <w:jc w:val="left"/>
              <w:rPr>
                <w:rFonts w:hint="eastAsia" w:ascii="宋体" w:hAnsi="宋体"/>
                <w:szCs w:val="21"/>
              </w:rPr>
            </w:pPr>
            <w:r>
              <w:rPr>
                <w:rFonts w:hint="eastAsia" w:ascii="宋体" w:hAnsi="宋体"/>
                <w:szCs w:val="21"/>
              </w:rPr>
              <w:t>其它要求</w:t>
            </w:r>
          </w:p>
        </w:tc>
        <w:tc>
          <w:tcPr>
            <w:tcW w:w="8463" w:type="dxa"/>
            <w:gridSpan w:val="4"/>
            <w:tcBorders>
              <w:top w:val="single" w:color="auto" w:sz="4" w:space="0"/>
              <w:left w:val="single" w:color="auto" w:sz="4" w:space="0"/>
              <w:bottom w:val="single" w:color="auto" w:sz="4" w:space="0"/>
              <w:right w:val="single" w:color="auto" w:sz="4" w:space="0"/>
            </w:tcBorders>
            <w:vAlign w:val="center"/>
          </w:tcPr>
          <w:p w14:paraId="314DE3CE">
            <w:pPr>
              <w:keepNext w:val="0"/>
              <w:keepLines w:val="0"/>
              <w:pageBreakBefore w:val="0"/>
              <w:widowControl w:val="0"/>
              <w:kinsoku/>
              <w:wordWrap w:val="0"/>
              <w:overflowPunct/>
              <w:topLinePunct w:val="0"/>
              <w:autoSpaceDE/>
              <w:autoSpaceDN/>
              <w:bidi w:val="0"/>
              <w:adjustRightInd/>
              <w:snapToGrid/>
              <w:spacing w:line="420" w:lineRule="exact"/>
              <w:jc w:val="both"/>
              <w:textAlignment w:val="auto"/>
              <w:rPr>
                <w:rFonts w:hint="eastAsia" w:ascii="宋体" w:hAnsi="宋体" w:cs="Times New Roman"/>
                <w:szCs w:val="21"/>
              </w:rPr>
            </w:pPr>
            <w:r>
              <w:rPr>
                <w:rFonts w:hint="eastAsia" w:ascii="宋体" w:hAnsi="宋体" w:cs="Times New Roman"/>
                <w:szCs w:val="21"/>
              </w:rPr>
              <w:t>1、报价必须包含以下部分，包括：</w:t>
            </w:r>
          </w:p>
          <w:p w14:paraId="14292F9A">
            <w:pPr>
              <w:keepNext w:val="0"/>
              <w:keepLines w:val="0"/>
              <w:pageBreakBefore w:val="0"/>
              <w:widowControl w:val="0"/>
              <w:kinsoku/>
              <w:wordWrap w:val="0"/>
              <w:overflowPunct/>
              <w:topLinePunct w:val="0"/>
              <w:autoSpaceDE/>
              <w:autoSpaceDN/>
              <w:bidi w:val="0"/>
              <w:adjustRightInd/>
              <w:snapToGrid/>
              <w:spacing w:line="420" w:lineRule="exact"/>
              <w:jc w:val="both"/>
              <w:textAlignment w:val="auto"/>
              <w:rPr>
                <w:rFonts w:hint="eastAsia" w:ascii="宋体" w:hAnsi="宋体" w:cs="Times New Roman"/>
                <w:szCs w:val="21"/>
              </w:rPr>
            </w:pPr>
            <w:r>
              <w:rPr>
                <w:rFonts w:hint="eastAsia" w:ascii="宋体" w:hAnsi="宋体" w:cs="Times New Roman"/>
                <w:szCs w:val="21"/>
              </w:rPr>
              <w:t>（1）服务接入设备及标准附件、备品备件、专用工具的价格。</w:t>
            </w:r>
          </w:p>
          <w:p w14:paraId="0B13F1A7">
            <w:pPr>
              <w:keepNext w:val="0"/>
              <w:keepLines w:val="0"/>
              <w:pageBreakBefore w:val="0"/>
              <w:widowControl w:val="0"/>
              <w:kinsoku/>
              <w:wordWrap w:val="0"/>
              <w:overflowPunct/>
              <w:topLinePunct w:val="0"/>
              <w:autoSpaceDE/>
              <w:autoSpaceDN/>
              <w:bidi w:val="0"/>
              <w:adjustRightInd/>
              <w:snapToGrid/>
              <w:spacing w:line="420" w:lineRule="exact"/>
              <w:jc w:val="both"/>
              <w:textAlignment w:val="auto"/>
              <w:rPr>
                <w:rFonts w:hint="eastAsia" w:ascii="宋体" w:hAnsi="宋体" w:cs="Times New Roman"/>
                <w:szCs w:val="21"/>
              </w:rPr>
            </w:pPr>
            <w:r>
              <w:rPr>
                <w:rFonts w:hint="eastAsia" w:ascii="宋体" w:hAnsi="宋体" w:cs="Times New Roman"/>
                <w:szCs w:val="21"/>
              </w:rPr>
              <w:t>（2）运输、装卸、调试、验收、培训、维修、技术支持、售后服务费。</w:t>
            </w:r>
          </w:p>
          <w:p w14:paraId="172A4AD1">
            <w:pPr>
              <w:keepNext w:val="0"/>
              <w:keepLines w:val="0"/>
              <w:pageBreakBefore w:val="0"/>
              <w:widowControl w:val="0"/>
              <w:kinsoku/>
              <w:wordWrap w:val="0"/>
              <w:overflowPunct/>
              <w:topLinePunct w:val="0"/>
              <w:autoSpaceDE/>
              <w:autoSpaceDN/>
              <w:bidi w:val="0"/>
              <w:adjustRightInd/>
              <w:snapToGrid/>
              <w:spacing w:line="420" w:lineRule="exact"/>
              <w:jc w:val="both"/>
              <w:textAlignment w:val="auto"/>
              <w:rPr>
                <w:rFonts w:hint="eastAsia" w:ascii="宋体" w:hAnsi="宋体" w:cs="Times New Roman"/>
                <w:szCs w:val="21"/>
              </w:rPr>
            </w:pPr>
            <w:r>
              <w:rPr>
                <w:rFonts w:hint="eastAsia" w:ascii="宋体" w:hAnsi="宋体" w:cs="Times New Roman"/>
                <w:szCs w:val="21"/>
              </w:rPr>
              <w:t>（3）安全等级保护测评费、设计、保险费和各项税费。</w:t>
            </w:r>
          </w:p>
          <w:p w14:paraId="4C8501C7">
            <w:pPr>
              <w:keepNext w:val="0"/>
              <w:keepLines w:val="0"/>
              <w:pageBreakBefore w:val="0"/>
              <w:widowControl w:val="0"/>
              <w:kinsoku/>
              <w:wordWrap w:val="0"/>
              <w:overflowPunct/>
              <w:topLinePunct w:val="0"/>
              <w:autoSpaceDE/>
              <w:autoSpaceDN/>
              <w:bidi w:val="0"/>
              <w:adjustRightInd/>
              <w:snapToGrid/>
              <w:spacing w:line="420" w:lineRule="exact"/>
              <w:jc w:val="both"/>
              <w:textAlignment w:val="auto"/>
              <w:rPr>
                <w:rFonts w:hint="eastAsia" w:ascii="宋体" w:hAnsi="宋体" w:cs="Times New Roman"/>
                <w:szCs w:val="21"/>
              </w:rPr>
            </w:pPr>
            <w:r>
              <w:rPr>
                <w:rFonts w:hint="eastAsia" w:ascii="宋体" w:hAnsi="宋体" w:cs="Times New Roman"/>
                <w:szCs w:val="21"/>
              </w:rPr>
              <w:t>（4）综合监控应用平台所在机房的网络安全等级保护需满足三级等保。</w:t>
            </w:r>
          </w:p>
          <w:p w14:paraId="25A1FE92">
            <w:pPr>
              <w:keepNext w:val="0"/>
              <w:keepLines w:val="0"/>
              <w:pageBreakBefore w:val="0"/>
              <w:widowControl w:val="0"/>
              <w:kinsoku/>
              <w:wordWrap w:val="0"/>
              <w:overflowPunct/>
              <w:topLinePunct w:val="0"/>
              <w:autoSpaceDE/>
              <w:autoSpaceDN/>
              <w:bidi w:val="0"/>
              <w:adjustRightInd/>
              <w:snapToGrid/>
              <w:spacing w:line="420" w:lineRule="exact"/>
              <w:jc w:val="both"/>
              <w:textAlignment w:val="auto"/>
              <w:rPr>
                <w:rFonts w:hint="eastAsia" w:ascii="宋体" w:hAnsi="宋体" w:cs="Times New Roman"/>
                <w:szCs w:val="21"/>
              </w:rPr>
            </w:pPr>
            <w:r>
              <w:rPr>
                <w:rFonts w:hint="eastAsia" w:ascii="宋体" w:hAnsi="宋体" w:cs="Times New Roman"/>
                <w:szCs w:val="21"/>
              </w:rPr>
              <w:t>（5）供应商须自行考虑完成项目所需的全部内容（包括验收）中产生的所有费用，采购人不再支付额外费用。</w:t>
            </w:r>
          </w:p>
          <w:p w14:paraId="40617FFC">
            <w:pPr>
              <w:keepNext w:val="0"/>
              <w:keepLines w:val="0"/>
              <w:pageBreakBefore w:val="0"/>
              <w:widowControl w:val="0"/>
              <w:kinsoku/>
              <w:wordWrap w:val="0"/>
              <w:overflowPunct/>
              <w:topLinePunct w:val="0"/>
              <w:autoSpaceDE/>
              <w:autoSpaceDN/>
              <w:bidi w:val="0"/>
              <w:adjustRightInd/>
              <w:snapToGrid/>
              <w:spacing w:line="420" w:lineRule="exact"/>
              <w:jc w:val="both"/>
              <w:textAlignment w:val="auto"/>
              <w:rPr>
                <w:rFonts w:hint="eastAsia" w:ascii="宋体" w:hAnsi="宋体" w:cs="Times New Roman"/>
                <w:szCs w:val="21"/>
              </w:rPr>
            </w:pPr>
            <w:r>
              <w:rPr>
                <w:rFonts w:hint="eastAsia" w:ascii="宋体" w:hAnsi="宋体" w:cs="Times New Roman"/>
                <w:szCs w:val="21"/>
              </w:rPr>
              <w:t>（6）供应商应对本项目所有服务内容进行总承包报价，采购人不再支付任何费用。</w:t>
            </w:r>
          </w:p>
          <w:p w14:paraId="7777CCAC">
            <w:pPr>
              <w:keepNext w:val="0"/>
              <w:keepLines w:val="0"/>
              <w:pageBreakBefore w:val="0"/>
              <w:widowControl w:val="0"/>
              <w:kinsoku/>
              <w:wordWrap w:val="0"/>
              <w:overflowPunct/>
              <w:topLinePunct w:val="0"/>
              <w:autoSpaceDE/>
              <w:autoSpaceDN/>
              <w:bidi w:val="0"/>
              <w:adjustRightInd/>
              <w:snapToGrid/>
              <w:spacing w:line="420" w:lineRule="exact"/>
              <w:jc w:val="both"/>
              <w:textAlignment w:val="auto"/>
              <w:rPr>
                <w:rFonts w:hint="eastAsia" w:ascii="宋体" w:hAnsi="宋体" w:cs="Times New Roman"/>
                <w:szCs w:val="21"/>
              </w:rPr>
            </w:pPr>
            <w:r>
              <w:rPr>
                <w:rFonts w:hint="eastAsia" w:ascii="宋体" w:hAnsi="宋体" w:cs="Times New Roman"/>
                <w:szCs w:val="21"/>
              </w:rPr>
              <w:t>2、本项目政府采购最高限价为人民币：</w:t>
            </w:r>
            <w:r>
              <w:rPr>
                <w:rFonts w:hint="eastAsia" w:ascii="宋体" w:hAnsi="宋体" w:cs="Times New Roman"/>
                <w:szCs w:val="21"/>
                <w:lang w:val="en-US" w:eastAsia="zh-CN"/>
              </w:rPr>
              <w:fldChar w:fldCharType="begin"/>
            </w:r>
            <w:r>
              <w:rPr>
                <w:rFonts w:hint="eastAsia" w:ascii="宋体" w:hAnsi="宋体" w:cs="Times New Roman"/>
                <w:szCs w:val="21"/>
                <w:lang w:val="en-US" w:eastAsia="zh-CN"/>
              </w:rPr>
              <w:instrText xml:space="preserve"> = 2150000 \* CHINESENUM2 \* MERGEFORMAT </w:instrText>
            </w:r>
            <w:r>
              <w:rPr>
                <w:rFonts w:hint="eastAsia" w:ascii="宋体" w:hAnsi="宋体" w:cs="Times New Roman"/>
                <w:szCs w:val="21"/>
                <w:lang w:val="en-US" w:eastAsia="zh-CN"/>
              </w:rPr>
              <w:fldChar w:fldCharType="separate"/>
            </w:r>
            <w:r>
              <w:rPr>
                <w:rFonts w:hint="eastAsia" w:ascii="宋体" w:hAnsi="宋体" w:cs="Times New Roman"/>
                <w:szCs w:val="21"/>
              </w:rPr>
              <w:t>贰佰壹拾伍万</w:t>
            </w:r>
            <w:r>
              <w:rPr>
                <w:rFonts w:hint="eastAsia" w:ascii="宋体" w:hAnsi="宋体" w:cs="Times New Roman"/>
                <w:szCs w:val="21"/>
                <w:lang w:val="en-US" w:eastAsia="zh-CN"/>
              </w:rPr>
              <w:fldChar w:fldCharType="end"/>
            </w:r>
            <w:r>
              <w:rPr>
                <w:rFonts w:hint="eastAsia" w:ascii="宋体" w:hAnsi="宋体" w:cs="Times New Roman"/>
                <w:szCs w:val="21"/>
              </w:rPr>
              <w:t>元整（¥</w:t>
            </w:r>
            <w:r>
              <w:rPr>
                <w:rFonts w:hint="eastAsia" w:ascii="宋体" w:hAnsi="宋体" w:cs="Times New Roman"/>
                <w:szCs w:val="21"/>
                <w:lang w:val="en-US" w:eastAsia="zh-CN"/>
              </w:rPr>
              <w:t>2150000</w:t>
            </w:r>
            <w:r>
              <w:rPr>
                <w:rFonts w:hint="eastAsia" w:ascii="宋体" w:hAnsi="宋体" w:cs="Times New Roman"/>
                <w:szCs w:val="21"/>
              </w:rPr>
              <w:t>.00元），投标报价超出最高限价的作投标无效处理。此为12个月的采购预算金额，36个月预算金额约陆佰肆拾伍万元整（¥6450000.00）。</w:t>
            </w:r>
          </w:p>
          <w:p w14:paraId="7F68ACB4">
            <w:pPr>
              <w:keepNext w:val="0"/>
              <w:keepLines w:val="0"/>
              <w:pageBreakBefore w:val="0"/>
              <w:widowControl w:val="0"/>
              <w:kinsoku/>
              <w:wordWrap w:val="0"/>
              <w:overflowPunct/>
              <w:topLinePunct w:val="0"/>
              <w:autoSpaceDE/>
              <w:autoSpaceDN/>
              <w:bidi w:val="0"/>
              <w:adjustRightInd/>
              <w:snapToGrid/>
              <w:spacing w:line="420" w:lineRule="exact"/>
              <w:jc w:val="both"/>
              <w:textAlignment w:val="auto"/>
              <w:rPr>
                <w:rFonts w:hint="eastAsia" w:ascii="宋体" w:hAnsi="宋体" w:cs="Times New Roman"/>
                <w:szCs w:val="21"/>
              </w:rPr>
            </w:pPr>
            <w:r>
              <w:rPr>
                <w:rFonts w:hint="eastAsia" w:ascii="宋体" w:hAnsi="宋体" w:cs="Times New Roman"/>
                <w:szCs w:val="21"/>
                <w:lang w:val="en-US" w:eastAsia="zh-CN"/>
              </w:rPr>
              <w:t>3</w:t>
            </w:r>
            <w:r>
              <w:rPr>
                <w:rFonts w:hint="eastAsia" w:ascii="宋体" w:hAnsi="宋体" w:cs="Times New Roman"/>
                <w:szCs w:val="21"/>
              </w:rPr>
              <w:t>.本项目需求一览表中带“▲”的技术参数为重要技术指标、功能项，将作为评分依据。</w:t>
            </w:r>
          </w:p>
        </w:tc>
      </w:tr>
    </w:tbl>
    <w:p w14:paraId="306D817F">
      <w:pPr>
        <w:widowControl/>
        <w:jc w:val="left"/>
        <w:rPr>
          <w:rStyle w:val="256"/>
          <w:rFonts w:ascii="宋体" w:hAnsi="宋体" w:cs="宋体"/>
          <w:sz w:val="32"/>
          <w:szCs w:val="32"/>
        </w:rPr>
      </w:pPr>
      <w:r>
        <w:rPr>
          <w:rStyle w:val="256"/>
          <w:rFonts w:ascii="宋体" w:hAnsi="宋体" w:cs="宋体"/>
          <w:sz w:val="32"/>
          <w:szCs w:val="32"/>
        </w:rPr>
        <w:br w:type="page"/>
      </w:r>
    </w:p>
    <w:p w14:paraId="441D1CB3">
      <w:pPr>
        <w:jc w:val="center"/>
        <w:outlineLvl w:val="0"/>
        <w:rPr>
          <w:rStyle w:val="256"/>
          <w:rFonts w:ascii="宋体" w:hAnsi="宋体" w:cs="宋体"/>
          <w:sz w:val="32"/>
          <w:szCs w:val="32"/>
        </w:rPr>
      </w:pPr>
      <w:bookmarkStart w:id="352" w:name="_Toc240644546"/>
      <w:r>
        <w:rPr>
          <w:rStyle w:val="256"/>
          <w:rFonts w:hint="eastAsia" w:ascii="宋体" w:hAnsi="宋体" w:cs="宋体"/>
          <w:sz w:val="32"/>
          <w:szCs w:val="32"/>
        </w:rPr>
        <w:t>第四章  评标办法</w:t>
      </w:r>
      <w:bookmarkEnd w:id="348"/>
      <w:bookmarkEnd w:id="350"/>
      <w:bookmarkEnd w:id="351"/>
      <w:bookmarkEnd w:id="352"/>
    </w:p>
    <w:p w14:paraId="14BACBE4">
      <w:pPr>
        <w:keepNext w:val="0"/>
        <w:keepLines w:val="0"/>
        <w:pageBreakBefore w:val="0"/>
        <w:kinsoku/>
        <w:wordWrap/>
        <w:overflowPunct/>
        <w:topLinePunct w:val="0"/>
        <w:autoSpaceDE/>
        <w:autoSpaceDN/>
        <w:bidi w:val="0"/>
        <w:spacing w:line="348" w:lineRule="auto"/>
        <w:ind w:firstLine="426" w:firstLineChars="202"/>
        <w:jc w:val="left"/>
        <w:textAlignment w:val="auto"/>
        <w:rPr>
          <w:rFonts w:hint="eastAsia" w:ascii="宋体" w:hAnsi="宋体" w:cs="宋体"/>
          <w:b/>
          <w:szCs w:val="21"/>
        </w:rPr>
      </w:pPr>
      <w:bookmarkStart w:id="353" w:name="_Toc7653"/>
      <w:r>
        <w:rPr>
          <w:rFonts w:hint="eastAsia" w:ascii="宋体" w:hAnsi="宋体" w:cs="宋体"/>
          <w:b/>
          <w:szCs w:val="21"/>
        </w:rPr>
        <w:t>一、评标原则</w:t>
      </w:r>
    </w:p>
    <w:p w14:paraId="0123A828">
      <w:pPr>
        <w:pStyle w:val="20"/>
        <w:keepNext w:val="0"/>
        <w:keepLines w:val="0"/>
        <w:pageBreakBefore w:val="0"/>
        <w:kinsoku/>
        <w:wordWrap/>
        <w:overflowPunct/>
        <w:topLinePunct w:val="0"/>
        <w:autoSpaceDE/>
        <w:autoSpaceDN/>
        <w:bidi w:val="0"/>
        <w:adjustRightInd w:val="0"/>
        <w:spacing w:line="348" w:lineRule="auto"/>
        <w:ind w:firstLine="400" w:firstLineChars="200"/>
        <w:contextualSpacing/>
        <w:textAlignment w:val="auto"/>
        <w:rPr>
          <w:rFonts w:hint="eastAsia" w:hAnsi="宋体" w:cs="宋体"/>
          <w:bCs/>
          <w:szCs w:val="21"/>
        </w:rPr>
      </w:pPr>
      <w:r>
        <w:rPr>
          <w:rFonts w:hint="eastAsia" w:hAnsi="宋体" w:cs="宋体"/>
          <w:bCs/>
          <w:szCs w:val="21"/>
        </w:rPr>
        <w:t>（一）评委会组成：本招标采购项目的评标委员会由采购人代表、评审专家组成。其中，专家评委不得少于成员总数的三分之二。</w:t>
      </w:r>
    </w:p>
    <w:p w14:paraId="219B76E5">
      <w:pPr>
        <w:pStyle w:val="20"/>
        <w:keepNext w:val="0"/>
        <w:keepLines w:val="0"/>
        <w:pageBreakBefore w:val="0"/>
        <w:kinsoku/>
        <w:wordWrap/>
        <w:overflowPunct/>
        <w:topLinePunct w:val="0"/>
        <w:autoSpaceDE/>
        <w:autoSpaceDN/>
        <w:bidi w:val="0"/>
        <w:adjustRightInd w:val="0"/>
        <w:spacing w:line="348" w:lineRule="auto"/>
        <w:ind w:firstLine="400" w:firstLineChars="200"/>
        <w:contextualSpacing/>
        <w:textAlignment w:val="auto"/>
        <w:rPr>
          <w:rFonts w:hint="eastAsia" w:hAnsi="宋体" w:cs="宋体"/>
          <w:bCs/>
          <w:szCs w:val="21"/>
        </w:rPr>
      </w:pPr>
      <w:r>
        <w:rPr>
          <w:rFonts w:hint="eastAsia" w:hAnsi="宋体" w:cs="宋体"/>
          <w:bCs/>
          <w:szCs w:val="21"/>
        </w:rPr>
        <w:t>（二）评标依据：评委将以招投标文件为评标依据，对投标人的投标</w:t>
      </w:r>
      <w:r>
        <w:rPr>
          <w:rFonts w:hint="eastAsia" w:hAnsi="宋体" w:cs="宋体"/>
          <w:szCs w:val="21"/>
        </w:rPr>
        <w:t>报价、项目实施方案、服务方案、履约能力等方面内容按百分制打分。</w:t>
      </w:r>
    </w:p>
    <w:p w14:paraId="41D8170F">
      <w:pPr>
        <w:pStyle w:val="20"/>
        <w:keepNext w:val="0"/>
        <w:keepLines w:val="0"/>
        <w:pageBreakBefore w:val="0"/>
        <w:kinsoku/>
        <w:wordWrap/>
        <w:overflowPunct/>
        <w:topLinePunct w:val="0"/>
        <w:autoSpaceDE/>
        <w:autoSpaceDN/>
        <w:bidi w:val="0"/>
        <w:adjustRightInd w:val="0"/>
        <w:spacing w:line="348" w:lineRule="auto"/>
        <w:ind w:firstLine="400" w:firstLineChars="200"/>
        <w:contextualSpacing/>
        <w:textAlignment w:val="auto"/>
        <w:rPr>
          <w:rFonts w:hint="eastAsia" w:hAnsi="宋体" w:cs="宋体"/>
          <w:bCs/>
          <w:szCs w:val="21"/>
        </w:rPr>
      </w:pPr>
      <w:r>
        <w:rPr>
          <w:rFonts w:hint="eastAsia" w:hAnsi="宋体" w:cs="宋体"/>
          <w:bCs/>
          <w:szCs w:val="21"/>
        </w:rPr>
        <w:t>（三）评标方式：以封闭方式进行。</w:t>
      </w:r>
    </w:p>
    <w:p w14:paraId="36CB0036">
      <w:pPr>
        <w:keepNext w:val="0"/>
        <w:keepLines w:val="0"/>
        <w:pageBreakBefore w:val="0"/>
        <w:kinsoku/>
        <w:wordWrap/>
        <w:overflowPunct/>
        <w:topLinePunct w:val="0"/>
        <w:autoSpaceDE/>
        <w:autoSpaceDN/>
        <w:bidi w:val="0"/>
        <w:spacing w:line="348" w:lineRule="auto"/>
        <w:ind w:firstLine="420" w:firstLineChars="200"/>
        <w:textAlignment w:val="auto"/>
        <w:rPr>
          <w:rFonts w:hint="eastAsia" w:ascii="宋体" w:hAnsi="宋体" w:cs="宋体"/>
          <w:bCs/>
          <w:szCs w:val="21"/>
        </w:rPr>
      </w:pPr>
      <w:r>
        <w:rPr>
          <w:rFonts w:hint="eastAsia" w:ascii="宋体" w:hAnsi="宋体" w:cs="宋体"/>
          <w:bCs/>
          <w:szCs w:val="21"/>
        </w:rPr>
        <w:t>（四）采购人和采购代理机构、评标委员会成员要严格遵守政府采购相关法律制度，依法履行各自职责，公正、客观、审慎地组织和参与评审工作。</w:t>
      </w:r>
      <w:r>
        <w:rPr>
          <w:rFonts w:hint="eastAsia"/>
        </w:rPr>
        <w:t xml:space="preserve">  </w:t>
      </w:r>
    </w:p>
    <w:p w14:paraId="54A706CA">
      <w:pPr>
        <w:keepNext w:val="0"/>
        <w:keepLines w:val="0"/>
        <w:pageBreakBefore w:val="0"/>
        <w:kinsoku/>
        <w:wordWrap/>
        <w:overflowPunct/>
        <w:topLinePunct w:val="0"/>
        <w:autoSpaceDE/>
        <w:autoSpaceDN/>
        <w:bidi w:val="0"/>
        <w:spacing w:line="348" w:lineRule="auto"/>
        <w:ind w:firstLine="426" w:firstLineChars="202"/>
        <w:jc w:val="left"/>
        <w:textAlignment w:val="auto"/>
        <w:rPr>
          <w:rFonts w:hint="eastAsia" w:ascii="宋体" w:hAnsi="宋体" w:cs="宋体"/>
          <w:b/>
          <w:szCs w:val="21"/>
        </w:rPr>
      </w:pPr>
      <w:r>
        <w:rPr>
          <w:rFonts w:hint="eastAsia" w:ascii="宋体" w:hAnsi="宋体" w:cs="宋体"/>
          <w:b/>
          <w:szCs w:val="21"/>
        </w:rPr>
        <w:t>二、评定方法</w:t>
      </w:r>
    </w:p>
    <w:p w14:paraId="31C9900C">
      <w:pPr>
        <w:pStyle w:val="20"/>
        <w:keepNext w:val="0"/>
        <w:keepLines w:val="0"/>
        <w:pageBreakBefore w:val="0"/>
        <w:kinsoku/>
        <w:wordWrap/>
        <w:overflowPunct/>
        <w:topLinePunct w:val="0"/>
        <w:autoSpaceDE/>
        <w:autoSpaceDN/>
        <w:bidi w:val="0"/>
        <w:adjustRightInd w:val="0"/>
        <w:spacing w:line="348" w:lineRule="auto"/>
        <w:ind w:firstLine="400" w:firstLineChars="200"/>
        <w:contextualSpacing/>
        <w:textAlignment w:val="auto"/>
        <w:rPr>
          <w:rFonts w:hint="eastAsia" w:hAnsi="宋体" w:cs="宋体"/>
          <w:bCs/>
          <w:szCs w:val="21"/>
        </w:rPr>
      </w:pPr>
      <w:r>
        <w:rPr>
          <w:rFonts w:hint="eastAsia" w:hAnsi="宋体" w:cs="宋体"/>
          <w:bCs/>
          <w:szCs w:val="21"/>
        </w:rPr>
        <w:t>（一）对进入详评的，采用百分制综合评分法。</w:t>
      </w:r>
    </w:p>
    <w:p w14:paraId="1A493B16">
      <w:pPr>
        <w:pStyle w:val="20"/>
        <w:keepNext w:val="0"/>
        <w:keepLines w:val="0"/>
        <w:pageBreakBefore w:val="0"/>
        <w:kinsoku/>
        <w:wordWrap/>
        <w:overflowPunct/>
        <w:topLinePunct w:val="0"/>
        <w:autoSpaceDE/>
        <w:autoSpaceDN/>
        <w:bidi w:val="0"/>
        <w:adjustRightInd w:val="0"/>
        <w:spacing w:line="348" w:lineRule="auto"/>
        <w:ind w:firstLine="400" w:firstLineChars="200"/>
        <w:contextualSpacing/>
        <w:textAlignment w:val="auto"/>
        <w:rPr>
          <w:rFonts w:hint="eastAsia" w:hAnsi="宋体" w:cs="宋体"/>
          <w:bCs/>
          <w:szCs w:val="21"/>
        </w:rPr>
      </w:pPr>
      <w:r>
        <w:rPr>
          <w:rFonts w:hint="eastAsia" w:hAnsi="宋体" w:cs="宋体"/>
          <w:bCs/>
          <w:szCs w:val="21"/>
        </w:rPr>
        <w:t>（二）计分办法（按四舍五入取至百分位）：</w:t>
      </w:r>
    </w:p>
    <w:p w14:paraId="0E14849F">
      <w:pPr>
        <w:pStyle w:val="20"/>
        <w:keepNext w:val="0"/>
        <w:keepLines w:val="0"/>
        <w:pageBreakBefore w:val="0"/>
        <w:kinsoku/>
        <w:wordWrap/>
        <w:overflowPunct/>
        <w:topLinePunct w:val="0"/>
        <w:autoSpaceDE/>
        <w:autoSpaceDN/>
        <w:bidi w:val="0"/>
        <w:spacing w:line="348" w:lineRule="auto"/>
        <w:ind w:firstLine="402" w:firstLineChars="200"/>
        <w:jc w:val="left"/>
        <w:textAlignment w:val="auto"/>
        <w:rPr>
          <w:rFonts w:hint="eastAsia" w:hAnsi="宋体" w:cs="宋体"/>
          <w:b/>
          <w:bCs/>
          <w:kern w:val="0"/>
          <w:szCs w:val="21"/>
        </w:rPr>
      </w:pPr>
      <w:r>
        <w:rPr>
          <w:rFonts w:hint="eastAsia" w:hAnsi="宋体" w:cs="宋体"/>
          <w:b/>
          <w:bCs/>
          <w:kern w:val="0"/>
          <w:szCs w:val="21"/>
        </w:rPr>
        <w:t>1、价格分……………………………………………………………………………</w:t>
      </w:r>
      <w:r>
        <w:rPr>
          <w:rFonts w:hint="eastAsia" w:hAnsi="宋体" w:cs="宋体"/>
          <w:b/>
          <w:bCs/>
          <w:kern w:val="0"/>
          <w:szCs w:val="21"/>
          <w:lang w:val="en-US" w:eastAsia="zh-CN"/>
        </w:rPr>
        <w:t>10</w:t>
      </w:r>
      <w:r>
        <w:rPr>
          <w:rFonts w:hint="eastAsia" w:hAnsi="宋体" w:cs="宋体"/>
          <w:b/>
          <w:bCs/>
          <w:kern w:val="0"/>
          <w:szCs w:val="21"/>
        </w:rPr>
        <w:t>分</w:t>
      </w:r>
    </w:p>
    <w:p w14:paraId="31F7DAC2">
      <w:pPr>
        <w:pStyle w:val="20"/>
        <w:keepNext w:val="0"/>
        <w:keepLines w:val="0"/>
        <w:pageBreakBefore w:val="0"/>
        <w:kinsoku/>
        <w:wordWrap/>
        <w:overflowPunct/>
        <w:topLinePunct w:val="0"/>
        <w:autoSpaceDE/>
        <w:autoSpaceDN/>
        <w:bidi w:val="0"/>
        <w:spacing w:line="348" w:lineRule="auto"/>
        <w:ind w:firstLine="400" w:firstLineChars="200"/>
        <w:textAlignment w:val="auto"/>
        <w:rPr>
          <w:rFonts w:hint="eastAsia" w:hAnsi="宋体" w:cs="宋体"/>
          <w:szCs w:val="21"/>
        </w:rPr>
      </w:pPr>
      <w:r>
        <w:rPr>
          <w:rFonts w:hint="eastAsia" w:hAnsi="宋体" w:cs="宋体"/>
          <w:bCs/>
          <w:szCs w:val="21"/>
        </w:rPr>
        <w:t>（1）根据《广西壮族自治区财政厅关于进一步发挥政府采购政策功能促进企业发展的通知》（桂财采〔2022〕30号），凡符合《政府采购促进中小企业发展管理办法》（财库〔2020〕46号）规定条件且按该办法中规定的格式提供了《中小企业声明函》的小型和微型企业，对其投标价给予20%的扣除，扣除后的价格为评标价，即评标价=投标价×（1-20%）。</w:t>
      </w:r>
    </w:p>
    <w:p w14:paraId="4C2348EA">
      <w:pPr>
        <w:pStyle w:val="20"/>
        <w:keepNext w:val="0"/>
        <w:keepLines w:val="0"/>
        <w:pageBreakBefore w:val="0"/>
        <w:kinsoku/>
        <w:wordWrap/>
        <w:overflowPunct/>
        <w:topLinePunct w:val="0"/>
        <w:autoSpaceDE/>
        <w:autoSpaceDN/>
        <w:bidi w:val="0"/>
        <w:spacing w:line="348" w:lineRule="auto"/>
        <w:ind w:firstLine="420"/>
        <w:textAlignment w:val="auto"/>
        <w:rPr>
          <w:rFonts w:hint="eastAsia" w:hAnsi="宋体" w:cs="宋体"/>
          <w:szCs w:val="21"/>
        </w:rPr>
      </w:pPr>
      <w:r>
        <w:rPr>
          <w:rFonts w:hint="eastAsia" w:hAnsi="宋体" w:cs="宋体"/>
          <w:b/>
          <w:szCs w:val="21"/>
        </w:rPr>
        <w:t>注：中小微型企业划分标准按照《国家统计局关于印发〈统计上大中小微型企业划分办法〉〔2017〕的通知》（国统字〔2017〕213号）执行，具体划分标准见附表《统计上大中小微型企业划分标准》。</w:t>
      </w:r>
    </w:p>
    <w:p w14:paraId="5048433D">
      <w:pPr>
        <w:pStyle w:val="20"/>
        <w:keepNext w:val="0"/>
        <w:keepLines w:val="0"/>
        <w:pageBreakBefore w:val="0"/>
        <w:numPr>
          <w:ilvl w:val="0"/>
          <w:numId w:val="6"/>
        </w:numPr>
        <w:kinsoku/>
        <w:wordWrap/>
        <w:overflowPunct/>
        <w:topLinePunct w:val="0"/>
        <w:autoSpaceDE/>
        <w:autoSpaceDN/>
        <w:bidi w:val="0"/>
        <w:spacing w:line="348" w:lineRule="auto"/>
        <w:ind w:firstLine="420"/>
        <w:textAlignment w:val="auto"/>
        <w:rPr>
          <w:rFonts w:hint="eastAsia" w:hAnsi="宋体" w:cs="宋体"/>
          <w:kern w:val="0"/>
          <w:szCs w:val="21"/>
        </w:rPr>
      </w:pPr>
      <w:r>
        <w:rPr>
          <w:rFonts w:hint="eastAsia" w:hAnsi="宋体" w:cs="宋体"/>
          <w:kern w:val="0"/>
          <w:szCs w:val="21"/>
        </w:rPr>
        <w:t>根据《关于政府采购支持监狱企业发展有关问题的通知》（财库〔2014〕68号）和《关于促进残疾人就业政府采购政策的通知》（财库〔2017〕141号），监狱企业和符合条件的残疾人企业视同小型、微型企业，享受小型、微型企业评审中价格扣除的政府采购政策。</w:t>
      </w:r>
    </w:p>
    <w:p w14:paraId="22DC2640">
      <w:pPr>
        <w:pStyle w:val="20"/>
        <w:keepNext w:val="0"/>
        <w:keepLines w:val="0"/>
        <w:pageBreakBefore w:val="0"/>
        <w:numPr>
          <w:ilvl w:val="0"/>
          <w:numId w:val="6"/>
        </w:numPr>
        <w:kinsoku/>
        <w:wordWrap/>
        <w:overflowPunct/>
        <w:topLinePunct w:val="0"/>
        <w:autoSpaceDE/>
        <w:autoSpaceDN/>
        <w:bidi w:val="0"/>
        <w:spacing w:line="348" w:lineRule="auto"/>
        <w:ind w:firstLine="420"/>
        <w:textAlignment w:val="auto"/>
        <w:rPr>
          <w:rFonts w:hint="eastAsia" w:hAnsi="宋体" w:cs="宋体"/>
          <w:szCs w:val="21"/>
        </w:rPr>
      </w:pPr>
      <w:r>
        <w:rPr>
          <w:rFonts w:hint="eastAsia" w:hAnsi="宋体" w:cs="宋体"/>
          <w:szCs w:val="21"/>
        </w:rPr>
        <w:t>根据《关于促进残疾人就业政府采购政策的通知》（财库〔2017〕141号）规定，残疾人福利性单位视同小型、微型企业，评审中对价格给予折扣，残疾人福利性单位属于小型、微型企业的，不重复享受政策。符合条件的残疾人福利性单位在参加政府采购活动时，应当提供本通知规定的《残疾人福利性单位声明函》（见附件），并对声明的真实性负责。中标为残疾人福利性单位的，采购代理机构应当随中标、成交结果同时公告其《残疾人福利性单位声明函》，接受社会监督。</w:t>
      </w:r>
    </w:p>
    <w:p w14:paraId="52852F26">
      <w:pPr>
        <w:pStyle w:val="20"/>
        <w:keepNext w:val="0"/>
        <w:keepLines w:val="0"/>
        <w:pageBreakBefore w:val="0"/>
        <w:kinsoku/>
        <w:wordWrap/>
        <w:overflowPunct/>
        <w:topLinePunct w:val="0"/>
        <w:autoSpaceDE/>
        <w:autoSpaceDN/>
        <w:bidi w:val="0"/>
        <w:spacing w:line="348" w:lineRule="auto"/>
        <w:ind w:firstLine="400" w:firstLineChars="200"/>
        <w:textAlignment w:val="auto"/>
        <w:rPr>
          <w:rFonts w:hint="eastAsia" w:hAnsi="宋体" w:cs="宋体"/>
          <w:szCs w:val="21"/>
        </w:rPr>
      </w:pPr>
      <w:r>
        <w:rPr>
          <w:rFonts w:hint="eastAsia" w:hAnsi="宋体" w:cs="宋体"/>
          <w:szCs w:val="21"/>
        </w:rPr>
        <w:t>对于不属于以上情形的投标人，其投标报价即为评标价。</w:t>
      </w:r>
    </w:p>
    <w:p w14:paraId="57CE72DB">
      <w:pPr>
        <w:pStyle w:val="20"/>
        <w:keepNext w:val="0"/>
        <w:keepLines w:val="0"/>
        <w:pageBreakBefore w:val="0"/>
        <w:kinsoku/>
        <w:wordWrap/>
        <w:overflowPunct/>
        <w:topLinePunct w:val="0"/>
        <w:autoSpaceDE/>
        <w:autoSpaceDN/>
        <w:bidi w:val="0"/>
        <w:spacing w:line="348" w:lineRule="auto"/>
        <w:ind w:firstLine="400" w:firstLineChars="200"/>
        <w:textAlignment w:val="auto"/>
        <w:rPr>
          <w:rFonts w:hint="eastAsia" w:hAnsi="宋体" w:cs="宋体"/>
          <w:kern w:val="0"/>
          <w:szCs w:val="21"/>
        </w:rPr>
      </w:pPr>
      <w:r>
        <w:rPr>
          <w:rFonts w:hint="eastAsia" w:hAnsi="宋体" w:cs="宋体"/>
          <w:kern w:val="0"/>
          <w:szCs w:val="21"/>
        </w:rPr>
        <w:t>（4）价格分采用低价优先法计算，即满足招标文件要求且评标报价最低的评标报价为评标基准价，其价格分为</w:t>
      </w:r>
      <w:r>
        <w:rPr>
          <w:rFonts w:hint="eastAsia" w:hAnsi="宋体" w:cs="宋体"/>
          <w:kern w:val="0"/>
          <w:szCs w:val="21"/>
          <w:lang w:val="en-US" w:eastAsia="zh-CN"/>
        </w:rPr>
        <w:t>10</w:t>
      </w:r>
      <w:r>
        <w:rPr>
          <w:rFonts w:hint="eastAsia" w:hAnsi="宋体" w:cs="宋体"/>
          <w:kern w:val="0"/>
          <w:szCs w:val="21"/>
        </w:rPr>
        <w:t>分。</w:t>
      </w:r>
    </w:p>
    <w:p w14:paraId="6C3A6A79">
      <w:pPr>
        <w:pStyle w:val="20"/>
        <w:keepNext w:val="0"/>
        <w:keepLines w:val="0"/>
        <w:pageBreakBefore w:val="0"/>
        <w:kinsoku/>
        <w:wordWrap/>
        <w:overflowPunct/>
        <w:topLinePunct w:val="0"/>
        <w:autoSpaceDE/>
        <w:autoSpaceDN/>
        <w:bidi w:val="0"/>
        <w:spacing w:line="348" w:lineRule="auto"/>
        <w:ind w:firstLine="420"/>
        <w:textAlignment w:val="auto"/>
        <w:rPr>
          <w:rFonts w:hint="eastAsia" w:hAnsi="宋体" w:cs="宋体"/>
          <w:kern w:val="0"/>
          <w:szCs w:val="21"/>
        </w:rPr>
      </w:pPr>
      <w:r>
        <w:rPr>
          <w:rFonts w:hint="eastAsia" w:hAnsi="宋体" w:cs="宋体"/>
          <w:kern w:val="0"/>
          <w:szCs w:val="21"/>
        </w:rPr>
        <w:t>（5）价格分计算公式：</w:t>
      </w:r>
    </w:p>
    <w:p w14:paraId="53A3DEB1">
      <w:pPr>
        <w:pStyle w:val="20"/>
        <w:keepNext w:val="0"/>
        <w:keepLines w:val="0"/>
        <w:pageBreakBefore w:val="0"/>
        <w:kinsoku/>
        <w:wordWrap/>
        <w:overflowPunct/>
        <w:topLinePunct w:val="0"/>
        <w:autoSpaceDE/>
        <w:autoSpaceDN/>
        <w:bidi w:val="0"/>
        <w:spacing w:line="348" w:lineRule="auto"/>
        <w:ind w:firstLine="2940" w:firstLineChars="1470"/>
        <w:textAlignment w:val="auto"/>
        <w:rPr>
          <w:rFonts w:hint="eastAsia" w:hAnsi="宋体" w:cs="宋体"/>
          <w:bCs/>
          <w:szCs w:val="21"/>
        </w:rPr>
      </w:pPr>
      <w:r>
        <w:rPr>
          <w:rFonts w:hint="eastAsia" w:hAnsi="宋体" w:cs="宋体"/>
          <w:bCs/>
          <w:szCs w:val="21"/>
        </w:rPr>
        <w:t xml:space="preserve"> 最低投标人</w:t>
      </w:r>
      <w:r>
        <w:rPr>
          <w:rFonts w:hint="eastAsia" w:hAnsi="宋体" w:cs="宋体"/>
          <w:szCs w:val="21"/>
        </w:rPr>
        <w:t>评标报价</w:t>
      </w:r>
      <w:r>
        <w:rPr>
          <w:rFonts w:hint="eastAsia" w:hAnsi="宋体" w:cs="宋体"/>
          <w:bCs/>
          <w:szCs w:val="21"/>
        </w:rPr>
        <w:t xml:space="preserve">金额          </w:t>
      </w:r>
    </w:p>
    <w:p w14:paraId="591B9F7C">
      <w:pPr>
        <w:pStyle w:val="20"/>
        <w:keepNext w:val="0"/>
        <w:keepLines w:val="0"/>
        <w:pageBreakBefore w:val="0"/>
        <w:kinsoku/>
        <w:wordWrap/>
        <w:overflowPunct/>
        <w:topLinePunct w:val="0"/>
        <w:autoSpaceDE/>
        <w:autoSpaceDN/>
        <w:bidi w:val="0"/>
        <w:spacing w:line="348" w:lineRule="auto"/>
        <w:ind w:firstLine="420"/>
        <w:textAlignment w:val="auto"/>
        <w:rPr>
          <w:rFonts w:hint="eastAsia" w:hAnsi="宋体" w:cs="宋体"/>
          <w:bCs/>
          <w:szCs w:val="21"/>
        </w:rPr>
      </w:pPr>
      <w:r>
        <w:rPr>
          <w:rFonts w:hAnsi="宋体" w:cs="宋体"/>
          <w:bCs/>
          <w:szCs w:val="21"/>
        </w:rPr>
        <mc:AlternateContent>
          <mc:Choice Requires="wps">
            <w:drawing>
              <wp:anchor distT="0" distB="0" distL="114300" distR="114300" simplePos="0" relativeHeight="251663360" behindDoc="0" locked="0" layoutInCell="1" allowOverlap="1">
                <wp:simplePos x="0" y="0"/>
                <wp:positionH relativeFrom="column">
                  <wp:posOffset>1819275</wp:posOffset>
                </wp:positionH>
                <wp:positionV relativeFrom="paragraph">
                  <wp:posOffset>149225</wp:posOffset>
                </wp:positionV>
                <wp:extent cx="1981200" cy="635"/>
                <wp:effectExtent l="0" t="0" r="0" b="0"/>
                <wp:wrapNone/>
                <wp:docPr id="1" name="直接连接符 1"/>
                <wp:cNvGraphicFramePr/>
                <a:graphic xmlns:a="http://schemas.openxmlformats.org/drawingml/2006/main">
                  <a:graphicData uri="http://schemas.microsoft.com/office/word/2010/wordprocessingShape">
                    <wps:wsp>
                      <wps:cNvCnPr/>
                      <wps:spPr>
                        <a:xfrm>
                          <a:off x="0" y="0"/>
                          <a:ext cx="220027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43.25pt;margin-top:11.75pt;height:0.05pt;width:156pt;z-index:251663360;mso-width-relative:page;mso-height-relative:page;" filled="f" stroked="t" coordsize="21600,21600" o:gfxdata="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GKWp87WAAAACQEAAA8AAAAAAAAAAQAgAAAAIgAAAGRycy9kb3ducmV2LnhtbFBLAQIUABQAAAAI&#10;AIdO4kCsxiyE7wEAAOYDAAAOAAAAAAAAAAEAIAAAACUBAABkcnMvZTJvRG9jLnhtbFBLBQYAAAAA&#10;BgAGAFkBAACGBQAAAAA=&#10;">
                <v:fill on="f" focussize="0,0"/>
                <v:stroke color="#000000" joinstyle="round"/>
                <v:imagedata o:title=""/>
                <o:lock v:ext="edit" aspectratio="f"/>
              </v:line>
            </w:pict>
          </mc:Fallback>
        </mc:AlternateContent>
      </w:r>
      <w:r>
        <w:rPr>
          <w:rFonts w:hint="eastAsia" w:hAnsi="宋体" w:cs="宋体"/>
          <w:bCs/>
          <w:szCs w:val="21"/>
        </w:rPr>
        <w:t xml:space="preserve">某投标人价格分 =                                         ×   </w:t>
      </w:r>
      <w:r>
        <w:rPr>
          <w:rFonts w:hint="eastAsia" w:hAnsi="宋体" w:cs="宋体"/>
          <w:bCs/>
          <w:szCs w:val="21"/>
          <w:lang w:val="en-US" w:eastAsia="zh-CN"/>
        </w:rPr>
        <w:t>10</w:t>
      </w:r>
      <w:r>
        <w:rPr>
          <w:rFonts w:hint="eastAsia" w:hAnsi="宋体" w:cs="宋体"/>
          <w:bCs/>
          <w:szCs w:val="21"/>
        </w:rPr>
        <w:t>分</w:t>
      </w:r>
    </w:p>
    <w:p w14:paraId="7BBAEB3D">
      <w:pPr>
        <w:pStyle w:val="20"/>
        <w:keepNext w:val="0"/>
        <w:keepLines w:val="0"/>
        <w:pageBreakBefore w:val="0"/>
        <w:kinsoku/>
        <w:wordWrap/>
        <w:overflowPunct/>
        <w:topLinePunct w:val="0"/>
        <w:autoSpaceDE/>
        <w:autoSpaceDN/>
        <w:bidi w:val="0"/>
        <w:spacing w:line="348" w:lineRule="auto"/>
        <w:ind w:firstLine="400" w:firstLineChars="200"/>
        <w:textAlignment w:val="auto"/>
      </w:pPr>
      <w:r>
        <w:rPr>
          <w:rFonts w:hint="eastAsia" w:hAnsi="宋体" w:cs="宋体"/>
          <w:bCs/>
          <w:szCs w:val="21"/>
        </w:rPr>
        <w:t xml:space="preserve">                           某投标人</w:t>
      </w:r>
      <w:r>
        <w:rPr>
          <w:rFonts w:hint="eastAsia" w:hAnsi="宋体" w:cs="宋体"/>
          <w:szCs w:val="21"/>
        </w:rPr>
        <w:t>评标报价</w:t>
      </w:r>
      <w:r>
        <w:rPr>
          <w:rFonts w:hint="eastAsia" w:hAnsi="宋体" w:cs="宋体"/>
          <w:bCs/>
          <w:szCs w:val="21"/>
        </w:rPr>
        <w:t xml:space="preserve">金额  </w:t>
      </w:r>
    </w:p>
    <w:p w14:paraId="1726AE41">
      <w:pPr>
        <w:pStyle w:val="20"/>
        <w:keepNext w:val="0"/>
        <w:keepLines w:val="0"/>
        <w:pageBreakBefore w:val="0"/>
        <w:numPr>
          <w:ilvl w:val="0"/>
          <w:numId w:val="7"/>
        </w:numPr>
        <w:kinsoku/>
        <w:wordWrap/>
        <w:overflowPunct/>
        <w:topLinePunct w:val="0"/>
        <w:autoSpaceDE/>
        <w:autoSpaceDN/>
        <w:bidi w:val="0"/>
        <w:spacing w:line="348" w:lineRule="auto"/>
        <w:textAlignment w:val="auto"/>
        <w:rPr>
          <w:rFonts w:hint="eastAsia" w:hAnsi="宋体" w:cs="宋体"/>
          <w:b/>
          <w:bCs/>
          <w:szCs w:val="21"/>
        </w:rPr>
      </w:pPr>
      <w:r>
        <w:rPr>
          <w:rFonts w:hint="eastAsia" w:hAnsi="宋体" w:cs="宋体"/>
          <w:b/>
          <w:bCs/>
          <w:szCs w:val="21"/>
          <w:lang w:val="en-US" w:eastAsia="zh-CN"/>
        </w:rPr>
        <w:t>技术及实施方案</w:t>
      </w:r>
      <w:r>
        <w:rPr>
          <w:rFonts w:hint="eastAsia" w:hAnsi="宋体" w:cs="宋体"/>
          <w:b/>
          <w:bCs/>
          <w:szCs w:val="21"/>
        </w:rPr>
        <w:t>分…………</w:t>
      </w:r>
      <w:r>
        <w:rPr>
          <w:rFonts w:hint="eastAsia" w:hAnsi="宋体" w:cs="宋体"/>
          <w:b/>
          <w:bCs/>
          <w:kern w:val="0"/>
          <w:szCs w:val="21"/>
        </w:rPr>
        <w:t>……………………………</w:t>
      </w:r>
      <w:r>
        <w:rPr>
          <w:rFonts w:hint="eastAsia" w:hAnsi="宋体" w:cs="宋体"/>
          <w:b/>
          <w:bCs/>
          <w:szCs w:val="21"/>
        </w:rPr>
        <w:t>……………</w:t>
      </w:r>
      <w:r>
        <w:rPr>
          <w:rFonts w:hint="eastAsia" w:hAnsi="宋体" w:cs="宋体"/>
          <w:b/>
          <w:bCs/>
          <w:kern w:val="0"/>
          <w:szCs w:val="21"/>
        </w:rPr>
        <w:t>……</w:t>
      </w:r>
      <w:r>
        <w:rPr>
          <w:rFonts w:hint="eastAsia" w:hAnsi="宋体" w:cs="宋体"/>
          <w:b/>
          <w:bCs/>
          <w:szCs w:val="21"/>
        </w:rPr>
        <w:t>…………</w:t>
      </w:r>
      <w:r>
        <w:rPr>
          <w:rFonts w:hint="eastAsia" w:hAnsi="宋体" w:cs="宋体"/>
          <w:b/>
          <w:bCs/>
          <w:szCs w:val="21"/>
          <w:lang w:val="en-US" w:eastAsia="zh-CN"/>
        </w:rPr>
        <w:t>38</w:t>
      </w:r>
      <w:r>
        <w:rPr>
          <w:rFonts w:hint="eastAsia" w:hAnsi="宋体" w:cs="宋体"/>
          <w:b/>
          <w:bCs/>
          <w:szCs w:val="21"/>
        </w:rPr>
        <w:t>分</w:t>
      </w:r>
    </w:p>
    <w:p w14:paraId="26E179E4">
      <w:pPr>
        <w:pStyle w:val="20"/>
        <w:keepNext w:val="0"/>
        <w:keepLines w:val="0"/>
        <w:pageBreakBefore w:val="0"/>
        <w:kinsoku/>
        <w:wordWrap/>
        <w:overflowPunct/>
        <w:topLinePunct w:val="0"/>
        <w:autoSpaceDE/>
        <w:autoSpaceDN/>
        <w:bidi w:val="0"/>
        <w:spacing w:line="348" w:lineRule="auto"/>
        <w:ind w:left="420" w:leftChars="200"/>
        <w:textAlignment w:val="auto"/>
        <w:rPr>
          <w:rFonts w:hint="eastAsia" w:hAnsi="宋体" w:cs="宋体"/>
          <w:b/>
          <w:bCs/>
          <w:kern w:val="0"/>
          <w:szCs w:val="21"/>
        </w:rPr>
      </w:pPr>
      <w:r>
        <w:rPr>
          <w:rFonts w:hint="eastAsia" w:hAnsi="宋体" w:cs="宋体"/>
          <w:b/>
          <w:bCs/>
          <w:kern w:val="0"/>
          <w:szCs w:val="21"/>
        </w:rPr>
        <w:t>（1）技术性能分（满分</w:t>
      </w:r>
      <w:r>
        <w:rPr>
          <w:rFonts w:hint="eastAsia" w:hAnsi="宋体" w:cs="宋体"/>
          <w:b/>
          <w:bCs/>
          <w:kern w:val="0"/>
          <w:szCs w:val="21"/>
          <w:lang w:val="en-US" w:eastAsia="zh-CN"/>
        </w:rPr>
        <w:t>18</w:t>
      </w:r>
      <w:r>
        <w:rPr>
          <w:rFonts w:hint="eastAsia" w:hAnsi="宋体" w:cs="宋体"/>
          <w:b/>
          <w:bCs/>
          <w:kern w:val="0"/>
          <w:szCs w:val="21"/>
        </w:rPr>
        <w:t>分）</w:t>
      </w:r>
    </w:p>
    <w:p w14:paraId="06692CE1">
      <w:pPr>
        <w:keepNext w:val="0"/>
        <w:keepLines w:val="0"/>
        <w:pageBreakBefore w:val="0"/>
        <w:kinsoku/>
        <w:wordWrap/>
        <w:overflowPunct/>
        <w:topLinePunct w:val="0"/>
        <w:autoSpaceDE/>
        <w:autoSpaceDN/>
        <w:bidi w:val="0"/>
        <w:spacing w:line="348" w:lineRule="auto"/>
        <w:ind w:firstLine="420" w:firstLineChars="200"/>
        <w:textAlignment w:val="auto"/>
        <w:rPr>
          <w:rFonts w:hint="eastAsia" w:ascii="宋体" w:hAnsi="宋体" w:cs="宋体"/>
        </w:rPr>
      </w:pPr>
      <w:r>
        <w:rPr>
          <w:rFonts w:hint="eastAsia" w:ascii="宋体" w:hAnsi="宋体" w:cs="宋体"/>
        </w:rPr>
        <w:t>采购需求中标注“▲”号的技术条款系指与项目实际紧密相关的功能条款、技术指标，作为服务性能评审依据，由评委根据投标人提供的证明材料复印件并加盖投标人CA签章进行打分，证明材料</w:t>
      </w:r>
      <w:r>
        <w:rPr>
          <w:rFonts w:hint="eastAsia" w:ascii="宋体" w:hAnsi="宋体" w:cs="宋体"/>
          <w:lang w:val="en-US" w:eastAsia="zh-CN"/>
        </w:rPr>
        <w:t>须</w:t>
      </w:r>
      <w:r>
        <w:rPr>
          <w:rFonts w:hint="eastAsia" w:ascii="宋体" w:hAnsi="宋体" w:cs="宋体"/>
        </w:rPr>
        <w:t>提供国家认可的第三方检测（验）机构出具的检测（验）或测评报告复印件。每提供1个得</w:t>
      </w:r>
      <w:r>
        <w:rPr>
          <w:rFonts w:hint="eastAsia" w:ascii="宋体" w:hAnsi="宋体" w:cs="宋体"/>
          <w:lang w:val="en-US" w:eastAsia="zh-CN"/>
        </w:rPr>
        <w:t>1.5</w:t>
      </w:r>
      <w:r>
        <w:rPr>
          <w:rFonts w:hint="eastAsia" w:ascii="宋体" w:hAnsi="宋体" w:cs="宋体"/>
        </w:rPr>
        <w:t>分，满分</w:t>
      </w:r>
      <w:r>
        <w:rPr>
          <w:rFonts w:hint="eastAsia" w:ascii="宋体" w:hAnsi="宋体" w:cs="宋体"/>
          <w:lang w:val="en-US" w:eastAsia="zh-CN"/>
        </w:rPr>
        <w:t>18</w:t>
      </w:r>
      <w:r>
        <w:rPr>
          <w:rFonts w:hint="eastAsia" w:ascii="宋体" w:hAnsi="宋体" w:cs="宋体"/>
        </w:rPr>
        <w:t>分。</w:t>
      </w:r>
    </w:p>
    <w:p w14:paraId="5BD9D797">
      <w:pPr>
        <w:keepNext w:val="0"/>
        <w:keepLines w:val="0"/>
        <w:pageBreakBefore w:val="0"/>
        <w:widowControl/>
        <w:kinsoku/>
        <w:wordWrap/>
        <w:overflowPunct/>
        <w:topLinePunct w:val="0"/>
        <w:autoSpaceDE/>
        <w:autoSpaceDN/>
        <w:bidi w:val="0"/>
        <w:spacing w:line="348" w:lineRule="auto"/>
        <w:ind w:firstLine="422" w:firstLineChars="200"/>
        <w:jc w:val="left"/>
        <w:textAlignment w:val="auto"/>
        <w:rPr>
          <w:rFonts w:hint="eastAsia" w:ascii="宋体" w:hAnsi="宋体" w:cs="宋体"/>
          <w:b/>
          <w:bCs/>
          <w:kern w:val="0"/>
          <w:szCs w:val="21"/>
        </w:rPr>
      </w:pPr>
      <w:r>
        <w:rPr>
          <w:rFonts w:hint="eastAsia" w:ascii="宋体" w:hAnsi="宋体" w:cs="宋体"/>
          <w:b/>
          <w:bCs/>
          <w:kern w:val="0"/>
          <w:szCs w:val="21"/>
        </w:rPr>
        <w:t>（2）项目实施方案分（满分</w:t>
      </w:r>
      <w:r>
        <w:rPr>
          <w:rFonts w:hint="eastAsia" w:ascii="宋体" w:hAnsi="宋体" w:cs="宋体"/>
          <w:b/>
          <w:bCs/>
          <w:kern w:val="0"/>
          <w:szCs w:val="21"/>
          <w:lang w:val="en-US" w:eastAsia="zh-CN"/>
        </w:rPr>
        <w:t>20</w:t>
      </w:r>
      <w:r>
        <w:rPr>
          <w:rFonts w:hint="eastAsia" w:ascii="宋体" w:hAnsi="宋体" w:cs="宋体"/>
          <w:b/>
          <w:bCs/>
          <w:kern w:val="0"/>
          <w:szCs w:val="21"/>
        </w:rPr>
        <w:t>分）</w:t>
      </w:r>
    </w:p>
    <w:p w14:paraId="7B7949EC">
      <w:pPr>
        <w:keepNext w:val="0"/>
        <w:keepLines w:val="0"/>
        <w:pageBreakBefore w:val="0"/>
        <w:widowControl w:val="0"/>
        <w:kinsoku/>
        <w:wordWrap/>
        <w:overflowPunct/>
        <w:topLinePunct w:val="0"/>
        <w:autoSpaceDE/>
        <w:autoSpaceDN/>
        <w:bidi w:val="0"/>
        <w:adjustRightInd/>
        <w:snapToGrid/>
        <w:spacing w:line="348"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Cs w:val="21"/>
          <w:highlight w:val="none"/>
        </w:rPr>
        <w:t>一档 (</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 w:val="21"/>
          <w:szCs w:val="21"/>
          <w:highlight w:val="none"/>
        </w:rPr>
        <w:t>分）：提供的项目实施方案内容简单、基本可行，但针对性不强</w:t>
      </w:r>
      <w:r>
        <w:rPr>
          <w:rFonts w:hint="eastAsia" w:ascii="宋体" w:hAnsi="宋体" w:eastAsia="宋体" w:cs="宋体"/>
          <w:color w:val="auto"/>
          <w:sz w:val="21"/>
          <w:szCs w:val="21"/>
          <w:highlight w:val="none"/>
          <w:lang w:eastAsia="zh-CN"/>
        </w:rPr>
        <w:t>；</w:t>
      </w:r>
    </w:p>
    <w:p w14:paraId="65C45B02">
      <w:pPr>
        <w:keepNext w:val="0"/>
        <w:keepLines w:val="0"/>
        <w:pageBreakBefore w:val="0"/>
        <w:widowControl w:val="0"/>
        <w:kinsoku/>
        <w:wordWrap/>
        <w:overflowPunct/>
        <w:topLinePunct w:val="0"/>
        <w:autoSpaceDE/>
        <w:autoSpaceDN/>
        <w:bidi w:val="0"/>
        <w:adjustRightInd/>
        <w:snapToGrid/>
        <w:spacing w:line="348"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二</w:t>
      </w:r>
      <w:r>
        <w:rPr>
          <w:rFonts w:hint="eastAsia" w:ascii="宋体" w:hAnsi="宋体" w:eastAsia="宋体" w:cs="宋体"/>
          <w:color w:val="auto"/>
          <w:sz w:val="21"/>
          <w:szCs w:val="21"/>
          <w:highlight w:val="none"/>
        </w:rPr>
        <w:t>档（</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分）：提供的实施方案基本满足采购需求，对本项目有一定了解，提出了基本的安装、调试及验收方法，但实施内容较为常规，针对性一般，保障措施不够完善；</w:t>
      </w:r>
    </w:p>
    <w:p w14:paraId="609C7D77">
      <w:pPr>
        <w:keepNext w:val="0"/>
        <w:keepLines w:val="0"/>
        <w:pageBreakBefore w:val="0"/>
        <w:widowControl w:val="0"/>
        <w:kinsoku/>
        <w:wordWrap/>
        <w:overflowPunct/>
        <w:topLinePunct w:val="0"/>
        <w:autoSpaceDE/>
        <w:autoSpaceDN/>
        <w:bidi w:val="0"/>
        <w:adjustRightInd/>
        <w:snapToGrid/>
        <w:spacing w:line="348"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 w:val="21"/>
          <w:szCs w:val="21"/>
          <w:highlight w:val="none"/>
        </w:rPr>
        <w:t>档（</w:t>
      </w:r>
      <w:r>
        <w:rPr>
          <w:rFonts w:hint="eastAsia" w:ascii="宋体" w:hAnsi="宋体" w:cs="宋体"/>
          <w:color w:val="auto"/>
          <w:sz w:val="21"/>
          <w:szCs w:val="21"/>
          <w:highlight w:val="none"/>
          <w:lang w:val="en-US" w:eastAsia="zh-CN"/>
        </w:rPr>
        <w:t>15</w:t>
      </w:r>
      <w:r>
        <w:rPr>
          <w:rFonts w:hint="eastAsia" w:ascii="宋体" w:hAnsi="宋体" w:eastAsia="宋体" w:cs="宋体"/>
          <w:color w:val="auto"/>
          <w:sz w:val="21"/>
          <w:szCs w:val="21"/>
          <w:highlight w:val="none"/>
        </w:rPr>
        <w:t>分）：提供的实施方案较为详细，对本项目有较充分的理解，需求分析和整体实施安排清晰；实施技术力量安排能够满足项目实施要求，技术服务、技术培训的服务内容和保障措施较为完善；配备项目实施人员，且人员分工合理；</w:t>
      </w:r>
    </w:p>
    <w:p w14:paraId="2C8A0BA2">
      <w:pPr>
        <w:keepNext w:val="0"/>
        <w:keepLines w:val="0"/>
        <w:pageBreakBefore w:val="0"/>
        <w:kinsoku/>
        <w:wordWrap/>
        <w:overflowPunct/>
        <w:topLinePunct w:val="0"/>
        <w:autoSpaceDE/>
        <w:autoSpaceDN/>
        <w:bidi w:val="0"/>
        <w:spacing w:line="348" w:lineRule="auto"/>
        <w:ind w:firstLine="420" w:firstLineChars="200"/>
        <w:textAlignment w:val="auto"/>
        <w:rPr>
          <w:rFonts w:hint="eastAsia" w:ascii="宋体" w:hAnsi="宋体"/>
          <w:color w:val="000000" w:themeColor="text1"/>
          <w14:textFill>
            <w14:solidFill>
              <w14:schemeClr w14:val="tx1"/>
            </w14:solidFill>
          </w14:textFill>
        </w:rPr>
      </w:pPr>
      <w:r>
        <w:rPr>
          <w:rFonts w:hint="eastAsia" w:ascii="宋体" w:hAnsi="宋体" w:eastAsia="宋体" w:cs="宋体"/>
          <w:color w:val="auto"/>
          <w:sz w:val="21"/>
          <w:szCs w:val="21"/>
          <w:highlight w:val="none"/>
          <w:lang w:val="en-US" w:eastAsia="zh-CN"/>
        </w:rPr>
        <w:t>四</w:t>
      </w:r>
      <w:r>
        <w:rPr>
          <w:rFonts w:hint="eastAsia" w:ascii="宋体" w:hAnsi="宋体" w:eastAsia="宋体" w:cs="宋体"/>
          <w:color w:val="auto"/>
          <w:sz w:val="21"/>
          <w:szCs w:val="21"/>
          <w:highlight w:val="none"/>
        </w:rPr>
        <w:t>档（</w:t>
      </w:r>
      <w:r>
        <w:rPr>
          <w:rFonts w:hint="eastAsia" w:ascii="宋体" w:hAnsi="宋体" w:cs="宋体"/>
          <w:color w:val="auto"/>
          <w:sz w:val="21"/>
          <w:szCs w:val="21"/>
          <w:highlight w:val="none"/>
          <w:lang w:val="en-US" w:eastAsia="zh-CN"/>
        </w:rPr>
        <w:t>20</w:t>
      </w:r>
      <w:r>
        <w:rPr>
          <w:rFonts w:hint="eastAsia" w:ascii="宋体" w:hAnsi="宋体" w:eastAsia="宋体" w:cs="宋体"/>
          <w:color w:val="auto"/>
          <w:sz w:val="21"/>
          <w:szCs w:val="21"/>
          <w:highlight w:val="none"/>
        </w:rPr>
        <w:t>分）：提供的实施方案详实完整，能够充分体现对本项目的熟悉程度，具体包括对本项目需求的分析、项目整体设计与实施、系统架构图等，技术路线清晰、科学、可行；技术服务、技术培训的服务内容完善；安装、调试、验收方法具体有效、切实可行；项目实施人员安排充足，人员结构合理、分工明确</w:t>
      </w:r>
      <w:r>
        <w:rPr>
          <w:rFonts w:hint="eastAsia" w:ascii="宋体" w:hAnsi="宋体" w:eastAsia="宋体" w:cs="宋体"/>
          <w:color w:val="auto"/>
          <w:sz w:val="21"/>
          <w:szCs w:val="21"/>
          <w:highlight w:val="none"/>
          <w:lang w:val="en-US" w:eastAsia="zh-CN"/>
        </w:rPr>
        <w:t>。</w:t>
      </w:r>
    </w:p>
    <w:p w14:paraId="43BDD1F8">
      <w:pPr>
        <w:pStyle w:val="20"/>
        <w:keepNext w:val="0"/>
        <w:keepLines w:val="0"/>
        <w:pageBreakBefore w:val="0"/>
        <w:kinsoku/>
        <w:wordWrap/>
        <w:overflowPunct/>
        <w:topLinePunct w:val="0"/>
        <w:autoSpaceDE/>
        <w:autoSpaceDN/>
        <w:bidi w:val="0"/>
        <w:spacing w:line="348" w:lineRule="auto"/>
        <w:ind w:firstLine="402" w:firstLineChars="200"/>
        <w:textAlignment w:val="auto"/>
        <w:rPr>
          <w:rFonts w:hint="eastAsia" w:hAnsi="宋体" w:cs="宋体"/>
          <w:b/>
          <w:bCs/>
          <w:szCs w:val="21"/>
        </w:rPr>
      </w:pPr>
      <w:r>
        <w:rPr>
          <w:rFonts w:hint="eastAsia" w:hAnsi="宋体" w:cs="宋体"/>
          <w:b/>
          <w:bCs/>
          <w:szCs w:val="21"/>
        </w:rPr>
        <w:t>3、服务方案分…………………………………………………………………………</w:t>
      </w:r>
      <w:r>
        <w:rPr>
          <w:rFonts w:hint="eastAsia" w:hAnsi="宋体" w:cs="宋体"/>
          <w:b/>
          <w:bCs/>
          <w:szCs w:val="21"/>
          <w:lang w:val="en-US" w:eastAsia="zh-CN"/>
        </w:rPr>
        <w:t>28</w:t>
      </w:r>
      <w:r>
        <w:rPr>
          <w:rFonts w:hint="eastAsia" w:hAnsi="宋体" w:cs="宋体"/>
          <w:b/>
          <w:bCs/>
          <w:szCs w:val="21"/>
        </w:rPr>
        <w:t>分</w:t>
      </w:r>
    </w:p>
    <w:p w14:paraId="4BC11232">
      <w:pPr>
        <w:keepNext w:val="0"/>
        <w:keepLines w:val="0"/>
        <w:pageBreakBefore w:val="0"/>
        <w:widowControl w:val="0"/>
        <w:kinsoku/>
        <w:wordWrap/>
        <w:overflowPunct/>
        <w:topLinePunct w:val="0"/>
        <w:autoSpaceDE/>
        <w:autoSpaceDN/>
        <w:bidi w:val="0"/>
        <w:adjustRightInd/>
        <w:snapToGrid/>
        <w:spacing w:line="348" w:lineRule="auto"/>
        <w:ind w:firstLine="420" w:firstLineChars="200"/>
        <w:textAlignment w:val="auto"/>
        <w:rPr>
          <w:rFonts w:hint="eastAsia" w:ascii="宋体" w:hAnsi="宋体" w:eastAsia="宋体" w:cs="宋体"/>
          <w:color w:val="auto"/>
          <w:sz w:val="21"/>
          <w:szCs w:val="21"/>
          <w:highlight w:val="none"/>
          <w:lang w:eastAsia="zh-CN"/>
        </w:rPr>
      </w:pPr>
      <w:r>
        <w:rPr>
          <w:rFonts w:hint="eastAsia" w:hAnsi="宋体" w:cs="宋体"/>
          <w:color w:val="auto"/>
          <w:szCs w:val="21"/>
          <w:highlight w:val="none"/>
        </w:rPr>
        <w:t>一档 (</w:t>
      </w:r>
      <w:r>
        <w:rPr>
          <w:rFonts w:hint="eastAsia" w:hAnsi="宋体" w:cs="宋体"/>
          <w:color w:val="auto"/>
          <w:szCs w:val="21"/>
          <w:highlight w:val="none"/>
          <w:lang w:val="en-US" w:eastAsia="zh-CN"/>
        </w:rPr>
        <w:t>7</w:t>
      </w:r>
      <w:r>
        <w:rPr>
          <w:rFonts w:hint="eastAsia" w:hAnsi="宋体" w:cs="宋体"/>
          <w:color w:val="auto"/>
          <w:szCs w:val="21"/>
          <w:highlight w:val="none"/>
        </w:rPr>
        <w:t>分）：提供的</w:t>
      </w:r>
      <w:r>
        <w:rPr>
          <w:rFonts w:hint="eastAsia" w:hAnsi="宋体" w:cs="宋体"/>
          <w:color w:val="auto"/>
          <w:szCs w:val="21"/>
          <w:highlight w:val="none"/>
          <w:lang w:val="en-US" w:eastAsia="zh-CN"/>
        </w:rPr>
        <w:t>服务</w:t>
      </w:r>
      <w:r>
        <w:rPr>
          <w:rFonts w:hint="eastAsia" w:hAnsi="宋体" w:cs="宋体"/>
          <w:color w:val="auto"/>
          <w:szCs w:val="21"/>
          <w:highlight w:val="none"/>
        </w:rPr>
        <w:t>方案内容较简单</w:t>
      </w:r>
      <w:r>
        <w:rPr>
          <w:rFonts w:hint="eastAsia" w:hAnsi="宋体" w:cs="宋体"/>
          <w:color w:val="auto"/>
          <w:szCs w:val="21"/>
          <w:highlight w:val="none"/>
          <w:lang w:eastAsia="zh-CN"/>
        </w:rPr>
        <w:t>，没有对响应时间、服务团队配备、培训计划、应急预案、保密承诺、故障解决方案等进行描述或描述不准确；</w:t>
      </w:r>
    </w:p>
    <w:p w14:paraId="6E11468B">
      <w:pPr>
        <w:keepNext w:val="0"/>
        <w:keepLines w:val="0"/>
        <w:pageBreakBefore w:val="0"/>
        <w:widowControl w:val="0"/>
        <w:kinsoku/>
        <w:wordWrap/>
        <w:overflowPunct/>
        <w:topLinePunct w:val="0"/>
        <w:autoSpaceDE/>
        <w:autoSpaceDN/>
        <w:bidi w:val="0"/>
        <w:adjustRightInd/>
        <w:snapToGrid/>
        <w:spacing w:line="348"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二</w:t>
      </w:r>
      <w:r>
        <w:rPr>
          <w:rFonts w:hint="eastAsia" w:ascii="宋体" w:hAnsi="宋体" w:eastAsia="宋体" w:cs="宋体"/>
          <w:color w:val="auto"/>
          <w:sz w:val="21"/>
          <w:szCs w:val="21"/>
          <w:highlight w:val="none"/>
        </w:rPr>
        <w:t>档 (</w:t>
      </w:r>
      <w:r>
        <w:rPr>
          <w:rFonts w:hint="eastAsia" w:ascii="宋体" w:hAnsi="宋体" w:cs="宋体"/>
          <w:color w:val="auto"/>
          <w:sz w:val="21"/>
          <w:szCs w:val="21"/>
          <w:highlight w:val="none"/>
          <w:lang w:val="en-US" w:eastAsia="zh-CN"/>
        </w:rPr>
        <w:t>14</w:t>
      </w:r>
      <w:r>
        <w:rPr>
          <w:rFonts w:hint="eastAsia" w:ascii="宋体" w:hAnsi="宋体" w:eastAsia="宋体" w:cs="宋体"/>
          <w:color w:val="auto"/>
          <w:sz w:val="21"/>
          <w:szCs w:val="21"/>
          <w:highlight w:val="none"/>
        </w:rPr>
        <w:t>分）：</w:t>
      </w:r>
      <w:r>
        <w:rPr>
          <w:rFonts w:hint="eastAsia" w:ascii="宋体" w:hAnsi="宋体" w:cs="宋体"/>
          <w:color w:val="auto"/>
          <w:sz w:val="21"/>
          <w:szCs w:val="21"/>
          <w:highlight w:val="none"/>
          <w:lang w:val="en-US" w:eastAsia="zh-CN"/>
        </w:rPr>
        <w:t>提供</w:t>
      </w:r>
      <w:r>
        <w:rPr>
          <w:rFonts w:hint="eastAsia" w:ascii="宋体" w:hAnsi="宋体" w:eastAsia="宋体" w:cs="宋体"/>
          <w:color w:val="auto"/>
          <w:sz w:val="21"/>
          <w:szCs w:val="21"/>
          <w:highlight w:val="none"/>
        </w:rPr>
        <w:t>的服务方案可行，对响应时间、服务团队配备、培训计划、应急预案、保密承诺、故障解决方案等有所描述，故障响应时间不超过2个小时，8小时内</w:t>
      </w:r>
      <w:r>
        <w:rPr>
          <w:rFonts w:hint="eastAsia" w:ascii="宋体" w:hAnsi="宋体" w:cs="宋体"/>
          <w:color w:val="auto"/>
          <w:sz w:val="21"/>
          <w:szCs w:val="21"/>
          <w:highlight w:val="none"/>
          <w:lang w:val="en-US" w:eastAsia="zh-CN"/>
        </w:rPr>
        <w:t>到达</w:t>
      </w:r>
      <w:r>
        <w:rPr>
          <w:rFonts w:hint="eastAsia" w:ascii="宋体" w:hAnsi="宋体" w:eastAsia="宋体" w:cs="宋体"/>
          <w:color w:val="auto"/>
          <w:sz w:val="21"/>
          <w:szCs w:val="21"/>
          <w:highlight w:val="none"/>
        </w:rPr>
        <w:t>现场；</w:t>
      </w:r>
    </w:p>
    <w:p w14:paraId="2462B890">
      <w:pPr>
        <w:keepNext w:val="0"/>
        <w:keepLines w:val="0"/>
        <w:pageBreakBefore w:val="0"/>
        <w:widowControl w:val="0"/>
        <w:kinsoku/>
        <w:wordWrap/>
        <w:overflowPunct/>
        <w:topLinePunct w:val="0"/>
        <w:autoSpaceDE/>
        <w:autoSpaceDN/>
        <w:bidi w:val="0"/>
        <w:adjustRightInd/>
        <w:snapToGrid/>
        <w:spacing w:line="348"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三</w:t>
      </w:r>
      <w:r>
        <w:rPr>
          <w:rFonts w:hint="eastAsia" w:ascii="宋体" w:hAnsi="宋体" w:eastAsia="宋体" w:cs="宋体"/>
          <w:color w:val="auto"/>
          <w:sz w:val="21"/>
          <w:szCs w:val="21"/>
          <w:highlight w:val="none"/>
        </w:rPr>
        <w:t>档（</w:t>
      </w:r>
      <w:r>
        <w:rPr>
          <w:rFonts w:hint="eastAsia" w:ascii="宋体" w:hAnsi="宋体" w:cs="宋体"/>
          <w:color w:val="auto"/>
          <w:sz w:val="21"/>
          <w:szCs w:val="21"/>
          <w:highlight w:val="none"/>
          <w:lang w:val="en-US" w:eastAsia="zh-CN"/>
        </w:rPr>
        <w:t>21</w:t>
      </w:r>
      <w:r>
        <w:rPr>
          <w:rFonts w:hint="eastAsia" w:ascii="宋体" w:hAnsi="宋体" w:eastAsia="宋体" w:cs="宋体"/>
          <w:color w:val="auto"/>
          <w:sz w:val="21"/>
          <w:szCs w:val="21"/>
          <w:highlight w:val="none"/>
        </w:rPr>
        <w:t>分）：在满足</w:t>
      </w:r>
      <w:r>
        <w:rPr>
          <w:rFonts w:hint="eastAsia" w:ascii="宋体" w:hAnsi="宋体" w:eastAsia="宋体" w:cs="宋体"/>
          <w:color w:val="auto"/>
          <w:sz w:val="21"/>
          <w:szCs w:val="21"/>
          <w:highlight w:val="none"/>
          <w:lang w:val="en-US" w:eastAsia="zh-CN"/>
        </w:rPr>
        <w:t>二</w:t>
      </w:r>
      <w:r>
        <w:rPr>
          <w:rFonts w:hint="eastAsia" w:ascii="宋体" w:hAnsi="宋体" w:eastAsia="宋体" w:cs="宋体"/>
          <w:color w:val="auto"/>
          <w:sz w:val="21"/>
          <w:szCs w:val="21"/>
          <w:highlight w:val="none"/>
        </w:rPr>
        <w:t>档基础上，</w:t>
      </w:r>
      <w:r>
        <w:rPr>
          <w:rFonts w:hint="eastAsia" w:ascii="宋体" w:hAnsi="宋体" w:cs="宋体"/>
          <w:color w:val="auto"/>
          <w:sz w:val="21"/>
          <w:szCs w:val="21"/>
          <w:highlight w:val="none"/>
          <w:lang w:val="en-US" w:eastAsia="zh-CN"/>
        </w:rPr>
        <w:t>提供</w:t>
      </w:r>
      <w:r>
        <w:rPr>
          <w:rFonts w:hint="eastAsia" w:ascii="宋体" w:hAnsi="宋体" w:eastAsia="宋体" w:cs="宋体"/>
          <w:color w:val="auto"/>
          <w:sz w:val="21"/>
          <w:szCs w:val="21"/>
          <w:highlight w:val="none"/>
        </w:rPr>
        <w:t>的服务方案详细，对响应时间、服务团队配备、培训计划、应急预案、保密承诺、故障解决方案等详细描述，有合理的服务流程，故障响应时间不超过2个小时，6小时内</w:t>
      </w:r>
      <w:r>
        <w:rPr>
          <w:rFonts w:hint="eastAsia" w:ascii="宋体" w:hAnsi="宋体" w:cs="宋体"/>
          <w:color w:val="auto"/>
          <w:sz w:val="21"/>
          <w:szCs w:val="21"/>
          <w:highlight w:val="none"/>
          <w:lang w:val="en-US" w:eastAsia="zh-CN"/>
        </w:rPr>
        <w:t>到达</w:t>
      </w:r>
      <w:r>
        <w:rPr>
          <w:rFonts w:hint="eastAsia" w:ascii="宋体" w:hAnsi="宋体" w:eastAsia="宋体" w:cs="宋体"/>
          <w:color w:val="auto"/>
          <w:sz w:val="21"/>
          <w:szCs w:val="21"/>
          <w:highlight w:val="none"/>
        </w:rPr>
        <w:t>现场，并注明投标人服务网点（包含联系人及联系电话等相关信息），配备项目</w:t>
      </w:r>
      <w:r>
        <w:rPr>
          <w:rFonts w:hint="eastAsia" w:ascii="宋体" w:hAnsi="宋体" w:cs="宋体"/>
          <w:color w:val="auto"/>
          <w:sz w:val="21"/>
          <w:szCs w:val="21"/>
          <w:highlight w:val="none"/>
          <w:lang w:val="en-US" w:eastAsia="zh-CN"/>
        </w:rPr>
        <w:t>服务</w:t>
      </w:r>
      <w:r>
        <w:rPr>
          <w:rFonts w:hint="eastAsia" w:ascii="宋体" w:hAnsi="宋体" w:eastAsia="宋体" w:cs="宋体"/>
          <w:color w:val="auto"/>
          <w:sz w:val="21"/>
          <w:szCs w:val="21"/>
          <w:highlight w:val="none"/>
        </w:rPr>
        <w:t>人员，且人员分工合理；</w:t>
      </w:r>
    </w:p>
    <w:p w14:paraId="0FFA3B36">
      <w:pPr>
        <w:keepNext w:val="0"/>
        <w:keepLines w:val="0"/>
        <w:pageBreakBefore w:val="0"/>
        <w:widowControl w:val="0"/>
        <w:kinsoku/>
        <w:wordWrap/>
        <w:overflowPunct/>
        <w:topLinePunct w:val="0"/>
        <w:autoSpaceDE/>
        <w:autoSpaceDN/>
        <w:bidi w:val="0"/>
        <w:adjustRightInd/>
        <w:snapToGrid/>
        <w:spacing w:line="348" w:lineRule="auto"/>
        <w:ind w:firstLine="420" w:firstLineChars="200"/>
        <w:textAlignment w:val="auto"/>
        <w:rPr>
          <w:rFonts w:hint="eastAsia" w:hAnsi="宋体" w:cs="宋体"/>
          <w:kern w:val="0"/>
          <w:szCs w:val="21"/>
        </w:rPr>
      </w:pPr>
      <w:r>
        <w:rPr>
          <w:rFonts w:hint="eastAsia" w:ascii="宋体" w:hAnsi="宋体" w:eastAsia="宋体" w:cs="宋体"/>
          <w:color w:val="auto"/>
          <w:sz w:val="21"/>
          <w:szCs w:val="21"/>
          <w:highlight w:val="none"/>
          <w:lang w:eastAsia="zh-CN"/>
        </w:rPr>
        <w:t>四</w:t>
      </w:r>
      <w:r>
        <w:rPr>
          <w:rFonts w:hint="eastAsia" w:ascii="宋体" w:hAnsi="宋体" w:eastAsia="宋体" w:cs="宋体"/>
          <w:color w:val="auto"/>
          <w:sz w:val="21"/>
          <w:szCs w:val="21"/>
          <w:highlight w:val="none"/>
        </w:rPr>
        <w:t>档（</w:t>
      </w:r>
      <w:r>
        <w:rPr>
          <w:rFonts w:hint="eastAsia" w:ascii="宋体" w:hAnsi="宋体" w:cs="宋体"/>
          <w:color w:val="auto"/>
          <w:sz w:val="21"/>
          <w:szCs w:val="21"/>
          <w:highlight w:val="none"/>
          <w:lang w:val="en-US" w:eastAsia="zh-CN"/>
        </w:rPr>
        <w:t>28</w:t>
      </w:r>
      <w:r>
        <w:rPr>
          <w:rFonts w:hint="eastAsia" w:ascii="宋体" w:hAnsi="宋体" w:eastAsia="宋体" w:cs="宋体"/>
          <w:color w:val="auto"/>
          <w:sz w:val="21"/>
          <w:szCs w:val="21"/>
          <w:highlight w:val="none"/>
        </w:rPr>
        <w:t>分）：在满足</w:t>
      </w: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 w:val="21"/>
          <w:szCs w:val="21"/>
          <w:highlight w:val="none"/>
        </w:rPr>
        <w:t>档基础上，投标人的服务方案全面，对响应时间、服务团队配备、培训计划、应急预案、保密承诺、故障解决方案等全面描述，有合理的服务流程，故障响应时间不超过1个小时，</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rPr>
        <w:t>小时</w:t>
      </w:r>
      <w:r>
        <w:rPr>
          <w:rFonts w:hint="eastAsia" w:ascii="宋体" w:hAnsi="宋体" w:cs="宋体"/>
          <w:color w:val="auto"/>
          <w:sz w:val="21"/>
          <w:szCs w:val="21"/>
          <w:highlight w:val="none"/>
          <w:lang w:val="en-US" w:eastAsia="zh-CN"/>
        </w:rPr>
        <w:t>到达</w:t>
      </w:r>
      <w:r>
        <w:rPr>
          <w:rFonts w:hint="eastAsia" w:ascii="宋体" w:hAnsi="宋体" w:eastAsia="宋体" w:cs="宋体"/>
          <w:color w:val="auto"/>
          <w:sz w:val="21"/>
          <w:szCs w:val="21"/>
          <w:highlight w:val="none"/>
        </w:rPr>
        <w:t>现场，并注明投标人服务网点（包含联系人及联系电话等相关信息）。对系统的维护提供整体维护解决方案和运行维护应急预案，提供一站式、全面、专业的本地化维护服务</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项目</w:t>
      </w:r>
      <w:r>
        <w:rPr>
          <w:rFonts w:hint="eastAsia" w:ascii="宋体" w:hAnsi="宋体" w:cs="宋体"/>
          <w:color w:val="auto"/>
          <w:sz w:val="21"/>
          <w:szCs w:val="21"/>
          <w:highlight w:val="none"/>
          <w:lang w:val="en-US" w:eastAsia="zh-CN"/>
        </w:rPr>
        <w:t>服务</w:t>
      </w:r>
      <w:r>
        <w:rPr>
          <w:rFonts w:hint="eastAsia" w:ascii="宋体" w:hAnsi="宋体" w:eastAsia="宋体" w:cs="宋体"/>
          <w:color w:val="auto"/>
          <w:sz w:val="21"/>
          <w:szCs w:val="21"/>
          <w:highlight w:val="none"/>
        </w:rPr>
        <w:t>人员安排充足，人员结构合理、分工明确</w:t>
      </w:r>
      <w:r>
        <w:rPr>
          <w:rFonts w:hint="eastAsia" w:ascii="宋体" w:hAnsi="宋体" w:cs="宋体"/>
          <w:color w:val="auto"/>
          <w:sz w:val="21"/>
          <w:szCs w:val="21"/>
          <w:highlight w:val="none"/>
          <w:lang w:eastAsia="zh-CN"/>
        </w:rPr>
        <w:t>。</w:t>
      </w:r>
    </w:p>
    <w:p w14:paraId="3C93ED42">
      <w:pPr>
        <w:pStyle w:val="20"/>
        <w:keepNext w:val="0"/>
        <w:keepLines w:val="0"/>
        <w:pageBreakBefore w:val="0"/>
        <w:kinsoku/>
        <w:wordWrap/>
        <w:overflowPunct/>
        <w:topLinePunct w:val="0"/>
        <w:autoSpaceDE/>
        <w:autoSpaceDN/>
        <w:bidi w:val="0"/>
        <w:adjustRightInd w:val="0"/>
        <w:snapToGrid w:val="0"/>
        <w:spacing w:line="348" w:lineRule="auto"/>
        <w:textAlignment w:val="auto"/>
        <w:rPr>
          <w:rFonts w:hint="eastAsia" w:hAnsi="宋体" w:cs="宋体"/>
          <w:b/>
          <w:szCs w:val="21"/>
          <w:highlight w:val="none"/>
        </w:rPr>
      </w:pPr>
      <w:r>
        <w:rPr>
          <w:rFonts w:hint="eastAsia" w:hAnsi="宋体" w:cs="宋体"/>
          <w:b/>
          <w:szCs w:val="21"/>
          <w:highlight w:val="none"/>
          <w:lang w:val="en-US" w:eastAsia="zh-CN"/>
        </w:rPr>
        <w:t>4</w:t>
      </w:r>
      <w:r>
        <w:rPr>
          <w:rFonts w:hint="eastAsia" w:hAnsi="宋体" w:cs="宋体"/>
          <w:b/>
          <w:szCs w:val="21"/>
          <w:highlight w:val="none"/>
          <w:lang w:eastAsia="zh-CN"/>
        </w:rPr>
        <w:t>、</w:t>
      </w:r>
      <w:r>
        <w:rPr>
          <w:rFonts w:hint="eastAsia" w:hAnsi="宋体" w:cs="宋体"/>
          <w:b/>
          <w:szCs w:val="21"/>
          <w:highlight w:val="none"/>
        </w:rPr>
        <w:t>服务</w:t>
      </w:r>
      <w:r>
        <w:rPr>
          <w:rFonts w:hint="eastAsia" w:hAnsi="宋体" w:cs="宋体"/>
          <w:b/>
          <w:szCs w:val="21"/>
          <w:highlight w:val="none"/>
          <w:lang w:val="en-US" w:eastAsia="zh-CN"/>
        </w:rPr>
        <w:t>人员</w:t>
      </w:r>
      <w:r>
        <w:rPr>
          <w:rFonts w:hint="eastAsia" w:hAnsi="宋体" w:cs="宋体"/>
          <w:b/>
          <w:szCs w:val="21"/>
          <w:highlight w:val="none"/>
        </w:rPr>
        <w:t>能力分</w:t>
      </w:r>
      <w:r>
        <w:rPr>
          <w:rFonts w:hint="eastAsia" w:hAnsi="宋体" w:cs="宋体"/>
          <w:b/>
          <w:bCs/>
          <w:kern w:val="0"/>
          <w:szCs w:val="21"/>
          <w:highlight w:val="none"/>
        </w:rPr>
        <w:t>…………………………………………………………………………</w:t>
      </w:r>
      <w:r>
        <w:rPr>
          <w:rFonts w:hAnsi="宋体" w:cs="宋体"/>
          <w:b/>
          <w:szCs w:val="21"/>
          <w:highlight w:val="none"/>
        </w:rPr>
        <w:t>1</w:t>
      </w:r>
      <w:r>
        <w:rPr>
          <w:rFonts w:hint="eastAsia" w:hAnsi="宋体" w:cs="宋体"/>
          <w:b/>
          <w:szCs w:val="21"/>
          <w:highlight w:val="none"/>
          <w:lang w:val="en-US" w:eastAsia="zh-CN"/>
        </w:rPr>
        <w:t>2</w:t>
      </w:r>
      <w:r>
        <w:rPr>
          <w:rFonts w:hint="eastAsia" w:hAnsi="宋体" w:cs="宋体"/>
          <w:b/>
          <w:szCs w:val="21"/>
          <w:highlight w:val="none"/>
        </w:rPr>
        <w:t>分</w:t>
      </w:r>
    </w:p>
    <w:p w14:paraId="3E9C22D4">
      <w:pPr>
        <w:pStyle w:val="348"/>
        <w:keepNext w:val="0"/>
        <w:keepLines w:val="0"/>
        <w:pageBreakBefore w:val="0"/>
        <w:widowControl w:val="0"/>
        <w:kinsoku/>
        <w:wordWrap/>
        <w:overflowPunct/>
        <w:topLinePunct w:val="0"/>
        <w:autoSpaceDE/>
        <w:autoSpaceDN/>
        <w:bidi w:val="0"/>
        <w:spacing w:line="348" w:lineRule="auto"/>
        <w:ind w:firstLine="420"/>
        <w:textAlignment w:val="auto"/>
        <w:rPr>
          <w:rFonts w:hint="eastAsia" w:ascii="宋体" w:hAnsi="宋体" w:cs="宋体"/>
          <w:bCs w:val="0"/>
          <w:color w:val="auto"/>
          <w:spacing w:val="0"/>
          <w:kern w:val="2"/>
          <w:sz w:val="21"/>
          <w:szCs w:val="21"/>
        </w:rPr>
      </w:pPr>
      <w:r>
        <w:rPr>
          <w:rFonts w:hint="eastAsia" w:ascii="宋体" w:hAnsi="宋体" w:cs="宋体"/>
          <w:bCs w:val="0"/>
          <w:color w:val="auto"/>
          <w:spacing w:val="0"/>
          <w:kern w:val="2"/>
          <w:sz w:val="21"/>
          <w:szCs w:val="21"/>
        </w:rPr>
        <w:t>（1）拟投入本项目的项目负责人具备信息系统项目管理师证书、网络安全能力认证证书及高级项目管理专业人员（CSPM-4）证书的，</w:t>
      </w:r>
      <w:r>
        <w:rPr>
          <w:rFonts w:hint="eastAsia" w:ascii="宋体" w:hAnsi="宋体" w:cs="宋体"/>
          <w:bCs w:val="0"/>
          <w:color w:val="auto"/>
          <w:spacing w:val="0"/>
          <w:kern w:val="2"/>
          <w:sz w:val="21"/>
          <w:szCs w:val="21"/>
          <w:lang w:val="en-US" w:eastAsia="zh-CN"/>
        </w:rPr>
        <w:t>每具备1个</w:t>
      </w:r>
      <w:r>
        <w:rPr>
          <w:rFonts w:hint="eastAsia" w:ascii="宋体" w:hAnsi="宋体" w:cs="宋体"/>
          <w:bCs w:val="0"/>
          <w:color w:val="auto"/>
          <w:spacing w:val="0"/>
          <w:kern w:val="2"/>
          <w:sz w:val="21"/>
          <w:szCs w:val="21"/>
        </w:rPr>
        <w:t>得</w:t>
      </w:r>
      <w:r>
        <w:rPr>
          <w:rFonts w:hint="eastAsia" w:ascii="宋体" w:hAnsi="宋体" w:cs="宋体"/>
          <w:bCs w:val="0"/>
          <w:color w:val="auto"/>
          <w:spacing w:val="0"/>
          <w:kern w:val="2"/>
          <w:sz w:val="21"/>
          <w:szCs w:val="21"/>
          <w:lang w:val="en-US" w:eastAsia="zh-CN"/>
        </w:rPr>
        <w:t>1</w:t>
      </w:r>
      <w:r>
        <w:rPr>
          <w:rFonts w:hint="eastAsia" w:ascii="宋体" w:hAnsi="宋体" w:cs="宋体"/>
          <w:bCs w:val="0"/>
          <w:color w:val="auto"/>
          <w:spacing w:val="0"/>
          <w:kern w:val="2"/>
          <w:sz w:val="21"/>
          <w:szCs w:val="21"/>
        </w:rPr>
        <w:t>分</w:t>
      </w:r>
      <w:r>
        <w:rPr>
          <w:rFonts w:hint="eastAsia" w:ascii="宋体" w:hAnsi="宋体" w:cs="宋体"/>
          <w:bCs w:val="0"/>
          <w:color w:val="auto"/>
          <w:spacing w:val="0"/>
          <w:kern w:val="2"/>
          <w:sz w:val="21"/>
          <w:szCs w:val="21"/>
          <w:lang w:eastAsia="zh-CN"/>
        </w:rPr>
        <w:t>，</w:t>
      </w:r>
      <w:r>
        <w:rPr>
          <w:rFonts w:hint="eastAsia" w:ascii="宋体" w:hAnsi="宋体" w:cs="宋体"/>
          <w:bCs w:val="0"/>
          <w:color w:val="auto"/>
          <w:spacing w:val="0"/>
          <w:kern w:val="2"/>
          <w:sz w:val="21"/>
          <w:szCs w:val="21"/>
        </w:rPr>
        <w:t>满分</w:t>
      </w:r>
      <w:r>
        <w:rPr>
          <w:rFonts w:hint="eastAsia" w:ascii="宋体" w:hAnsi="宋体" w:cs="宋体"/>
          <w:bCs w:val="0"/>
          <w:color w:val="auto"/>
          <w:spacing w:val="0"/>
          <w:kern w:val="2"/>
          <w:sz w:val="21"/>
          <w:szCs w:val="21"/>
          <w:lang w:val="en-US" w:eastAsia="zh-CN"/>
        </w:rPr>
        <w:t>3</w:t>
      </w:r>
      <w:r>
        <w:rPr>
          <w:rFonts w:hint="eastAsia" w:ascii="宋体" w:hAnsi="宋体" w:cs="宋体"/>
          <w:bCs w:val="0"/>
          <w:color w:val="auto"/>
          <w:spacing w:val="0"/>
          <w:kern w:val="2"/>
          <w:sz w:val="21"/>
          <w:szCs w:val="21"/>
        </w:rPr>
        <w:t>分。</w:t>
      </w:r>
    </w:p>
    <w:p w14:paraId="7525CFA5">
      <w:pPr>
        <w:pStyle w:val="348"/>
        <w:keepNext w:val="0"/>
        <w:keepLines w:val="0"/>
        <w:pageBreakBefore w:val="0"/>
        <w:widowControl w:val="0"/>
        <w:kinsoku/>
        <w:wordWrap/>
        <w:overflowPunct/>
        <w:topLinePunct w:val="0"/>
        <w:autoSpaceDE/>
        <w:autoSpaceDN/>
        <w:bidi w:val="0"/>
        <w:spacing w:line="348" w:lineRule="auto"/>
        <w:ind w:firstLine="420"/>
        <w:textAlignment w:val="auto"/>
        <w:rPr>
          <w:rFonts w:hint="eastAsia" w:ascii="宋体" w:hAnsi="宋体" w:cs="宋体"/>
          <w:bCs w:val="0"/>
          <w:color w:val="auto"/>
          <w:spacing w:val="0"/>
          <w:kern w:val="2"/>
          <w:sz w:val="21"/>
          <w:szCs w:val="21"/>
        </w:rPr>
      </w:pPr>
      <w:r>
        <w:rPr>
          <w:rFonts w:hint="eastAsia" w:ascii="宋体" w:hAnsi="宋体" w:cs="宋体"/>
          <w:bCs w:val="0"/>
          <w:color w:val="auto"/>
          <w:spacing w:val="0"/>
          <w:kern w:val="2"/>
          <w:sz w:val="21"/>
          <w:szCs w:val="21"/>
        </w:rPr>
        <w:t>（2）拟投入本项目的售后服务负责人同时具备售后服务高级管理师证书</w:t>
      </w:r>
      <w:r>
        <w:rPr>
          <w:rFonts w:hint="eastAsia" w:ascii="宋体" w:hAnsi="宋体" w:cs="宋体"/>
          <w:bCs w:val="0"/>
          <w:color w:val="auto"/>
          <w:spacing w:val="0"/>
          <w:kern w:val="2"/>
          <w:sz w:val="21"/>
          <w:szCs w:val="21"/>
          <w:lang w:eastAsia="zh-CN"/>
        </w:rPr>
        <w:t>、</w:t>
      </w:r>
      <w:r>
        <w:rPr>
          <w:rFonts w:hint="eastAsia" w:ascii="宋体" w:hAnsi="宋体" w:cs="宋体"/>
          <w:bCs w:val="0"/>
          <w:color w:val="auto"/>
          <w:spacing w:val="0"/>
          <w:kern w:val="2"/>
          <w:sz w:val="21"/>
          <w:szCs w:val="21"/>
        </w:rPr>
        <w:t>系统分析师证书</w:t>
      </w:r>
      <w:r>
        <w:rPr>
          <w:rFonts w:hint="eastAsia" w:ascii="宋体" w:hAnsi="宋体" w:cs="宋体"/>
          <w:bCs w:val="0"/>
          <w:color w:val="auto"/>
          <w:spacing w:val="0"/>
          <w:kern w:val="2"/>
          <w:sz w:val="21"/>
          <w:szCs w:val="21"/>
          <w:lang w:val="en-US" w:eastAsia="zh-CN"/>
        </w:rPr>
        <w:t>及物联网高级工程师证书</w:t>
      </w:r>
      <w:r>
        <w:rPr>
          <w:rFonts w:hint="eastAsia" w:ascii="宋体" w:hAnsi="宋体" w:cs="宋体"/>
          <w:bCs w:val="0"/>
          <w:color w:val="auto"/>
          <w:spacing w:val="0"/>
          <w:kern w:val="2"/>
          <w:sz w:val="21"/>
          <w:szCs w:val="21"/>
        </w:rPr>
        <w:t>的，</w:t>
      </w:r>
      <w:r>
        <w:rPr>
          <w:rFonts w:hint="eastAsia" w:ascii="宋体" w:hAnsi="宋体" w:cs="宋体"/>
          <w:bCs w:val="0"/>
          <w:color w:val="auto"/>
          <w:spacing w:val="0"/>
          <w:kern w:val="2"/>
          <w:sz w:val="21"/>
          <w:szCs w:val="21"/>
          <w:lang w:val="en-US" w:eastAsia="zh-CN"/>
        </w:rPr>
        <w:t>每具备1个</w:t>
      </w:r>
      <w:r>
        <w:rPr>
          <w:rFonts w:hint="eastAsia" w:ascii="宋体" w:hAnsi="宋体" w:cs="宋体"/>
          <w:bCs w:val="0"/>
          <w:color w:val="auto"/>
          <w:spacing w:val="0"/>
          <w:kern w:val="2"/>
          <w:sz w:val="21"/>
          <w:szCs w:val="21"/>
        </w:rPr>
        <w:t>得</w:t>
      </w:r>
      <w:r>
        <w:rPr>
          <w:rFonts w:hint="eastAsia" w:ascii="宋体" w:hAnsi="宋体" w:cs="宋体"/>
          <w:bCs w:val="0"/>
          <w:color w:val="auto"/>
          <w:spacing w:val="0"/>
          <w:kern w:val="2"/>
          <w:sz w:val="21"/>
          <w:szCs w:val="21"/>
          <w:lang w:val="en-US" w:eastAsia="zh-CN"/>
        </w:rPr>
        <w:t>1</w:t>
      </w:r>
      <w:r>
        <w:rPr>
          <w:rFonts w:hint="eastAsia" w:ascii="宋体" w:hAnsi="宋体" w:cs="宋体"/>
          <w:bCs w:val="0"/>
          <w:color w:val="auto"/>
          <w:spacing w:val="0"/>
          <w:kern w:val="2"/>
          <w:sz w:val="21"/>
          <w:szCs w:val="21"/>
        </w:rPr>
        <w:t>分</w:t>
      </w:r>
      <w:r>
        <w:rPr>
          <w:rFonts w:hint="eastAsia" w:ascii="宋体" w:hAnsi="宋体" w:cs="宋体"/>
          <w:bCs w:val="0"/>
          <w:color w:val="auto"/>
          <w:spacing w:val="0"/>
          <w:kern w:val="2"/>
          <w:sz w:val="21"/>
          <w:szCs w:val="21"/>
          <w:lang w:eastAsia="zh-CN"/>
        </w:rPr>
        <w:t>，</w:t>
      </w:r>
      <w:r>
        <w:rPr>
          <w:rFonts w:hint="eastAsia" w:ascii="宋体" w:hAnsi="宋体" w:cs="宋体"/>
          <w:bCs w:val="0"/>
          <w:color w:val="auto"/>
          <w:spacing w:val="0"/>
          <w:kern w:val="2"/>
          <w:sz w:val="21"/>
          <w:szCs w:val="21"/>
        </w:rPr>
        <w:t>满分</w:t>
      </w:r>
      <w:r>
        <w:rPr>
          <w:rFonts w:hint="eastAsia" w:ascii="宋体" w:hAnsi="宋体" w:cs="宋体"/>
          <w:bCs w:val="0"/>
          <w:color w:val="auto"/>
          <w:spacing w:val="0"/>
          <w:kern w:val="2"/>
          <w:sz w:val="21"/>
          <w:szCs w:val="21"/>
          <w:lang w:val="en-US" w:eastAsia="zh-CN"/>
        </w:rPr>
        <w:t>3</w:t>
      </w:r>
      <w:r>
        <w:rPr>
          <w:rFonts w:hint="eastAsia" w:ascii="宋体" w:hAnsi="宋体" w:cs="宋体"/>
          <w:bCs w:val="0"/>
          <w:color w:val="auto"/>
          <w:spacing w:val="0"/>
          <w:kern w:val="2"/>
          <w:sz w:val="21"/>
          <w:szCs w:val="21"/>
        </w:rPr>
        <w:t>分。</w:t>
      </w:r>
    </w:p>
    <w:p w14:paraId="57053F23">
      <w:pPr>
        <w:keepNext w:val="0"/>
        <w:keepLines w:val="0"/>
        <w:pageBreakBefore w:val="0"/>
        <w:widowControl w:val="0"/>
        <w:kinsoku/>
        <w:wordWrap/>
        <w:overflowPunct/>
        <w:topLinePunct w:val="0"/>
        <w:autoSpaceDE/>
        <w:autoSpaceDN/>
        <w:bidi w:val="0"/>
        <w:spacing w:line="348" w:lineRule="auto"/>
        <w:ind w:firstLine="422"/>
        <w:textAlignment w:val="auto"/>
        <w:rPr>
          <w:rFonts w:hint="eastAsia" w:ascii="宋体" w:hAnsi="宋体" w:cs="宋体"/>
          <w:bCs w:val="0"/>
          <w:color w:val="auto"/>
          <w:spacing w:val="0"/>
          <w:kern w:val="2"/>
          <w:sz w:val="21"/>
          <w:szCs w:val="21"/>
        </w:rPr>
      </w:pPr>
      <w:r>
        <w:rPr>
          <w:rFonts w:hint="eastAsia" w:ascii="宋体" w:hAnsi="宋体" w:cs="宋体"/>
          <w:bCs w:val="0"/>
          <w:color w:val="auto"/>
          <w:spacing w:val="0"/>
          <w:kern w:val="2"/>
          <w:sz w:val="21"/>
          <w:szCs w:val="21"/>
        </w:rPr>
        <w:t>（3）拟投入本项目的实施人员（项目负责人、售后服务负责人除外）≥15人的，得1分；其中具备系统集成项目管理工程师证书的，每有1人得</w:t>
      </w:r>
      <w:r>
        <w:rPr>
          <w:rFonts w:hint="eastAsia" w:ascii="宋体" w:hAnsi="宋体" w:cs="宋体"/>
          <w:bCs w:val="0"/>
          <w:color w:val="auto"/>
          <w:spacing w:val="0"/>
          <w:kern w:val="2"/>
          <w:sz w:val="21"/>
          <w:szCs w:val="21"/>
          <w:lang w:val="en-US" w:eastAsia="zh-CN"/>
        </w:rPr>
        <w:t>1</w:t>
      </w:r>
      <w:r>
        <w:rPr>
          <w:rFonts w:hint="eastAsia" w:ascii="宋体" w:hAnsi="宋体" w:cs="宋体"/>
          <w:bCs w:val="0"/>
          <w:color w:val="auto"/>
          <w:spacing w:val="0"/>
          <w:kern w:val="2"/>
          <w:sz w:val="21"/>
          <w:szCs w:val="21"/>
        </w:rPr>
        <w:t>分；满分</w:t>
      </w:r>
      <w:r>
        <w:rPr>
          <w:rFonts w:hint="eastAsia" w:ascii="宋体" w:hAnsi="宋体" w:cs="宋体"/>
          <w:bCs w:val="0"/>
          <w:color w:val="auto"/>
          <w:spacing w:val="0"/>
          <w:kern w:val="2"/>
          <w:sz w:val="21"/>
          <w:szCs w:val="21"/>
          <w:lang w:val="en-US" w:eastAsia="zh-CN"/>
        </w:rPr>
        <w:t>3</w:t>
      </w:r>
      <w:r>
        <w:rPr>
          <w:rFonts w:hint="eastAsia" w:ascii="宋体" w:hAnsi="宋体" w:cs="宋体"/>
          <w:bCs w:val="0"/>
          <w:color w:val="auto"/>
          <w:spacing w:val="0"/>
          <w:kern w:val="2"/>
          <w:sz w:val="21"/>
          <w:szCs w:val="21"/>
        </w:rPr>
        <w:t>分。</w:t>
      </w:r>
    </w:p>
    <w:p w14:paraId="3D61493D">
      <w:pPr>
        <w:keepNext w:val="0"/>
        <w:keepLines w:val="0"/>
        <w:pageBreakBefore w:val="0"/>
        <w:widowControl w:val="0"/>
        <w:kinsoku/>
        <w:wordWrap/>
        <w:overflowPunct/>
        <w:topLinePunct w:val="0"/>
        <w:autoSpaceDE/>
        <w:autoSpaceDN/>
        <w:bidi w:val="0"/>
        <w:spacing w:line="348" w:lineRule="auto"/>
        <w:ind w:firstLine="422"/>
        <w:textAlignment w:val="auto"/>
        <w:rPr>
          <w:rFonts w:hint="eastAsia"/>
        </w:rPr>
      </w:pPr>
      <w:r>
        <w:rPr>
          <w:rFonts w:hint="eastAsia" w:ascii="宋体" w:hAnsi="宋体" w:cs="宋体"/>
          <w:bCs w:val="0"/>
          <w:color w:val="auto"/>
          <w:spacing w:val="0"/>
          <w:kern w:val="2"/>
          <w:sz w:val="21"/>
          <w:szCs w:val="21"/>
        </w:rPr>
        <w:t>（4）拟投入本项目的售后服务人员（项目负责人、售后服务负责人除外）≥15人的，得1分；其中具备售后服务高级管理师证书的，每有1人得</w:t>
      </w:r>
      <w:r>
        <w:rPr>
          <w:rFonts w:hint="eastAsia" w:ascii="宋体" w:hAnsi="宋体" w:cs="宋体"/>
          <w:bCs w:val="0"/>
          <w:color w:val="auto"/>
          <w:spacing w:val="0"/>
          <w:kern w:val="2"/>
          <w:sz w:val="21"/>
          <w:szCs w:val="21"/>
          <w:lang w:val="en-US" w:eastAsia="zh-CN"/>
        </w:rPr>
        <w:t>1</w:t>
      </w:r>
      <w:r>
        <w:rPr>
          <w:rFonts w:hint="eastAsia" w:ascii="宋体" w:hAnsi="宋体" w:cs="宋体"/>
          <w:bCs w:val="0"/>
          <w:color w:val="auto"/>
          <w:spacing w:val="0"/>
          <w:kern w:val="2"/>
          <w:sz w:val="21"/>
          <w:szCs w:val="21"/>
        </w:rPr>
        <w:t>分；满分</w:t>
      </w:r>
      <w:r>
        <w:rPr>
          <w:rFonts w:hint="eastAsia" w:ascii="宋体" w:hAnsi="宋体" w:cs="宋体"/>
          <w:bCs w:val="0"/>
          <w:color w:val="auto"/>
          <w:spacing w:val="0"/>
          <w:kern w:val="2"/>
          <w:sz w:val="21"/>
          <w:szCs w:val="21"/>
          <w:lang w:val="en-US" w:eastAsia="zh-CN"/>
        </w:rPr>
        <w:t>3</w:t>
      </w:r>
      <w:r>
        <w:rPr>
          <w:rFonts w:hint="eastAsia" w:ascii="宋体" w:hAnsi="宋体" w:cs="宋体"/>
          <w:bCs w:val="0"/>
          <w:color w:val="auto"/>
          <w:spacing w:val="0"/>
          <w:kern w:val="2"/>
          <w:sz w:val="21"/>
          <w:szCs w:val="21"/>
        </w:rPr>
        <w:t>分。</w:t>
      </w:r>
    </w:p>
    <w:p w14:paraId="3484475F">
      <w:pPr>
        <w:pStyle w:val="20"/>
        <w:keepNext w:val="0"/>
        <w:keepLines w:val="0"/>
        <w:pageBreakBefore w:val="0"/>
        <w:kinsoku/>
        <w:wordWrap/>
        <w:overflowPunct/>
        <w:topLinePunct w:val="0"/>
        <w:autoSpaceDE/>
        <w:autoSpaceDN/>
        <w:bidi w:val="0"/>
        <w:spacing w:line="348" w:lineRule="auto"/>
        <w:ind w:firstLine="402" w:firstLineChars="200"/>
        <w:textAlignment w:val="auto"/>
        <w:rPr>
          <w:rFonts w:hint="eastAsia" w:hAnsi="宋体" w:cs="宋体"/>
          <w:b/>
          <w:bCs/>
          <w:szCs w:val="21"/>
        </w:rPr>
      </w:pPr>
      <w:r>
        <w:rPr>
          <w:rFonts w:hint="eastAsia" w:hAnsi="宋体" w:cs="宋体"/>
          <w:b/>
          <w:bCs/>
          <w:szCs w:val="21"/>
          <w:lang w:val="en-US" w:eastAsia="zh-CN"/>
        </w:rPr>
        <w:t>5</w:t>
      </w:r>
      <w:r>
        <w:rPr>
          <w:rFonts w:hint="eastAsia" w:hAnsi="宋体" w:cs="宋体"/>
          <w:b/>
          <w:bCs/>
          <w:szCs w:val="21"/>
        </w:rPr>
        <w:t>、履约能力分……………………………………………………………………</w:t>
      </w:r>
      <w:r>
        <w:rPr>
          <w:rFonts w:hint="eastAsia" w:hAnsi="宋体" w:cs="宋体"/>
          <w:b/>
          <w:bCs/>
          <w:szCs w:val="21"/>
          <w:lang w:val="en-US" w:eastAsia="zh-CN"/>
        </w:rPr>
        <w:t>12</w:t>
      </w:r>
      <w:r>
        <w:rPr>
          <w:rFonts w:hint="eastAsia" w:hAnsi="宋体" w:cs="宋体"/>
          <w:b/>
          <w:bCs/>
          <w:szCs w:val="21"/>
        </w:rPr>
        <w:t>分</w:t>
      </w:r>
    </w:p>
    <w:p w14:paraId="209E4B7C">
      <w:pPr>
        <w:keepNext w:val="0"/>
        <w:keepLines w:val="0"/>
        <w:pageBreakBefore w:val="0"/>
        <w:kinsoku/>
        <w:wordWrap/>
        <w:overflowPunct/>
        <w:topLinePunct w:val="0"/>
        <w:autoSpaceDE/>
        <w:autoSpaceDN/>
        <w:bidi w:val="0"/>
        <w:spacing w:line="348" w:lineRule="auto"/>
        <w:ind w:firstLine="420" w:firstLineChars="200"/>
        <w:textAlignment w:val="auto"/>
        <w:rPr>
          <w:rFonts w:hint="eastAsia" w:ascii="宋体" w:hAnsi="宋体" w:eastAsia="宋体" w:cs="宋体"/>
          <w:color w:val="auto"/>
          <w:szCs w:val="22"/>
          <w:highlight w:val="none"/>
        </w:rPr>
      </w:pPr>
      <w:r>
        <w:rPr>
          <w:rFonts w:hint="eastAsia" w:ascii="宋体" w:hAnsi="宋体" w:eastAsia="宋体" w:cs="宋体"/>
          <w:color w:val="auto"/>
          <w:szCs w:val="22"/>
          <w:highlight w:val="none"/>
        </w:rPr>
        <w:t>（1）供应商（或所属上级公司）通过</w:t>
      </w:r>
      <w:r>
        <w:rPr>
          <w:rFonts w:hint="eastAsia" w:ascii="宋体" w:hAnsi="宋体" w:eastAsia="宋体" w:cs="宋体"/>
          <w:color w:val="auto"/>
          <w:kern w:val="2"/>
          <w:sz w:val="21"/>
          <w:szCs w:val="21"/>
          <w:highlight w:val="none"/>
          <w:lang w:val="en-US" w:eastAsia="zh-CN" w:bidi="ar"/>
        </w:rPr>
        <w:t xml:space="preserve"> ISO9001质量管理体系认证证证书</w:t>
      </w:r>
      <w:r>
        <w:rPr>
          <w:rFonts w:hint="eastAsia" w:ascii="宋体" w:hAnsi="宋体" w:eastAsia="宋体" w:cs="宋体"/>
          <w:color w:val="auto"/>
          <w:szCs w:val="22"/>
          <w:highlight w:val="none"/>
        </w:rPr>
        <w:t>、ISO/IEC20000信息技术服务管理体系认证、</w:t>
      </w:r>
      <w:r>
        <w:rPr>
          <w:rFonts w:hint="eastAsia" w:ascii="宋体" w:hAnsi="宋体" w:eastAsia="宋体" w:cs="宋体"/>
          <w:color w:val="auto"/>
          <w:kern w:val="2"/>
          <w:sz w:val="21"/>
          <w:szCs w:val="21"/>
          <w:highlight w:val="none"/>
          <w:lang w:val="en-US" w:eastAsia="zh-CN" w:bidi="ar"/>
        </w:rPr>
        <w:t>ISO/IEC27001信息安全管理体系认证</w:t>
      </w:r>
      <w:r>
        <w:rPr>
          <w:rFonts w:hint="eastAsia" w:ascii="宋体" w:hAnsi="宋体" w:eastAsia="宋体" w:cs="宋体"/>
          <w:color w:val="auto"/>
          <w:szCs w:val="22"/>
          <w:highlight w:val="none"/>
        </w:rPr>
        <w:t>且有效的（供应商于</w:t>
      </w:r>
      <w:r>
        <w:rPr>
          <w:rFonts w:hint="eastAsia" w:ascii="宋体" w:hAnsi="宋体" w:cs="宋体"/>
          <w:color w:val="auto"/>
          <w:szCs w:val="22"/>
          <w:highlight w:val="none"/>
          <w:lang w:eastAsia="zh-CN"/>
        </w:rPr>
        <w:t>投标文件</w:t>
      </w:r>
      <w:r>
        <w:rPr>
          <w:rFonts w:hint="eastAsia" w:ascii="宋体" w:hAnsi="宋体" w:eastAsia="宋体" w:cs="宋体"/>
          <w:color w:val="auto"/>
          <w:szCs w:val="22"/>
          <w:highlight w:val="none"/>
        </w:rPr>
        <w:t>中提供相关有效证书复印件，并加盖供应商CA签章，否则不予认可），每提供1个得</w:t>
      </w:r>
      <w:r>
        <w:rPr>
          <w:rFonts w:hint="eastAsia" w:ascii="宋体" w:hAnsi="宋体" w:eastAsia="宋体" w:cs="宋体"/>
          <w:color w:val="auto"/>
          <w:szCs w:val="22"/>
          <w:highlight w:val="none"/>
          <w:lang w:val="en-US" w:eastAsia="zh-CN"/>
        </w:rPr>
        <w:t>2</w:t>
      </w:r>
      <w:r>
        <w:rPr>
          <w:rFonts w:hint="eastAsia" w:ascii="宋体" w:hAnsi="宋体" w:eastAsia="宋体" w:cs="宋体"/>
          <w:color w:val="auto"/>
          <w:szCs w:val="22"/>
          <w:highlight w:val="none"/>
        </w:rPr>
        <w:t>分，满分</w:t>
      </w:r>
      <w:r>
        <w:rPr>
          <w:rFonts w:hint="eastAsia" w:ascii="宋体" w:hAnsi="宋体" w:eastAsia="宋体" w:cs="宋体"/>
          <w:color w:val="auto"/>
          <w:szCs w:val="22"/>
          <w:highlight w:val="none"/>
          <w:lang w:val="en-US" w:eastAsia="zh-CN"/>
        </w:rPr>
        <w:t>6</w:t>
      </w:r>
      <w:r>
        <w:rPr>
          <w:rFonts w:hint="eastAsia" w:ascii="宋体" w:hAnsi="宋体" w:eastAsia="宋体" w:cs="宋体"/>
          <w:color w:val="auto"/>
          <w:szCs w:val="22"/>
          <w:highlight w:val="none"/>
        </w:rPr>
        <w:t>分。</w:t>
      </w:r>
    </w:p>
    <w:p w14:paraId="62504EC2">
      <w:pPr>
        <w:keepNext w:val="0"/>
        <w:keepLines w:val="0"/>
        <w:pageBreakBefore w:val="0"/>
        <w:kinsoku/>
        <w:wordWrap/>
        <w:overflowPunct/>
        <w:topLinePunct w:val="0"/>
        <w:autoSpaceDE/>
        <w:autoSpaceDN/>
        <w:bidi w:val="0"/>
        <w:spacing w:line="348" w:lineRule="auto"/>
        <w:ind w:firstLine="420" w:firstLineChars="200"/>
        <w:textAlignment w:val="auto"/>
        <w:rPr>
          <w:rFonts w:hint="eastAsia" w:ascii="宋体" w:hAnsi="宋体" w:eastAsia="宋体" w:cs="宋体"/>
          <w:color w:val="auto"/>
          <w:szCs w:val="22"/>
          <w:highlight w:val="none"/>
        </w:rPr>
      </w:pPr>
      <w:r>
        <w:rPr>
          <w:rFonts w:hint="eastAsia" w:ascii="宋体" w:hAnsi="宋体" w:eastAsia="宋体" w:cs="宋体"/>
          <w:color w:val="auto"/>
          <w:szCs w:val="22"/>
          <w:highlight w:val="none"/>
        </w:rPr>
        <w:t>（2）供应商（或所属上级公司）通过服务质量达标测评认证（GB/T 16868-2009）、</w:t>
      </w:r>
      <w:r>
        <w:rPr>
          <w:rFonts w:hint="eastAsia" w:ascii="宋体" w:hAnsi="宋体" w:cs="宋体"/>
          <w:color w:val="auto"/>
          <w:kern w:val="0"/>
          <w:sz w:val="21"/>
          <w:szCs w:val="21"/>
          <w:lang w:bidi="ar"/>
        </w:rPr>
        <w:t>商品售后服务认证证书(GB／T27922)</w:t>
      </w:r>
      <w:r>
        <w:rPr>
          <w:rFonts w:hint="eastAsia" w:ascii="宋体" w:hAnsi="宋体" w:eastAsia="宋体" w:cs="宋体"/>
          <w:color w:val="auto"/>
          <w:szCs w:val="22"/>
          <w:highlight w:val="none"/>
        </w:rPr>
        <w:t>且有效的（供应商于</w:t>
      </w:r>
      <w:r>
        <w:rPr>
          <w:rFonts w:hint="eastAsia" w:ascii="宋体" w:hAnsi="宋体" w:cs="宋体"/>
          <w:color w:val="auto"/>
          <w:szCs w:val="22"/>
          <w:highlight w:val="none"/>
          <w:lang w:eastAsia="zh-CN"/>
        </w:rPr>
        <w:t>投标文件</w:t>
      </w:r>
      <w:r>
        <w:rPr>
          <w:rFonts w:hint="eastAsia" w:ascii="宋体" w:hAnsi="宋体" w:eastAsia="宋体" w:cs="宋体"/>
          <w:color w:val="auto"/>
          <w:szCs w:val="22"/>
          <w:highlight w:val="none"/>
        </w:rPr>
        <w:t>中提供相关有效证书复印件，并加盖供应商CA签章，否则不予认可），每提供1个得</w:t>
      </w:r>
      <w:r>
        <w:rPr>
          <w:rFonts w:hint="eastAsia" w:ascii="宋体" w:hAnsi="宋体" w:cs="宋体"/>
          <w:color w:val="auto"/>
          <w:szCs w:val="22"/>
          <w:highlight w:val="none"/>
          <w:lang w:val="en-US" w:eastAsia="zh-CN"/>
        </w:rPr>
        <w:t>2</w:t>
      </w:r>
      <w:r>
        <w:rPr>
          <w:rFonts w:hint="eastAsia" w:ascii="宋体" w:hAnsi="宋体" w:eastAsia="宋体" w:cs="宋体"/>
          <w:color w:val="auto"/>
          <w:szCs w:val="22"/>
          <w:highlight w:val="none"/>
        </w:rPr>
        <w:t>分，满分</w:t>
      </w:r>
      <w:r>
        <w:rPr>
          <w:rFonts w:hint="eastAsia" w:ascii="宋体" w:hAnsi="宋体" w:cs="宋体"/>
          <w:color w:val="auto"/>
          <w:szCs w:val="22"/>
          <w:highlight w:val="none"/>
          <w:lang w:val="en-US" w:eastAsia="zh-CN"/>
        </w:rPr>
        <w:t>4</w:t>
      </w:r>
      <w:r>
        <w:rPr>
          <w:rFonts w:hint="eastAsia" w:ascii="宋体" w:hAnsi="宋体" w:eastAsia="宋体" w:cs="宋体"/>
          <w:color w:val="auto"/>
          <w:szCs w:val="22"/>
          <w:highlight w:val="none"/>
        </w:rPr>
        <w:t>分。</w:t>
      </w:r>
    </w:p>
    <w:p w14:paraId="52D9B54E">
      <w:pPr>
        <w:keepNext w:val="0"/>
        <w:keepLines w:val="0"/>
        <w:pageBreakBefore w:val="0"/>
        <w:kinsoku/>
        <w:wordWrap/>
        <w:overflowPunct/>
        <w:topLinePunct w:val="0"/>
        <w:autoSpaceDE/>
        <w:autoSpaceDN/>
        <w:bidi w:val="0"/>
        <w:spacing w:line="348" w:lineRule="auto"/>
        <w:ind w:firstLine="420" w:firstLineChars="200"/>
        <w:textAlignment w:val="auto"/>
        <w:rPr>
          <w:rFonts w:hint="eastAsia" w:ascii="宋体" w:hAnsi="宋体" w:eastAsia="宋体" w:cs="宋体"/>
          <w:color w:val="auto"/>
          <w:szCs w:val="22"/>
          <w:highlight w:val="none"/>
        </w:rPr>
      </w:pPr>
      <w:r>
        <w:rPr>
          <w:rFonts w:hint="eastAsia" w:ascii="宋体" w:hAnsi="宋体" w:eastAsia="宋体" w:cs="宋体"/>
          <w:color w:val="auto"/>
          <w:szCs w:val="22"/>
          <w:highlight w:val="none"/>
        </w:rPr>
        <w:t>（3）供应商（或所属上级公司）2023年以来具有同类服务项目业绩的（供应商于</w:t>
      </w:r>
      <w:r>
        <w:rPr>
          <w:rFonts w:hint="eastAsia" w:ascii="宋体" w:hAnsi="宋体" w:cs="宋体"/>
          <w:color w:val="auto"/>
          <w:szCs w:val="22"/>
          <w:highlight w:val="none"/>
          <w:lang w:eastAsia="zh-CN"/>
        </w:rPr>
        <w:t>投标文件</w:t>
      </w:r>
      <w:r>
        <w:rPr>
          <w:rFonts w:hint="eastAsia" w:ascii="宋体" w:hAnsi="宋体" w:eastAsia="宋体" w:cs="宋体"/>
          <w:color w:val="auto"/>
          <w:szCs w:val="22"/>
          <w:highlight w:val="none"/>
        </w:rPr>
        <w:t>中提供签订的项目合同复印件，能清晰反映中标/成交内容或合同标的，同一个编号的项目有两个或两个以上的分标中标/成交的只算一次，并加盖供应商CA签章，否则不予认可），每提供1项业绩得</w:t>
      </w:r>
      <w:r>
        <w:rPr>
          <w:rFonts w:hint="eastAsia" w:ascii="宋体" w:hAnsi="宋体" w:eastAsia="宋体" w:cs="宋体"/>
          <w:color w:val="auto"/>
          <w:szCs w:val="22"/>
          <w:highlight w:val="none"/>
          <w:lang w:val="en-US" w:eastAsia="zh-CN"/>
        </w:rPr>
        <w:t>1</w:t>
      </w:r>
      <w:r>
        <w:rPr>
          <w:rFonts w:hint="eastAsia" w:ascii="宋体" w:hAnsi="宋体" w:eastAsia="宋体" w:cs="宋体"/>
          <w:color w:val="auto"/>
          <w:szCs w:val="22"/>
          <w:highlight w:val="none"/>
        </w:rPr>
        <w:t>分，满分</w:t>
      </w:r>
      <w:r>
        <w:rPr>
          <w:rFonts w:hint="eastAsia" w:ascii="宋体" w:hAnsi="宋体" w:cs="宋体"/>
          <w:color w:val="auto"/>
          <w:szCs w:val="22"/>
          <w:highlight w:val="none"/>
          <w:lang w:val="en-US" w:eastAsia="zh-CN"/>
        </w:rPr>
        <w:t>2</w:t>
      </w:r>
      <w:r>
        <w:rPr>
          <w:rFonts w:hint="eastAsia" w:ascii="宋体" w:hAnsi="宋体" w:eastAsia="宋体" w:cs="宋体"/>
          <w:color w:val="auto"/>
          <w:szCs w:val="22"/>
          <w:highlight w:val="none"/>
        </w:rPr>
        <w:t>分。</w:t>
      </w:r>
    </w:p>
    <w:p w14:paraId="2A059703">
      <w:pPr>
        <w:pStyle w:val="20"/>
        <w:keepNext w:val="0"/>
        <w:keepLines w:val="0"/>
        <w:pageBreakBefore w:val="0"/>
        <w:kinsoku/>
        <w:wordWrap/>
        <w:overflowPunct/>
        <w:topLinePunct w:val="0"/>
        <w:autoSpaceDE/>
        <w:autoSpaceDN/>
        <w:bidi w:val="0"/>
        <w:spacing w:line="348" w:lineRule="auto"/>
        <w:ind w:firstLine="402" w:firstLineChars="200"/>
        <w:textAlignment w:val="auto"/>
        <w:rPr>
          <w:rFonts w:hint="default" w:hAnsi="宋体" w:eastAsia="宋体" w:cs="宋体"/>
          <w:b/>
          <w:szCs w:val="21"/>
          <w:lang w:val="en-US" w:eastAsia="zh-CN"/>
        </w:rPr>
      </w:pPr>
      <w:r>
        <w:rPr>
          <w:rFonts w:hint="eastAsia" w:hAnsi="宋体" w:cs="宋体"/>
          <w:b/>
          <w:szCs w:val="21"/>
          <w:lang w:val="en-US" w:eastAsia="zh-CN"/>
        </w:rPr>
        <w:t>6</w:t>
      </w:r>
      <w:r>
        <w:rPr>
          <w:rFonts w:hint="eastAsia" w:hAnsi="宋体" w:cs="宋体"/>
          <w:b/>
          <w:szCs w:val="21"/>
        </w:rPr>
        <w:t>、综合得分＝1+2+3+4</w:t>
      </w:r>
      <w:r>
        <w:rPr>
          <w:rFonts w:hint="eastAsia" w:hAnsi="宋体" w:cs="宋体"/>
          <w:b/>
          <w:szCs w:val="21"/>
          <w:lang w:val="en-US" w:eastAsia="zh-CN"/>
        </w:rPr>
        <w:t>+5</w:t>
      </w:r>
    </w:p>
    <w:p w14:paraId="68359A8A">
      <w:pPr>
        <w:pStyle w:val="220"/>
        <w:keepNext w:val="0"/>
        <w:keepLines w:val="0"/>
        <w:pageBreakBefore w:val="0"/>
        <w:tabs>
          <w:tab w:val="left" w:pos="4214"/>
        </w:tabs>
        <w:kinsoku/>
        <w:wordWrap/>
        <w:overflowPunct/>
        <w:topLinePunct w:val="0"/>
        <w:autoSpaceDE/>
        <w:autoSpaceDN/>
        <w:bidi w:val="0"/>
        <w:spacing w:line="348" w:lineRule="auto"/>
        <w:ind w:firstLine="422"/>
        <w:textAlignment w:val="auto"/>
        <w:rPr>
          <w:rFonts w:hAnsi="宋体" w:cs="宋体"/>
          <w:b/>
          <w:szCs w:val="21"/>
        </w:rPr>
      </w:pPr>
      <w:r>
        <w:rPr>
          <w:rFonts w:hint="eastAsia" w:hAnsi="宋体" w:cs="宋体"/>
          <w:b/>
          <w:szCs w:val="21"/>
        </w:rPr>
        <w:t>三、推荐及确定中标候选供应商原则</w:t>
      </w:r>
    </w:p>
    <w:p w14:paraId="2475011D">
      <w:pPr>
        <w:pStyle w:val="220"/>
        <w:keepNext w:val="0"/>
        <w:keepLines w:val="0"/>
        <w:pageBreakBefore w:val="0"/>
        <w:tabs>
          <w:tab w:val="left" w:pos="4214"/>
        </w:tabs>
        <w:kinsoku/>
        <w:wordWrap/>
        <w:overflowPunct/>
        <w:topLinePunct w:val="0"/>
        <w:autoSpaceDE/>
        <w:autoSpaceDN/>
        <w:bidi w:val="0"/>
        <w:spacing w:line="348" w:lineRule="auto"/>
        <w:ind w:firstLine="420"/>
        <w:textAlignment w:val="auto"/>
        <w:rPr>
          <w:rFonts w:hAnsi="宋体" w:cs="宋体"/>
          <w:szCs w:val="21"/>
        </w:rPr>
      </w:pPr>
      <w:r>
        <w:rPr>
          <w:rFonts w:hint="eastAsia" w:hAnsi="宋体" w:cs="宋体"/>
          <w:szCs w:val="21"/>
        </w:rPr>
        <w:t>（1）评标委员会根据综合得分由高到低排列次序，若得分相同时，以评标报价由低到高顺序排列；若得分相同且评标报价相同的，以投标报价由低到高顺序排列；若仍相同的，按</w:t>
      </w:r>
      <w:r>
        <w:rPr>
          <w:rFonts w:hint="eastAsia" w:hAnsi="宋体" w:cs="宋体"/>
        </w:rPr>
        <w:t>服务方案分、人员配置分、服务承诺分、业绩分</w:t>
      </w:r>
      <w:r>
        <w:rPr>
          <w:rFonts w:hint="eastAsia" w:hAnsi="宋体" w:cs="宋体"/>
          <w:szCs w:val="21"/>
        </w:rPr>
        <w:t>依次由高到低顺序排列；若均相同的由评标委员会按照抽签的方式决定排次次序</w:t>
      </w:r>
      <w:r>
        <w:rPr>
          <w:rFonts w:hint="eastAsia" w:hAnsi="宋体" w:cs="宋体"/>
          <w:sz w:val="22"/>
          <w:szCs w:val="22"/>
        </w:rPr>
        <w:t>，</w:t>
      </w:r>
      <w:r>
        <w:rPr>
          <w:rFonts w:hint="eastAsia" w:hAnsi="宋体" w:cs="宋体"/>
          <w:szCs w:val="21"/>
        </w:rPr>
        <w:t>并推荐中标候选供应商。</w:t>
      </w:r>
    </w:p>
    <w:p w14:paraId="2783A2F3">
      <w:pPr>
        <w:pStyle w:val="220"/>
        <w:keepNext w:val="0"/>
        <w:keepLines w:val="0"/>
        <w:pageBreakBefore w:val="0"/>
        <w:tabs>
          <w:tab w:val="left" w:pos="4214"/>
        </w:tabs>
        <w:kinsoku/>
        <w:wordWrap/>
        <w:overflowPunct/>
        <w:topLinePunct w:val="0"/>
        <w:autoSpaceDE/>
        <w:autoSpaceDN/>
        <w:bidi w:val="0"/>
        <w:spacing w:line="348" w:lineRule="auto"/>
        <w:ind w:firstLine="420"/>
        <w:textAlignment w:val="auto"/>
        <w:rPr>
          <w:rFonts w:hAnsi="宋体" w:cs="宋体"/>
          <w:szCs w:val="21"/>
        </w:rPr>
      </w:pPr>
      <w:r>
        <w:rPr>
          <w:rFonts w:hint="eastAsia" w:hAnsi="宋体" w:cs="宋体"/>
          <w:szCs w:val="21"/>
        </w:rPr>
        <w:t>（2）评标委员会可推荐前三名为中标候选人，采购人应当确定评标委员会推荐排名第一的中标候选人为中标人。</w:t>
      </w:r>
    </w:p>
    <w:p w14:paraId="4D748E47">
      <w:pPr>
        <w:pStyle w:val="220"/>
        <w:keepNext w:val="0"/>
        <w:keepLines w:val="0"/>
        <w:pageBreakBefore w:val="0"/>
        <w:tabs>
          <w:tab w:val="left" w:pos="4214"/>
        </w:tabs>
        <w:kinsoku/>
        <w:wordWrap/>
        <w:overflowPunct/>
        <w:topLinePunct w:val="0"/>
        <w:autoSpaceDE/>
        <w:autoSpaceDN/>
        <w:bidi w:val="0"/>
        <w:spacing w:line="348" w:lineRule="auto"/>
        <w:ind w:firstLine="420"/>
        <w:textAlignment w:val="auto"/>
        <w:rPr>
          <w:rFonts w:hAnsi="宋体" w:cs="宋体"/>
          <w:b/>
          <w:szCs w:val="21"/>
        </w:rPr>
      </w:pPr>
      <w:r>
        <w:rPr>
          <w:rFonts w:hint="eastAsia" w:hAnsi="宋体" w:cs="宋体"/>
          <w:szCs w:val="21"/>
        </w:rPr>
        <w:t>（3）排名第一的中标候选人放弃中标、因不可抗力提出不能履行合同，或者招标文件规定应当提交履约保证金而在规定的期限内未能提交的，或因失信行为被取消中标候选人资格的，采购人可以确定排名第二的中标候选人为中标人，并依此类推。</w:t>
      </w:r>
    </w:p>
    <w:p w14:paraId="38AA0D2B">
      <w:pPr>
        <w:keepNext w:val="0"/>
        <w:keepLines w:val="0"/>
        <w:pageBreakBefore w:val="0"/>
        <w:kinsoku/>
        <w:wordWrap/>
        <w:overflowPunct/>
        <w:topLinePunct w:val="0"/>
        <w:autoSpaceDE/>
        <w:autoSpaceDN/>
        <w:bidi w:val="0"/>
        <w:spacing w:line="348" w:lineRule="auto"/>
        <w:ind w:firstLine="426"/>
        <w:jc w:val="left"/>
        <w:textAlignment w:val="auto"/>
        <w:rPr>
          <w:rFonts w:ascii="宋体" w:hAnsi="宋体" w:cs="宋体"/>
          <w:b/>
          <w:szCs w:val="21"/>
        </w:rPr>
      </w:pPr>
      <w:r>
        <w:rPr>
          <w:rFonts w:hint="eastAsia" w:ascii="宋体" w:hAnsi="宋体" w:cs="宋体"/>
          <w:b/>
          <w:szCs w:val="21"/>
        </w:rPr>
        <w:t>四、特别说明</w:t>
      </w:r>
    </w:p>
    <w:p w14:paraId="6CD9DE2C">
      <w:pPr>
        <w:keepNext w:val="0"/>
        <w:keepLines w:val="0"/>
        <w:pageBreakBefore w:val="0"/>
        <w:kinsoku/>
        <w:wordWrap/>
        <w:overflowPunct/>
        <w:topLinePunct w:val="0"/>
        <w:autoSpaceDE/>
        <w:autoSpaceDN/>
        <w:bidi w:val="0"/>
        <w:spacing w:line="348" w:lineRule="auto"/>
        <w:ind w:firstLine="422"/>
        <w:textAlignment w:val="auto"/>
        <w:rPr>
          <w:b/>
          <w:bCs/>
          <w:szCs w:val="21"/>
        </w:rPr>
      </w:pPr>
      <w:r>
        <w:rPr>
          <w:rFonts w:hint="eastAsia" w:ascii="宋体" w:hAnsi="宋体" w:cs="宋体"/>
          <w:b/>
          <w:bCs/>
          <w:szCs w:val="21"/>
        </w:rPr>
        <w:t>评审时，评审委员会根据《关于推动解决政府采购异常低价问题的通知》（财库〔2026〕2号）相关规定启动异常低价投标（响应）审查程序。</w:t>
      </w:r>
      <w:r>
        <w:rPr>
          <w:rFonts w:hint="eastAsia"/>
          <w:b/>
          <w:bCs/>
          <w:szCs w:val="21"/>
        </w:rPr>
        <w:t>启动异常低价投标（响应）审查后，</w:t>
      </w:r>
      <w:r>
        <w:rPr>
          <w:rStyle w:val="346"/>
          <w:rFonts w:ascii="宋体" w:hAnsi="宋体"/>
          <w:b/>
          <w:bCs/>
          <w:szCs w:val="21"/>
        </w:rPr>
        <w:t>应当要求</w:t>
      </w:r>
      <w:r>
        <w:rPr>
          <w:rStyle w:val="346"/>
          <w:rFonts w:hint="eastAsia" w:ascii="宋体" w:hAnsi="宋体"/>
          <w:b/>
          <w:bCs/>
          <w:szCs w:val="21"/>
        </w:rPr>
        <w:t>供应商</w:t>
      </w:r>
      <w:r>
        <w:rPr>
          <w:rStyle w:val="346"/>
          <w:rFonts w:ascii="宋体" w:hAnsi="宋体"/>
          <w:b/>
          <w:bCs/>
          <w:szCs w:val="21"/>
        </w:rPr>
        <w:t>在</w:t>
      </w:r>
      <w:r>
        <w:rPr>
          <w:rStyle w:val="346"/>
          <w:rFonts w:hint="eastAsia" w:ascii="宋体" w:hAnsi="宋体"/>
          <w:b/>
          <w:bCs/>
          <w:szCs w:val="21"/>
        </w:rPr>
        <w:t>评审委员会要求的时间内</w:t>
      </w:r>
      <w:r>
        <w:rPr>
          <w:rFonts w:hint="eastAsia"/>
          <w:b/>
          <w:bCs/>
          <w:szCs w:val="21"/>
        </w:rPr>
        <w:t>对投标（响应）价格作出解释，</w:t>
      </w:r>
      <w:r>
        <w:rPr>
          <w:rFonts w:hint="eastAsia"/>
          <w:b/>
          <w:bCs/>
          <w:szCs w:val="21"/>
          <w:shd w:val="clear" w:color="auto" w:fill="FFFFFF"/>
        </w:rPr>
        <w:t>提供项目具体成本测算等与报价合理性相关的书面说明及必要的证明材料（包括但不限于原材料成本、人工成本、制造费用等）。</w:t>
      </w:r>
      <w:r>
        <w:rPr>
          <w:rFonts w:hint="eastAsia"/>
          <w:b/>
          <w:bCs/>
          <w:szCs w:val="21"/>
          <w:u w:val="double"/>
        </w:rPr>
        <w:t>投标（响应）供应商不能提供书面说明、证明材料，或者提供的书面说明、证明材料不能证明其报价合理性的，评审委员会应当将其作为无效投标（响应）处理</w:t>
      </w:r>
      <w:r>
        <w:rPr>
          <w:rFonts w:hint="eastAsia"/>
          <w:b/>
          <w:bCs/>
          <w:szCs w:val="21"/>
        </w:rPr>
        <w:t>。 异常低价投标（响应）审查的启动原因、审查意见和审查结果应当在评审报告中记录。</w:t>
      </w:r>
    </w:p>
    <w:p w14:paraId="7C7354C0">
      <w:pPr>
        <w:keepNext w:val="0"/>
        <w:keepLines w:val="0"/>
        <w:pageBreakBefore w:val="0"/>
        <w:kinsoku/>
        <w:wordWrap/>
        <w:overflowPunct/>
        <w:topLinePunct w:val="0"/>
        <w:autoSpaceDE/>
        <w:autoSpaceDN/>
        <w:bidi w:val="0"/>
        <w:spacing w:line="348" w:lineRule="auto"/>
        <w:ind w:firstLine="422"/>
        <w:textAlignment w:val="auto"/>
        <w:rPr>
          <w:rFonts w:hAnsi="宋体" w:cs="宋体"/>
          <w:bCs/>
        </w:rPr>
      </w:pPr>
      <w:r>
        <w:rPr>
          <w:rFonts w:hint="eastAsia" w:ascii="宋体" w:hAnsi="宋体" w:cs="宋体"/>
          <w:b/>
          <w:bCs/>
          <w:szCs w:val="21"/>
        </w:rPr>
        <w:t>为避免因未能及时提供说明而导致被评审委员会作为无效投标情形，</w:t>
      </w:r>
      <w:r>
        <w:rPr>
          <w:rFonts w:hint="eastAsia"/>
          <w:b/>
          <w:bCs/>
          <w:szCs w:val="21"/>
          <w:shd w:val="clear" w:color="auto" w:fill="FFFFFF"/>
        </w:rPr>
        <w:t>供应商可提前准备或随投标（响应）文件一并提交相关书面说明及必要的证明材料。</w:t>
      </w:r>
      <w:bookmarkEnd w:id="353"/>
    </w:p>
    <w:p w14:paraId="60B4B7DD">
      <w:pPr>
        <w:jc w:val="center"/>
        <w:outlineLvl w:val="0"/>
        <w:rPr>
          <w:rFonts w:hint="eastAsia" w:ascii="宋体" w:hAnsi="宋体" w:eastAsia="宋体" w:cs="宋体"/>
          <w:color w:val="auto"/>
          <w:sz w:val="32"/>
          <w:szCs w:val="32"/>
        </w:rPr>
      </w:pPr>
      <w:r>
        <w:rPr>
          <w:rFonts w:hint="eastAsia" w:ascii="宋体" w:hAnsi="宋体" w:cs="宋体"/>
          <w:sz w:val="32"/>
          <w:szCs w:val="32"/>
        </w:rPr>
        <w:br w:type="page" w:clear="all"/>
      </w:r>
      <w:bookmarkStart w:id="354" w:name="_Toc240644547"/>
      <w:bookmarkStart w:id="355" w:name="_Toc14595"/>
      <w:bookmarkStart w:id="356" w:name="_Toc30753"/>
      <w:r>
        <w:rPr>
          <w:rStyle w:val="256"/>
          <w:rFonts w:hint="eastAsia" w:ascii="宋体" w:hAnsi="宋体" w:eastAsia="宋体" w:cs="宋体"/>
          <w:sz w:val="32"/>
          <w:szCs w:val="32"/>
        </w:rPr>
        <w:t>第五</w:t>
      </w:r>
      <w:r>
        <w:rPr>
          <w:rFonts w:hint="eastAsia" w:ascii="宋体" w:hAnsi="宋体" w:cs="宋体"/>
          <w:b/>
          <w:bCs/>
          <w:sz w:val="32"/>
          <w:szCs w:val="32"/>
        </w:rPr>
        <w:t xml:space="preserve">章  </w:t>
      </w:r>
      <w:bookmarkEnd w:id="354"/>
      <w:bookmarkEnd w:id="355"/>
      <w:bookmarkEnd w:id="356"/>
      <w:bookmarkStart w:id="357" w:name="_Toc15206"/>
      <w:r>
        <w:rPr>
          <w:rFonts w:hint="eastAsia" w:ascii="宋体" w:hAnsi="宋体" w:eastAsia="宋体" w:cs="宋体"/>
          <w:color w:val="auto"/>
          <w:sz w:val="32"/>
          <w:szCs w:val="32"/>
        </w:rPr>
        <w:t>采购合同（合同主要条款及格式）</w:t>
      </w:r>
      <w:bookmarkEnd w:id="357"/>
    </w:p>
    <w:p w14:paraId="59448554">
      <w:pPr>
        <w:keepNext w:val="0"/>
        <w:keepLines w:val="0"/>
        <w:pageBreakBefore w:val="0"/>
        <w:widowControl w:val="0"/>
        <w:kinsoku/>
        <w:wordWrap/>
        <w:overflowPunct/>
        <w:bidi w:val="0"/>
        <w:spacing w:line="400" w:lineRule="exact"/>
        <w:rPr>
          <w:rFonts w:hint="eastAsia" w:ascii="宋体" w:hAnsi="宋体" w:eastAsia="宋体" w:cs="宋体"/>
          <w:color w:val="auto"/>
          <w:spacing w:val="-10"/>
          <w:sz w:val="21"/>
          <w:szCs w:val="21"/>
        </w:rPr>
      </w:pPr>
      <w:r>
        <w:rPr>
          <w:rFonts w:hint="eastAsia" w:ascii="宋体" w:hAnsi="宋体" w:eastAsia="宋体" w:cs="宋体"/>
          <w:color w:val="auto"/>
          <w:spacing w:val="-10"/>
          <w:sz w:val="21"/>
          <w:szCs w:val="21"/>
        </w:rPr>
        <w:t>项目名称：</w:t>
      </w:r>
      <w:r>
        <w:rPr>
          <w:rFonts w:hint="eastAsia" w:ascii="宋体" w:hAnsi="宋体" w:eastAsia="宋体" w:cs="宋体"/>
          <w:color w:val="auto"/>
          <w:spacing w:val="-10"/>
          <w:sz w:val="21"/>
          <w:szCs w:val="21"/>
          <w:u w:val="single"/>
        </w:rPr>
        <w:tab/>
      </w:r>
      <w:r>
        <w:rPr>
          <w:rFonts w:hint="eastAsia" w:ascii="宋体" w:hAnsi="宋体" w:eastAsia="宋体" w:cs="宋体"/>
          <w:color w:val="auto"/>
          <w:spacing w:val="-10"/>
          <w:sz w:val="21"/>
          <w:szCs w:val="21"/>
          <w:u w:val="single"/>
        </w:rPr>
        <w:tab/>
      </w:r>
      <w:r>
        <w:rPr>
          <w:rFonts w:hint="eastAsia" w:ascii="宋体" w:hAnsi="宋体" w:eastAsia="宋体" w:cs="宋体"/>
          <w:color w:val="auto"/>
          <w:spacing w:val="-10"/>
          <w:sz w:val="21"/>
          <w:szCs w:val="21"/>
          <w:u w:val="single"/>
        </w:rPr>
        <w:tab/>
      </w:r>
      <w:r>
        <w:rPr>
          <w:rFonts w:hint="eastAsia" w:ascii="宋体" w:hAnsi="宋体" w:eastAsia="宋体" w:cs="宋体"/>
          <w:color w:val="auto"/>
          <w:spacing w:val="-10"/>
          <w:sz w:val="21"/>
          <w:szCs w:val="21"/>
          <w:u w:val="single"/>
        </w:rPr>
        <w:tab/>
      </w:r>
      <w:r>
        <w:rPr>
          <w:rFonts w:hint="eastAsia" w:ascii="宋体" w:hAnsi="宋体" w:eastAsia="宋体" w:cs="宋体"/>
          <w:color w:val="auto"/>
          <w:spacing w:val="-10"/>
          <w:sz w:val="21"/>
          <w:szCs w:val="21"/>
          <w:u w:val="single"/>
        </w:rPr>
        <w:tab/>
      </w:r>
      <w:r>
        <w:rPr>
          <w:rFonts w:hint="eastAsia" w:ascii="宋体" w:hAnsi="宋体" w:eastAsia="宋体" w:cs="宋体"/>
          <w:color w:val="auto"/>
          <w:spacing w:val="-10"/>
          <w:sz w:val="21"/>
          <w:szCs w:val="21"/>
          <w:u w:val="single"/>
        </w:rPr>
        <w:tab/>
      </w:r>
      <w:r>
        <w:rPr>
          <w:rFonts w:hint="eastAsia" w:ascii="宋体" w:hAnsi="宋体" w:eastAsia="宋体" w:cs="宋体"/>
          <w:color w:val="auto"/>
          <w:spacing w:val="-10"/>
          <w:sz w:val="21"/>
          <w:szCs w:val="21"/>
          <w:u w:val="single"/>
        </w:rPr>
        <w:tab/>
      </w:r>
      <w:r>
        <w:rPr>
          <w:rFonts w:hint="eastAsia" w:ascii="宋体" w:hAnsi="宋体" w:eastAsia="宋体" w:cs="宋体"/>
          <w:color w:val="auto"/>
          <w:spacing w:val="-10"/>
          <w:sz w:val="21"/>
          <w:szCs w:val="21"/>
          <w:u w:val="single"/>
        </w:rPr>
        <w:tab/>
      </w:r>
      <w:r>
        <w:rPr>
          <w:rFonts w:hint="eastAsia" w:ascii="宋体" w:hAnsi="宋体" w:eastAsia="宋体" w:cs="宋体"/>
          <w:color w:val="auto"/>
          <w:sz w:val="21"/>
          <w:szCs w:val="21"/>
        </w:rPr>
        <w:t xml:space="preserve">                  </w:t>
      </w:r>
    </w:p>
    <w:p w14:paraId="457B6369">
      <w:pPr>
        <w:keepNext w:val="0"/>
        <w:keepLines w:val="0"/>
        <w:pageBreakBefore w:val="0"/>
        <w:widowControl w:val="0"/>
        <w:kinsoku/>
        <w:wordWrap/>
        <w:overflowPunct/>
        <w:bidi w:val="0"/>
        <w:spacing w:line="400" w:lineRule="exact"/>
        <w:rPr>
          <w:rFonts w:hint="eastAsia" w:ascii="宋体" w:hAnsi="宋体" w:eastAsia="宋体" w:cs="宋体"/>
          <w:color w:val="auto"/>
          <w:spacing w:val="-6"/>
          <w:sz w:val="21"/>
          <w:szCs w:val="21"/>
        </w:rPr>
      </w:pPr>
      <w:r>
        <w:rPr>
          <w:rFonts w:hint="eastAsia" w:ascii="宋体" w:hAnsi="宋体" w:eastAsia="宋体" w:cs="宋体"/>
          <w:color w:val="auto"/>
          <w:spacing w:val="-6"/>
          <w:sz w:val="21"/>
          <w:szCs w:val="21"/>
        </w:rPr>
        <w:t>项目编号：</w:t>
      </w:r>
      <w:r>
        <w:rPr>
          <w:rFonts w:hint="eastAsia" w:ascii="宋体" w:hAnsi="宋体" w:eastAsia="宋体" w:cs="宋体"/>
          <w:bCs/>
          <w:color w:val="auto"/>
          <w:sz w:val="21"/>
          <w:szCs w:val="21"/>
          <w:u w:val="single"/>
        </w:rPr>
        <w:tab/>
      </w:r>
      <w:r>
        <w:rPr>
          <w:rFonts w:hint="eastAsia" w:ascii="宋体" w:hAnsi="宋体" w:eastAsia="宋体" w:cs="宋体"/>
          <w:bCs/>
          <w:color w:val="auto"/>
          <w:sz w:val="21"/>
          <w:szCs w:val="21"/>
          <w:u w:val="single"/>
        </w:rPr>
        <w:tab/>
      </w:r>
      <w:r>
        <w:rPr>
          <w:rFonts w:hint="eastAsia" w:ascii="宋体" w:hAnsi="宋体" w:eastAsia="宋体" w:cs="宋体"/>
          <w:bCs/>
          <w:color w:val="auto"/>
          <w:sz w:val="21"/>
          <w:szCs w:val="21"/>
          <w:u w:val="single"/>
        </w:rPr>
        <w:tab/>
      </w:r>
      <w:r>
        <w:rPr>
          <w:rFonts w:hint="eastAsia" w:ascii="宋体" w:hAnsi="宋体" w:eastAsia="宋体" w:cs="宋体"/>
          <w:bCs/>
          <w:color w:val="auto"/>
          <w:sz w:val="21"/>
          <w:szCs w:val="21"/>
          <w:u w:val="single"/>
        </w:rPr>
        <w:tab/>
      </w:r>
      <w:r>
        <w:rPr>
          <w:rFonts w:hint="eastAsia" w:ascii="宋体" w:hAnsi="宋体" w:eastAsia="宋体" w:cs="宋体"/>
          <w:bCs/>
          <w:color w:val="auto"/>
          <w:sz w:val="21"/>
          <w:szCs w:val="21"/>
          <w:u w:val="single"/>
        </w:rPr>
        <w:tab/>
      </w:r>
      <w:r>
        <w:rPr>
          <w:rFonts w:hint="eastAsia" w:ascii="宋体" w:hAnsi="宋体" w:eastAsia="宋体" w:cs="宋体"/>
          <w:bCs/>
          <w:color w:val="auto"/>
          <w:sz w:val="21"/>
          <w:szCs w:val="21"/>
          <w:u w:val="single"/>
        </w:rPr>
        <w:tab/>
      </w:r>
      <w:r>
        <w:rPr>
          <w:rFonts w:hint="eastAsia" w:ascii="宋体" w:hAnsi="宋体" w:eastAsia="宋体" w:cs="宋体"/>
          <w:bCs/>
          <w:color w:val="auto"/>
          <w:sz w:val="21"/>
          <w:szCs w:val="21"/>
          <w:u w:val="single"/>
        </w:rPr>
        <w:tab/>
      </w:r>
      <w:r>
        <w:rPr>
          <w:rFonts w:hint="eastAsia" w:ascii="宋体" w:hAnsi="宋体" w:eastAsia="宋体" w:cs="宋体"/>
          <w:bCs/>
          <w:color w:val="auto"/>
          <w:sz w:val="21"/>
          <w:szCs w:val="21"/>
          <w:u w:val="single"/>
        </w:rPr>
        <w:tab/>
      </w:r>
    </w:p>
    <w:p w14:paraId="5ACBBFD8">
      <w:pPr>
        <w:keepNext w:val="0"/>
        <w:keepLines w:val="0"/>
        <w:pageBreakBefore w:val="0"/>
        <w:widowControl w:val="0"/>
        <w:kinsoku/>
        <w:wordWrap/>
        <w:overflowPunct/>
        <w:bidi w:val="0"/>
        <w:spacing w:line="400" w:lineRule="exact"/>
        <w:rPr>
          <w:rFonts w:hint="eastAsia" w:ascii="宋体" w:hAnsi="宋体" w:eastAsia="宋体" w:cs="宋体"/>
          <w:color w:val="auto"/>
          <w:sz w:val="21"/>
          <w:szCs w:val="21"/>
        </w:rPr>
      </w:pPr>
      <w:r>
        <w:rPr>
          <w:rFonts w:hint="eastAsia" w:ascii="宋体" w:hAnsi="宋体" w:eastAsia="宋体" w:cs="宋体"/>
          <w:color w:val="auto"/>
          <w:sz w:val="21"/>
          <w:szCs w:val="21"/>
        </w:rPr>
        <w:t>甲方：</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（采购人）</w:t>
      </w:r>
    </w:p>
    <w:p w14:paraId="67328AD0">
      <w:pPr>
        <w:keepNext w:val="0"/>
        <w:keepLines w:val="0"/>
        <w:pageBreakBefore w:val="0"/>
        <w:widowControl w:val="0"/>
        <w:kinsoku/>
        <w:wordWrap/>
        <w:overflowPunct/>
        <w:bidi w:val="0"/>
        <w:spacing w:line="400" w:lineRule="exact"/>
        <w:rPr>
          <w:rFonts w:hint="eastAsia" w:ascii="宋体" w:hAnsi="宋体" w:eastAsia="宋体" w:cs="宋体"/>
          <w:color w:val="auto"/>
          <w:sz w:val="21"/>
          <w:szCs w:val="21"/>
        </w:rPr>
      </w:pPr>
      <w:r>
        <w:rPr>
          <w:rFonts w:hint="eastAsia" w:ascii="宋体" w:hAnsi="宋体" w:eastAsia="宋体" w:cs="宋体"/>
          <w:color w:val="auto"/>
          <w:sz w:val="21"/>
          <w:szCs w:val="21"/>
        </w:rPr>
        <w:t>乙方：</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（成交供应商）</w:t>
      </w:r>
    </w:p>
    <w:p w14:paraId="5F0F2BDD">
      <w:pPr>
        <w:keepNext w:val="0"/>
        <w:keepLines w:val="0"/>
        <w:pageBreakBefore w:val="0"/>
        <w:widowControl w:val="0"/>
        <w:kinsoku/>
        <w:wordWrap/>
        <w:overflowPunct/>
        <w:bidi w:val="0"/>
        <w:spacing w:line="400" w:lineRule="exact"/>
        <w:rPr>
          <w:rFonts w:hint="eastAsia" w:ascii="宋体" w:hAnsi="宋体" w:eastAsia="宋体" w:cs="宋体"/>
          <w:color w:val="auto"/>
          <w:sz w:val="21"/>
          <w:szCs w:val="21"/>
        </w:rPr>
      </w:pPr>
    </w:p>
    <w:p w14:paraId="22298A69">
      <w:pPr>
        <w:keepNext w:val="0"/>
        <w:keepLines w:val="0"/>
        <w:pageBreakBefore w:val="0"/>
        <w:widowControl w:val="0"/>
        <w:kinsoku/>
        <w:wordWrap/>
        <w:overflowPunct/>
        <w:bidi w:val="0"/>
        <w:spacing w:line="400" w:lineRule="exact"/>
        <w:ind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根据《中华人民共和国政府采购法》、《中华人民共和国政府采购法实施条例》、《政府采购货物和服务招标投标管理办法》、《中华人民共和国民法典》等法律、法规规定，按照招、</w:t>
      </w:r>
      <w:r>
        <w:rPr>
          <w:rFonts w:hint="eastAsia" w:ascii="宋体" w:hAnsi="宋体" w:cs="宋体"/>
          <w:color w:val="auto"/>
          <w:sz w:val="21"/>
          <w:szCs w:val="21"/>
          <w:lang w:eastAsia="zh-CN"/>
        </w:rPr>
        <w:t>投标文件</w:t>
      </w:r>
      <w:r>
        <w:rPr>
          <w:rFonts w:hint="eastAsia" w:ascii="宋体" w:hAnsi="宋体" w:eastAsia="宋体" w:cs="宋体"/>
          <w:color w:val="auto"/>
          <w:sz w:val="21"/>
          <w:szCs w:val="21"/>
        </w:rPr>
        <w:t>规定条款和乙方承诺、甲乙双方签订本采购合同</w:t>
      </w:r>
      <w:r>
        <w:rPr>
          <w:rFonts w:hint="eastAsia" w:ascii="宋体" w:hAnsi="宋体" w:eastAsia="宋体" w:cs="宋体"/>
          <w:color w:val="auto"/>
          <w:sz w:val="21"/>
          <w:szCs w:val="21"/>
          <w:lang w:eastAsia="zh-CN"/>
        </w:rPr>
        <w:t>。</w:t>
      </w:r>
    </w:p>
    <w:p w14:paraId="265944C3">
      <w:pPr>
        <w:keepNext w:val="0"/>
        <w:keepLines w:val="0"/>
        <w:pageBreakBefore w:val="0"/>
        <w:widowControl w:val="0"/>
        <w:numPr>
          <w:ilvl w:val="0"/>
          <w:numId w:val="8"/>
        </w:numPr>
        <w:kinsoku/>
        <w:wordWrap/>
        <w:overflowPunct/>
        <w:bidi w:val="0"/>
        <w:spacing w:line="400" w:lineRule="exact"/>
        <w:rPr>
          <w:rFonts w:hint="eastAsia" w:ascii="宋体" w:hAnsi="宋体" w:eastAsia="宋体" w:cs="宋体"/>
          <w:b/>
          <w:color w:val="auto"/>
          <w:sz w:val="21"/>
          <w:szCs w:val="21"/>
        </w:rPr>
      </w:pPr>
      <w:r>
        <w:rPr>
          <w:rFonts w:hint="eastAsia" w:ascii="宋体" w:hAnsi="宋体" w:eastAsia="宋体" w:cs="宋体"/>
          <w:b/>
          <w:color w:val="auto"/>
          <w:sz w:val="21"/>
          <w:szCs w:val="21"/>
        </w:rPr>
        <w:t>合同标的及合同金额</w:t>
      </w:r>
    </w:p>
    <w:p w14:paraId="3E303502">
      <w:pPr>
        <w:spacing w:line="400" w:lineRule="exact"/>
        <w:ind w:firstLine="411" w:firstLineChars="196"/>
        <w:rPr>
          <w:rFonts w:hint="eastAsia" w:ascii="宋体" w:hAnsi="宋体"/>
          <w:bCs/>
          <w:color w:val="auto"/>
          <w:kern w:val="0"/>
          <w:szCs w:val="21"/>
        </w:rPr>
      </w:pPr>
      <w:r>
        <w:rPr>
          <w:rFonts w:hint="eastAsia" w:ascii="宋体" w:hAnsi="宋体"/>
          <w:bCs/>
          <w:color w:val="auto"/>
          <w:kern w:val="0"/>
          <w:szCs w:val="21"/>
        </w:rPr>
        <w:t>1.合同标的：</w:t>
      </w:r>
    </w:p>
    <w:tbl>
      <w:tblPr>
        <w:tblStyle w:val="35"/>
        <w:tblW w:w="9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0"/>
        <w:gridCol w:w="2570"/>
        <w:gridCol w:w="1684"/>
        <w:gridCol w:w="840"/>
        <w:gridCol w:w="1606"/>
        <w:gridCol w:w="2206"/>
      </w:tblGrid>
      <w:tr w14:paraId="377B6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870" w:type="dxa"/>
            <w:noWrap w:val="0"/>
            <w:vAlign w:val="center"/>
          </w:tcPr>
          <w:p w14:paraId="0DC5A713">
            <w:pPr>
              <w:snapToGrid w:val="0"/>
              <w:spacing w:line="380" w:lineRule="exact"/>
              <w:jc w:val="center"/>
              <w:rPr>
                <w:rFonts w:ascii="宋体" w:hAnsi="宋体"/>
                <w:szCs w:val="21"/>
              </w:rPr>
            </w:pPr>
            <w:r>
              <w:rPr>
                <w:rFonts w:hint="eastAsia" w:ascii="宋体" w:hAnsi="宋体"/>
                <w:szCs w:val="21"/>
              </w:rPr>
              <w:t>项号</w:t>
            </w:r>
          </w:p>
        </w:tc>
        <w:tc>
          <w:tcPr>
            <w:tcW w:w="2570" w:type="dxa"/>
            <w:noWrap w:val="0"/>
            <w:vAlign w:val="center"/>
          </w:tcPr>
          <w:p w14:paraId="141105FB">
            <w:pPr>
              <w:snapToGrid w:val="0"/>
              <w:spacing w:line="380" w:lineRule="exact"/>
              <w:jc w:val="center"/>
              <w:rPr>
                <w:rFonts w:hint="default" w:ascii="宋体" w:hAnsi="宋体" w:eastAsia="宋体"/>
                <w:szCs w:val="21"/>
                <w:lang w:val="en-US" w:eastAsia="zh-CN"/>
              </w:rPr>
            </w:pPr>
            <w:r>
              <w:rPr>
                <w:rFonts w:hint="eastAsia" w:ascii="宋体" w:hAnsi="宋体"/>
                <w:szCs w:val="21"/>
                <w:lang w:val="en-US" w:eastAsia="zh-CN"/>
              </w:rPr>
              <w:t>服务内容</w:t>
            </w:r>
          </w:p>
        </w:tc>
        <w:tc>
          <w:tcPr>
            <w:tcW w:w="1684" w:type="dxa"/>
            <w:noWrap w:val="0"/>
            <w:vAlign w:val="center"/>
          </w:tcPr>
          <w:p w14:paraId="575A64E4">
            <w:pPr>
              <w:snapToGrid w:val="0"/>
              <w:spacing w:line="380" w:lineRule="exact"/>
              <w:jc w:val="center"/>
              <w:rPr>
                <w:rFonts w:ascii="宋体" w:hAnsi="宋体"/>
                <w:szCs w:val="21"/>
              </w:rPr>
            </w:pPr>
            <w:r>
              <w:rPr>
                <w:rFonts w:hint="eastAsia" w:ascii="宋体" w:hAnsi="宋体"/>
                <w:szCs w:val="21"/>
              </w:rPr>
              <w:t>数量</w:t>
            </w:r>
          </w:p>
          <w:p w14:paraId="76005660">
            <w:pPr>
              <w:snapToGrid w:val="0"/>
              <w:spacing w:line="380" w:lineRule="exact"/>
              <w:jc w:val="center"/>
              <w:rPr>
                <w:rFonts w:ascii="宋体" w:hAnsi="宋体"/>
                <w:szCs w:val="21"/>
              </w:rPr>
            </w:pPr>
            <w:r>
              <w:rPr>
                <w:rFonts w:hint="eastAsia" w:ascii="宋体" w:hAnsi="宋体"/>
                <w:szCs w:val="21"/>
              </w:rPr>
              <w:t>①</w:t>
            </w:r>
          </w:p>
        </w:tc>
        <w:tc>
          <w:tcPr>
            <w:tcW w:w="840" w:type="dxa"/>
            <w:noWrap w:val="0"/>
            <w:vAlign w:val="center"/>
          </w:tcPr>
          <w:p w14:paraId="49C0C3DB">
            <w:pPr>
              <w:snapToGrid w:val="0"/>
              <w:spacing w:line="380" w:lineRule="exact"/>
              <w:jc w:val="center"/>
              <w:rPr>
                <w:rFonts w:ascii="宋体" w:hAnsi="宋体"/>
                <w:szCs w:val="21"/>
              </w:rPr>
            </w:pPr>
            <w:r>
              <w:rPr>
                <w:rFonts w:hint="eastAsia" w:ascii="宋体" w:hAnsi="宋体"/>
                <w:szCs w:val="21"/>
              </w:rPr>
              <w:t>单位</w:t>
            </w:r>
          </w:p>
        </w:tc>
        <w:tc>
          <w:tcPr>
            <w:tcW w:w="1606" w:type="dxa"/>
            <w:noWrap w:val="0"/>
            <w:vAlign w:val="center"/>
          </w:tcPr>
          <w:p w14:paraId="4A044ACE">
            <w:pPr>
              <w:snapToGrid w:val="0"/>
              <w:spacing w:line="380" w:lineRule="exact"/>
              <w:jc w:val="center"/>
              <w:rPr>
                <w:rFonts w:ascii="宋体" w:hAnsi="宋体"/>
                <w:szCs w:val="21"/>
              </w:rPr>
            </w:pPr>
            <w:r>
              <w:rPr>
                <w:rFonts w:hint="eastAsia" w:ascii="宋体" w:hAnsi="宋体"/>
                <w:szCs w:val="21"/>
              </w:rPr>
              <w:t>单价（元</w:t>
            </w:r>
            <w:r>
              <w:rPr>
                <w:rFonts w:hint="eastAsia" w:ascii="宋体" w:hAnsi="宋体"/>
                <w:szCs w:val="21"/>
                <w:lang w:val="en-US" w:eastAsia="zh-CN"/>
              </w:rPr>
              <w:t>/年</w:t>
            </w:r>
            <w:r>
              <w:rPr>
                <w:rFonts w:hint="eastAsia" w:ascii="宋体" w:hAnsi="宋体"/>
                <w:szCs w:val="21"/>
              </w:rPr>
              <w:t>）②</w:t>
            </w:r>
          </w:p>
        </w:tc>
        <w:tc>
          <w:tcPr>
            <w:tcW w:w="2206" w:type="dxa"/>
            <w:noWrap w:val="0"/>
            <w:vAlign w:val="center"/>
          </w:tcPr>
          <w:p w14:paraId="48942208">
            <w:pPr>
              <w:snapToGrid w:val="0"/>
              <w:spacing w:line="380" w:lineRule="exact"/>
              <w:jc w:val="center"/>
              <w:rPr>
                <w:rFonts w:ascii="宋体" w:hAnsi="宋体"/>
                <w:szCs w:val="21"/>
              </w:rPr>
            </w:pPr>
            <w:r>
              <w:rPr>
                <w:rFonts w:hint="eastAsia" w:ascii="宋体" w:hAnsi="宋体"/>
                <w:b/>
                <w:szCs w:val="21"/>
              </w:rPr>
              <w:t>单项合计金额</w:t>
            </w:r>
            <w:r>
              <w:rPr>
                <w:rFonts w:hint="eastAsia" w:ascii="宋体" w:hAnsi="宋体"/>
                <w:szCs w:val="21"/>
              </w:rPr>
              <w:t>（元）</w:t>
            </w:r>
          </w:p>
          <w:p w14:paraId="7B3F2947">
            <w:pPr>
              <w:snapToGrid w:val="0"/>
              <w:spacing w:line="380" w:lineRule="exact"/>
              <w:jc w:val="center"/>
              <w:rPr>
                <w:rFonts w:ascii="宋体" w:hAnsi="宋体"/>
                <w:szCs w:val="21"/>
              </w:rPr>
            </w:pPr>
            <w:r>
              <w:rPr>
                <w:rFonts w:hint="eastAsia" w:ascii="宋体" w:hAnsi="宋体"/>
                <w:szCs w:val="21"/>
              </w:rPr>
              <w:t>③＝①×②</w:t>
            </w:r>
          </w:p>
        </w:tc>
      </w:tr>
      <w:tr w14:paraId="1D2A4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870" w:type="dxa"/>
            <w:noWrap w:val="0"/>
            <w:vAlign w:val="center"/>
          </w:tcPr>
          <w:p w14:paraId="269EE20D">
            <w:pPr>
              <w:snapToGrid w:val="0"/>
              <w:spacing w:line="380" w:lineRule="exact"/>
              <w:jc w:val="center"/>
              <w:rPr>
                <w:rFonts w:hint="default" w:ascii="宋体" w:hAnsi="宋体" w:eastAsia="宋体"/>
                <w:szCs w:val="21"/>
                <w:lang w:val="en-US" w:eastAsia="zh-CN"/>
              </w:rPr>
            </w:pPr>
            <w:r>
              <w:rPr>
                <w:rFonts w:hint="eastAsia" w:ascii="宋体" w:hAnsi="宋体"/>
                <w:szCs w:val="21"/>
                <w:lang w:val="en-US" w:eastAsia="zh-CN"/>
              </w:rPr>
              <w:t>1</w:t>
            </w:r>
          </w:p>
        </w:tc>
        <w:tc>
          <w:tcPr>
            <w:tcW w:w="2570" w:type="dxa"/>
            <w:vMerge w:val="restart"/>
            <w:noWrap w:val="0"/>
            <w:vAlign w:val="center"/>
          </w:tcPr>
          <w:p w14:paraId="55D2E624">
            <w:pPr>
              <w:snapToGrid w:val="0"/>
              <w:spacing w:line="380" w:lineRule="exact"/>
              <w:jc w:val="center"/>
              <w:rPr>
                <w:rFonts w:hint="default" w:ascii="宋体" w:hAnsi="宋体" w:eastAsia="宋体" w:cs="Times New Roman"/>
                <w:szCs w:val="21"/>
                <w:lang w:val="en-US" w:eastAsia="zh-CN"/>
              </w:rPr>
            </w:pPr>
            <w:r>
              <w:rPr>
                <w:rFonts w:hint="eastAsia" w:ascii="宋体" w:hAnsi="宋体" w:cs="宋体"/>
                <w:szCs w:val="21"/>
                <w:lang w:eastAsia="zh-CN"/>
              </w:rPr>
              <w:t>灌阳县雪亮工程一期到期后运维服务项目</w:t>
            </w:r>
          </w:p>
        </w:tc>
        <w:tc>
          <w:tcPr>
            <w:tcW w:w="1684" w:type="dxa"/>
            <w:noWrap w:val="0"/>
            <w:vAlign w:val="center"/>
          </w:tcPr>
          <w:p w14:paraId="2E9E781E">
            <w:pPr>
              <w:snapToGrid w:val="0"/>
              <w:spacing w:line="380" w:lineRule="exact"/>
              <w:jc w:val="center"/>
              <w:rPr>
                <w:rFonts w:hint="eastAsia" w:ascii="宋体" w:hAnsi="宋体" w:cs="Times New Roman"/>
                <w:szCs w:val="21"/>
                <w:lang w:val="en-US" w:eastAsia="zh-CN"/>
              </w:rPr>
            </w:pPr>
            <w:r>
              <w:rPr>
                <w:rFonts w:hint="eastAsia" w:ascii="宋体" w:hAnsi="宋体" w:cs="Times New Roman"/>
                <w:szCs w:val="21"/>
                <w:lang w:val="en-US" w:eastAsia="zh-CN"/>
              </w:rPr>
              <w:t>1</w:t>
            </w:r>
          </w:p>
          <w:p w14:paraId="1DEB6DDB">
            <w:pPr>
              <w:snapToGrid w:val="0"/>
              <w:spacing w:line="380" w:lineRule="exact"/>
              <w:jc w:val="center"/>
              <w:rPr>
                <w:rFonts w:hint="default" w:ascii="宋体" w:hAnsi="宋体" w:eastAsia="宋体" w:cs="Times New Roman"/>
                <w:szCs w:val="21"/>
                <w:lang w:val="en-US" w:eastAsia="zh-CN"/>
              </w:rPr>
            </w:pPr>
            <w:r>
              <w:rPr>
                <w:rFonts w:hint="eastAsia" w:ascii="宋体" w:hAnsi="宋体" w:cs="Times New Roman"/>
                <w:szCs w:val="21"/>
                <w:lang w:val="en-US" w:eastAsia="zh-CN"/>
              </w:rPr>
              <w:t>（</w:t>
            </w:r>
            <w:r>
              <w:rPr>
                <w:rFonts w:hint="eastAsia" w:ascii="宋体" w:hAnsi="宋体"/>
                <w:szCs w:val="21"/>
                <w:lang w:val="en-US" w:eastAsia="zh-CN"/>
              </w:rPr>
              <w:t>1-12月</w:t>
            </w:r>
            <w:r>
              <w:rPr>
                <w:rFonts w:hint="eastAsia" w:ascii="宋体" w:hAnsi="宋体" w:cs="Times New Roman"/>
                <w:szCs w:val="21"/>
                <w:lang w:val="en-US" w:eastAsia="zh-CN"/>
              </w:rPr>
              <w:t>）</w:t>
            </w:r>
          </w:p>
        </w:tc>
        <w:tc>
          <w:tcPr>
            <w:tcW w:w="840" w:type="dxa"/>
            <w:vMerge w:val="restart"/>
            <w:noWrap w:val="0"/>
            <w:vAlign w:val="center"/>
          </w:tcPr>
          <w:p w14:paraId="03A3D930">
            <w:pPr>
              <w:snapToGrid w:val="0"/>
              <w:spacing w:line="380" w:lineRule="exact"/>
              <w:jc w:val="center"/>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项</w:t>
            </w:r>
          </w:p>
        </w:tc>
        <w:tc>
          <w:tcPr>
            <w:tcW w:w="1606" w:type="dxa"/>
            <w:noWrap w:val="0"/>
            <w:vAlign w:val="center"/>
          </w:tcPr>
          <w:p w14:paraId="27F81527">
            <w:pPr>
              <w:snapToGrid w:val="0"/>
              <w:spacing w:line="380" w:lineRule="exact"/>
              <w:jc w:val="center"/>
              <w:rPr>
                <w:rFonts w:hint="eastAsia" w:ascii="宋体" w:hAnsi="宋体" w:eastAsia="宋体" w:cs="Times New Roman"/>
                <w:szCs w:val="21"/>
                <w:lang w:val="en-US" w:eastAsia="zh-CN"/>
              </w:rPr>
            </w:pPr>
          </w:p>
        </w:tc>
        <w:tc>
          <w:tcPr>
            <w:tcW w:w="2206" w:type="dxa"/>
            <w:noWrap w:val="0"/>
            <w:vAlign w:val="center"/>
          </w:tcPr>
          <w:p w14:paraId="373663DC">
            <w:pPr>
              <w:snapToGrid w:val="0"/>
              <w:spacing w:line="380" w:lineRule="exact"/>
              <w:jc w:val="center"/>
              <w:rPr>
                <w:rFonts w:hint="eastAsia" w:ascii="宋体" w:hAnsi="宋体" w:eastAsia="宋体" w:cs="Times New Roman"/>
                <w:szCs w:val="21"/>
                <w:lang w:val="en-US" w:eastAsia="zh-CN"/>
              </w:rPr>
            </w:pPr>
          </w:p>
        </w:tc>
      </w:tr>
      <w:tr w14:paraId="2F1DA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870" w:type="dxa"/>
            <w:noWrap w:val="0"/>
            <w:vAlign w:val="center"/>
          </w:tcPr>
          <w:p w14:paraId="7E1B6E3E">
            <w:pPr>
              <w:snapToGrid w:val="0"/>
              <w:spacing w:line="380" w:lineRule="exact"/>
              <w:jc w:val="center"/>
              <w:rPr>
                <w:rFonts w:hint="default" w:ascii="宋体" w:hAnsi="宋体"/>
                <w:szCs w:val="21"/>
                <w:lang w:val="en-US" w:eastAsia="zh-CN"/>
              </w:rPr>
            </w:pPr>
            <w:r>
              <w:rPr>
                <w:rFonts w:hint="eastAsia" w:ascii="宋体" w:hAnsi="宋体"/>
                <w:szCs w:val="21"/>
                <w:lang w:val="en-US" w:eastAsia="zh-CN"/>
              </w:rPr>
              <w:t>2</w:t>
            </w:r>
          </w:p>
        </w:tc>
        <w:tc>
          <w:tcPr>
            <w:tcW w:w="2570" w:type="dxa"/>
            <w:vMerge w:val="continue"/>
            <w:noWrap w:val="0"/>
            <w:vAlign w:val="center"/>
          </w:tcPr>
          <w:p w14:paraId="324CD139">
            <w:pPr>
              <w:snapToGrid w:val="0"/>
              <w:spacing w:line="380" w:lineRule="exact"/>
              <w:jc w:val="center"/>
              <w:rPr>
                <w:rFonts w:hint="eastAsia" w:ascii="宋体" w:hAnsi="宋体" w:eastAsia="宋体" w:cs="Times New Roman"/>
                <w:szCs w:val="21"/>
                <w:lang w:val="en-US" w:eastAsia="zh-CN"/>
              </w:rPr>
            </w:pPr>
          </w:p>
        </w:tc>
        <w:tc>
          <w:tcPr>
            <w:tcW w:w="1684" w:type="dxa"/>
            <w:noWrap w:val="0"/>
            <w:vAlign w:val="center"/>
          </w:tcPr>
          <w:p w14:paraId="4162E2DF">
            <w:pPr>
              <w:snapToGrid w:val="0"/>
              <w:spacing w:line="380" w:lineRule="exact"/>
              <w:jc w:val="center"/>
              <w:rPr>
                <w:rFonts w:hint="eastAsia" w:ascii="宋体" w:hAnsi="宋体" w:cs="Times New Roman"/>
                <w:szCs w:val="21"/>
                <w:lang w:val="en-US" w:eastAsia="zh-CN"/>
              </w:rPr>
            </w:pPr>
            <w:r>
              <w:rPr>
                <w:rFonts w:hint="eastAsia" w:ascii="宋体" w:hAnsi="宋体" w:cs="Times New Roman"/>
                <w:szCs w:val="21"/>
                <w:lang w:val="en-US" w:eastAsia="zh-CN"/>
              </w:rPr>
              <w:t>1</w:t>
            </w:r>
          </w:p>
          <w:p w14:paraId="59079E8A">
            <w:pPr>
              <w:snapToGrid w:val="0"/>
              <w:spacing w:line="380" w:lineRule="exact"/>
              <w:jc w:val="center"/>
              <w:rPr>
                <w:rFonts w:hint="default" w:ascii="宋体" w:hAnsi="宋体" w:eastAsia="宋体" w:cs="Times New Roman"/>
                <w:szCs w:val="21"/>
                <w:lang w:val="en-US" w:eastAsia="zh-CN"/>
              </w:rPr>
            </w:pPr>
            <w:r>
              <w:rPr>
                <w:rFonts w:hint="eastAsia" w:ascii="宋体" w:hAnsi="宋体" w:cs="Times New Roman"/>
                <w:szCs w:val="21"/>
                <w:lang w:val="en-US" w:eastAsia="zh-CN"/>
              </w:rPr>
              <w:t>（</w:t>
            </w:r>
            <w:r>
              <w:rPr>
                <w:rFonts w:hint="eastAsia" w:ascii="宋体" w:hAnsi="宋体"/>
                <w:szCs w:val="21"/>
                <w:lang w:val="en-US" w:eastAsia="zh-CN"/>
              </w:rPr>
              <w:t>13-24月</w:t>
            </w:r>
            <w:r>
              <w:rPr>
                <w:rFonts w:hint="eastAsia" w:ascii="宋体" w:hAnsi="宋体" w:cs="Times New Roman"/>
                <w:szCs w:val="21"/>
                <w:lang w:val="en-US" w:eastAsia="zh-CN"/>
              </w:rPr>
              <w:t>）</w:t>
            </w:r>
          </w:p>
        </w:tc>
        <w:tc>
          <w:tcPr>
            <w:tcW w:w="840" w:type="dxa"/>
            <w:vMerge w:val="continue"/>
            <w:noWrap w:val="0"/>
            <w:vAlign w:val="center"/>
          </w:tcPr>
          <w:p w14:paraId="40AD5EF8">
            <w:pPr>
              <w:snapToGrid w:val="0"/>
              <w:spacing w:line="380" w:lineRule="exact"/>
              <w:jc w:val="center"/>
              <w:rPr>
                <w:rFonts w:hint="eastAsia" w:ascii="宋体" w:hAnsi="宋体" w:eastAsia="宋体" w:cs="Times New Roman"/>
                <w:szCs w:val="21"/>
                <w:lang w:val="en-US" w:eastAsia="zh-CN"/>
              </w:rPr>
            </w:pPr>
          </w:p>
        </w:tc>
        <w:tc>
          <w:tcPr>
            <w:tcW w:w="1606" w:type="dxa"/>
            <w:noWrap w:val="0"/>
            <w:vAlign w:val="center"/>
          </w:tcPr>
          <w:p w14:paraId="0B52DCEF">
            <w:pPr>
              <w:snapToGrid w:val="0"/>
              <w:spacing w:line="380" w:lineRule="exact"/>
              <w:jc w:val="center"/>
              <w:rPr>
                <w:rFonts w:hint="eastAsia" w:ascii="宋体" w:hAnsi="宋体" w:eastAsia="宋体" w:cs="Times New Roman"/>
                <w:szCs w:val="21"/>
                <w:lang w:val="en-US" w:eastAsia="zh-CN"/>
              </w:rPr>
            </w:pPr>
          </w:p>
        </w:tc>
        <w:tc>
          <w:tcPr>
            <w:tcW w:w="2206" w:type="dxa"/>
            <w:noWrap w:val="0"/>
            <w:vAlign w:val="center"/>
          </w:tcPr>
          <w:p w14:paraId="73B67838">
            <w:pPr>
              <w:snapToGrid w:val="0"/>
              <w:spacing w:line="380" w:lineRule="exact"/>
              <w:jc w:val="center"/>
              <w:rPr>
                <w:rFonts w:hint="eastAsia" w:ascii="宋体" w:hAnsi="宋体" w:eastAsia="宋体" w:cs="Times New Roman"/>
                <w:szCs w:val="21"/>
                <w:lang w:val="en-US" w:eastAsia="zh-CN"/>
              </w:rPr>
            </w:pPr>
          </w:p>
        </w:tc>
      </w:tr>
      <w:tr w14:paraId="6BE73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870" w:type="dxa"/>
            <w:noWrap w:val="0"/>
            <w:vAlign w:val="center"/>
          </w:tcPr>
          <w:p w14:paraId="6BA41A4D">
            <w:pPr>
              <w:snapToGrid w:val="0"/>
              <w:spacing w:line="380" w:lineRule="exact"/>
              <w:jc w:val="center"/>
              <w:rPr>
                <w:rFonts w:hint="default" w:ascii="宋体" w:hAnsi="宋体"/>
                <w:szCs w:val="21"/>
                <w:lang w:val="en-US" w:eastAsia="zh-CN"/>
              </w:rPr>
            </w:pPr>
            <w:r>
              <w:rPr>
                <w:rFonts w:hint="eastAsia" w:ascii="宋体" w:hAnsi="宋体"/>
                <w:szCs w:val="21"/>
                <w:lang w:val="en-US" w:eastAsia="zh-CN"/>
              </w:rPr>
              <w:t>3</w:t>
            </w:r>
          </w:p>
        </w:tc>
        <w:tc>
          <w:tcPr>
            <w:tcW w:w="2570" w:type="dxa"/>
            <w:vMerge w:val="continue"/>
            <w:noWrap w:val="0"/>
            <w:vAlign w:val="center"/>
          </w:tcPr>
          <w:p w14:paraId="3F16743A">
            <w:pPr>
              <w:snapToGrid w:val="0"/>
              <w:spacing w:line="380" w:lineRule="exact"/>
              <w:jc w:val="center"/>
              <w:rPr>
                <w:rFonts w:hint="eastAsia" w:ascii="宋体" w:hAnsi="宋体" w:eastAsia="宋体" w:cs="Times New Roman"/>
                <w:szCs w:val="21"/>
                <w:lang w:val="en-US" w:eastAsia="zh-CN"/>
              </w:rPr>
            </w:pPr>
          </w:p>
        </w:tc>
        <w:tc>
          <w:tcPr>
            <w:tcW w:w="1684" w:type="dxa"/>
            <w:noWrap w:val="0"/>
            <w:vAlign w:val="center"/>
          </w:tcPr>
          <w:p w14:paraId="75CC269B">
            <w:pPr>
              <w:snapToGrid w:val="0"/>
              <w:spacing w:line="380" w:lineRule="exact"/>
              <w:jc w:val="center"/>
              <w:rPr>
                <w:rFonts w:hint="eastAsia" w:ascii="宋体" w:hAnsi="宋体" w:cs="Times New Roman"/>
                <w:szCs w:val="21"/>
                <w:lang w:val="en-US" w:eastAsia="zh-CN"/>
              </w:rPr>
            </w:pPr>
            <w:r>
              <w:rPr>
                <w:rFonts w:hint="eastAsia" w:ascii="宋体" w:hAnsi="宋体" w:cs="Times New Roman"/>
                <w:szCs w:val="21"/>
                <w:lang w:val="en-US" w:eastAsia="zh-CN"/>
              </w:rPr>
              <w:t>1</w:t>
            </w:r>
          </w:p>
          <w:p w14:paraId="37E3A13E">
            <w:pPr>
              <w:snapToGrid w:val="0"/>
              <w:spacing w:line="380" w:lineRule="exact"/>
              <w:jc w:val="center"/>
              <w:rPr>
                <w:rFonts w:hint="default" w:ascii="宋体" w:hAnsi="宋体" w:eastAsia="宋体" w:cs="Times New Roman"/>
                <w:szCs w:val="21"/>
                <w:lang w:val="en-US" w:eastAsia="zh-CN"/>
              </w:rPr>
            </w:pPr>
            <w:r>
              <w:rPr>
                <w:rFonts w:hint="eastAsia" w:ascii="宋体" w:hAnsi="宋体" w:cs="Times New Roman"/>
                <w:szCs w:val="21"/>
                <w:lang w:val="en-US" w:eastAsia="zh-CN"/>
              </w:rPr>
              <w:t>（</w:t>
            </w:r>
            <w:r>
              <w:rPr>
                <w:rFonts w:hint="eastAsia" w:ascii="宋体" w:hAnsi="宋体"/>
                <w:szCs w:val="21"/>
                <w:lang w:val="en-US" w:eastAsia="zh-CN"/>
              </w:rPr>
              <w:t>25-36月</w:t>
            </w:r>
            <w:r>
              <w:rPr>
                <w:rFonts w:hint="eastAsia" w:ascii="宋体" w:hAnsi="宋体" w:cs="Times New Roman"/>
                <w:szCs w:val="21"/>
                <w:lang w:val="en-US" w:eastAsia="zh-CN"/>
              </w:rPr>
              <w:t>）</w:t>
            </w:r>
          </w:p>
        </w:tc>
        <w:tc>
          <w:tcPr>
            <w:tcW w:w="840" w:type="dxa"/>
            <w:vMerge w:val="continue"/>
            <w:noWrap w:val="0"/>
            <w:vAlign w:val="center"/>
          </w:tcPr>
          <w:p w14:paraId="7BA89067">
            <w:pPr>
              <w:snapToGrid w:val="0"/>
              <w:spacing w:line="380" w:lineRule="exact"/>
              <w:jc w:val="center"/>
              <w:rPr>
                <w:rFonts w:hint="eastAsia" w:ascii="宋体" w:hAnsi="宋体" w:eastAsia="宋体" w:cs="Times New Roman"/>
                <w:szCs w:val="21"/>
                <w:lang w:val="en-US" w:eastAsia="zh-CN"/>
              </w:rPr>
            </w:pPr>
          </w:p>
        </w:tc>
        <w:tc>
          <w:tcPr>
            <w:tcW w:w="1606" w:type="dxa"/>
            <w:noWrap w:val="0"/>
            <w:vAlign w:val="center"/>
          </w:tcPr>
          <w:p w14:paraId="58AA081E">
            <w:pPr>
              <w:snapToGrid w:val="0"/>
              <w:spacing w:line="380" w:lineRule="exact"/>
              <w:jc w:val="center"/>
              <w:rPr>
                <w:rFonts w:hint="eastAsia" w:ascii="宋体" w:hAnsi="宋体" w:eastAsia="宋体" w:cs="Times New Roman"/>
                <w:szCs w:val="21"/>
                <w:lang w:val="en-US" w:eastAsia="zh-CN"/>
              </w:rPr>
            </w:pPr>
          </w:p>
        </w:tc>
        <w:tc>
          <w:tcPr>
            <w:tcW w:w="2206" w:type="dxa"/>
            <w:noWrap w:val="0"/>
            <w:vAlign w:val="center"/>
          </w:tcPr>
          <w:p w14:paraId="78BE6F44">
            <w:pPr>
              <w:snapToGrid w:val="0"/>
              <w:spacing w:line="380" w:lineRule="exact"/>
              <w:jc w:val="center"/>
              <w:rPr>
                <w:rFonts w:hint="eastAsia" w:ascii="宋体" w:hAnsi="宋体" w:eastAsia="宋体" w:cs="Times New Roman"/>
                <w:szCs w:val="21"/>
                <w:lang w:val="en-US" w:eastAsia="zh-CN"/>
              </w:rPr>
            </w:pPr>
          </w:p>
        </w:tc>
      </w:tr>
      <w:tr w14:paraId="78772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7570" w:type="dxa"/>
            <w:gridSpan w:val="5"/>
            <w:noWrap w:val="0"/>
            <w:vAlign w:val="center"/>
          </w:tcPr>
          <w:p w14:paraId="648EA56F">
            <w:pPr>
              <w:snapToGrid w:val="0"/>
              <w:spacing w:line="380" w:lineRule="exact"/>
              <w:rPr>
                <w:rFonts w:hint="eastAsia" w:ascii="宋体" w:hAnsi="宋体"/>
                <w:szCs w:val="21"/>
              </w:rPr>
            </w:pPr>
            <w:r>
              <w:rPr>
                <w:rFonts w:hint="eastAsia" w:ascii="宋体" w:hAnsi="宋体"/>
                <w:szCs w:val="21"/>
              </w:rPr>
              <w:t xml:space="preserve">                                                      合     计</w:t>
            </w:r>
          </w:p>
        </w:tc>
        <w:tc>
          <w:tcPr>
            <w:tcW w:w="2206" w:type="dxa"/>
            <w:noWrap w:val="0"/>
            <w:vAlign w:val="center"/>
          </w:tcPr>
          <w:p w14:paraId="25408EE1">
            <w:pPr>
              <w:snapToGrid w:val="0"/>
              <w:spacing w:line="380" w:lineRule="exact"/>
              <w:rPr>
                <w:rFonts w:hint="eastAsia" w:ascii="宋体" w:hAnsi="宋体"/>
                <w:szCs w:val="21"/>
              </w:rPr>
            </w:pPr>
          </w:p>
        </w:tc>
      </w:tr>
    </w:tbl>
    <w:p w14:paraId="3DB6F2FF">
      <w:pPr>
        <w:keepNext w:val="0"/>
        <w:keepLines w:val="0"/>
        <w:pageBreakBefore w:val="0"/>
        <w:widowControl w:val="0"/>
        <w:kinsoku/>
        <w:wordWrap/>
        <w:overflowPunct/>
        <w:topLinePunct w:val="0"/>
        <w:autoSpaceDE/>
        <w:autoSpaceDN/>
        <w:bidi w:val="0"/>
        <w:snapToGrid/>
        <w:spacing w:line="288" w:lineRule="auto"/>
        <w:ind w:firstLine="411" w:firstLineChars="196"/>
        <w:rPr>
          <w:rFonts w:hint="eastAsia" w:ascii="宋体" w:hAnsi="宋体" w:cs="宋体"/>
          <w:szCs w:val="21"/>
          <w:highlight w:val="none"/>
        </w:rPr>
      </w:pPr>
      <w:r>
        <w:rPr>
          <w:rFonts w:hint="eastAsia" w:ascii="宋体" w:hAnsi="宋体" w:cs="宋体"/>
          <w:szCs w:val="21"/>
          <w:highlight w:val="none"/>
        </w:rPr>
        <w:t>根据《</w:t>
      </w:r>
      <w:r>
        <w:rPr>
          <w:rFonts w:hint="eastAsia" w:ascii="宋体" w:hAnsi="宋体" w:cs="宋体"/>
          <w:szCs w:val="21"/>
          <w:highlight w:val="none"/>
          <w:lang w:val="en-US" w:eastAsia="zh-CN"/>
        </w:rPr>
        <w:t>中标(</w:t>
      </w:r>
      <w:r>
        <w:rPr>
          <w:rFonts w:hint="eastAsia" w:ascii="宋体" w:hAnsi="宋体" w:cs="宋体"/>
          <w:szCs w:val="21"/>
          <w:highlight w:val="none"/>
        </w:rPr>
        <w:t>成交</w:t>
      </w:r>
      <w:r>
        <w:rPr>
          <w:rFonts w:hint="eastAsia" w:ascii="宋体" w:hAnsi="宋体" w:cs="宋体"/>
          <w:szCs w:val="21"/>
          <w:highlight w:val="none"/>
          <w:lang w:val="en-US" w:eastAsia="zh-CN"/>
        </w:rPr>
        <w:t>)</w:t>
      </w:r>
      <w:r>
        <w:rPr>
          <w:rFonts w:hint="eastAsia" w:ascii="宋体" w:hAnsi="宋体" w:cs="宋体"/>
          <w:szCs w:val="21"/>
          <w:highlight w:val="none"/>
        </w:rPr>
        <w:t>通知书》的成交内容，合同的总金额为：（大写）</w:t>
      </w:r>
      <w:r>
        <w:rPr>
          <w:rFonts w:hint="eastAsia" w:ascii="宋体" w:hAnsi="宋体" w:cs="宋体"/>
          <w:szCs w:val="21"/>
          <w:highlight w:val="none"/>
          <w:u w:val="single"/>
        </w:rPr>
        <w:t xml:space="preserve">        </w:t>
      </w:r>
      <w:r>
        <w:rPr>
          <w:rFonts w:hint="eastAsia" w:ascii="宋体" w:hAnsi="宋体" w:cs="宋体"/>
          <w:szCs w:val="21"/>
          <w:highlight w:val="none"/>
        </w:rPr>
        <w:t>人民币（¥</w:t>
      </w:r>
      <w:r>
        <w:rPr>
          <w:rFonts w:hint="eastAsia" w:ascii="宋体" w:hAnsi="宋体" w:cs="宋体"/>
          <w:szCs w:val="21"/>
          <w:highlight w:val="none"/>
          <w:u w:val="single"/>
        </w:rPr>
        <w:t xml:space="preserve">           </w:t>
      </w:r>
      <w:r>
        <w:rPr>
          <w:rFonts w:hint="eastAsia" w:ascii="宋体" w:hAnsi="宋体" w:cs="宋体"/>
          <w:szCs w:val="21"/>
          <w:highlight w:val="none"/>
        </w:rPr>
        <w:t>元）</w:t>
      </w:r>
    </w:p>
    <w:p w14:paraId="2D63820D">
      <w:pPr>
        <w:keepNext w:val="0"/>
        <w:keepLines w:val="0"/>
        <w:pageBreakBefore w:val="0"/>
        <w:widowControl w:val="0"/>
        <w:kinsoku/>
        <w:wordWrap/>
        <w:overflowPunct/>
        <w:topLinePunct w:val="0"/>
        <w:autoSpaceDE/>
        <w:autoSpaceDN/>
        <w:bidi w:val="0"/>
        <w:snapToGrid/>
        <w:spacing w:line="288" w:lineRule="auto"/>
        <w:ind w:firstLine="411" w:firstLineChars="196"/>
        <w:rPr>
          <w:rFonts w:hint="eastAsia" w:ascii="宋体" w:hAnsi="宋体"/>
          <w:color w:val="auto"/>
          <w:szCs w:val="21"/>
        </w:rPr>
      </w:pPr>
      <w:r>
        <w:rPr>
          <w:rFonts w:ascii="宋体" w:hAnsi="宋体"/>
          <w:color w:val="auto"/>
          <w:szCs w:val="21"/>
        </w:rPr>
        <w:t>2</w:t>
      </w:r>
      <w:r>
        <w:rPr>
          <w:rFonts w:hint="eastAsia" w:ascii="宋体" w:hAnsi="宋体"/>
          <w:color w:val="auto"/>
          <w:szCs w:val="21"/>
        </w:rPr>
        <w:t>.合同价</w:t>
      </w:r>
      <w:r>
        <w:rPr>
          <w:rFonts w:hint="eastAsia" w:ascii="宋体" w:hAnsi="宋体"/>
          <w:color w:val="auto"/>
        </w:rPr>
        <w:t>包含</w:t>
      </w:r>
      <w:r>
        <w:rPr>
          <w:rFonts w:hint="eastAsia" w:ascii="宋体" w:hAnsi="宋体"/>
          <w:color w:val="auto"/>
          <w:szCs w:val="21"/>
        </w:rPr>
        <w:t>服务及配套工具各项内容的价格、必要的保险费用和各项税金、投入人员、维保、培训、技术支持、售后服务等全部费用、履约验收所产生的一切费用。</w:t>
      </w:r>
    </w:p>
    <w:p w14:paraId="2C5DC641">
      <w:pPr>
        <w:keepNext w:val="0"/>
        <w:keepLines w:val="0"/>
        <w:pageBreakBefore w:val="0"/>
        <w:widowControl w:val="0"/>
        <w:kinsoku/>
        <w:wordWrap/>
        <w:overflowPunct/>
        <w:topLinePunct w:val="0"/>
        <w:autoSpaceDE/>
        <w:autoSpaceDN/>
        <w:bidi w:val="0"/>
        <w:snapToGrid/>
        <w:spacing w:line="288" w:lineRule="auto"/>
        <w:ind w:firstLine="413" w:firstLineChars="196"/>
        <w:rPr>
          <w:rFonts w:hint="eastAsia" w:ascii="宋体" w:hAnsi="宋体" w:eastAsia="宋体" w:cs="宋体"/>
          <w:b/>
          <w:color w:val="auto"/>
          <w:sz w:val="21"/>
          <w:szCs w:val="21"/>
        </w:rPr>
      </w:pPr>
      <w:r>
        <w:rPr>
          <w:rFonts w:hint="eastAsia" w:ascii="宋体" w:hAnsi="宋体" w:eastAsia="宋体" w:cs="宋体"/>
          <w:b/>
          <w:color w:val="auto"/>
          <w:sz w:val="21"/>
          <w:szCs w:val="21"/>
        </w:rPr>
        <w:t xml:space="preserve">第二条  </w:t>
      </w:r>
      <w:r>
        <w:rPr>
          <w:rFonts w:hint="eastAsia" w:ascii="宋体" w:hAnsi="宋体" w:eastAsia="宋体" w:cs="宋体"/>
          <w:b/>
          <w:color w:val="auto"/>
          <w:sz w:val="21"/>
          <w:szCs w:val="21"/>
          <w:lang w:val="en-US" w:eastAsia="zh-CN"/>
        </w:rPr>
        <w:t>服务</w:t>
      </w:r>
      <w:r>
        <w:rPr>
          <w:rFonts w:hint="eastAsia" w:ascii="宋体" w:hAnsi="宋体" w:eastAsia="宋体" w:cs="宋体"/>
          <w:b/>
          <w:color w:val="auto"/>
          <w:sz w:val="21"/>
          <w:szCs w:val="21"/>
        </w:rPr>
        <w:t>保证</w:t>
      </w:r>
    </w:p>
    <w:p w14:paraId="37331700">
      <w:pPr>
        <w:keepNext w:val="0"/>
        <w:keepLines w:val="0"/>
        <w:pageBreakBefore w:val="0"/>
        <w:widowControl w:val="0"/>
        <w:kinsoku/>
        <w:wordWrap/>
        <w:overflowPunct/>
        <w:topLinePunct w:val="0"/>
        <w:autoSpaceDE/>
        <w:autoSpaceDN/>
        <w:bidi w:val="0"/>
        <w:snapToGrid/>
        <w:spacing w:line="288" w:lineRule="auto"/>
        <w:ind w:firstLine="411" w:firstLineChars="196"/>
        <w:rPr>
          <w:rFonts w:hint="eastAsia" w:ascii="宋体" w:hAnsi="宋体" w:eastAsia="宋体" w:cs="宋体"/>
          <w:color w:val="auto"/>
          <w:sz w:val="21"/>
          <w:szCs w:val="21"/>
        </w:rPr>
      </w:pPr>
      <w:r>
        <w:rPr>
          <w:rFonts w:hint="eastAsia" w:ascii="宋体" w:hAnsi="宋体" w:eastAsia="宋体" w:cs="宋体"/>
          <w:color w:val="auto"/>
          <w:sz w:val="21"/>
          <w:szCs w:val="21"/>
        </w:rPr>
        <w:t>乙方应按</w:t>
      </w:r>
      <w:r>
        <w:rPr>
          <w:rFonts w:hint="eastAsia" w:ascii="宋体" w:hAnsi="宋体" w:cs="宋体"/>
          <w:color w:val="auto"/>
          <w:sz w:val="21"/>
          <w:szCs w:val="21"/>
          <w:lang w:val="en-US" w:eastAsia="zh-CN"/>
        </w:rPr>
        <w:t>招标文件</w:t>
      </w:r>
      <w:r>
        <w:rPr>
          <w:rFonts w:hint="eastAsia" w:ascii="宋体" w:hAnsi="宋体" w:eastAsia="宋体" w:cs="宋体"/>
          <w:color w:val="auto"/>
          <w:sz w:val="21"/>
          <w:szCs w:val="21"/>
        </w:rPr>
        <w:t>要求及</w:t>
      </w:r>
      <w:r>
        <w:rPr>
          <w:rFonts w:hint="eastAsia" w:ascii="宋体" w:hAnsi="宋体" w:cs="宋体"/>
          <w:color w:val="auto"/>
          <w:sz w:val="21"/>
          <w:szCs w:val="21"/>
          <w:lang w:eastAsia="zh-CN"/>
        </w:rPr>
        <w:t>投标文件</w:t>
      </w:r>
      <w:r>
        <w:rPr>
          <w:rFonts w:hint="eastAsia" w:ascii="宋体" w:hAnsi="宋体" w:eastAsia="宋体" w:cs="宋体"/>
          <w:color w:val="auto"/>
          <w:sz w:val="21"/>
          <w:szCs w:val="21"/>
        </w:rPr>
        <w:t>承诺向甲方提供服务。</w:t>
      </w:r>
    </w:p>
    <w:p w14:paraId="30BDA2A9">
      <w:pPr>
        <w:keepNext w:val="0"/>
        <w:keepLines w:val="0"/>
        <w:pageBreakBefore w:val="0"/>
        <w:widowControl w:val="0"/>
        <w:kinsoku/>
        <w:wordWrap/>
        <w:overflowPunct/>
        <w:topLinePunct w:val="0"/>
        <w:autoSpaceDE/>
        <w:autoSpaceDN/>
        <w:bidi w:val="0"/>
        <w:snapToGrid/>
        <w:spacing w:line="288" w:lineRule="auto"/>
        <w:ind w:firstLine="413" w:firstLineChars="196"/>
        <w:rPr>
          <w:rFonts w:hint="eastAsia" w:ascii="宋体" w:hAnsi="宋体" w:eastAsia="宋体" w:cs="宋体"/>
          <w:b/>
          <w:color w:val="auto"/>
          <w:sz w:val="21"/>
          <w:szCs w:val="21"/>
        </w:rPr>
      </w:pPr>
      <w:r>
        <w:rPr>
          <w:rFonts w:hint="eastAsia" w:ascii="宋体" w:hAnsi="宋体" w:eastAsia="宋体" w:cs="宋体"/>
          <w:b/>
          <w:color w:val="auto"/>
          <w:sz w:val="21"/>
          <w:szCs w:val="21"/>
        </w:rPr>
        <w:t>第三条  服务地点</w:t>
      </w:r>
    </w:p>
    <w:p w14:paraId="457A71A0">
      <w:pPr>
        <w:keepNext w:val="0"/>
        <w:keepLines w:val="0"/>
        <w:pageBreakBefore w:val="0"/>
        <w:widowControl w:val="0"/>
        <w:kinsoku/>
        <w:wordWrap/>
        <w:overflowPunct/>
        <w:topLinePunct w:val="0"/>
        <w:autoSpaceDE/>
        <w:autoSpaceDN/>
        <w:bidi w:val="0"/>
        <w:snapToGrid/>
        <w:spacing w:line="288" w:lineRule="auto"/>
        <w:ind w:firstLine="411" w:firstLineChars="196"/>
        <w:rPr>
          <w:rFonts w:hint="eastAsia" w:ascii="宋体" w:hAnsi="宋体" w:eastAsia="宋体" w:cs="宋体"/>
          <w:bCs/>
          <w:color w:val="auto"/>
          <w:sz w:val="21"/>
          <w:szCs w:val="21"/>
          <w:u w:val="single"/>
        </w:rPr>
      </w:pPr>
      <w:r>
        <w:rPr>
          <w:rFonts w:hint="eastAsia" w:ascii="宋体" w:hAnsi="宋体" w:eastAsia="宋体" w:cs="宋体"/>
          <w:bCs/>
          <w:color w:val="auto"/>
          <w:sz w:val="21"/>
          <w:szCs w:val="21"/>
        </w:rPr>
        <w:t>服务地点：</w:t>
      </w:r>
      <w:r>
        <w:rPr>
          <w:rFonts w:hint="eastAsia" w:ascii="宋体" w:hAnsi="宋体" w:eastAsia="宋体" w:cs="宋体"/>
          <w:bCs/>
          <w:color w:val="auto"/>
          <w:sz w:val="21"/>
          <w:szCs w:val="21"/>
          <w:u w:val="single"/>
        </w:rPr>
        <w:t>桂林市</w:t>
      </w:r>
      <w:r>
        <w:rPr>
          <w:rFonts w:hint="eastAsia" w:ascii="宋体" w:hAnsi="宋体" w:cs="宋体"/>
          <w:bCs/>
          <w:color w:val="auto"/>
          <w:sz w:val="21"/>
          <w:szCs w:val="21"/>
          <w:u w:val="single"/>
          <w:lang w:val="en-US" w:eastAsia="zh-CN"/>
        </w:rPr>
        <w:t>灌阳县</w:t>
      </w:r>
      <w:r>
        <w:rPr>
          <w:rFonts w:hint="eastAsia" w:ascii="宋体" w:hAnsi="宋体" w:eastAsia="宋体" w:cs="宋体"/>
          <w:bCs/>
          <w:color w:val="auto"/>
          <w:sz w:val="21"/>
          <w:szCs w:val="21"/>
          <w:u w:val="single"/>
        </w:rPr>
        <w:t>采购人指定地点。</w:t>
      </w:r>
    </w:p>
    <w:p w14:paraId="509D0EB9">
      <w:pPr>
        <w:keepNext w:val="0"/>
        <w:keepLines w:val="0"/>
        <w:pageBreakBefore w:val="0"/>
        <w:widowControl w:val="0"/>
        <w:kinsoku/>
        <w:wordWrap/>
        <w:overflowPunct/>
        <w:topLinePunct w:val="0"/>
        <w:autoSpaceDE/>
        <w:autoSpaceDN/>
        <w:bidi w:val="0"/>
        <w:snapToGrid/>
        <w:spacing w:line="288" w:lineRule="auto"/>
        <w:ind w:firstLine="413" w:firstLineChars="196"/>
        <w:rPr>
          <w:rFonts w:hint="eastAsia" w:ascii="宋体" w:hAnsi="宋体" w:eastAsia="宋体" w:cs="宋体"/>
          <w:b/>
          <w:color w:val="auto"/>
          <w:sz w:val="21"/>
          <w:szCs w:val="21"/>
        </w:rPr>
      </w:pPr>
      <w:r>
        <w:rPr>
          <w:rFonts w:hint="eastAsia" w:ascii="宋体" w:hAnsi="宋体" w:eastAsia="宋体" w:cs="宋体"/>
          <w:b/>
          <w:color w:val="auto"/>
          <w:sz w:val="21"/>
          <w:szCs w:val="21"/>
        </w:rPr>
        <w:t>第四条  双方责任</w:t>
      </w:r>
    </w:p>
    <w:p w14:paraId="24287ACC">
      <w:pPr>
        <w:pStyle w:val="20"/>
        <w:keepNext w:val="0"/>
        <w:keepLines w:val="0"/>
        <w:pageBreakBefore w:val="0"/>
        <w:widowControl w:val="0"/>
        <w:kinsoku/>
        <w:wordWrap/>
        <w:overflowPunct/>
        <w:topLinePunct w:val="0"/>
        <w:autoSpaceDE/>
        <w:autoSpaceDN/>
        <w:bidi w:val="0"/>
        <w:snapToGrid/>
        <w:spacing w:line="288" w:lineRule="auto"/>
        <w:ind w:firstLine="398" w:firstLineChars="189"/>
        <w:rPr>
          <w:rFonts w:hint="eastAsia" w:ascii="宋体" w:hAnsi="宋体" w:eastAsia="宋体" w:cs="宋体"/>
          <w:b/>
          <w:color w:val="auto"/>
          <w:sz w:val="21"/>
          <w:szCs w:val="21"/>
        </w:rPr>
      </w:pPr>
      <w:r>
        <w:rPr>
          <w:rFonts w:hint="eastAsia" w:ascii="宋体" w:hAnsi="宋体" w:eastAsia="宋体" w:cs="宋体"/>
          <w:b/>
          <w:color w:val="auto"/>
          <w:sz w:val="21"/>
          <w:szCs w:val="21"/>
        </w:rPr>
        <w:t>1、甲方责任</w:t>
      </w:r>
    </w:p>
    <w:p w14:paraId="75333538">
      <w:pPr>
        <w:keepNext w:val="0"/>
        <w:keepLines w:val="0"/>
        <w:pageBreakBefore w:val="0"/>
        <w:widowControl w:val="0"/>
        <w:kinsoku/>
        <w:wordWrap/>
        <w:overflowPunct/>
        <w:topLinePunct w:val="0"/>
        <w:autoSpaceDE/>
        <w:autoSpaceDN/>
        <w:bidi w:val="0"/>
        <w:snapToGrid/>
        <w:spacing w:line="288"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1.1向乙方项目人员详细介绍项目情况。</w:t>
      </w:r>
    </w:p>
    <w:p w14:paraId="3688DC87">
      <w:pPr>
        <w:keepNext w:val="0"/>
        <w:keepLines w:val="0"/>
        <w:pageBreakBefore w:val="0"/>
        <w:widowControl w:val="0"/>
        <w:kinsoku/>
        <w:wordWrap/>
        <w:overflowPunct/>
        <w:topLinePunct w:val="0"/>
        <w:autoSpaceDE/>
        <w:autoSpaceDN/>
        <w:bidi w:val="0"/>
        <w:snapToGrid/>
        <w:spacing w:line="288"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1.2及时审定乙方提供的系统报告。</w:t>
      </w:r>
    </w:p>
    <w:p w14:paraId="46FAB85A">
      <w:pPr>
        <w:keepNext w:val="0"/>
        <w:keepLines w:val="0"/>
        <w:pageBreakBefore w:val="0"/>
        <w:widowControl w:val="0"/>
        <w:kinsoku/>
        <w:wordWrap/>
        <w:overflowPunct/>
        <w:topLinePunct w:val="0"/>
        <w:autoSpaceDE/>
        <w:autoSpaceDN/>
        <w:bidi w:val="0"/>
        <w:snapToGrid/>
        <w:spacing w:line="288"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1.3向乙方提供相关文件资料，以便乙方能够及时、顺利地开展工作。</w:t>
      </w:r>
    </w:p>
    <w:p w14:paraId="65FC3B0F">
      <w:pPr>
        <w:keepNext w:val="0"/>
        <w:keepLines w:val="0"/>
        <w:pageBreakBefore w:val="0"/>
        <w:widowControl w:val="0"/>
        <w:kinsoku/>
        <w:wordWrap/>
        <w:overflowPunct/>
        <w:topLinePunct w:val="0"/>
        <w:autoSpaceDE/>
        <w:autoSpaceDN/>
        <w:bidi w:val="0"/>
        <w:snapToGrid/>
        <w:spacing w:line="288" w:lineRule="auto"/>
        <w:ind w:left="420"/>
        <w:rPr>
          <w:rFonts w:hint="eastAsia" w:ascii="宋体" w:hAnsi="宋体" w:eastAsia="宋体" w:cs="宋体"/>
          <w:color w:val="auto"/>
          <w:sz w:val="21"/>
          <w:szCs w:val="21"/>
        </w:rPr>
      </w:pPr>
      <w:r>
        <w:rPr>
          <w:rFonts w:hint="eastAsia" w:ascii="宋体" w:hAnsi="宋体" w:eastAsia="宋体" w:cs="宋体"/>
          <w:b/>
          <w:color w:val="auto"/>
          <w:sz w:val="21"/>
          <w:szCs w:val="21"/>
        </w:rPr>
        <w:t>2、乙方责任</w:t>
      </w:r>
    </w:p>
    <w:p w14:paraId="1FE5A7F9">
      <w:pPr>
        <w:keepNext w:val="0"/>
        <w:keepLines w:val="0"/>
        <w:pageBreakBefore w:val="0"/>
        <w:widowControl w:val="0"/>
        <w:kinsoku/>
        <w:wordWrap/>
        <w:overflowPunct/>
        <w:topLinePunct w:val="0"/>
        <w:autoSpaceDE/>
        <w:autoSpaceDN/>
        <w:bidi w:val="0"/>
        <w:snapToGrid/>
        <w:spacing w:line="288"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2.1乙方的合同义务不得转让或以其他方式形成实质转移，必须自行履行合同义务。</w:t>
      </w:r>
    </w:p>
    <w:p w14:paraId="44D1730A">
      <w:pPr>
        <w:keepNext w:val="0"/>
        <w:keepLines w:val="0"/>
        <w:pageBreakBefore w:val="0"/>
        <w:widowControl w:val="0"/>
        <w:kinsoku/>
        <w:wordWrap/>
        <w:overflowPunct/>
        <w:topLinePunct w:val="0"/>
        <w:autoSpaceDE/>
        <w:autoSpaceDN/>
        <w:bidi w:val="0"/>
        <w:snapToGrid/>
        <w:spacing w:line="288"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2.2乙方保证使用的图片和文字不侵犯任何第三方的知识产权或其他权利，符合中华人民共和国的法律规定，对因违反相关法律规定而产生的相关责任，由乙方负责。</w:t>
      </w:r>
    </w:p>
    <w:p w14:paraId="658F222D">
      <w:pPr>
        <w:keepNext w:val="0"/>
        <w:keepLines w:val="0"/>
        <w:pageBreakBefore w:val="0"/>
        <w:widowControl w:val="0"/>
        <w:kinsoku/>
        <w:wordWrap/>
        <w:overflowPunct/>
        <w:topLinePunct w:val="0"/>
        <w:autoSpaceDE/>
        <w:autoSpaceDN/>
        <w:bidi w:val="0"/>
        <w:snapToGrid/>
        <w:spacing w:line="288"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2.3在合同范围内为甲方提供良好的配套服务。</w:t>
      </w:r>
    </w:p>
    <w:p w14:paraId="1E9811EF">
      <w:pPr>
        <w:keepNext w:val="0"/>
        <w:keepLines w:val="0"/>
        <w:pageBreakBefore w:val="0"/>
        <w:widowControl w:val="0"/>
        <w:kinsoku/>
        <w:wordWrap/>
        <w:overflowPunct/>
        <w:topLinePunct w:val="0"/>
        <w:autoSpaceDE/>
        <w:autoSpaceDN/>
        <w:bidi w:val="0"/>
        <w:snapToGrid/>
        <w:spacing w:line="288"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2.4 在项目服务过程中，乙方须接受甲方的监督，对甲方所提出的整改意见要及时进行整改。</w:t>
      </w:r>
    </w:p>
    <w:p w14:paraId="5CE89683">
      <w:pPr>
        <w:keepNext w:val="0"/>
        <w:keepLines w:val="0"/>
        <w:pageBreakBefore w:val="0"/>
        <w:widowControl w:val="0"/>
        <w:kinsoku/>
        <w:wordWrap/>
        <w:overflowPunct/>
        <w:topLinePunct w:val="0"/>
        <w:autoSpaceDE/>
        <w:autoSpaceDN/>
        <w:bidi w:val="0"/>
        <w:snapToGrid/>
        <w:spacing w:line="288"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2.5乙方对项目负有保密义务，未经甲方允许，不得外泄项目任何信息；因乙方擅自外泄项目信息，而造成不良影响或损失的，乙方承担相应责任。</w:t>
      </w:r>
    </w:p>
    <w:p w14:paraId="203456E2">
      <w:pPr>
        <w:keepNext w:val="0"/>
        <w:keepLines w:val="0"/>
        <w:pageBreakBefore w:val="0"/>
        <w:widowControl w:val="0"/>
        <w:kinsoku/>
        <w:wordWrap/>
        <w:overflowPunct/>
        <w:topLinePunct w:val="0"/>
        <w:autoSpaceDE/>
        <w:autoSpaceDN/>
        <w:bidi w:val="0"/>
        <w:adjustRightInd w:val="0"/>
        <w:snapToGrid/>
        <w:spacing w:line="288"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2.6乙方须提供一名指定的服务人员在工作过程中与甲方长期保持联系，并提供系统的业务咨询电话以便随时咨询联系。</w:t>
      </w:r>
    </w:p>
    <w:p w14:paraId="73D872FA">
      <w:pPr>
        <w:keepNext w:val="0"/>
        <w:keepLines w:val="0"/>
        <w:pageBreakBefore w:val="0"/>
        <w:widowControl w:val="0"/>
        <w:kinsoku/>
        <w:wordWrap/>
        <w:overflowPunct/>
        <w:topLinePunct w:val="0"/>
        <w:autoSpaceDE/>
        <w:autoSpaceDN/>
        <w:bidi w:val="0"/>
        <w:snapToGrid/>
        <w:spacing w:line="288" w:lineRule="auto"/>
        <w:ind w:firstLine="413" w:firstLineChars="196"/>
        <w:rPr>
          <w:rFonts w:hint="eastAsia" w:ascii="宋体" w:hAnsi="宋体" w:eastAsia="宋体" w:cs="宋体"/>
          <w:b/>
          <w:color w:val="auto"/>
          <w:sz w:val="21"/>
          <w:szCs w:val="21"/>
        </w:rPr>
      </w:pPr>
      <w:r>
        <w:rPr>
          <w:rFonts w:hint="eastAsia" w:ascii="宋体" w:hAnsi="宋体" w:eastAsia="宋体" w:cs="宋体"/>
          <w:b/>
          <w:color w:val="auto"/>
          <w:sz w:val="21"/>
          <w:szCs w:val="21"/>
        </w:rPr>
        <w:t>第五条  权力保证</w:t>
      </w:r>
    </w:p>
    <w:p w14:paraId="27F791EA">
      <w:pPr>
        <w:keepNext w:val="0"/>
        <w:keepLines w:val="0"/>
        <w:pageBreakBefore w:val="0"/>
        <w:widowControl w:val="0"/>
        <w:kinsoku/>
        <w:wordWrap/>
        <w:overflowPunct/>
        <w:topLinePunct w:val="0"/>
        <w:autoSpaceDE/>
        <w:autoSpaceDN/>
        <w:bidi w:val="0"/>
        <w:snapToGrid/>
        <w:spacing w:line="288" w:lineRule="auto"/>
        <w:ind w:firstLine="411" w:firstLineChars="196"/>
        <w:rPr>
          <w:rFonts w:hint="eastAsia" w:ascii="宋体" w:hAnsi="宋体" w:eastAsia="宋体" w:cs="宋体"/>
          <w:color w:val="auto"/>
          <w:sz w:val="21"/>
          <w:szCs w:val="21"/>
        </w:rPr>
      </w:pPr>
      <w:r>
        <w:rPr>
          <w:rFonts w:hint="eastAsia" w:ascii="宋体" w:hAnsi="宋体" w:eastAsia="宋体" w:cs="宋体"/>
          <w:color w:val="auto"/>
          <w:sz w:val="21"/>
          <w:szCs w:val="21"/>
        </w:rPr>
        <w:t>1、乙方应保证所提供服务在使用时不会侵犯任何第三方的专利权或其他权利。</w:t>
      </w:r>
    </w:p>
    <w:p w14:paraId="21E77795">
      <w:pPr>
        <w:keepNext w:val="0"/>
        <w:keepLines w:val="0"/>
        <w:pageBreakBefore w:val="0"/>
        <w:widowControl w:val="0"/>
        <w:kinsoku/>
        <w:wordWrap/>
        <w:overflowPunct/>
        <w:topLinePunct w:val="0"/>
        <w:autoSpaceDE/>
        <w:autoSpaceDN/>
        <w:bidi w:val="0"/>
        <w:snapToGrid/>
        <w:spacing w:line="288"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2、乙方应按</w:t>
      </w:r>
      <w:r>
        <w:rPr>
          <w:rFonts w:hint="eastAsia" w:ascii="宋体" w:hAnsi="宋体" w:cs="宋体"/>
          <w:color w:val="auto"/>
          <w:sz w:val="21"/>
          <w:szCs w:val="21"/>
          <w:lang w:eastAsia="zh-CN"/>
        </w:rPr>
        <w:t>招标文件</w:t>
      </w:r>
      <w:r>
        <w:rPr>
          <w:rFonts w:hint="eastAsia" w:ascii="宋体" w:hAnsi="宋体" w:eastAsia="宋体" w:cs="宋体"/>
          <w:color w:val="auto"/>
          <w:sz w:val="21"/>
          <w:szCs w:val="21"/>
        </w:rPr>
        <w:t>规定的时间向甲方提供使用服务的有关技术资料。</w:t>
      </w:r>
    </w:p>
    <w:p w14:paraId="63944FA4">
      <w:pPr>
        <w:keepNext w:val="0"/>
        <w:keepLines w:val="0"/>
        <w:pageBreakBefore w:val="0"/>
        <w:widowControl w:val="0"/>
        <w:kinsoku/>
        <w:wordWrap/>
        <w:overflowPunct/>
        <w:topLinePunct w:val="0"/>
        <w:autoSpaceDE/>
        <w:autoSpaceDN/>
        <w:bidi w:val="0"/>
        <w:snapToGrid/>
        <w:spacing w:line="288" w:lineRule="auto"/>
        <w:ind w:firstLine="413" w:firstLineChars="196"/>
        <w:rPr>
          <w:rFonts w:hint="eastAsia" w:ascii="宋体" w:hAnsi="宋体" w:eastAsia="宋体" w:cs="宋体"/>
          <w:b/>
          <w:color w:val="auto"/>
          <w:sz w:val="21"/>
          <w:szCs w:val="21"/>
        </w:rPr>
      </w:pPr>
      <w:r>
        <w:rPr>
          <w:rFonts w:hint="eastAsia" w:ascii="宋体" w:hAnsi="宋体" w:eastAsia="宋体" w:cs="宋体"/>
          <w:b/>
          <w:color w:val="auto"/>
          <w:sz w:val="21"/>
          <w:szCs w:val="21"/>
        </w:rPr>
        <w:t>第六条  服务期限</w:t>
      </w:r>
    </w:p>
    <w:p w14:paraId="07622466">
      <w:pPr>
        <w:keepNext w:val="0"/>
        <w:keepLines w:val="0"/>
        <w:pageBreakBefore w:val="0"/>
        <w:widowControl w:val="0"/>
        <w:kinsoku/>
        <w:wordWrap/>
        <w:overflowPunct/>
        <w:topLinePunct w:val="0"/>
        <w:autoSpaceDE/>
        <w:autoSpaceDN/>
        <w:bidi w:val="0"/>
        <w:snapToGrid/>
        <w:spacing w:line="288" w:lineRule="auto"/>
        <w:ind w:firstLine="411" w:firstLineChars="196"/>
        <w:rPr>
          <w:rFonts w:hint="eastAsia" w:ascii="宋体" w:hAnsi="宋体" w:eastAsia="宋体" w:cs="宋体"/>
          <w:color w:val="auto"/>
          <w:sz w:val="21"/>
          <w:szCs w:val="21"/>
        </w:rPr>
      </w:pPr>
      <w:r>
        <w:rPr>
          <w:rFonts w:hint="eastAsia" w:ascii="宋体" w:hAnsi="宋体" w:eastAsia="宋体" w:cs="宋体"/>
          <w:color w:val="auto"/>
          <w:sz w:val="21"/>
          <w:szCs w:val="21"/>
        </w:rPr>
        <w:t>1、服务期限：自合同签订之日起</w:t>
      </w:r>
      <w:r>
        <w:rPr>
          <w:rFonts w:hint="eastAsia" w:ascii="宋体" w:hAnsi="宋体" w:cs="宋体"/>
          <w:color w:val="auto"/>
          <w:sz w:val="21"/>
          <w:szCs w:val="21"/>
          <w:lang w:val="en-US" w:eastAsia="zh-CN"/>
        </w:rPr>
        <w:t>36个月</w:t>
      </w:r>
      <w:r>
        <w:rPr>
          <w:rFonts w:hint="eastAsia" w:ascii="宋体" w:hAnsi="宋体" w:eastAsia="宋体" w:cs="宋体"/>
          <w:color w:val="auto"/>
          <w:sz w:val="21"/>
          <w:szCs w:val="21"/>
        </w:rPr>
        <w:t>。</w:t>
      </w:r>
    </w:p>
    <w:p w14:paraId="1144A937">
      <w:pPr>
        <w:keepNext w:val="0"/>
        <w:keepLines w:val="0"/>
        <w:pageBreakBefore w:val="0"/>
        <w:widowControl w:val="0"/>
        <w:kinsoku/>
        <w:wordWrap/>
        <w:overflowPunct/>
        <w:topLinePunct w:val="0"/>
        <w:autoSpaceDE/>
        <w:autoSpaceDN/>
        <w:bidi w:val="0"/>
        <w:snapToGrid/>
        <w:spacing w:line="288" w:lineRule="auto"/>
        <w:ind w:firstLine="411" w:firstLineChars="196"/>
        <w:rPr>
          <w:rFonts w:hint="eastAsia" w:ascii="宋体" w:hAnsi="宋体" w:eastAsia="宋体" w:cs="宋体"/>
          <w:color w:val="auto"/>
          <w:sz w:val="21"/>
          <w:szCs w:val="21"/>
        </w:rPr>
      </w:pPr>
      <w:r>
        <w:rPr>
          <w:rFonts w:hint="eastAsia" w:ascii="宋体" w:hAnsi="宋体" w:eastAsia="宋体" w:cs="宋体"/>
          <w:color w:val="auto"/>
          <w:sz w:val="21"/>
          <w:szCs w:val="21"/>
        </w:rPr>
        <w:t>2、乙方提供不符合</w:t>
      </w:r>
      <w:r>
        <w:rPr>
          <w:rFonts w:hint="eastAsia" w:ascii="宋体" w:hAnsi="宋体" w:cs="宋体"/>
          <w:color w:val="auto"/>
          <w:sz w:val="21"/>
          <w:szCs w:val="21"/>
          <w:lang w:eastAsia="zh-CN"/>
        </w:rPr>
        <w:t>招标文件</w:t>
      </w:r>
      <w:r>
        <w:rPr>
          <w:rFonts w:hint="eastAsia" w:ascii="宋体" w:hAnsi="宋体" w:eastAsia="宋体" w:cs="宋体"/>
          <w:color w:val="auto"/>
          <w:sz w:val="21"/>
          <w:szCs w:val="21"/>
        </w:rPr>
        <w:t>、</w:t>
      </w:r>
      <w:r>
        <w:rPr>
          <w:rFonts w:hint="eastAsia" w:ascii="宋体" w:hAnsi="宋体" w:cs="宋体"/>
          <w:color w:val="auto"/>
          <w:sz w:val="21"/>
          <w:szCs w:val="21"/>
          <w:lang w:val="en-US" w:eastAsia="zh-CN"/>
        </w:rPr>
        <w:t>投标</w:t>
      </w:r>
      <w:r>
        <w:rPr>
          <w:rFonts w:hint="eastAsia" w:ascii="宋体" w:hAnsi="宋体" w:eastAsia="宋体" w:cs="宋体"/>
          <w:color w:val="auto"/>
          <w:sz w:val="21"/>
          <w:szCs w:val="21"/>
        </w:rPr>
        <w:t>文件和本合同规定的服务，甲方有权拒绝接受。</w:t>
      </w:r>
    </w:p>
    <w:p w14:paraId="25949CDC">
      <w:pPr>
        <w:keepNext w:val="0"/>
        <w:keepLines w:val="0"/>
        <w:pageBreakBefore w:val="0"/>
        <w:widowControl w:val="0"/>
        <w:kinsoku/>
        <w:wordWrap/>
        <w:overflowPunct/>
        <w:topLinePunct w:val="0"/>
        <w:autoSpaceDE/>
        <w:autoSpaceDN/>
        <w:bidi w:val="0"/>
        <w:snapToGrid/>
        <w:spacing w:line="288" w:lineRule="auto"/>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第七条 付款方式</w:t>
      </w:r>
    </w:p>
    <w:p w14:paraId="42091ED0">
      <w:pPr>
        <w:keepNext w:val="0"/>
        <w:keepLines w:val="0"/>
        <w:pageBreakBefore w:val="0"/>
        <w:widowControl w:val="0"/>
        <w:kinsoku/>
        <w:wordWrap/>
        <w:overflowPunct/>
        <w:topLinePunct w:val="0"/>
        <w:autoSpaceDE/>
        <w:autoSpaceDN/>
        <w:bidi w:val="0"/>
        <w:snapToGrid/>
        <w:spacing w:line="288" w:lineRule="auto"/>
        <w:ind w:firstLine="411" w:firstLineChars="196"/>
        <w:rPr>
          <w:rFonts w:hint="eastAsia" w:ascii="宋体" w:hAnsi="宋体" w:eastAsia="宋体" w:cs="Times New Roman"/>
          <w:color w:val="000000"/>
          <w:szCs w:val="21"/>
          <w:highlight w:val="none"/>
        </w:rPr>
      </w:pPr>
      <w:r>
        <w:rPr>
          <w:rFonts w:hint="eastAsia" w:ascii="宋体" w:hAnsi="宋体" w:eastAsia="宋体" w:cs="Times New Roman"/>
          <w:color w:val="000000"/>
          <w:szCs w:val="21"/>
          <w:highlight w:val="none"/>
        </w:rPr>
        <w:t>分3期支付，签定合同后10个工作日内支付当年的合同款(</w:t>
      </w:r>
      <w:r>
        <w:rPr>
          <w:rFonts w:hint="eastAsia" w:ascii="宋体" w:hAnsi="宋体" w:eastAsia="宋体" w:cs="Times New Roman"/>
          <w:color w:val="000000"/>
          <w:szCs w:val="21"/>
          <w:highlight w:val="none"/>
          <w:lang w:val="en-US" w:eastAsia="zh-CN"/>
        </w:rPr>
        <w:t>中标</w:t>
      </w:r>
      <w:r>
        <w:rPr>
          <w:rFonts w:hint="eastAsia" w:ascii="宋体" w:hAnsi="宋体" w:eastAsia="宋体" w:cs="Times New Roman"/>
          <w:color w:val="000000"/>
          <w:szCs w:val="21"/>
          <w:highlight w:val="none"/>
        </w:rPr>
        <w:t>金额):合同期满1年后的1个月内文付第二年的合同款;合同期满2年后的1个月内第三年的合同款。</w:t>
      </w:r>
    </w:p>
    <w:p w14:paraId="31BC2EFE">
      <w:pPr>
        <w:keepNext w:val="0"/>
        <w:keepLines w:val="0"/>
        <w:pageBreakBefore w:val="0"/>
        <w:widowControl w:val="0"/>
        <w:kinsoku/>
        <w:wordWrap/>
        <w:overflowPunct/>
        <w:topLinePunct w:val="0"/>
        <w:autoSpaceDE/>
        <w:autoSpaceDN/>
        <w:bidi w:val="0"/>
        <w:snapToGrid/>
        <w:spacing w:line="288" w:lineRule="auto"/>
        <w:ind w:firstLine="413" w:firstLineChars="196"/>
        <w:rPr>
          <w:rFonts w:hint="eastAsia" w:ascii="宋体" w:hAnsi="宋体" w:eastAsia="宋体" w:cs="宋体"/>
          <w:b/>
          <w:color w:val="auto"/>
          <w:sz w:val="21"/>
          <w:szCs w:val="21"/>
        </w:rPr>
      </w:pPr>
      <w:r>
        <w:rPr>
          <w:rFonts w:hint="eastAsia" w:ascii="宋体" w:hAnsi="宋体" w:eastAsia="宋体" w:cs="宋体"/>
          <w:b/>
          <w:color w:val="auto"/>
          <w:sz w:val="21"/>
          <w:szCs w:val="21"/>
        </w:rPr>
        <w:t>第八条  税费</w:t>
      </w:r>
    </w:p>
    <w:p w14:paraId="6363FA5D">
      <w:pPr>
        <w:keepNext w:val="0"/>
        <w:keepLines w:val="0"/>
        <w:pageBreakBefore w:val="0"/>
        <w:widowControl w:val="0"/>
        <w:kinsoku/>
        <w:wordWrap/>
        <w:overflowPunct/>
        <w:topLinePunct w:val="0"/>
        <w:autoSpaceDE/>
        <w:autoSpaceDN/>
        <w:bidi w:val="0"/>
        <w:snapToGrid/>
        <w:spacing w:line="288" w:lineRule="auto"/>
        <w:ind w:firstLine="411" w:firstLineChars="196"/>
        <w:rPr>
          <w:rFonts w:hint="eastAsia" w:ascii="宋体" w:hAnsi="宋体" w:eastAsia="宋体" w:cs="宋体"/>
          <w:color w:val="auto"/>
          <w:sz w:val="21"/>
          <w:szCs w:val="21"/>
        </w:rPr>
      </w:pPr>
      <w:r>
        <w:rPr>
          <w:rFonts w:hint="eastAsia" w:ascii="宋体" w:hAnsi="宋体" w:eastAsia="宋体" w:cs="宋体"/>
          <w:color w:val="auto"/>
          <w:sz w:val="21"/>
          <w:szCs w:val="21"/>
        </w:rPr>
        <w:t>本合同执行中相关的一切税费均由乙方负担。</w:t>
      </w:r>
    </w:p>
    <w:p w14:paraId="65EE3C27">
      <w:pPr>
        <w:keepNext w:val="0"/>
        <w:keepLines w:val="0"/>
        <w:pageBreakBefore w:val="0"/>
        <w:widowControl w:val="0"/>
        <w:kinsoku/>
        <w:wordWrap/>
        <w:overflowPunct/>
        <w:topLinePunct w:val="0"/>
        <w:autoSpaceDE/>
        <w:autoSpaceDN/>
        <w:bidi w:val="0"/>
        <w:snapToGrid/>
        <w:spacing w:line="288" w:lineRule="auto"/>
        <w:ind w:firstLine="413" w:firstLineChars="196"/>
        <w:rPr>
          <w:rFonts w:hint="eastAsia" w:ascii="宋体" w:hAnsi="宋体" w:eastAsia="宋体" w:cs="宋体"/>
          <w:b/>
          <w:color w:val="auto"/>
          <w:sz w:val="21"/>
          <w:szCs w:val="21"/>
        </w:rPr>
      </w:pPr>
      <w:r>
        <w:rPr>
          <w:rFonts w:hint="eastAsia" w:ascii="宋体" w:hAnsi="宋体" w:eastAsia="宋体" w:cs="宋体"/>
          <w:b/>
          <w:color w:val="auto"/>
          <w:sz w:val="21"/>
          <w:szCs w:val="21"/>
        </w:rPr>
        <w:t>第九条　违约责任</w:t>
      </w:r>
    </w:p>
    <w:p w14:paraId="74408390">
      <w:pPr>
        <w:keepNext w:val="0"/>
        <w:keepLines w:val="0"/>
        <w:pageBreakBefore w:val="0"/>
        <w:widowControl w:val="0"/>
        <w:kinsoku/>
        <w:wordWrap/>
        <w:overflowPunct/>
        <w:topLinePunct w:val="0"/>
        <w:autoSpaceDE/>
        <w:autoSpaceDN/>
        <w:bidi w:val="0"/>
        <w:snapToGrid/>
        <w:spacing w:line="288" w:lineRule="auto"/>
        <w:ind w:firstLine="411" w:firstLineChars="196"/>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甲、乙双方应严格履行合同，除不可抗力情况外，致使本合同不能履行时，甲乙双方均无权提前终止本合同。</w:t>
      </w:r>
    </w:p>
    <w:p w14:paraId="36932ED9">
      <w:pPr>
        <w:keepNext w:val="0"/>
        <w:keepLines w:val="0"/>
        <w:pageBreakBefore w:val="0"/>
        <w:widowControl w:val="0"/>
        <w:kinsoku/>
        <w:wordWrap/>
        <w:overflowPunct/>
        <w:topLinePunct w:val="0"/>
        <w:autoSpaceDE/>
        <w:autoSpaceDN/>
        <w:bidi w:val="0"/>
        <w:snapToGrid/>
        <w:spacing w:line="288" w:lineRule="auto"/>
        <w:ind w:firstLine="411" w:firstLineChars="196"/>
        <w:rPr>
          <w:rFonts w:hint="eastAsia" w:ascii="宋体" w:hAnsi="宋体" w:eastAsia="宋体" w:cs="宋体"/>
          <w:color w:val="auto"/>
          <w:sz w:val="21"/>
          <w:szCs w:val="21"/>
        </w:rPr>
      </w:pPr>
      <w:r>
        <w:rPr>
          <w:rFonts w:hint="eastAsia" w:ascii="宋体" w:hAnsi="宋体" w:eastAsia="宋体" w:cs="宋体"/>
          <w:color w:val="auto"/>
          <w:sz w:val="21"/>
          <w:szCs w:val="21"/>
        </w:rPr>
        <w:t>2</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乙方提供的服务如果侵犯了第三方合法权益而引发的任何纠纷或诉讼，均由乙方负责交涉并承担全部责任。</w:t>
      </w:r>
    </w:p>
    <w:p w14:paraId="34B2704E">
      <w:pPr>
        <w:keepNext w:val="0"/>
        <w:keepLines w:val="0"/>
        <w:pageBreakBefore w:val="0"/>
        <w:widowControl w:val="0"/>
        <w:kinsoku/>
        <w:wordWrap/>
        <w:overflowPunct/>
        <w:topLinePunct w:val="0"/>
        <w:autoSpaceDE/>
        <w:autoSpaceDN/>
        <w:bidi w:val="0"/>
        <w:snapToGrid/>
        <w:spacing w:line="288" w:lineRule="auto"/>
        <w:ind w:firstLine="411" w:firstLineChars="196"/>
        <w:rPr>
          <w:rFonts w:hint="eastAsia" w:ascii="宋体" w:hAnsi="宋体" w:eastAsia="宋体" w:cs="宋体"/>
          <w:color w:val="auto"/>
          <w:sz w:val="21"/>
          <w:szCs w:val="21"/>
        </w:rPr>
      </w:pPr>
      <w:r>
        <w:rPr>
          <w:rFonts w:hint="eastAsia" w:ascii="宋体" w:hAnsi="宋体" w:eastAsia="宋体" w:cs="宋体"/>
          <w:color w:val="auto"/>
          <w:sz w:val="21"/>
          <w:szCs w:val="21"/>
        </w:rPr>
        <w:t>3</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乙方出现重大服务质量问题时必须服从甲方的要求及时整改，若整改三次以上(含三次)都达不到甲方的考核标准，甲方有权终止合同。</w:t>
      </w:r>
    </w:p>
    <w:p w14:paraId="22696713">
      <w:pPr>
        <w:keepNext w:val="0"/>
        <w:keepLines w:val="0"/>
        <w:pageBreakBefore w:val="0"/>
        <w:widowControl w:val="0"/>
        <w:kinsoku/>
        <w:wordWrap/>
        <w:overflowPunct/>
        <w:topLinePunct w:val="0"/>
        <w:autoSpaceDE/>
        <w:autoSpaceDN/>
        <w:bidi w:val="0"/>
        <w:snapToGrid/>
        <w:spacing w:line="288" w:lineRule="auto"/>
        <w:ind w:firstLine="413" w:firstLineChars="196"/>
        <w:rPr>
          <w:rFonts w:hint="eastAsia" w:ascii="宋体" w:hAnsi="宋体" w:eastAsia="宋体" w:cs="宋体"/>
          <w:b/>
          <w:color w:val="auto"/>
          <w:sz w:val="21"/>
          <w:szCs w:val="21"/>
        </w:rPr>
      </w:pPr>
      <w:r>
        <w:rPr>
          <w:rFonts w:hint="eastAsia" w:ascii="宋体" w:hAnsi="宋体" w:eastAsia="宋体" w:cs="宋体"/>
          <w:b/>
          <w:color w:val="auto"/>
          <w:sz w:val="21"/>
          <w:szCs w:val="21"/>
        </w:rPr>
        <w:t>第十条  不可抗力事件处理</w:t>
      </w:r>
    </w:p>
    <w:p w14:paraId="4FEA7850">
      <w:pPr>
        <w:keepNext w:val="0"/>
        <w:keepLines w:val="0"/>
        <w:pageBreakBefore w:val="0"/>
        <w:widowControl w:val="0"/>
        <w:kinsoku/>
        <w:wordWrap/>
        <w:overflowPunct/>
        <w:topLinePunct w:val="0"/>
        <w:autoSpaceDE/>
        <w:autoSpaceDN/>
        <w:bidi w:val="0"/>
        <w:snapToGrid/>
        <w:spacing w:line="288" w:lineRule="auto"/>
        <w:ind w:firstLine="411" w:firstLineChars="196"/>
        <w:rPr>
          <w:rFonts w:hint="eastAsia" w:ascii="宋体" w:hAnsi="宋体" w:eastAsia="宋体" w:cs="宋体"/>
          <w:color w:val="auto"/>
          <w:sz w:val="21"/>
          <w:szCs w:val="21"/>
        </w:rPr>
      </w:pPr>
      <w:r>
        <w:rPr>
          <w:rFonts w:hint="eastAsia" w:ascii="宋体" w:hAnsi="宋体" w:eastAsia="宋体" w:cs="宋体"/>
          <w:color w:val="auto"/>
          <w:sz w:val="21"/>
          <w:szCs w:val="21"/>
        </w:rPr>
        <w:t>1、在合同有效期内，乙方因不可抗力事件导致不能履行合同，则合同履行期可延长，其延长期与不可抗力影响期相同。</w:t>
      </w:r>
    </w:p>
    <w:p w14:paraId="2DBEE6F7">
      <w:pPr>
        <w:keepNext w:val="0"/>
        <w:keepLines w:val="0"/>
        <w:pageBreakBefore w:val="0"/>
        <w:widowControl w:val="0"/>
        <w:kinsoku/>
        <w:wordWrap/>
        <w:overflowPunct/>
        <w:topLinePunct w:val="0"/>
        <w:autoSpaceDE/>
        <w:autoSpaceDN/>
        <w:bidi w:val="0"/>
        <w:snapToGrid/>
        <w:spacing w:line="288" w:lineRule="auto"/>
        <w:ind w:firstLine="411" w:firstLineChars="196"/>
        <w:rPr>
          <w:rFonts w:hint="eastAsia" w:ascii="宋体" w:hAnsi="宋体" w:eastAsia="宋体" w:cs="宋体"/>
          <w:color w:val="auto"/>
          <w:sz w:val="21"/>
          <w:szCs w:val="21"/>
        </w:rPr>
      </w:pPr>
      <w:r>
        <w:rPr>
          <w:rFonts w:hint="eastAsia" w:ascii="宋体" w:hAnsi="宋体" w:eastAsia="宋体" w:cs="宋体"/>
          <w:color w:val="auto"/>
          <w:sz w:val="21"/>
          <w:szCs w:val="21"/>
        </w:rPr>
        <w:t>2、不可抗力事件发生后，应立即通知对方，并寄送有关权威机构出具的证明。</w:t>
      </w:r>
    </w:p>
    <w:p w14:paraId="1EA1E56C">
      <w:pPr>
        <w:keepNext w:val="0"/>
        <w:keepLines w:val="0"/>
        <w:pageBreakBefore w:val="0"/>
        <w:widowControl w:val="0"/>
        <w:kinsoku/>
        <w:wordWrap/>
        <w:overflowPunct/>
        <w:topLinePunct w:val="0"/>
        <w:autoSpaceDE/>
        <w:autoSpaceDN/>
        <w:bidi w:val="0"/>
        <w:snapToGrid/>
        <w:spacing w:line="288" w:lineRule="auto"/>
        <w:ind w:firstLine="411" w:firstLineChars="196"/>
        <w:rPr>
          <w:rFonts w:hint="eastAsia" w:ascii="宋体" w:hAnsi="宋体" w:eastAsia="宋体" w:cs="宋体"/>
          <w:color w:val="auto"/>
          <w:sz w:val="21"/>
          <w:szCs w:val="21"/>
        </w:rPr>
      </w:pPr>
      <w:r>
        <w:rPr>
          <w:rFonts w:hint="eastAsia" w:ascii="宋体" w:hAnsi="宋体" w:eastAsia="宋体" w:cs="宋体"/>
          <w:color w:val="auto"/>
          <w:sz w:val="21"/>
          <w:szCs w:val="21"/>
        </w:rPr>
        <w:t>3、不可抗力事件延续一百二十天以上，双方应通过友好协商，确定是否继续履行合同。</w:t>
      </w:r>
    </w:p>
    <w:p w14:paraId="4268723B">
      <w:pPr>
        <w:keepNext w:val="0"/>
        <w:keepLines w:val="0"/>
        <w:pageBreakBefore w:val="0"/>
        <w:widowControl w:val="0"/>
        <w:kinsoku/>
        <w:wordWrap/>
        <w:overflowPunct/>
        <w:topLinePunct w:val="0"/>
        <w:autoSpaceDE/>
        <w:autoSpaceDN/>
        <w:bidi w:val="0"/>
        <w:snapToGrid/>
        <w:spacing w:line="288" w:lineRule="auto"/>
        <w:ind w:firstLine="413" w:firstLineChars="196"/>
        <w:rPr>
          <w:rFonts w:hint="eastAsia" w:ascii="宋体" w:hAnsi="宋体" w:eastAsia="宋体" w:cs="宋体"/>
          <w:b/>
          <w:color w:val="auto"/>
          <w:sz w:val="21"/>
          <w:szCs w:val="21"/>
        </w:rPr>
      </w:pPr>
      <w:r>
        <w:rPr>
          <w:rFonts w:hint="eastAsia" w:ascii="宋体" w:hAnsi="宋体" w:eastAsia="宋体" w:cs="宋体"/>
          <w:b/>
          <w:color w:val="auto"/>
          <w:sz w:val="21"/>
          <w:szCs w:val="21"/>
        </w:rPr>
        <w:t>第十</w:t>
      </w:r>
      <w:r>
        <w:rPr>
          <w:rFonts w:hint="eastAsia" w:ascii="宋体" w:hAnsi="宋体" w:eastAsia="宋体" w:cs="宋体"/>
          <w:b/>
          <w:color w:val="auto"/>
          <w:sz w:val="21"/>
          <w:szCs w:val="21"/>
          <w:lang w:val="en-US" w:eastAsia="zh-CN"/>
        </w:rPr>
        <w:t>一</w:t>
      </w:r>
      <w:r>
        <w:rPr>
          <w:rFonts w:hint="eastAsia" w:ascii="宋体" w:hAnsi="宋体" w:eastAsia="宋体" w:cs="宋体"/>
          <w:b/>
          <w:color w:val="auto"/>
          <w:sz w:val="21"/>
          <w:szCs w:val="21"/>
        </w:rPr>
        <w:t>条  合同争议解决</w:t>
      </w:r>
    </w:p>
    <w:p w14:paraId="07D06F24">
      <w:pPr>
        <w:keepNext w:val="0"/>
        <w:keepLines w:val="0"/>
        <w:pageBreakBefore w:val="0"/>
        <w:widowControl w:val="0"/>
        <w:kinsoku/>
        <w:wordWrap/>
        <w:overflowPunct/>
        <w:topLinePunct w:val="0"/>
        <w:autoSpaceDE/>
        <w:autoSpaceDN/>
        <w:bidi w:val="0"/>
        <w:snapToGrid/>
        <w:spacing w:line="288" w:lineRule="auto"/>
        <w:ind w:left="14"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1、因服务质量问题发生争议的，应邀请国家认可的质量检测机构对服务质量进行鉴定。服务符合标准的，鉴定费由甲方承担；服务不符合标准的，鉴定费由乙方承担。</w:t>
      </w:r>
    </w:p>
    <w:p w14:paraId="68A17F3F">
      <w:pPr>
        <w:keepNext w:val="0"/>
        <w:keepLines w:val="0"/>
        <w:pageBreakBefore w:val="0"/>
        <w:widowControl w:val="0"/>
        <w:kinsoku/>
        <w:wordWrap/>
        <w:overflowPunct/>
        <w:topLinePunct w:val="0"/>
        <w:autoSpaceDE/>
        <w:autoSpaceDN/>
        <w:bidi w:val="0"/>
        <w:snapToGrid/>
        <w:spacing w:line="288"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2、因履行本合同引起的或与本合同有关的争议，甲乙双方应首先通过友好协商解决，如果协商不能解决，可向桂林市仲裁委员会申请仲裁。</w:t>
      </w:r>
    </w:p>
    <w:p w14:paraId="0930F35C">
      <w:pPr>
        <w:keepNext w:val="0"/>
        <w:keepLines w:val="0"/>
        <w:pageBreakBefore w:val="0"/>
        <w:widowControl w:val="0"/>
        <w:kinsoku/>
        <w:wordWrap/>
        <w:overflowPunct/>
        <w:topLinePunct w:val="0"/>
        <w:autoSpaceDE/>
        <w:autoSpaceDN/>
        <w:bidi w:val="0"/>
        <w:snapToGrid/>
        <w:spacing w:line="288" w:lineRule="auto"/>
        <w:ind w:left="435"/>
        <w:rPr>
          <w:rFonts w:hint="eastAsia" w:ascii="宋体" w:hAnsi="宋体" w:eastAsia="宋体" w:cs="宋体"/>
          <w:color w:val="auto"/>
          <w:sz w:val="21"/>
          <w:szCs w:val="21"/>
        </w:rPr>
      </w:pPr>
      <w:r>
        <w:rPr>
          <w:rFonts w:hint="eastAsia" w:ascii="宋体" w:hAnsi="宋体" w:eastAsia="宋体" w:cs="宋体"/>
          <w:color w:val="auto"/>
          <w:sz w:val="21"/>
          <w:szCs w:val="21"/>
        </w:rPr>
        <w:t>3、诉讼期间，本合同继续履行。</w:t>
      </w:r>
    </w:p>
    <w:p w14:paraId="6B6F5978">
      <w:pPr>
        <w:keepNext w:val="0"/>
        <w:keepLines w:val="0"/>
        <w:pageBreakBefore w:val="0"/>
        <w:widowControl w:val="0"/>
        <w:kinsoku/>
        <w:wordWrap/>
        <w:overflowPunct/>
        <w:topLinePunct w:val="0"/>
        <w:autoSpaceDE/>
        <w:autoSpaceDN/>
        <w:bidi w:val="0"/>
        <w:snapToGrid/>
        <w:spacing w:line="288" w:lineRule="auto"/>
        <w:ind w:firstLine="413" w:firstLineChars="196"/>
        <w:rPr>
          <w:rFonts w:hint="eastAsia" w:ascii="宋体" w:hAnsi="宋体" w:eastAsia="宋体" w:cs="宋体"/>
          <w:b/>
          <w:color w:val="auto"/>
          <w:sz w:val="21"/>
          <w:szCs w:val="21"/>
        </w:rPr>
      </w:pPr>
      <w:r>
        <w:rPr>
          <w:rFonts w:hint="eastAsia" w:ascii="宋体" w:hAnsi="宋体" w:eastAsia="宋体" w:cs="宋体"/>
          <w:b/>
          <w:color w:val="auto"/>
          <w:sz w:val="21"/>
          <w:szCs w:val="21"/>
        </w:rPr>
        <w:t>第十</w:t>
      </w:r>
      <w:r>
        <w:rPr>
          <w:rFonts w:hint="eastAsia" w:ascii="宋体" w:hAnsi="宋体" w:eastAsia="宋体" w:cs="宋体"/>
          <w:b/>
          <w:color w:val="auto"/>
          <w:sz w:val="21"/>
          <w:szCs w:val="21"/>
          <w:lang w:val="en-US" w:eastAsia="zh-CN"/>
        </w:rPr>
        <w:t>二</w:t>
      </w:r>
      <w:r>
        <w:rPr>
          <w:rFonts w:hint="eastAsia" w:ascii="宋体" w:hAnsi="宋体" w:eastAsia="宋体" w:cs="宋体"/>
          <w:b/>
          <w:color w:val="auto"/>
          <w:sz w:val="21"/>
          <w:szCs w:val="21"/>
        </w:rPr>
        <w:t>条  合同生效及其它</w:t>
      </w:r>
    </w:p>
    <w:p w14:paraId="5CE283A2">
      <w:pPr>
        <w:keepNext w:val="0"/>
        <w:keepLines w:val="0"/>
        <w:pageBreakBefore w:val="0"/>
        <w:widowControl w:val="0"/>
        <w:kinsoku/>
        <w:wordWrap/>
        <w:overflowPunct/>
        <w:topLinePunct w:val="0"/>
        <w:autoSpaceDE/>
        <w:autoSpaceDN/>
        <w:bidi w:val="0"/>
        <w:snapToGrid/>
        <w:spacing w:line="288"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1、合同经甲乙双方法定代表人或授权代表签字并加盖双方公章后生效。</w:t>
      </w:r>
    </w:p>
    <w:p w14:paraId="2E5B958C">
      <w:pPr>
        <w:keepNext w:val="0"/>
        <w:keepLines w:val="0"/>
        <w:pageBreakBefore w:val="0"/>
        <w:widowControl w:val="0"/>
        <w:kinsoku/>
        <w:wordWrap/>
        <w:overflowPunct/>
        <w:topLinePunct w:val="0"/>
        <w:autoSpaceDE/>
        <w:autoSpaceDN/>
        <w:bidi w:val="0"/>
        <w:snapToGrid/>
        <w:spacing w:line="288"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2、合同执行中涉及采购资金和采购内容修改或补充的，需经桂林市财政部门审批，并签订书面补充协议报桂林市政府采购管理办公室备案，方可作为主合同不可分割的一部分。</w:t>
      </w:r>
    </w:p>
    <w:p w14:paraId="04E326EF">
      <w:pPr>
        <w:keepNext w:val="0"/>
        <w:keepLines w:val="0"/>
        <w:pageBreakBefore w:val="0"/>
        <w:widowControl w:val="0"/>
        <w:kinsoku/>
        <w:wordWrap/>
        <w:overflowPunct/>
        <w:topLinePunct w:val="0"/>
        <w:autoSpaceDE/>
        <w:autoSpaceDN/>
        <w:bidi w:val="0"/>
        <w:snapToGrid/>
        <w:spacing w:line="288" w:lineRule="auto"/>
        <w:ind w:left="435"/>
        <w:rPr>
          <w:rFonts w:hint="eastAsia" w:ascii="宋体" w:hAnsi="宋体" w:eastAsia="宋体" w:cs="宋体"/>
          <w:color w:val="auto"/>
          <w:sz w:val="21"/>
          <w:szCs w:val="21"/>
        </w:rPr>
      </w:pPr>
      <w:r>
        <w:rPr>
          <w:rFonts w:hint="eastAsia" w:ascii="宋体" w:hAnsi="宋体" w:eastAsia="宋体" w:cs="宋体"/>
          <w:color w:val="auto"/>
          <w:sz w:val="21"/>
          <w:szCs w:val="21"/>
        </w:rPr>
        <w:t>3、本合同未尽事宜，遵照《中华人民共和国民法典》有关条文执行。</w:t>
      </w:r>
    </w:p>
    <w:p w14:paraId="48571537">
      <w:pPr>
        <w:keepNext w:val="0"/>
        <w:keepLines w:val="0"/>
        <w:pageBreakBefore w:val="0"/>
        <w:widowControl w:val="0"/>
        <w:kinsoku/>
        <w:wordWrap/>
        <w:overflowPunct/>
        <w:topLinePunct w:val="0"/>
        <w:autoSpaceDE/>
        <w:autoSpaceDN/>
        <w:bidi w:val="0"/>
        <w:snapToGrid/>
        <w:spacing w:line="288" w:lineRule="auto"/>
        <w:ind w:firstLine="413" w:firstLineChars="196"/>
        <w:rPr>
          <w:rFonts w:hint="eastAsia" w:ascii="宋体" w:hAnsi="宋体" w:eastAsia="宋体" w:cs="宋体"/>
          <w:b/>
          <w:color w:val="auto"/>
          <w:sz w:val="21"/>
          <w:szCs w:val="21"/>
        </w:rPr>
      </w:pPr>
      <w:r>
        <w:rPr>
          <w:rFonts w:hint="eastAsia" w:ascii="宋体" w:hAnsi="宋体" w:eastAsia="宋体" w:cs="宋体"/>
          <w:b/>
          <w:color w:val="auto"/>
          <w:sz w:val="21"/>
          <w:szCs w:val="21"/>
        </w:rPr>
        <w:t>第十</w:t>
      </w:r>
      <w:r>
        <w:rPr>
          <w:rFonts w:hint="eastAsia" w:ascii="宋体" w:hAnsi="宋体" w:eastAsia="宋体" w:cs="宋体"/>
          <w:b/>
          <w:color w:val="auto"/>
          <w:sz w:val="21"/>
          <w:szCs w:val="21"/>
          <w:lang w:val="en-US" w:eastAsia="zh-CN"/>
        </w:rPr>
        <w:t>三</w:t>
      </w:r>
      <w:r>
        <w:rPr>
          <w:rFonts w:hint="eastAsia" w:ascii="宋体" w:hAnsi="宋体" w:eastAsia="宋体" w:cs="宋体"/>
          <w:b/>
          <w:color w:val="auto"/>
          <w:sz w:val="21"/>
          <w:szCs w:val="21"/>
        </w:rPr>
        <w:t>条  合同的变更、终止与转让</w:t>
      </w:r>
    </w:p>
    <w:p w14:paraId="7E749D40">
      <w:pPr>
        <w:keepNext w:val="0"/>
        <w:keepLines w:val="0"/>
        <w:pageBreakBefore w:val="0"/>
        <w:widowControl w:val="0"/>
        <w:kinsoku/>
        <w:wordWrap/>
        <w:overflowPunct/>
        <w:topLinePunct w:val="0"/>
        <w:autoSpaceDE/>
        <w:autoSpaceDN/>
        <w:bidi w:val="0"/>
        <w:snapToGrid/>
        <w:spacing w:line="288" w:lineRule="auto"/>
        <w:ind w:firstLine="420" w:firstLineChars="200"/>
        <w:rPr>
          <w:rFonts w:hint="eastAsia" w:ascii="宋体" w:hAnsi="宋体"/>
          <w:color w:val="auto"/>
          <w:szCs w:val="21"/>
        </w:rPr>
      </w:pPr>
      <w:r>
        <w:rPr>
          <w:rFonts w:hint="eastAsia" w:ascii="宋体" w:hAnsi="宋体"/>
          <w:color w:val="auto"/>
          <w:szCs w:val="21"/>
        </w:rPr>
        <w:t>1</w:t>
      </w:r>
      <w:r>
        <w:rPr>
          <w:rFonts w:hint="eastAsia" w:ascii="宋体" w:hAnsi="宋体"/>
          <w:color w:val="auto"/>
          <w:szCs w:val="21"/>
          <w:lang w:eastAsia="zh-CN"/>
        </w:rPr>
        <w:t>、</w:t>
      </w:r>
      <w:r>
        <w:rPr>
          <w:rFonts w:hint="eastAsia" w:ascii="宋体" w:hAnsi="宋体"/>
          <w:color w:val="auto"/>
          <w:szCs w:val="21"/>
        </w:rPr>
        <w:t>除《中华人民共和国政府采购法》第五十条规定的情形外，本合同一经签订，甲乙双方不得擅自变更，中止或终止。</w:t>
      </w:r>
    </w:p>
    <w:p w14:paraId="3DFAD419">
      <w:pPr>
        <w:keepNext w:val="0"/>
        <w:keepLines w:val="0"/>
        <w:pageBreakBefore w:val="0"/>
        <w:widowControl w:val="0"/>
        <w:kinsoku/>
        <w:wordWrap/>
        <w:overflowPunct/>
        <w:topLinePunct w:val="0"/>
        <w:autoSpaceDE/>
        <w:autoSpaceDN/>
        <w:bidi w:val="0"/>
        <w:adjustRightInd w:val="0"/>
        <w:snapToGrid/>
        <w:spacing w:line="288" w:lineRule="auto"/>
        <w:ind w:left="420"/>
        <w:textAlignment w:val="baseline"/>
        <w:rPr>
          <w:rFonts w:hint="eastAsia" w:ascii="宋体" w:hAnsi="宋体"/>
          <w:color w:val="auto"/>
          <w:szCs w:val="21"/>
        </w:rPr>
      </w:pPr>
      <w:r>
        <w:rPr>
          <w:rFonts w:hint="eastAsia" w:ascii="宋体" w:hAnsi="宋体"/>
          <w:color w:val="auto"/>
          <w:szCs w:val="21"/>
        </w:rPr>
        <w:t>2</w:t>
      </w:r>
      <w:r>
        <w:rPr>
          <w:rFonts w:hint="eastAsia" w:ascii="宋体" w:hAnsi="宋体"/>
          <w:color w:val="auto"/>
          <w:szCs w:val="21"/>
          <w:lang w:eastAsia="zh-CN"/>
        </w:rPr>
        <w:t>、</w:t>
      </w:r>
      <w:r>
        <w:rPr>
          <w:rFonts w:hint="eastAsia" w:ascii="宋体" w:hAnsi="宋体"/>
          <w:color w:val="auto"/>
          <w:szCs w:val="21"/>
        </w:rPr>
        <w:t>乙方不得擅自转让其应履行的合同义务。</w:t>
      </w:r>
    </w:p>
    <w:p w14:paraId="3089C1A6">
      <w:pPr>
        <w:keepNext w:val="0"/>
        <w:keepLines w:val="0"/>
        <w:pageBreakBefore w:val="0"/>
        <w:widowControl w:val="0"/>
        <w:kinsoku/>
        <w:wordWrap/>
        <w:overflowPunct/>
        <w:topLinePunct w:val="0"/>
        <w:autoSpaceDE/>
        <w:autoSpaceDN/>
        <w:bidi w:val="0"/>
        <w:snapToGrid/>
        <w:spacing w:line="288" w:lineRule="auto"/>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第十</w:t>
      </w:r>
      <w:r>
        <w:rPr>
          <w:rFonts w:hint="eastAsia" w:ascii="宋体" w:hAnsi="宋体" w:eastAsia="宋体" w:cs="宋体"/>
          <w:b/>
          <w:color w:val="auto"/>
          <w:sz w:val="21"/>
          <w:szCs w:val="21"/>
          <w:lang w:val="en-US" w:eastAsia="zh-CN"/>
        </w:rPr>
        <w:t>四</w:t>
      </w:r>
      <w:r>
        <w:rPr>
          <w:rFonts w:hint="eastAsia" w:ascii="宋体" w:hAnsi="宋体" w:eastAsia="宋体" w:cs="宋体"/>
          <w:b/>
          <w:color w:val="auto"/>
          <w:sz w:val="21"/>
          <w:szCs w:val="21"/>
        </w:rPr>
        <w:t>条  签订本合同依据：</w:t>
      </w:r>
    </w:p>
    <w:p w14:paraId="3303D859">
      <w:pPr>
        <w:keepNext w:val="0"/>
        <w:keepLines w:val="0"/>
        <w:pageBreakBefore w:val="0"/>
        <w:widowControl w:val="0"/>
        <w:kinsoku/>
        <w:wordWrap/>
        <w:overflowPunct/>
        <w:topLinePunct w:val="0"/>
        <w:autoSpaceDE/>
        <w:autoSpaceDN/>
        <w:bidi w:val="0"/>
        <w:snapToGrid/>
        <w:spacing w:line="288" w:lineRule="auto"/>
        <w:ind w:left="420"/>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cs="宋体"/>
          <w:color w:val="auto"/>
          <w:sz w:val="21"/>
          <w:szCs w:val="21"/>
          <w:lang w:eastAsia="zh-CN"/>
        </w:rPr>
        <w:t>招标文件</w:t>
      </w:r>
      <w:r>
        <w:rPr>
          <w:rFonts w:hint="eastAsia" w:ascii="宋体" w:hAnsi="宋体" w:eastAsia="宋体" w:cs="宋体"/>
          <w:color w:val="auto"/>
          <w:sz w:val="21"/>
          <w:szCs w:val="21"/>
        </w:rPr>
        <w:t>；</w:t>
      </w:r>
    </w:p>
    <w:p w14:paraId="5607D7D6">
      <w:pPr>
        <w:keepNext w:val="0"/>
        <w:keepLines w:val="0"/>
        <w:pageBreakBefore w:val="0"/>
        <w:widowControl w:val="0"/>
        <w:kinsoku/>
        <w:wordWrap/>
        <w:overflowPunct/>
        <w:topLinePunct w:val="0"/>
        <w:autoSpaceDE/>
        <w:autoSpaceDN/>
        <w:bidi w:val="0"/>
        <w:snapToGrid/>
        <w:spacing w:line="288" w:lineRule="auto"/>
        <w:ind w:left="420"/>
        <w:rPr>
          <w:rFonts w:hint="eastAsia" w:ascii="宋体" w:hAnsi="宋体" w:eastAsia="宋体" w:cs="宋体"/>
          <w:color w:val="auto"/>
          <w:sz w:val="21"/>
          <w:szCs w:val="21"/>
        </w:rPr>
      </w:pPr>
      <w:r>
        <w:rPr>
          <w:rFonts w:hint="eastAsia" w:ascii="宋体" w:hAnsi="宋体" w:eastAsia="宋体" w:cs="宋体"/>
          <w:color w:val="auto"/>
          <w:sz w:val="21"/>
          <w:szCs w:val="21"/>
        </w:rPr>
        <w:t>2、乙方提供的</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（或应答）文件；</w:t>
      </w:r>
    </w:p>
    <w:p w14:paraId="14566E68">
      <w:pPr>
        <w:keepNext w:val="0"/>
        <w:keepLines w:val="0"/>
        <w:pageBreakBefore w:val="0"/>
        <w:widowControl w:val="0"/>
        <w:kinsoku/>
        <w:wordWrap/>
        <w:overflowPunct/>
        <w:topLinePunct w:val="0"/>
        <w:autoSpaceDE/>
        <w:autoSpaceDN/>
        <w:bidi w:val="0"/>
        <w:snapToGrid/>
        <w:spacing w:line="288" w:lineRule="auto"/>
        <w:ind w:left="420"/>
        <w:rPr>
          <w:rFonts w:hint="eastAsia" w:ascii="宋体" w:hAnsi="宋体" w:eastAsia="宋体" w:cs="宋体"/>
          <w:color w:val="auto"/>
          <w:sz w:val="21"/>
          <w:szCs w:val="21"/>
        </w:rPr>
      </w:pPr>
      <w:r>
        <w:rPr>
          <w:rFonts w:hint="eastAsia" w:ascii="宋体" w:hAnsi="宋体" w:eastAsia="宋体" w:cs="宋体"/>
          <w:color w:val="auto"/>
          <w:sz w:val="21"/>
          <w:szCs w:val="21"/>
        </w:rPr>
        <w:t>3、项目技术方案、服务承诺方案；</w:t>
      </w:r>
    </w:p>
    <w:p w14:paraId="3B795A69">
      <w:pPr>
        <w:keepNext w:val="0"/>
        <w:keepLines w:val="0"/>
        <w:pageBreakBefore w:val="0"/>
        <w:widowControl w:val="0"/>
        <w:kinsoku/>
        <w:wordWrap/>
        <w:overflowPunct/>
        <w:topLinePunct w:val="0"/>
        <w:autoSpaceDE/>
        <w:autoSpaceDN/>
        <w:bidi w:val="0"/>
        <w:snapToGrid/>
        <w:spacing w:line="288" w:lineRule="auto"/>
        <w:ind w:left="420"/>
        <w:rPr>
          <w:rFonts w:hint="eastAsia" w:ascii="宋体" w:hAnsi="宋体" w:eastAsia="宋体" w:cs="宋体"/>
          <w:color w:val="auto"/>
          <w:sz w:val="21"/>
          <w:szCs w:val="21"/>
        </w:rPr>
      </w:pPr>
      <w:r>
        <w:rPr>
          <w:rFonts w:hint="eastAsia" w:ascii="宋体" w:hAnsi="宋体" w:eastAsia="宋体" w:cs="宋体"/>
          <w:color w:val="auto"/>
          <w:sz w:val="21"/>
          <w:szCs w:val="21"/>
        </w:rPr>
        <w:t>4、成交通知书。</w:t>
      </w:r>
    </w:p>
    <w:p w14:paraId="59524C81">
      <w:pPr>
        <w:keepNext w:val="0"/>
        <w:keepLines w:val="0"/>
        <w:pageBreakBefore w:val="0"/>
        <w:widowControl w:val="0"/>
        <w:kinsoku/>
        <w:wordWrap/>
        <w:overflowPunct/>
        <w:topLinePunct w:val="0"/>
        <w:autoSpaceDE/>
        <w:autoSpaceDN/>
        <w:bidi w:val="0"/>
        <w:snapToGrid/>
        <w:spacing w:line="288"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本合同甲乙双方签字盖章后生效，一式六份，具有同等法律效力，甲、乙双方各二份。</w:t>
      </w:r>
      <w:r>
        <w:rPr>
          <w:rFonts w:hint="eastAsia" w:ascii="宋体" w:hAnsi="宋体" w:eastAsia="宋体" w:cs="宋体"/>
          <w:color w:val="auto"/>
          <w:highlight w:val="none"/>
        </w:rPr>
        <w:t>政府采购合同双方自签订之日起一个工作日内将合同原件一份交采购代理机构，采购代理机构将政府采购合同在省级以上人民政府财政部门指定媒体上公告。采购人于合同签订之日起七个工作日内将一份合同原件送本级财政部门备案，一份由</w:t>
      </w:r>
      <w:r>
        <w:rPr>
          <w:rFonts w:hint="eastAsia" w:ascii="宋体" w:hAnsi="宋体" w:cs="宋体"/>
          <w:color w:val="auto"/>
          <w:highlight w:val="none"/>
          <w:lang w:eastAsia="zh-CN"/>
        </w:rPr>
        <w:t>广西北部湾宏亚建设管理有限公司</w:t>
      </w:r>
      <w:r>
        <w:rPr>
          <w:rFonts w:hint="eastAsia" w:ascii="宋体" w:hAnsi="宋体" w:eastAsia="宋体" w:cs="宋体"/>
          <w:color w:val="auto"/>
          <w:highlight w:val="none"/>
        </w:rPr>
        <w:t>存档。</w:t>
      </w:r>
    </w:p>
    <w:p w14:paraId="537E9171">
      <w:pPr>
        <w:keepNext w:val="0"/>
        <w:keepLines w:val="0"/>
        <w:pageBreakBefore w:val="0"/>
        <w:widowControl w:val="0"/>
        <w:kinsoku/>
        <w:wordWrap/>
        <w:overflowPunct/>
        <w:bidi w:val="0"/>
        <w:spacing w:line="400" w:lineRule="exact"/>
        <w:rPr>
          <w:rFonts w:hint="eastAsia" w:ascii="宋体" w:hAnsi="宋体" w:eastAsia="宋体" w:cs="宋体"/>
          <w:color w:val="auto"/>
          <w:sz w:val="21"/>
          <w:szCs w:val="21"/>
        </w:rPr>
      </w:pPr>
    </w:p>
    <w:tbl>
      <w:tblPr>
        <w:tblStyle w:val="3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72"/>
        <w:gridCol w:w="4672"/>
      </w:tblGrid>
      <w:tr w14:paraId="529F7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9" w:hRule="atLeast"/>
        </w:trPr>
        <w:tc>
          <w:tcPr>
            <w:tcW w:w="4828" w:type="dxa"/>
            <w:noWrap w:val="0"/>
            <w:vAlign w:val="center"/>
          </w:tcPr>
          <w:p w14:paraId="07FDBC58">
            <w:pPr>
              <w:keepNext w:val="0"/>
              <w:keepLines w:val="0"/>
              <w:pageBreakBefore w:val="0"/>
              <w:widowControl w:val="0"/>
              <w:kinsoku/>
              <w:wordWrap/>
              <w:overflowPunct/>
              <w:bidi w:val="0"/>
              <w:spacing w:line="400" w:lineRule="exact"/>
              <w:jc w:val="both"/>
              <w:rPr>
                <w:rFonts w:hint="eastAsia" w:ascii="宋体" w:hAnsi="宋体" w:eastAsia="宋体" w:cs="宋体"/>
                <w:color w:val="auto"/>
                <w:sz w:val="21"/>
                <w:szCs w:val="21"/>
                <w:vertAlign w:val="baseline"/>
              </w:rPr>
            </w:pPr>
            <w:r>
              <w:rPr>
                <w:rFonts w:hint="eastAsia" w:ascii="宋体" w:hAnsi="宋体" w:eastAsia="宋体" w:cs="宋体"/>
                <w:color w:val="auto"/>
                <w:sz w:val="21"/>
                <w:szCs w:val="21"/>
              </w:rPr>
              <w:t>甲方（公章）：</w:t>
            </w:r>
            <w:r>
              <w:rPr>
                <w:rFonts w:hint="eastAsia" w:ascii="宋体" w:hAnsi="宋体" w:eastAsia="宋体" w:cs="宋体"/>
                <w:color w:val="auto"/>
                <w:sz w:val="21"/>
                <w:szCs w:val="21"/>
                <w:u w:val="single"/>
              </w:rPr>
              <w:t xml:space="preserve">                    </w:t>
            </w:r>
          </w:p>
        </w:tc>
        <w:tc>
          <w:tcPr>
            <w:tcW w:w="4828" w:type="dxa"/>
            <w:noWrap w:val="0"/>
            <w:vAlign w:val="center"/>
          </w:tcPr>
          <w:p w14:paraId="642E6C6B">
            <w:pPr>
              <w:keepNext w:val="0"/>
              <w:keepLines w:val="0"/>
              <w:pageBreakBefore w:val="0"/>
              <w:widowControl w:val="0"/>
              <w:kinsoku/>
              <w:wordWrap/>
              <w:overflowPunct/>
              <w:bidi w:val="0"/>
              <w:spacing w:line="400" w:lineRule="exact"/>
              <w:jc w:val="both"/>
              <w:rPr>
                <w:rFonts w:hint="eastAsia" w:ascii="宋体" w:hAnsi="宋体" w:eastAsia="宋体" w:cs="宋体"/>
                <w:color w:val="auto"/>
                <w:sz w:val="21"/>
                <w:szCs w:val="21"/>
                <w:vertAlign w:val="baseline"/>
              </w:rPr>
            </w:pPr>
            <w:r>
              <w:rPr>
                <w:rFonts w:hint="eastAsia" w:ascii="宋体" w:hAnsi="宋体" w:eastAsia="宋体" w:cs="宋体"/>
                <w:color w:val="auto"/>
                <w:sz w:val="21"/>
                <w:szCs w:val="21"/>
              </w:rPr>
              <w:t>乙方（公章）：</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single"/>
              </w:rPr>
              <w:t xml:space="preserve">  </w:t>
            </w:r>
          </w:p>
        </w:tc>
      </w:tr>
      <w:tr w14:paraId="488C3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828" w:type="dxa"/>
            <w:noWrap w:val="0"/>
            <w:vAlign w:val="top"/>
          </w:tcPr>
          <w:p w14:paraId="244AC720">
            <w:pPr>
              <w:keepNext w:val="0"/>
              <w:keepLines w:val="0"/>
              <w:pageBreakBefore w:val="0"/>
              <w:widowControl w:val="0"/>
              <w:kinsoku/>
              <w:wordWrap/>
              <w:overflowPunct/>
              <w:bidi w:val="0"/>
              <w:spacing w:line="400" w:lineRule="exact"/>
              <w:rPr>
                <w:rFonts w:hint="eastAsia" w:ascii="宋体" w:hAnsi="宋体" w:eastAsia="宋体" w:cs="宋体"/>
                <w:color w:val="auto"/>
                <w:sz w:val="21"/>
                <w:szCs w:val="21"/>
                <w:vertAlign w:val="baseline"/>
              </w:rPr>
            </w:pPr>
            <w:r>
              <w:rPr>
                <w:rFonts w:hint="eastAsia" w:ascii="宋体" w:hAnsi="宋体" w:eastAsia="宋体" w:cs="宋体"/>
                <w:color w:val="auto"/>
                <w:sz w:val="21"/>
                <w:szCs w:val="21"/>
              </w:rPr>
              <w:t>法定代表人：</w:t>
            </w:r>
            <w:r>
              <w:rPr>
                <w:rFonts w:hint="eastAsia" w:ascii="宋体" w:hAnsi="宋体" w:eastAsia="宋体" w:cs="宋体"/>
                <w:color w:val="auto"/>
                <w:sz w:val="21"/>
                <w:szCs w:val="21"/>
                <w:u w:val="single"/>
              </w:rPr>
              <w:t xml:space="preserve">                      </w:t>
            </w:r>
          </w:p>
        </w:tc>
        <w:tc>
          <w:tcPr>
            <w:tcW w:w="4828" w:type="dxa"/>
            <w:noWrap w:val="0"/>
            <w:vAlign w:val="top"/>
          </w:tcPr>
          <w:p w14:paraId="45BC6D7C">
            <w:pPr>
              <w:keepNext w:val="0"/>
              <w:keepLines w:val="0"/>
              <w:pageBreakBefore w:val="0"/>
              <w:widowControl w:val="0"/>
              <w:kinsoku/>
              <w:wordWrap/>
              <w:overflowPunct/>
              <w:bidi w:val="0"/>
              <w:spacing w:line="400" w:lineRule="exact"/>
              <w:rPr>
                <w:rFonts w:hint="eastAsia" w:ascii="宋体" w:hAnsi="宋体" w:eastAsia="宋体" w:cs="宋体"/>
                <w:color w:val="auto"/>
                <w:sz w:val="21"/>
                <w:szCs w:val="21"/>
                <w:vertAlign w:val="baseline"/>
              </w:rPr>
            </w:pPr>
            <w:r>
              <w:rPr>
                <w:rFonts w:hint="eastAsia" w:ascii="宋体" w:hAnsi="宋体" w:eastAsia="宋体" w:cs="宋体"/>
                <w:color w:val="auto"/>
                <w:sz w:val="21"/>
                <w:szCs w:val="21"/>
              </w:rPr>
              <w:t>法定代表人：</w:t>
            </w:r>
            <w:r>
              <w:rPr>
                <w:rFonts w:hint="eastAsia" w:ascii="宋体" w:hAnsi="宋体" w:eastAsia="宋体" w:cs="宋体"/>
                <w:color w:val="auto"/>
                <w:sz w:val="21"/>
                <w:szCs w:val="21"/>
                <w:u w:val="single"/>
              </w:rPr>
              <w:t xml:space="preserve">                      </w:t>
            </w:r>
          </w:p>
        </w:tc>
      </w:tr>
      <w:tr w14:paraId="018CB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828" w:type="dxa"/>
            <w:noWrap w:val="0"/>
            <w:vAlign w:val="top"/>
          </w:tcPr>
          <w:p w14:paraId="0A74F1B3">
            <w:pPr>
              <w:keepNext w:val="0"/>
              <w:keepLines w:val="0"/>
              <w:pageBreakBefore w:val="0"/>
              <w:widowControl w:val="0"/>
              <w:kinsoku/>
              <w:wordWrap/>
              <w:overflowPunct/>
              <w:bidi w:val="0"/>
              <w:spacing w:line="400" w:lineRule="exact"/>
              <w:rPr>
                <w:rFonts w:hint="eastAsia" w:ascii="宋体" w:hAnsi="宋体" w:eastAsia="宋体" w:cs="宋体"/>
                <w:color w:val="auto"/>
                <w:sz w:val="21"/>
                <w:szCs w:val="21"/>
                <w:vertAlign w:val="baseline"/>
              </w:rPr>
            </w:pPr>
            <w:r>
              <w:rPr>
                <w:rFonts w:hint="eastAsia" w:ascii="宋体" w:hAnsi="宋体" w:eastAsia="宋体" w:cs="宋体"/>
                <w:color w:val="auto"/>
                <w:sz w:val="21"/>
                <w:szCs w:val="21"/>
              </w:rPr>
              <w:t>委托代理人：</w:t>
            </w:r>
            <w:r>
              <w:rPr>
                <w:rFonts w:hint="eastAsia" w:ascii="宋体" w:hAnsi="宋体" w:eastAsia="宋体" w:cs="宋体"/>
                <w:color w:val="auto"/>
                <w:sz w:val="21"/>
                <w:szCs w:val="21"/>
                <w:u w:val="single"/>
              </w:rPr>
              <w:t>　　　　　　 　</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single"/>
              </w:rPr>
              <w:t>　　　</w:t>
            </w:r>
          </w:p>
        </w:tc>
        <w:tc>
          <w:tcPr>
            <w:tcW w:w="4828" w:type="dxa"/>
            <w:noWrap w:val="0"/>
            <w:vAlign w:val="top"/>
          </w:tcPr>
          <w:p w14:paraId="69EF5D2C">
            <w:pPr>
              <w:keepNext w:val="0"/>
              <w:keepLines w:val="0"/>
              <w:pageBreakBefore w:val="0"/>
              <w:widowControl w:val="0"/>
              <w:kinsoku/>
              <w:wordWrap/>
              <w:overflowPunct/>
              <w:bidi w:val="0"/>
              <w:spacing w:line="400" w:lineRule="exact"/>
              <w:rPr>
                <w:rFonts w:hint="eastAsia" w:ascii="宋体" w:hAnsi="宋体" w:eastAsia="宋体" w:cs="宋体"/>
                <w:color w:val="auto"/>
                <w:sz w:val="21"/>
                <w:szCs w:val="21"/>
                <w:vertAlign w:val="baseline"/>
              </w:rPr>
            </w:pPr>
            <w:r>
              <w:rPr>
                <w:rFonts w:hint="eastAsia" w:ascii="宋体" w:hAnsi="宋体" w:eastAsia="宋体" w:cs="宋体"/>
                <w:color w:val="auto"/>
                <w:sz w:val="21"/>
                <w:szCs w:val="21"/>
              </w:rPr>
              <w:t>委托代理人：</w:t>
            </w:r>
            <w:r>
              <w:rPr>
                <w:rFonts w:hint="eastAsia" w:ascii="宋体" w:hAnsi="宋体" w:eastAsia="宋体" w:cs="宋体"/>
                <w:color w:val="auto"/>
                <w:sz w:val="21"/>
                <w:szCs w:val="21"/>
                <w:u w:val="single"/>
              </w:rPr>
              <w:t>　　　　　　 　　</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single"/>
              </w:rPr>
              <w:t>　　</w:t>
            </w:r>
          </w:p>
        </w:tc>
      </w:tr>
      <w:tr w14:paraId="54DD1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828" w:type="dxa"/>
            <w:noWrap w:val="0"/>
            <w:vAlign w:val="top"/>
          </w:tcPr>
          <w:p w14:paraId="54C94CF6">
            <w:pPr>
              <w:keepNext w:val="0"/>
              <w:keepLines w:val="0"/>
              <w:pageBreakBefore w:val="0"/>
              <w:widowControl w:val="0"/>
              <w:kinsoku/>
              <w:wordWrap/>
              <w:overflowPunct/>
              <w:bidi w:val="0"/>
              <w:spacing w:line="400" w:lineRule="exact"/>
              <w:rPr>
                <w:rFonts w:hint="eastAsia" w:ascii="宋体" w:hAnsi="宋体" w:eastAsia="宋体" w:cs="宋体"/>
                <w:color w:val="auto"/>
                <w:sz w:val="21"/>
                <w:szCs w:val="21"/>
                <w:vertAlign w:val="baseline"/>
              </w:rPr>
            </w:pPr>
            <w:r>
              <w:rPr>
                <w:rFonts w:hint="eastAsia" w:ascii="宋体" w:hAnsi="宋体" w:eastAsia="宋体" w:cs="宋体"/>
                <w:color w:val="auto"/>
                <w:sz w:val="21"/>
                <w:szCs w:val="21"/>
              </w:rPr>
              <w:t>电  话：</w:t>
            </w:r>
            <w:r>
              <w:rPr>
                <w:rFonts w:hint="eastAsia" w:ascii="宋体" w:hAnsi="宋体" w:eastAsia="宋体" w:cs="宋体"/>
                <w:color w:val="auto"/>
                <w:sz w:val="21"/>
                <w:szCs w:val="21"/>
                <w:u w:val="single"/>
              </w:rPr>
              <w:t xml:space="preserve">                          </w:t>
            </w:r>
          </w:p>
        </w:tc>
        <w:tc>
          <w:tcPr>
            <w:tcW w:w="4828" w:type="dxa"/>
            <w:noWrap w:val="0"/>
            <w:vAlign w:val="top"/>
          </w:tcPr>
          <w:p w14:paraId="11561394">
            <w:pPr>
              <w:keepNext w:val="0"/>
              <w:keepLines w:val="0"/>
              <w:pageBreakBefore w:val="0"/>
              <w:widowControl w:val="0"/>
              <w:kinsoku/>
              <w:wordWrap/>
              <w:overflowPunct/>
              <w:bidi w:val="0"/>
              <w:spacing w:line="400" w:lineRule="exact"/>
              <w:rPr>
                <w:rFonts w:hint="eastAsia" w:ascii="宋体" w:hAnsi="宋体" w:eastAsia="宋体" w:cs="宋体"/>
                <w:color w:val="auto"/>
                <w:sz w:val="21"/>
                <w:szCs w:val="21"/>
                <w:vertAlign w:val="baseline"/>
              </w:rPr>
            </w:pPr>
            <w:r>
              <w:rPr>
                <w:rFonts w:hint="eastAsia" w:ascii="宋体" w:hAnsi="宋体" w:eastAsia="宋体" w:cs="宋体"/>
                <w:color w:val="auto"/>
                <w:sz w:val="21"/>
                <w:szCs w:val="21"/>
              </w:rPr>
              <w:t>电  话：</w:t>
            </w:r>
            <w:r>
              <w:rPr>
                <w:rFonts w:hint="eastAsia" w:ascii="宋体" w:hAnsi="宋体" w:eastAsia="宋体" w:cs="宋体"/>
                <w:color w:val="auto"/>
                <w:sz w:val="21"/>
                <w:szCs w:val="21"/>
                <w:u w:val="single"/>
              </w:rPr>
              <w:t xml:space="preserve">                          </w:t>
            </w:r>
          </w:p>
        </w:tc>
      </w:tr>
      <w:tr w14:paraId="62166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828" w:type="dxa"/>
            <w:noWrap w:val="0"/>
            <w:vAlign w:val="top"/>
          </w:tcPr>
          <w:p w14:paraId="408EC24C">
            <w:pPr>
              <w:keepNext w:val="0"/>
              <w:keepLines w:val="0"/>
              <w:pageBreakBefore w:val="0"/>
              <w:widowControl w:val="0"/>
              <w:kinsoku/>
              <w:wordWrap/>
              <w:overflowPunct/>
              <w:bidi w:val="0"/>
              <w:spacing w:line="400" w:lineRule="exact"/>
              <w:rPr>
                <w:rFonts w:hint="eastAsia" w:ascii="宋体" w:hAnsi="宋体" w:eastAsia="宋体" w:cs="宋体"/>
                <w:color w:val="auto"/>
                <w:sz w:val="21"/>
                <w:szCs w:val="21"/>
                <w:vertAlign w:val="baseline"/>
              </w:rPr>
            </w:pPr>
            <w:r>
              <w:rPr>
                <w:rFonts w:hint="eastAsia" w:ascii="宋体" w:hAnsi="宋体" w:eastAsia="宋体" w:cs="宋体"/>
                <w:color w:val="auto"/>
                <w:sz w:val="21"/>
                <w:szCs w:val="21"/>
              </w:rPr>
              <w:t>开户名称：</w:t>
            </w:r>
            <w:r>
              <w:rPr>
                <w:rFonts w:hint="eastAsia" w:ascii="宋体" w:hAnsi="宋体" w:eastAsia="宋体" w:cs="宋体"/>
                <w:color w:val="auto"/>
                <w:sz w:val="21"/>
                <w:szCs w:val="21"/>
                <w:u w:val="single"/>
              </w:rPr>
              <w:tab/>
            </w:r>
            <w:r>
              <w:rPr>
                <w:rFonts w:hint="eastAsia" w:ascii="宋体" w:hAnsi="宋体" w:eastAsia="宋体" w:cs="宋体"/>
                <w:color w:val="auto"/>
                <w:sz w:val="21"/>
                <w:szCs w:val="21"/>
                <w:u w:val="single"/>
              </w:rPr>
              <w:t>　　　　　</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single"/>
              </w:rPr>
              <w:t>　　　　　</w:t>
            </w:r>
          </w:p>
        </w:tc>
        <w:tc>
          <w:tcPr>
            <w:tcW w:w="4828" w:type="dxa"/>
            <w:noWrap w:val="0"/>
            <w:vAlign w:val="top"/>
          </w:tcPr>
          <w:p w14:paraId="293EBFCC">
            <w:pPr>
              <w:keepNext w:val="0"/>
              <w:keepLines w:val="0"/>
              <w:pageBreakBefore w:val="0"/>
              <w:widowControl w:val="0"/>
              <w:kinsoku/>
              <w:wordWrap/>
              <w:overflowPunct/>
              <w:bidi w:val="0"/>
              <w:spacing w:line="400" w:lineRule="exact"/>
              <w:rPr>
                <w:rFonts w:hint="eastAsia" w:ascii="宋体" w:hAnsi="宋体" w:eastAsia="宋体" w:cs="宋体"/>
                <w:color w:val="auto"/>
                <w:sz w:val="21"/>
                <w:szCs w:val="21"/>
                <w:vertAlign w:val="baseline"/>
              </w:rPr>
            </w:pPr>
            <w:r>
              <w:rPr>
                <w:rFonts w:hint="eastAsia" w:ascii="宋体" w:hAnsi="宋体" w:eastAsia="宋体" w:cs="宋体"/>
                <w:color w:val="auto"/>
                <w:sz w:val="21"/>
                <w:szCs w:val="21"/>
              </w:rPr>
              <w:t>开户名称：</w:t>
            </w:r>
            <w:r>
              <w:rPr>
                <w:rFonts w:hint="eastAsia" w:ascii="宋体" w:hAnsi="宋体" w:eastAsia="宋体" w:cs="宋体"/>
                <w:color w:val="auto"/>
                <w:sz w:val="21"/>
                <w:szCs w:val="21"/>
                <w:u w:val="single"/>
              </w:rPr>
              <w:tab/>
            </w:r>
            <w:r>
              <w:rPr>
                <w:rFonts w:hint="eastAsia" w:ascii="宋体" w:hAnsi="宋体" w:eastAsia="宋体" w:cs="宋体"/>
                <w:color w:val="auto"/>
                <w:sz w:val="21"/>
                <w:szCs w:val="21"/>
                <w:u w:val="single"/>
              </w:rPr>
              <w:t>　　　　　　　</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single"/>
              </w:rPr>
              <w:t>　　　</w:t>
            </w:r>
          </w:p>
        </w:tc>
      </w:tr>
      <w:tr w14:paraId="69781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828" w:type="dxa"/>
            <w:noWrap w:val="0"/>
            <w:vAlign w:val="top"/>
          </w:tcPr>
          <w:p w14:paraId="07D4D7FF">
            <w:pPr>
              <w:keepNext w:val="0"/>
              <w:keepLines w:val="0"/>
              <w:pageBreakBefore w:val="0"/>
              <w:widowControl w:val="0"/>
              <w:kinsoku/>
              <w:wordWrap/>
              <w:overflowPunct/>
              <w:bidi w:val="0"/>
              <w:spacing w:line="400" w:lineRule="exact"/>
              <w:rPr>
                <w:rFonts w:hint="eastAsia" w:ascii="宋体" w:hAnsi="宋体" w:eastAsia="宋体" w:cs="宋体"/>
                <w:color w:val="auto"/>
                <w:sz w:val="21"/>
                <w:szCs w:val="21"/>
                <w:vertAlign w:val="baseline"/>
              </w:rPr>
            </w:pPr>
            <w:r>
              <w:rPr>
                <w:rFonts w:hint="eastAsia" w:ascii="宋体" w:hAnsi="宋体" w:eastAsia="宋体" w:cs="宋体"/>
                <w:color w:val="auto"/>
                <w:sz w:val="21"/>
                <w:szCs w:val="21"/>
              </w:rPr>
              <w:t>开户银行：</w:t>
            </w:r>
            <w:r>
              <w:rPr>
                <w:rFonts w:hint="eastAsia" w:ascii="宋体" w:hAnsi="宋体" w:eastAsia="宋体" w:cs="宋体"/>
                <w:color w:val="auto"/>
                <w:sz w:val="21"/>
                <w:szCs w:val="21"/>
                <w:u w:val="single"/>
              </w:rPr>
              <w:t xml:space="preserve">                        </w:t>
            </w:r>
          </w:p>
        </w:tc>
        <w:tc>
          <w:tcPr>
            <w:tcW w:w="4828" w:type="dxa"/>
            <w:noWrap w:val="0"/>
            <w:vAlign w:val="top"/>
          </w:tcPr>
          <w:p w14:paraId="66BA4B18">
            <w:pPr>
              <w:keepNext w:val="0"/>
              <w:keepLines w:val="0"/>
              <w:pageBreakBefore w:val="0"/>
              <w:widowControl w:val="0"/>
              <w:kinsoku/>
              <w:wordWrap/>
              <w:overflowPunct/>
              <w:bidi w:val="0"/>
              <w:spacing w:line="400" w:lineRule="exact"/>
              <w:rPr>
                <w:rFonts w:hint="eastAsia" w:ascii="宋体" w:hAnsi="宋体" w:eastAsia="宋体" w:cs="宋体"/>
                <w:color w:val="auto"/>
                <w:sz w:val="21"/>
                <w:szCs w:val="21"/>
                <w:vertAlign w:val="baseline"/>
              </w:rPr>
            </w:pPr>
            <w:r>
              <w:rPr>
                <w:rFonts w:hint="eastAsia" w:ascii="宋体" w:hAnsi="宋体" w:eastAsia="宋体" w:cs="宋体"/>
                <w:color w:val="auto"/>
                <w:sz w:val="21"/>
                <w:szCs w:val="21"/>
              </w:rPr>
              <w:t>开户银行：</w:t>
            </w:r>
            <w:r>
              <w:rPr>
                <w:rFonts w:hint="eastAsia" w:ascii="宋体" w:hAnsi="宋体" w:eastAsia="宋体" w:cs="宋体"/>
                <w:color w:val="auto"/>
                <w:sz w:val="21"/>
                <w:szCs w:val="21"/>
                <w:u w:val="single"/>
              </w:rPr>
              <w:t xml:space="preserve">                        </w:t>
            </w:r>
          </w:p>
        </w:tc>
      </w:tr>
      <w:tr w14:paraId="78635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828" w:type="dxa"/>
            <w:noWrap w:val="0"/>
            <w:vAlign w:val="top"/>
          </w:tcPr>
          <w:p w14:paraId="0E920DBB">
            <w:pPr>
              <w:keepNext w:val="0"/>
              <w:keepLines w:val="0"/>
              <w:pageBreakBefore w:val="0"/>
              <w:widowControl w:val="0"/>
              <w:kinsoku/>
              <w:wordWrap/>
              <w:overflowPunct/>
              <w:bidi w:val="0"/>
              <w:spacing w:line="400" w:lineRule="exact"/>
              <w:rPr>
                <w:rFonts w:hint="eastAsia" w:ascii="宋体" w:hAnsi="宋体" w:eastAsia="宋体" w:cs="宋体"/>
                <w:color w:val="auto"/>
                <w:sz w:val="21"/>
                <w:szCs w:val="21"/>
                <w:vertAlign w:val="baseline"/>
              </w:rPr>
            </w:pPr>
            <w:r>
              <w:rPr>
                <w:rFonts w:hint="eastAsia" w:ascii="宋体" w:hAnsi="宋体" w:eastAsia="宋体" w:cs="宋体"/>
                <w:color w:val="auto"/>
                <w:sz w:val="21"/>
                <w:szCs w:val="21"/>
              </w:rPr>
              <w:t>银行账号：</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single"/>
              </w:rPr>
              <w:t>　　　　</w:t>
            </w:r>
          </w:p>
        </w:tc>
        <w:tc>
          <w:tcPr>
            <w:tcW w:w="4828" w:type="dxa"/>
            <w:noWrap w:val="0"/>
            <w:vAlign w:val="top"/>
          </w:tcPr>
          <w:p w14:paraId="0FF0365E">
            <w:pPr>
              <w:keepNext w:val="0"/>
              <w:keepLines w:val="0"/>
              <w:pageBreakBefore w:val="0"/>
              <w:widowControl w:val="0"/>
              <w:kinsoku/>
              <w:wordWrap/>
              <w:overflowPunct/>
              <w:bidi w:val="0"/>
              <w:spacing w:line="400" w:lineRule="exact"/>
              <w:rPr>
                <w:rFonts w:hint="eastAsia" w:ascii="宋体" w:hAnsi="宋体" w:eastAsia="宋体" w:cs="宋体"/>
                <w:color w:val="auto"/>
                <w:sz w:val="21"/>
                <w:szCs w:val="21"/>
                <w:vertAlign w:val="baseline"/>
              </w:rPr>
            </w:pPr>
            <w:r>
              <w:rPr>
                <w:rFonts w:hint="eastAsia" w:ascii="宋体" w:hAnsi="宋体" w:eastAsia="宋体" w:cs="宋体"/>
                <w:color w:val="auto"/>
                <w:sz w:val="21"/>
                <w:szCs w:val="21"/>
              </w:rPr>
              <w:t>银行账号：</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single"/>
              </w:rPr>
              <w:t>　　　　</w:t>
            </w:r>
          </w:p>
        </w:tc>
      </w:tr>
      <w:tr w14:paraId="7E7ED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828" w:type="dxa"/>
            <w:noWrap w:val="0"/>
            <w:vAlign w:val="top"/>
          </w:tcPr>
          <w:p w14:paraId="17D62A5F">
            <w:pPr>
              <w:keepNext w:val="0"/>
              <w:keepLines w:val="0"/>
              <w:pageBreakBefore w:val="0"/>
              <w:widowControl w:val="0"/>
              <w:kinsoku/>
              <w:wordWrap/>
              <w:overflowPunct/>
              <w:bidi w:val="0"/>
              <w:spacing w:line="400" w:lineRule="exact"/>
              <w:rPr>
                <w:rFonts w:hint="eastAsia" w:ascii="宋体" w:hAnsi="宋体" w:eastAsia="宋体" w:cs="宋体"/>
                <w:color w:val="auto"/>
                <w:sz w:val="21"/>
                <w:szCs w:val="21"/>
                <w:vertAlign w:val="baseline"/>
              </w:rPr>
            </w:pPr>
            <w:r>
              <w:rPr>
                <w:rFonts w:hint="eastAsia" w:ascii="宋体" w:hAnsi="宋体" w:eastAsia="宋体" w:cs="宋体"/>
                <w:color w:val="auto"/>
                <w:sz w:val="21"/>
                <w:szCs w:val="21"/>
              </w:rPr>
              <w:t>日    期：</w:t>
            </w:r>
            <w:r>
              <w:rPr>
                <w:rFonts w:hint="eastAsia" w:ascii="宋体" w:hAnsi="宋体" w:eastAsia="宋体" w:cs="宋体"/>
                <w:color w:val="auto"/>
                <w:sz w:val="21"/>
                <w:szCs w:val="21"/>
                <w:u w:val="single"/>
              </w:rPr>
              <w:t xml:space="preserve">                        </w:t>
            </w:r>
          </w:p>
        </w:tc>
        <w:tc>
          <w:tcPr>
            <w:tcW w:w="4828" w:type="dxa"/>
            <w:noWrap w:val="0"/>
            <w:vAlign w:val="top"/>
          </w:tcPr>
          <w:p w14:paraId="10D192B8">
            <w:pPr>
              <w:keepNext w:val="0"/>
              <w:keepLines w:val="0"/>
              <w:pageBreakBefore w:val="0"/>
              <w:widowControl w:val="0"/>
              <w:kinsoku/>
              <w:wordWrap/>
              <w:overflowPunct/>
              <w:bidi w:val="0"/>
              <w:spacing w:line="400" w:lineRule="exact"/>
              <w:rPr>
                <w:rFonts w:hint="eastAsia" w:ascii="宋体" w:hAnsi="宋体" w:eastAsia="宋体" w:cs="宋体"/>
                <w:color w:val="auto"/>
                <w:sz w:val="21"/>
                <w:szCs w:val="21"/>
                <w:vertAlign w:val="baseline"/>
              </w:rPr>
            </w:pPr>
            <w:r>
              <w:rPr>
                <w:rFonts w:hint="eastAsia" w:ascii="宋体" w:hAnsi="宋体" w:eastAsia="宋体" w:cs="宋体"/>
                <w:color w:val="auto"/>
                <w:sz w:val="21"/>
                <w:szCs w:val="21"/>
              </w:rPr>
              <w:t>日    期：</w:t>
            </w:r>
            <w:r>
              <w:rPr>
                <w:rFonts w:hint="eastAsia" w:ascii="宋体" w:hAnsi="宋体" w:eastAsia="宋体" w:cs="宋体"/>
                <w:color w:val="auto"/>
                <w:sz w:val="21"/>
                <w:szCs w:val="21"/>
                <w:u w:val="single"/>
              </w:rPr>
              <w:t xml:space="preserve">                        </w:t>
            </w:r>
          </w:p>
        </w:tc>
      </w:tr>
    </w:tbl>
    <w:p w14:paraId="197E18C8">
      <w:pPr>
        <w:keepNext w:val="0"/>
        <w:keepLines w:val="0"/>
        <w:pageBreakBefore w:val="0"/>
        <w:widowControl w:val="0"/>
        <w:kinsoku/>
        <w:wordWrap/>
        <w:overflowPunct/>
        <w:bidi w:val="0"/>
        <w:spacing w:line="400" w:lineRule="exact"/>
        <w:rPr>
          <w:rFonts w:hint="eastAsia" w:ascii="宋体" w:hAnsi="宋体" w:eastAsia="宋体" w:cs="宋体"/>
          <w:color w:val="auto"/>
          <w:sz w:val="21"/>
          <w:szCs w:val="21"/>
        </w:rPr>
      </w:pPr>
    </w:p>
    <w:p w14:paraId="2E324BF4">
      <w:pPr>
        <w:spacing w:line="600" w:lineRule="exact"/>
        <w:ind w:firstLine="432" w:firstLineChars="205"/>
        <w:rPr>
          <w:rFonts w:ascii="宋体" w:hAnsi="宋体" w:cs="宋体"/>
          <w:b/>
          <w:szCs w:val="21"/>
        </w:rPr>
        <w:sectPr>
          <w:footerReference r:id="rId4" w:type="default"/>
          <w:pgSz w:w="11906" w:h="16838"/>
          <w:pgMar w:top="1417" w:right="1361" w:bottom="1417" w:left="1417" w:header="851" w:footer="992" w:gutter="0"/>
          <w:pgNumType w:start="1"/>
          <w:cols w:space="0" w:num="1"/>
          <w:rtlGutter w:val="0"/>
          <w:docGrid w:linePitch="317" w:charSpace="0"/>
        </w:sectPr>
      </w:pPr>
    </w:p>
    <w:p w14:paraId="5A3DDC14">
      <w:pPr>
        <w:jc w:val="center"/>
        <w:outlineLvl w:val="0"/>
        <w:rPr>
          <w:rFonts w:ascii="宋体" w:hAnsi="宋体" w:cs="宋体"/>
          <w:b/>
          <w:bCs/>
          <w:sz w:val="32"/>
          <w:szCs w:val="32"/>
        </w:rPr>
      </w:pPr>
      <w:bookmarkStart w:id="358" w:name="_Toc240644571"/>
      <w:r>
        <w:rPr>
          <w:rFonts w:hint="eastAsia" w:ascii="宋体" w:hAnsi="宋体" w:cs="宋体"/>
          <w:b/>
          <w:bCs/>
          <w:sz w:val="32"/>
          <w:szCs w:val="32"/>
        </w:rPr>
        <w:t>第六章  投标文件（格式）</w:t>
      </w:r>
      <w:bookmarkEnd w:id="358"/>
    </w:p>
    <w:p w14:paraId="67E679E9">
      <w:pPr>
        <w:rPr>
          <w:b/>
          <w:bCs/>
          <w:sz w:val="30"/>
          <w:szCs w:val="30"/>
        </w:rPr>
      </w:pPr>
      <w:r>
        <w:rPr>
          <w:rFonts w:hint="eastAsia"/>
          <w:b/>
          <w:bCs/>
          <w:sz w:val="30"/>
          <w:szCs w:val="30"/>
        </w:rPr>
        <w:t>投标文件封面格式：</w:t>
      </w:r>
    </w:p>
    <w:p w14:paraId="4138AC7E">
      <w:pPr>
        <w:jc w:val="right"/>
        <w:rPr>
          <w:rFonts w:ascii="宋体" w:hAnsi="宋体" w:cs="宋体"/>
          <w:b/>
          <w:sz w:val="32"/>
          <w:szCs w:val="32"/>
        </w:rPr>
      </w:pPr>
    </w:p>
    <w:p w14:paraId="133DC3C7">
      <w:pPr>
        <w:rPr>
          <w:rFonts w:ascii="宋体" w:hAnsi="宋体" w:cs="宋体"/>
          <w:b/>
          <w:sz w:val="44"/>
          <w:szCs w:val="44"/>
        </w:rPr>
      </w:pPr>
    </w:p>
    <w:p w14:paraId="119A6813">
      <w:pPr>
        <w:jc w:val="center"/>
        <w:rPr>
          <w:rFonts w:ascii="宋体" w:hAnsi="宋体" w:cs="宋体"/>
          <w:b/>
          <w:sz w:val="44"/>
          <w:szCs w:val="44"/>
        </w:rPr>
      </w:pPr>
      <w:r>
        <w:rPr>
          <w:rFonts w:hint="eastAsia" w:ascii="宋体" w:hAnsi="宋体" w:cs="宋体"/>
          <w:bCs/>
          <w:sz w:val="72"/>
          <w:szCs w:val="72"/>
        </w:rPr>
        <w:t>投标文件</w:t>
      </w:r>
    </w:p>
    <w:p w14:paraId="49447949">
      <w:pPr>
        <w:rPr>
          <w:rFonts w:ascii="宋体" w:hAnsi="宋体" w:cs="宋体"/>
          <w:b/>
          <w:sz w:val="44"/>
          <w:szCs w:val="44"/>
        </w:rPr>
      </w:pPr>
    </w:p>
    <w:p w14:paraId="08FCD6E2">
      <w:pPr>
        <w:rPr>
          <w:rFonts w:ascii="宋体" w:hAnsi="宋体" w:cs="宋体"/>
          <w:b/>
          <w:sz w:val="44"/>
          <w:szCs w:val="44"/>
        </w:rPr>
      </w:pPr>
    </w:p>
    <w:p w14:paraId="3CF70490">
      <w:pPr>
        <w:rPr>
          <w:rFonts w:ascii="宋体" w:hAnsi="宋体" w:cs="宋体"/>
          <w:b/>
          <w:sz w:val="44"/>
          <w:szCs w:val="44"/>
        </w:rPr>
      </w:pPr>
    </w:p>
    <w:p w14:paraId="635EF958">
      <w:pPr>
        <w:rPr>
          <w:rFonts w:ascii="宋体" w:hAnsi="宋体" w:cs="宋体"/>
          <w:b/>
          <w:sz w:val="44"/>
          <w:szCs w:val="44"/>
        </w:rPr>
      </w:pPr>
    </w:p>
    <w:p w14:paraId="13AC49CF">
      <w:pPr>
        <w:ind w:left="1496" w:leftChars="704" w:hanging="18" w:hangingChars="6"/>
        <w:rPr>
          <w:rFonts w:hint="eastAsia" w:ascii="宋体" w:hAnsi="宋体" w:eastAsia="宋体" w:cs="宋体"/>
          <w:sz w:val="30"/>
          <w:szCs w:val="30"/>
          <w:u w:val="single"/>
          <w:lang w:eastAsia="zh-CN"/>
        </w:rPr>
      </w:pPr>
      <w:r>
        <w:rPr>
          <w:rFonts w:hint="eastAsia" w:ascii="宋体" w:hAnsi="宋体" w:cs="宋体"/>
          <w:bCs/>
          <w:sz w:val="30"/>
          <w:szCs w:val="30"/>
        </w:rPr>
        <w:t>项目名称：</w:t>
      </w:r>
      <w:r>
        <w:rPr>
          <w:rFonts w:hint="eastAsia" w:ascii="宋体" w:hAnsi="宋体" w:cs="宋体"/>
          <w:bCs/>
          <w:sz w:val="30"/>
          <w:szCs w:val="30"/>
          <w:u w:val="single"/>
          <w:lang w:eastAsia="zh-CN"/>
        </w:rPr>
        <w:t>灌阳县雪亮工程一期到期后运维服务项目</w:t>
      </w:r>
    </w:p>
    <w:p w14:paraId="65C4A0EB">
      <w:pPr>
        <w:ind w:left="1496" w:leftChars="704" w:hanging="18" w:hangingChars="6"/>
        <w:rPr>
          <w:rFonts w:ascii="宋体" w:hAnsi="宋体" w:cs="宋体"/>
          <w:bCs/>
          <w:sz w:val="30"/>
          <w:szCs w:val="30"/>
        </w:rPr>
      </w:pPr>
    </w:p>
    <w:p w14:paraId="37898358">
      <w:pPr>
        <w:ind w:left="1496" w:leftChars="704" w:hanging="18" w:hangingChars="6"/>
        <w:rPr>
          <w:rFonts w:hint="eastAsia" w:ascii="宋体" w:hAnsi="宋体" w:eastAsia="宋体" w:cs="宋体"/>
          <w:bCs/>
          <w:sz w:val="30"/>
          <w:szCs w:val="30"/>
          <w:u w:val="single"/>
          <w:lang w:eastAsia="zh-CN"/>
        </w:rPr>
      </w:pPr>
      <w:r>
        <w:rPr>
          <w:rFonts w:hint="eastAsia" w:ascii="宋体" w:hAnsi="宋体" w:cs="宋体"/>
          <w:bCs/>
          <w:sz w:val="30"/>
          <w:szCs w:val="30"/>
        </w:rPr>
        <w:t>项目编号：</w:t>
      </w:r>
      <w:r>
        <w:rPr>
          <w:rFonts w:hint="eastAsia" w:ascii="宋体" w:hAnsi="宋体" w:cs="宋体"/>
          <w:bCs/>
          <w:sz w:val="30"/>
          <w:szCs w:val="30"/>
          <w:u w:val="single"/>
          <w:lang w:eastAsia="zh-CN"/>
        </w:rPr>
        <w:t>GLZC2026-G3-270058-BBWH</w:t>
      </w:r>
    </w:p>
    <w:p w14:paraId="3D0F7174">
      <w:pPr>
        <w:ind w:firstLine="2400"/>
        <w:rPr>
          <w:rFonts w:ascii="宋体" w:hAnsi="宋体" w:cs="宋体"/>
          <w:bCs/>
          <w:sz w:val="30"/>
          <w:szCs w:val="30"/>
          <w:u w:val="single"/>
        </w:rPr>
      </w:pPr>
    </w:p>
    <w:p w14:paraId="4D2CC128">
      <w:pPr>
        <w:rPr>
          <w:rFonts w:ascii="宋体" w:hAnsi="宋体" w:cs="宋体"/>
          <w:b/>
          <w:sz w:val="44"/>
          <w:szCs w:val="44"/>
        </w:rPr>
      </w:pPr>
    </w:p>
    <w:p w14:paraId="2AEE566B">
      <w:pPr>
        <w:rPr>
          <w:rFonts w:ascii="宋体" w:hAnsi="宋体" w:cs="宋体"/>
          <w:b/>
          <w:sz w:val="44"/>
          <w:szCs w:val="44"/>
        </w:rPr>
      </w:pPr>
    </w:p>
    <w:p w14:paraId="158E3CD1">
      <w:pPr>
        <w:rPr>
          <w:rFonts w:ascii="宋体" w:hAnsi="宋体" w:cs="宋体"/>
          <w:b/>
          <w:sz w:val="44"/>
          <w:szCs w:val="44"/>
        </w:rPr>
      </w:pPr>
    </w:p>
    <w:p w14:paraId="6A6EDE86">
      <w:pPr>
        <w:rPr>
          <w:rFonts w:ascii="宋体" w:hAnsi="宋体" w:cs="宋体"/>
          <w:b/>
          <w:sz w:val="44"/>
          <w:szCs w:val="44"/>
        </w:rPr>
      </w:pPr>
    </w:p>
    <w:p w14:paraId="7B2D2787">
      <w:pPr>
        <w:rPr>
          <w:rFonts w:ascii="宋体" w:hAnsi="宋体" w:cs="宋体"/>
          <w:b/>
          <w:sz w:val="44"/>
          <w:szCs w:val="44"/>
        </w:rPr>
      </w:pPr>
    </w:p>
    <w:p w14:paraId="57504231">
      <w:pPr>
        <w:pStyle w:val="217"/>
        <w:ind w:left="0"/>
        <w:rPr>
          <w:rFonts w:hint="eastAsia" w:ascii="宋体" w:hAnsi="宋体" w:eastAsia="宋体" w:cs="宋体"/>
          <w:bCs/>
          <w:sz w:val="28"/>
          <w:szCs w:val="28"/>
          <w:u w:val="single"/>
          <w:lang w:eastAsia="zh-CN"/>
        </w:rPr>
      </w:pPr>
      <w:r>
        <w:rPr>
          <w:rFonts w:hint="eastAsia" w:ascii="宋体" w:hAnsi="宋体" w:cs="宋体"/>
          <w:bCs/>
          <w:sz w:val="28"/>
          <w:szCs w:val="28"/>
        </w:rPr>
        <w:t>采购代理机构：</w:t>
      </w:r>
      <w:r>
        <w:rPr>
          <w:rFonts w:hint="eastAsia" w:ascii="宋体" w:hAnsi="宋体" w:cs="宋体"/>
          <w:bCs/>
          <w:sz w:val="28"/>
          <w:szCs w:val="28"/>
          <w:u w:val="single"/>
          <w:lang w:eastAsia="zh-CN"/>
        </w:rPr>
        <w:t>广西北部湾宏亚建设管理有限公司</w:t>
      </w:r>
    </w:p>
    <w:p w14:paraId="69E31BCE">
      <w:pPr>
        <w:pStyle w:val="217"/>
        <w:ind w:left="0"/>
        <w:rPr>
          <w:rFonts w:ascii="宋体" w:hAnsi="宋体" w:cs="宋体"/>
          <w:bCs/>
          <w:sz w:val="28"/>
          <w:szCs w:val="28"/>
          <w:u w:val="single"/>
        </w:rPr>
      </w:pPr>
      <w:r>
        <w:rPr>
          <w:rFonts w:hint="eastAsia" w:ascii="宋体" w:hAnsi="宋体" w:cs="宋体"/>
          <w:bCs/>
          <w:sz w:val="28"/>
          <w:szCs w:val="28"/>
        </w:rPr>
        <w:t>投标人</w:t>
      </w:r>
      <w:r>
        <w:rPr>
          <w:rFonts w:hint="eastAsia" w:ascii="宋体" w:hAnsi="宋体" w:cs="宋体"/>
          <w:bCs/>
          <w:sz w:val="28"/>
          <w:szCs w:val="28"/>
          <w:lang w:val="en-US" w:eastAsia="zh-CN"/>
        </w:rPr>
        <w:t>[</w:t>
      </w:r>
      <w:r>
        <w:rPr>
          <w:rFonts w:hint="eastAsia" w:ascii="宋体" w:hAnsi="宋体" w:cs="宋体"/>
          <w:bCs/>
          <w:sz w:val="28"/>
          <w:szCs w:val="28"/>
        </w:rPr>
        <w:t>公章(CA签章)、自然人除外</w:t>
      </w:r>
      <w:r>
        <w:rPr>
          <w:rFonts w:hint="eastAsia" w:ascii="宋体" w:hAnsi="宋体" w:cs="宋体"/>
          <w:bCs/>
          <w:sz w:val="28"/>
          <w:szCs w:val="28"/>
          <w:lang w:val="en-US" w:eastAsia="zh-CN"/>
        </w:rPr>
        <w:t>]</w:t>
      </w:r>
      <w:r>
        <w:rPr>
          <w:rFonts w:hint="eastAsia" w:ascii="宋体" w:hAnsi="宋体" w:cs="宋体"/>
          <w:bCs/>
          <w:sz w:val="28"/>
          <w:szCs w:val="28"/>
        </w:rPr>
        <w:t>：</w:t>
      </w:r>
      <w:r>
        <w:rPr>
          <w:rFonts w:hint="eastAsia" w:ascii="宋体" w:hAnsi="宋体" w:cs="宋体"/>
          <w:bCs/>
          <w:sz w:val="28"/>
          <w:szCs w:val="28"/>
          <w:u w:val="single"/>
        </w:rPr>
        <w:t xml:space="preserve">                              </w:t>
      </w:r>
    </w:p>
    <w:p w14:paraId="50ED9C74">
      <w:pPr>
        <w:pStyle w:val="220"/>
        <w:spacing w:line="320" w:lineRule="exact"/>
        <w:rPr>
          <w:rFonts w:hAnsi="宋体" w:cs="宋体"/>
          <w:sz w:val="28"/>
          <w:szCs w:val="28"/>
          <w:u w:val="single"/>
        </w:rPr>
      </w:pPr>
      <w:r>
        <w:rPr>
          <w:rFonts w:hint="eastAsia" w:hAnsi="宋体" w:cs="宋体"/>
          <w:sz w:val="28"/>
          <w:szCs w:val="28"/>
        </w:rPr>
        <w:t>法定代表人或负责人或自然人或相应的委托代理人签字[或盖章(CA签章)]（属自然人的应在签名处加盖大拇指指印或个人CA签章）：</w:t>
      </w:r>
      <w:r>
        <w:rPr>
          <w:rFonts w:hint="eastAsia" w:hAnsi="宋体" w:cs="宋体"/>
          <w:sz w:val="28"/>
          <w:szCs w:val="28"/>
          <w:u w:val="single"/>
        </w:rPr>
        <w:t xml:space="preserve">                  </w:t>
      </w:r>
    </w:p>
    <w:p w14:paraId="1D38F49B">
      <w:pPr>
        <w:pStyle w:val="217"/>
        <w:ind w:left="0"/>
        <w:rPr>
          <w:rFonts w:ascii="宋体" w:hAnsi="宋体" w:cs="宋体"/>
          <w:bCs/>
          <w:sz w:val="28"/>
          <w:szCs w:val="28"/>
          <w:u w:val="single"/>
        </w:rPr>
      </w:pPr>
      <w:r>
        <w:rPr>
          <w:rFonts w:hint="eastAsia" w:ascii="宋体" w:hAnsi="宋体" w:cs="宋体"/>
          <w:bCs/>
          <w:sz w:val="28"/>
          <w:szCs w:val="28"/>
        </w:rPr>
        <w:t>联系电话：</w:t>
      </w:r>
      <w:r>
        <w:rPr>
          <w:rFonts w:hint="eastAsia" w:ascii="宋体" w:hAnsi="宋体" w:cs="宋体"/>
          <w:bCs/>
          <w:sz w:val="28"/>
          <w:szCs w:val="28"/>
          <w:u w:val="single"/>
        </w:rPr>
        <w:t xml:space="preserve">                                                </w:t>
      </w:r>
    </w:p>
    <w:p w14:paraId="207885EB">
      <w:pPr>
        <w:pStyle w:val="217"/>
        <w:ind w:left="0"/>
        <w:rPr>
          <w:rFonts w:ascii="宋体" w:hAnsi="宋体" w:cs="宋体"/>
          <w:bCs/>
          <w:sz w:val="28"/>
          <w:szCs w:val="28"/>
          <w:u w:val="single"/>
        </w:rPr>
      </w:pPr>
    </w:p>
    <w:p w14:paraId="3A0B22A4">
      <w:pPr>
        <w:pStyle w:val="217"/>
        <w:ind w:left="0"/>
        <w:rPr>
          <w:rFonts w:ascii="宋体" w:hAnsi="宋体" w:cs="宋体"/>
          <w:b/>
          <w:sz w:val="32"/>
          <w:szCs w:val="32"/>
        </w:rPr>
      </w:pPr>
      <w:r>
        <w:rPr>
          <w:rFonts w:hint="eastAsia" w:ascii="宋体" w:hAnsi="宋体" w:cs="宋体"/>
          <w:bCs/>
          <w:sz w:val="28"/>
          <w:szCs w:val="28"/>
        </w:rPr>
        <w:t>日期：</w:t>
      </w:r>
      <w:r>
        <w:rPr>
          <w:rFonts w:hint="eastAsia" w:ascii="宋体" w:hAnsi="宋体" w:cs="宋体"/>
          <w:bCs/>
          <w:sz w:val="28"/>
          <w:szCs w:val="28"/>
          <w:u w:val="single"/>
        </w:rPr>
        <w:t xml:space="preserve">          </w:t>
      </w:r>
      <w:r>
        <w:rPr>
          <w:rFonts w:hint="eastAsia" w:ascii="宋体" w:hAnsi="宋体" w:cs="宋体"/>
          <w:bCs/>
          <w:sz w:val="28"/>
          <w:szCs w:val="28"/>
        </w:rPr>
        <w:t>年</w:t>
      </w:r>
      <w:r>
        <w:rPr>
          <w:rFonts w:hint="eastAsia" w:ascii="宋体" w:hAnsi="宋体" w:cs="宋体"/>
          <w:bCs/>
          <w:sz w:val="28"/>
          <w:szCs w:val="28"/>
          <w:u w:val="single"/>
        </w:rPr>
        <w:t xml:space="preserve">      </w:t>
      </w:r>
      <w:r>
        <w:rPr>
          <w:rFonts w:hint="eastAsia" w:ascii="宋体" w:hAnsi="宋体" w:cs="宋体"/>
          <w:bCs/>
          <w:sz w:val="28"/>
          <w:szCs w:val="28"/>
        </w:rPr>
        <w:t>月</w:t>
      </w:r>
      <w:r>
        <w:rPr>
          <w:rFonts w:hint="eastAsia" w:ascii="宋体" w:hAnsi="宋体" w:cs="宋体"/>
          <w:bCs/>
          <w:sz w:val="28"/>
          <w:szCs w:val="28"/>
          <w:u w:val="single"/>
        </w:rPr>
        <w:t xml:space="preserve">      </w:t>
      </w:r>
      <w:r>
        <w:rPr>
          <w:rFonts w:hint="eastAsia" w:ascii="宋体" w:hAnsi="宋体" w:cs="宋体"/>
          <w:bCs/>
          <w:sz w:val="28"/>
          <w:szCs w:val="28"/>
        </w:rPr>
        <w:t>日</w:t>
      </w:r>
    </w:p>
    <w:p w14:paraId="316A5E94">
      <w:pPr>
        <w:jc w:val="center"/>
        <w:rPr>
          <w:b/>
          <w:bCs/>
          <w:sz w:val="32"/>
          <w:szCs w:val="32"/>
        </w:rPr>
      </w:pPr>
      <w:r>
        <w:rPr>
          <w:rFonts w:hint="eastAsia"/>
          <w:b/>
          <w:bCs/>
          <w:sz w:val="32"/>
          <w:szCs w:val="32"/>
        </w:rPr>
        <w:br w:type="page" w:clear="all"/>
      </w:r>
      <w:r>
        <w:rPr>
          <w:rFonts w:hint="eastAsia"/>
          <w:b/>
          <w:bCs/>
          <w:sz w:val="32"/>
          <w:szCs w:val="32"/>
        </w:rPr>
        <w:t>投标文件目录</w:t>
      </w:r>
    </w:p>
    <w:p w14:paraId="7D4BE710">
      <w:pPr>
        <w:tabs>
          <w:tab w:val="left" w:pos="1305"/>
        </w:tabs>
        <w:spacing w:line="276" w:lineRule="auto"/>
        <w:rPr>
          <w:rFonts w:ascii="宋体" w:hAnsi="宋体" w:cs="宋体"/>
          <w:b/>
          <w:sz w:val="28"/>
          <w:szCs w:val="28"/>
        </w:rPr>
      </w:pPr>
      <w:r>
        <w:rPr>
          <w:rFonts w:hint="eastAsia" w:ascii="宋体" w:hAnsi="宋体" w:cs="宋体"/>
          <w:b/>
          <w:sz w:val="28"/>
          <w:szCs w:val="28"/>
        </w:rPr>
        <w:t>一、资格性响应证明材料：</w:t>
      </w:r>
    </w:p>
    <w:p w14:paraId="234AF07F">
      <w:pPr>
        <w:spacing w:line="400" w:lineRule="exact"/>
        <w:ind w:firstLine="411"/>
        <w:rPr>
          <w:rFonts w:ascii="宋体" w:hAnsi="宋体" w:cs="宋体"/>
          <w:szCs w:val="21"/>
        </w:rPr>
      </w:pPr>
      <w:r>
        <w:rPr>
          <w:rFonts w:hint="eastAsia" w:ascii="宋体" w:hAnsi="宋体" w:cs="宋体"/>
          <w:szCs w:val="21"/>
        </w:rPr>
        <w:t>（1）投标人相应的法定代表人或负责人或自然人身份证正反面扫描件</w:t>
      </w:r>
      <w:r>
        <w:rPr>
          <w:rFonts w:hint="eastAsia" w:ascii="宋体" w:hAnsi="宋体" w:cs="宋体"/>
          <w:b/>
          <w:bCs/>
          <w:szCs w:val="21"/>
        </w:rPr>
        <w:t>（必须提供）</w:t>
      </w:r>
      <w:r>
        <w:rPr>
          <w:rFonts w:hint="eastAsia" w:ascii="宋体" w:hAnsi="宋体" w:cs="宋体"/>
          <w:szCs w:val="21"/>
        </w:rPr>
        <w:t>；</w:t>
      </w:r>
    </w:p>
    <w:p w14:paraId="6F074468">
      <w:pPr>
        <w:spacing w:line="400" w:lineRule="exact"/>
        <w:ind w:firstLine="411"/>
        <w:rPr>
          <w:rFonts w:ascii="宋体" w:hAnsi="宋体" w:cs="宋体"/>
          <w:szCs w:val="21"/>
        </w:rPr>
      </w:pPr>
      <w:r>
        <w:rPr>
          <w:rFonts w:hint="eastAsia" w:ascii="宋体" w:hAnsi="宋体" w:cs="宋体"/>
          <w:szCs w:val="21"/>
        </w:rPr>
        <w:t>（2）投标人的授权委托书原件、委托代理人身份证正反面扫描件以及由县级以上（含县级）社会养老保险经办机构出具的投标人为委托代理人交纳的</w:t>
      </w:r>
      <w:r>
        <w:rPr>
          <w:rFonts w:hint="eastAsia" w:ascii="宋体" w:hAnsi="宋体" w:cs="宋体"/>
          <w:szCs w:val="21"/>
          <w:lang w:eastAsia="zh-CN"/>
        </w:rPr>
        <w:t>投标截止时间前半年内任意一个月</w:t>
      </w:r>
      <w:r>
        <w:rPr>
          <w:rFonts w:hint="eastAsia" w:ascii="宋体" w:hAnsi="宋体" w:cs="宋体"/>
          <w:szCs w:val="21"/>
        </w:rPr>
        <w:t>养老保险证明扫描件</w:t>
      </w:r>
      <w:r>
        <w:rPr>
          <w:rFonts w:hint="eastAsia" w:ascii="宋体" w:hAnsi="宋体" w:cs="宋体"/>
          <w:bCs/>
          <w:szCs w:val="21"/>
        </w:rPr>
        <w:t>【属自然人的应提供由县级以上（含县级）社会养老保险经办机构出具的自然人本人及委托代理人所交纳的</w:t>
      </w:r>
      <w:r>
        <w:rPr>
          <w:rFonts w:hint="eastAsia" w:ascii="宋体" w:hAnsi="宋体" w:cs="宋体"/>
          <w:bCs/>
          <w:szCs w:val="21"/>
          <w:lang w:eastAsia="zh-CN"/>
        </w:rPr>
        <w:t>投标截止时间前半年内任意一个月</w:t>
      </w:r>
      <w:r>
        <w:rPr>
          <w:rFonts w:hint="eastAsia" w:ascii="宋体" w:hAnsi="宋体" w:cs="宋体"/>
          <w:bCs/>
          <w:szCs w:val="21"/>
        </w:rPr>
        <w:t>养老保险证明扫描件。</w:t>
      </w:r>
      <w:r>
        <w:rPr>
          <w:rFonts w:hint="eastAsia" w:ascii="宋体" w:hAnsi="宋体" w:cs="宋体"/>
          <w:b/>
          <w:bCs/>
          <w:szCs w:val="21"/>
        </w:rPr>
        <w:t>】</w:t>
      </w:r>
      <w:r>
        <w:rPr>
          <w:rFonts w:hint="eastAsia" w:ascii="宋体" w:hAnsi="宋体"/>
          <w:b/>
          <w:szCs w:val="21"/>
        </w:rPr>
        <w:t>（委托代理时，必须提供）；</w:t>
      </w:r>
      <w:r>
        <w:rPr>
          <w:rFonts w:hint="eastAsia" w:ascii="宋体" w:hAnsi="宋体" w:cs="宋体"/>
          <w:szCs w:val="21"/>
        </w:rPr>
        <w:t xml:space="preserve"> </w:t>
      </w:r>
    </w:p>
    <w:p w14:paraId="30482362">
      <w:pPr>
        <w:spacing w:line="400" w:lineRule="exact"/>
        <w:ind w:firstLine="411"/>
        <w:rPr>
          <w:rFonts w:ascii="宋体" w:hAnsi="宋体" w:cs="宋体"/>
          <w:szCs w:val="21"/>
        </w:rPr>
      </w:pPr>
      <w:r>
        <w:rPr>
          <w:rFonts w:hint="eastAsia" w:ascii="宋体" w:hAnsi="宋体" w:cs="宋体"/>
          <w:szCs w:val="21"/>
        </w:rPr>
        <w:t>（3）投标人的法人或者其他组织营业执照等证明文件扫描件</w:t>
      </w:r>
      <w:r>
        <w:rPr>
          <w:rFonts w:hint="eastAsia" w:ascii="宋体" w:hAnsi="宋体" w:cs="宋体"/>
          <w:b/>
          <w:szCs w:val="21"/>
        </w:rPr>
        <w:t>（必须提供，自然人除外）</w:t>
      </w:r>
      <w:r>
        <w:rPr>
          <w:rFonts w:hint="eastAsia" w:ascii="宋体" w:hAnsi="宋体" w:cs="宋体"/>
          <w:szCs w:val="21"/>
        </w:rPr>
        <w:t>；</w:t>
      </w:r>
    </w:p>
    <w:p w14:paraId="05E04FE7">
      <w:pPr>
        <w:spacing w:line="400" w:lineRule="exact"/>
        <w:ind w:firstLine="411"/>
        <w:rPr>
          <w:rFonts w:ascii="宋体" w:hAnsi="宋体" w:cs="宋体"/>
          <w:szCs w:val="21"/>
        </w:rPr>
      </w:pPr>
      <w:r>
        <w:rPr>
          <w:rFonts w:ascii="宋体" w:hAnsi="宋体" w:cs="宋体"/>
          <w:szCs w:val="21"/>
        </w:rPr>
        <w:t>（</w:t>
      </w:r>
      <w:r>
        <w:rPr>
          <w:rFonts w:hint="eastAsia" w:ascii="宋体" w:hAnsi="宋体" w:cs="宋体"/>
          <w:szCs w:val="21"/>
        </w:rPr>
        <w:t>4</w:t>
      </w:r>
      <w:r>
        <w:rPr>
          <w:rFonts w:ascii="宋体" w:hAnsi="宋体" w:cs="宋体"/>
          <w:szCs w:val="21"/>
        </w:rPr>
        <w:t>）</w:t>
      </w:r>
      <w:r>
        <w:rPr>
          <w:rFonts w:hint="eastAsia" w:ascii="宋体" w:hAnsi="宋体" w:cs="宋体"/>
          <w:szCs w:val="21"/>
          <w:lang w:eastAsia="zh-CN"/>
        </w:rPr>
        <w:t>投标人参加政府采购活动前3年内在经营活动中没有重大违法记录及有关信用信息的书面声明</w:t>
      </w:r>
      <w:r>
        <w:rPr>
          <w:rFonts w:hint="eastAsia" w:ascii="宋体" w:hAnsi="宋体" w:cs="宋体"/>
          <w:b/>
          <w:szCs w:val="21"/>
        </w:rPr>
        <w:t>（必须提供）</w:t>
      </w:r>
      <w:r>
        <w:rPr>
          <w:rFonts w:hint="eastAsia" w:ascii="宋体" w:hAnsi="宋体" w:cs="宋体"/>
          <w:szCs w:val="21"/>
        </w:rPr>
        <w:t>；</w:t>
      </w:r>
    </w:p>
    <w:p w14:paraId="555D58A5">
      <w:pPr>
        <w:spacing w:line="400" w:lineRule="exact"/>
        <w:ind w:firstLine="411"/>
        <w:rPr>
          <w:rFonts w:ascii="宋体" w:hAnsi="宋体" w:cs="宋体"/>
          <w:b/>
        </w:rPr>
      </w:pPr>
      <w:r>
        <w:rPr>
          <w:rFonts w:hint="eastAsia" w:ascii="宋体" w:hAnsi="宋体" w:cs="宋体"/>
          <w:kern w:val="2"/>
        </w:rPr>
        <w:t>（5）</w:t>
      </w:r>
      <w:r>
        <w:rPr>
          <w:rFonts w:hint="eastAsia" w:ascii="宋体" w:hAnsi="宋体" w:cs="宋体"/>
          <w:kern w:val="2"/>
          <w:lang w:eastAsia="zh-CN"/>
        </w:rPr>
        <w:t>投标人2025年的财务状况报告</w:t>
      </w:r>
      <w:r>
        <w:rPr>
          <w:rFonts w:hint="eastAsia" w:ascii="宋体" w:hAnsi="宋体" w:cs="宋体"/>
          <w:b/>
          <w:kern w:val="2"/>
        </w:rPr>
        <w:t>（必须提供）</w:t>
      </w:r>
      <w:r>
        <w:rPr>
          <w:rFonts w:hint="eastAsia" w:ascii="宋体" w:hAnsi="宋体" w:cs="宋体"/>
          <w:b/>
        </w:rPr>
        <w:t>；</w:t>
      </w:r>
    </w:p>
    <w:p w14:paraId="666459DD">
      <w:pPr>
        <w:spacing w:line="400" w:lineRule="exact"/>
        <w:ind w:firstLine="411"/>
        <w:rPr>
          <w:rFonts w:ascii="宋体" w:hAnsi="宋体" w:cs="宋体"/>
          <w:b/>
        </w:rPr>
      </w:pPr>
      <w:r>
        <w:rPr>
          <w:rFonts w:hint="eastAsia" w:ascii="宋体" w:hAnsi="宋体" w:cs="宋体"/>
        </w:rPr>
        <w:t>（6）</w:t>
      </w:r>
      <w:r>
        <w:rPr>
          <w:rFonts w:hint="eastAsia" w:ascii="宋体" w:hAnsi="宋体" w:cs="宋体"/>
          <w:lang w:eastAsia="zh-CN"/>
        </w:rPr>
        <w:t>投标人在投标截止之日前半年内任意一个月依法缴纳税费或依法免缴税费的相关证明材料</w:t>
      </w:r>
      <w:r>
        <w:rPr>
          <w:rFonts w:hint="eastAsia" w:ascii="宋体" w:hAnsi="宋体" w:cs="宋体"/>
          <w:b/>
        </w:rPr>
        <w:t>（必须提供）；</w:t>
      </w:r>
    </w:p>
    <w:p w14:paraId="31E217B6">
      <w:pPr>
        <w:spacing w:line="400" w:lineRule="exact"/>
        <w:ind w:firstLine="411"/>
        <w:rPr>
          <w:rFonts w:hint="eastAsia" w:ascii="宋体" w:hAnsi="宋体" w:eastAsia="宋体" w:cs="宋体"/>
          <w:lang w:eastAsia="zh-CN"/>
        </w:rPr>
      </w:pPr>
      <w:r>
        <w:rPr>
          <w:rFonts w:hint="eastAsia" w:ascii="宋体" w:hAnsi="宋体" w:cs="宋体"/>
        </w:rPr>
        <w:t>（7）</w:t>
      </w:r>
      <w:r>
        <w:rPr>
          <w:rFonts w:hint="eastAsia" w:ascii="宋体" w:hAnsi="宋体" w:cs="宋体"/>
          <w:lang w:eastAsia="zh-CN"/>
        </w:rPr>
        <w:t>投标人在投标截止之日前半年内任意一个月依法缴纳社保的凭据或依法免缴社保的相关证明材料扫描件</w:t>
      </w:r>
      <w:r>
        <w:rPr>
          <w:rFonts w:hint="eastAsia" w:ascii="宋体" w:hAnsi="宋体" w:cs="宋体"/>
        </w:rPr>
        <w:t>；无缴费记录的，应提供由投标人所在地社保部门出具的《依法缴纳或依法免缴</w:t>
      </w:r>
      <w:r>
        <w:rPr>
          <w:rFonts w:hint="eastAsia" w:ascii="宋体" w:hAnsi="宋体" w:cs="宋体"/>
          <w:lang w:eastAsia="zh-CN"/>
        </w:rPr>
        <w:t>社保</w:t>
      </w:r>
      <w:r>
        <w:rPr>
          <w:rFonts w:hint="eastAsia" w:ascii="宋体" w:hAnsi="宋体" w:cs="宋体"/>
        </w:rPr>
        <w:t>证明》扫描件</w:t>
      </w:r>
      <w:r>
        <w:rPr>
          <w:rFonts w:hint="eastAsia" w:ascii="宋体" w:hAnsi="宋体" w:cs="宋体"/>
          <w:b/>
        </w:rPr>
        <w:t>（若为新成立的企业，请根据实际情况提供）（必须提供）</w:t>
      </w:r>
      <w:r>
        <w:rPr>
          <w:rFonts w:hint="eastAsia" w:ascii="宋体" w:hAnsi="宋体" w:cs="宋体"/>
          <w:lang w:eastAsia="zh-CN"/>
        </w:rPr>
        <w:t>。</w:t>
      </w:r>
    </w:p>
    <w:p w14:paraId="5B165685">
      <w:pPr>
        <w:tabs>
          <w:tab w:val="left" w:pos="1305"/>
        </w:tabs>
        <w:spacing w:line="276" w:lineRule="auto"/>
        <w:rPr>
          <w:rFonts w:ascii="宋体" w:hAnsi="宋体" w:cs="宋体"/>
          <w:b/>
          <w:sz w:val="28"/>
          <w:szCs w:val="28"/>
        </w:rPr>
      </w:pPr>
      <w:r>
        <w:rPr>
          <w:rFonts w:hint="eastAsia" w:ascii="宋体" w:hAnsi="宋体" w:cs="宋体"/>
          <w:b/>
          <w:sz w:val="28"/>
          <w:szCs w:val="28"/>
        </w:rPr>
        <w:t>二、</w:t>
      </w:r>
      <w:r>
        <w:rPr>
          <w:rFonts w:hint="eastAsia" w:ascii="宋体" w:hAnsi="宋体" w:cs="宋体"/>
          <w:b/>
          <w:sz w:val="28"/>
          <w:szCs w:val="28"/>
          <w:lang w:eastAsia="zh-CN"/>
        </w:rPr>
        <w:t>商务、技术性响应</w:t>
      </w:r>
      <w:r>
        <w:rPr>
          <w:rFonts w:hint="eastAsia" w:ascii="宋体" w:hAnsi="宋体" w:cs="宋体"/>
          <w:b/>
          <w:sz w:val="28"/>
          <w:szCs w:val="28"/>
        </w:rPr>
        <w:t>及其他证明材料：</w:t>
      </w:r>
    </w:p>
    <w:p w14:paraId="0BF4E155">
      <w:pPr>
        <w:spacing w:line="400" w:lineRule="exact"/>
        <w:ind w:left="9" w:firstLine="411"/>
        <w:rPr>
          <w:rFonts w:ascii="宋体" w:hAnsi="宋体" w:cs="宋体"/>
          <w:b/>
          <w:color w:val="auto"/>
        </w:rPr>
      </w:pPr>
      <w:r>
        <w:rPr>
          <w:rFonts w:ascii="宋体" w:hAnsi="宋体" w:cs="宋体"/>
          <w:color w:val="auto"/>
        </w:rPr>
        <w:t>（1）</w:t>
      </w:r>
      <w:r>
        <w:rPr>
          <w:rFonts w:hint="eastAsia" w:ascii="宋体" w:hAnsi="宋体" w:cs="宋体"/>
          <w:color w:val="auto"/>
        </w:rPr>
        <w:t>投标报价表（格式见附件）</w:t>
      </w:r>
      <w:r>
        <w:rPr>
          <w:rFonts w:hint="eastAsia" w:ascii="宋体" w:hAnsi="宋体" w:cs="宋体"/>
          <w:b/>
          <w:color w:val="auto"/>
        </w:rPr>
        <w:t>（必须提供）；</w:t>
      </w:r>
    </w:p>
    <w:p w14:paraId="0E23740C">
      <w:pPr>
        <w:spacing w:line="400" w:lineRule="exact"/>
        <w:ind w:left="9" w:firstLine="411"/>
        <w:rPr>
          <w:rFonts w:hint="eastAsia" w:ascii="宋体" w:hAnsi="宋体" w:eastAsia="宋体" w:cs="宋体"/>
          <w:color w:val="auto"/>
          <w:lang w:val="en-US" w:eastAsia="zh-CN"/>
        </w:rPr>
      </w:pPr>
      <w:r>
        <w:rPr>
          <w:rFonts w:ascii="宋体" w:hAnsi="宋体" w:cs="宋体"/>
          <w:color w:val="auto"/>
        </w:rPr>
        <w:t>（</w:t>
      </w:r>
      <w:r>
        <w:rPr>
          <w:rFonts w:hint="eastAsia" w:ascii="宋体" w:hAnsi="宋体" w:cs="宋体"/>
          <w:color w:val="auto"/>
        </w:rPr>
        <w:t>2</w:t>
      </w:r>
      <w:r>
        <w:rPr>
          <w:rFonts w:ascii="宋体" w:hAnsi="宋体" w:cs="宋体"/>
          <w:color w:val="auto"/>
        </w:rPr>
        <w:t>）</w:t>
      </w:r>
      <w:r>
        <w:rPr>
          <w:rFonts w:hint="eastAsia" w:ascii="宋体" w:hAnsi="宋体" w:cs="宋体"/>
          <w:color w:val="auto"/>
          <w:lang w:val="en-US" w:eastAsia="zh-CN"/>
        </w:rPr>
        <w:t>服务响</w:t>
      </w:r>
      <w:r>
        <w:rPr>
          <w:rFonts w:hint="eastAsia" w:ascii="宋体" w:hAnsi="宋体" w:cs="宋体"/>
          <w:color w:val="auto"/>
          <w:szCs w:val="21"/>
        </w:rPr>
        <w:t>应表</w:t>
      </w:r>
      <w:r>
        <w:rPr>
          <w:rFonts w:hint="eastAsia" w:ascii="宋体" w:hAnsi="宋体" w:cs="宋体"/>
          <w:bCs/>
          <w:color w:val="auto"/>
          <w:szCs w:val="21"/>
        </w:rPr>
        <w:t>（格式见附件）</w:t>
      </w:r>
      <w:r>
        <w:rPr>
          <w:rFonts w:hint="eastAsia" w:ascii="宋体" w:hAnsi="宋体" w:cs="宋体"/>
          <w:b/>
          <w:color w:val="auto"/>
          <w:szCs w:val="21"/>
        </w:rPr>
        <w:t>（必须提供）</w:t>
      </w:r>
      <w:r>
        <w:rPr>
          <w:rFonts w:hint="eastAsia" w:ascii="宋体" w:hAnsi="宋体" w:cs="宋体"/>
          <w:b/>
          <w:color w:val="auto"/>
          <w:szCs w:val="21"/>
          <w:lang w:val="en-US" w:eastAsia="zh-CN"/>
        </w:rPr>
        <w:t>；</w:t>
      </w:r>
    </w:p>
    <w:p w14:paraId="05229B15">
      <w:pPr>
        <w:spacing w:line="400" w:lineRule="exact"/>
        <w:ind w:left="9" w:firstLine="411"/>
        <w:rPr>
          <w:rFonts w:ascii="宋体" w:hAnsi="宋体" w:cs="宋体"/>
          <w:color w:val="auto"/>
        </w:rPr>
      </w:pPr>
      <w:r>
        <w:rPr>
          <w:rFonts w:ascii="宋体" w:hAnsi="宋体" w:cs="宋体"/>
          <w:color w:val="auto"/>
        </w:rPr>
        <w:t>（</w:t>
      </w:r>
      <w:r>
        <w:rPr>
          <w:rFonts w:hint="eastAsia" w:ascii="宋体" w:hAnsi="宋体" w:cs="宋体"/>
          <w:color w:val="auto"/>
        </w:rPr>
        <w:t>3</w:t>
      </w:r>
      <w:r>
        <w:rPr>
          <w:rFonts w:ascii="宋体" w:hAnsi="宋体" w:cs="宋体"/>
          <w:color w:val="auto"/>
        </w:rPr>
        <w:t>）</w:t>
      </w:r>
      <w:r>
        <w:rPr>
          <w:rFonts w:hint="eastAsia" w:ascii="宋体" w:hAnsi="宋体" w:cs="宋体"/>
          <w:color w:val="auto"/>
        </w:rPr>
        <w:t>“采购需求”需提供的有效证明文件</w:t>
      </w:r>
      <w:r>
        <w:rPr>
          <w:rFonts w:hint="eastAsia" w:ascii="宋体" w:hAnsi="宋体" w:cs="宋体"/>
          <w:b/>
          <w:color w:val="auto"/>
        </w:rPr>
        <w:t>（按其要求提供）；</w:t>
      </w:r>
    </w:p>
    <w:p w14:paraId="2E2AA5C2">
      <w:pPr>
        <w:spacing w:line="400" w:lineRule="exact"/>
        <w:ind w:left="9" w:firstLine="411"/>
        <w:rPr>
          <w:rFonts w:ascii="宋体" w:hAnsi="宋体" w:cs="宋体"/>
          <w:color w:val="auto"/>
        </w:rPr>
      </w:pPr>
      <w:r>
        <w:rPr>
          <w:rFonts w:hint="eastAsia" w:ascii="宋体" w:hAnsi="宋体" w:cs="宋体"/>
          <w:color w:val="auto"/>
        </w:rPr>
        <w:t>（</w:t>
      </w:r>
      <w:r>
        <w:rPr>
          <w:rFonts w:hint="eastAsia" w:ascii="宋体" w:hAnsi="宋体" w:cs="宋体"/>
          <w:color w:val="auto"/>
          <w:lang w:val="en-US" w:eastAsia="zh-CN"/>
        </w:rPr>
        <w:t>4</w:t>
      </w:r>
      <w:r>
        <w:rPr>
          <w:rFonts w:hint="eastAsia" w:ascii="宋体" w:hAnsi="宋体" w:cs="宋体"/>
          <w:color w:val="auto"/>
        </w:rPr>
        <w:t>）项目实施方案（内容可根据本项目采购需求、特点、评标办法及自身的处理能力自行编写）</w:t>
      </w:r>
      <w:r>
        <w:rPr>
          <w:rFonts w:hint="eastAsia" w:ascii="宋体" w:hAnsi="宋体" w:cs="宋体"/>
          <w:b/>
          <w:color w:val="auto"/>
        </w:rPr>
        <w:t>（必须提供）；</w:t>
      </w:r>
    </w:p>
    <w:p w14:paraId="2249E354">
      <w:pPr>
        <w:spacing w:line="400" w:lineRule="exact"/>
        <w:ind w:left="9" w:firstLine="411"/>
        <w:rPr>
          <w:rFonts w:hint="eastAsia" w:ascii="宋体" w:hAnsi="宋体" w:eastAsia="宋体" w:cs="宋体"/>
          <w:color w:val="auto"/>
          <w:lang w:val="en-US" w:eastAsia="zh-CN"/>
        </w:rPr>
      </w:pPr>
      <w:r>
        <w:rPr>
          <w:rFonts w:hint="eastAsia" w:ascii="宋体" w:hAnsi="宋体" w:cs="宋体"/>
          <w:color w:val="auto"/>
        </w:rPr>
        <w:t>（</w:t>
      </w:r>
      <w:r>
        <w:rPr>
          <w:rFonts w:hint="eastAsia" w:ascii="宋体" w:hAnsi="宋体" w:cs="宋体"/>
          <w:color w:val="auto"/>
          <w:lang w:val="en-US" w:eastAsia="zh-CN"/>
        </w:rPr>
        <w:t>5</w:t>
      </w:r>
      <w:r>
        <w:rPr>
          <w:rFonts w:hint="eastAsia" w:ascii="宋体" w:hAnsi="宋体" w:cs="宋体"/>
          <w:color w:val="auto"/>
        </w:rPr>
        <w:t>）</w:t>
      </w:r>
      <w:r>
        <w:rPr>
          <w:rFonts w:hint="eastAsia" w:ascii="宋体" w:hAnsi="宋体" w:cs="宋体"/>
          <w:color w:val="auto"/>
          <w:lang w:eastAsia="zh-CN"/>
        </w:rPr>
        <w:t>项目服务方案</w:t>
      </w:r>
      <w:r>
        <w:rPr>
          <w:rFonts w:hint="eastAsia" w:ascii="宋体" w:hAnsi="宋体" w:cs="宋体"/>
          <w:color w:val="auto"/>
        </w:rPr>
        <w:t>（内容可根据本项目采购需求、特点、评标办法及自身的处理能力自行编写）</w:t>
      </w:r>
      <w:r>
        <w:rPr>
          <w:rFonts w:hint="eastAsia" w:ascii="宋体" w:hAnsi="宋体" w:cs="宋体"/>
          <w:b/>
          <w:color w:val="auto"/>
        </w:rPr>
        <w:t>（必须提供）</w:t>
      </w:r>
      <w:r>
        <w:rPr>
          <w:rFonts w:hint="eastAsia" w:ascii="宋体" w:hAnsi="宋体" w:cs="宋体"/>
          <w:b/>
          <w:color w:val="auto"/>
          <w:lang w:val="en-US" w:eastAsia="zh-CN"/>
        </w:rPr>
        <w:t>；</w:t>
      </w:r>
    </w:p>
    <w:p w14:paraId="731CFD68">
      <w:pPr>
        <w:spacing w:line="400" w:lineRule="exact"/>
        <w:ind w:left="9" w:firstLine="411"/>
        <w:rPr>
          <w:rFonts w:ascii="宋体" w:hAnsi="宋体" w:cs="宋体"/>
          <w:color w:val="auto"/>
        </w:rPr>
      </w:pPr>
      <w:r>
        <w:rPr>
          <w:rFonts w:hint="eastAsia" w:ascii="宋体" w:hAnsi="宋体" w:cs="宋体"/>
          <w:color w:val="auto"/>
        </w:rPr>
        <w:t>（</w:t>
      </w:r>
      <w:r>
        <w:rPr>
          <w:rFonts w:hint="eastAsia" w:ascii="宋体" w:hAnsi="宋体" w:cs="宋体"/>
          <w:color w:val="auto"/>
          <w:lang w:val="en-US" w:eastAsia="zh-CN"/>
        </w:rPr>
        <w:t>6</w:t>
      </w:r>
      <w:r>
        <w:rPr>
          <w:rFonts w:hint="eastAsia" w:ascii="宋体" w:hAnsi="宋体" w:cs="宋体"/>
          <w:color w:val="auto"/>
        </w:rPr>
        <w:t>）项目实施人员一览表</w:t>
      </w:r>
      <w:r>
        <w:rPr>
          <w:rFonts w:hint="eastAsia" w:ascii="宋体" w:hAnsi="宋体" w:cs="宋体"/>
          <w:b/>
          <w:color w:val="auto"/>
        </w:rPr>
        <w:t>（如有，请提供）；</w:t>
      </w:r>
      <w:r>
        <w:rPr>
          <w:rFonts w:ascii="宋体" w:hAnsi="宋体" w:cs="宋体"/>
          <w:b/>
          <w:color w:val="auto"/>
        </w:rPr>
        <w:t xml:space="preserve"> </w:t>
      </w:r>
    </w:p>
    <w:p w14:paraId="28887481">
      <w:pPr>
        <w:spacing w:line="400" w:lineRule="exact"/>
        <w:ind w:left="9" w:firstLine="411"/>
        <w:rPr>
          <w:rFonts w:ascii="宋体" w:hAnsi="宋体" w:cs="宋体"/>
          <w:color w:val="auto"/>
        </w:rPr>
      </w:pPr>
      <w:r>
        <w:rPr>
          <w:rFonts w:hint="eastAsia" w:ascii="宋体" w:hAnsi="宋体" w:cs="宋体"/>
          <w:color w:val="auto"/>
        </w:rPr>
        <w:t>（</w:t>
      </w:r>
      <w:r>
        <w:rPr>
          <w:rFonts w:hint="eastAsia" w:ascii="宋体" w:hAnsi="宋体" w:cs="宋体"/>
          <w:color w:val="auto"/>
          <w:lang w:val="en-US" w:eastAsia="zh-CN"/>
        </w:rPr>
        <w:t>7</w:t>
      </w:r>
      <w:r>
        <w:rPr>
          <w:rFonts w:hint="eastAsia" w:ascii="宋体" w:hAnsi="宋体" w:cs="宋体"/>
          <w:color w:val="auto"/>
        </w:rPr>
        <w:t>）投标人业绩的相关证明材料（业绩要求详见评标办法）</w:t>
      </w:r>
      <w:r>
        <w:rPr>
          <w:rFonts w:hint="eastAsia" w:ascii="宋体" w:hAnsi="宋体" w:cs="宋体"/>
          <w:b/>
          <w:color w:val="auto"/>
        </w:rPr>
        <w:t>（如有，请提供）；</w:t>
      </w:r>
    </w:p>
    <w:p w14:paraId="783BB211">
      <w:pPr>
        <w:tabs>
          <w:tab w:val="left" w:pos="677"/>
        </w:tabs>
        <w:spacing w:line="400" w:lineRule="exact"/>
        <w:ind w:left="9" w:firstLine="411"/>
        <w:rPr>
          <w:rFonts w:hint="eastAsia" w:ascii="宋体" w:hAnsi="宋体" w:eastAsia="宋体" w:cs="宋体"/>
          <w:color w:val="auto"/>
          <w:lang w:val="en-US" w:eastAsia="zh-CN"/>
        </w:rPr>
      </w:pPr>
      <w:r>
        <w:rPr>
          <w:rFonts w:hint="eastAsia" w:ascii="宋体" w:hAnsi="宋体" w:cs="宋体"/>
          <w:color w:val="auto"/>
        </w:rPr>
        <w:t>（</w:t>
      </w:r>
      <w:r>
        <w:rPr>
          <w:rFonts w:hint="eastAsia" w:ascii="宋体" w:hAnsi="宋体" w:cs="宋体"/>
          <w:color w:val="auto"/>
          <w:lang w:val="en-US" w:eastAsia="zh-CN"/>
        </w:rPr>
        <w:t>8</w:t>
      </w:r>
      <w:r>
        <w:rPr>
          <w:rFonts w:hint="eastAsia" w:ascii="宋体" w:hAnsi="宋体" w:cs="宋体"/>
          <w:color w:val="auto"/>
        </w:rPr>
        <w:t>）</w:t>
      </w:r>
      <w:r>
        <w:rPr>
          <w:rFonts w:hint="eastAsia" w:ascii="宋体" w:hAnsi="宋体" w:cs="宋体"/>
        </w:rPr>
        <w:t>中小微企业或监狱企业或残疾人福利性单位的证明材料</w:t>
      </w:r>
      <w:r>
        <w:rPr>
          <w:rFonts w:hint="eastAsia" w:ascii="宋体" w:hAnsi="宋体" w:cs="宋体"/>
          <w:b/>
        </w:rPr>
        <w:t>（</w:t>
      </w:r>
      <w:r>
        <w:rPr>
          <w:rFonts w:hint="eastAsia" w:ascii="宋体" w:hAnsi="宋体" w:cs="宋体"/>
          <w:b/>
          <w:color w:val="auto"/>
        </w:rPr>
        <w:t>如有，请提供</w:t>
      </w:r>
      <w:r>
        <w:rPr>
          <w:rFonts w:hint="eastAsia" w:ascii="宋体" w:hAnsi="宋体" w:cs="宋体"/>
          <w:b/>
        </w:rPr>
        <w:t>）</w:t>
      </w:r>
      <w:r>
        <w:rPr>
          <w:rFonts w:hint="eastAsia" w:ascii="宋体" w:hAnsi="宋体" w:cs="宋体"/>
          <w:b/>
          <w:lang w:val="en-US" w:eastAsia="zh-CN"/>
        </w:rPr>
        <w:t>；</w:t>
      </w:r>
    </w:p>
    <w:p w14:paraId="5DC177AB">
      <w:pPr>
        <w:tabs>
          <w:tab w:val="left" w:pos="677"/>
        </w:tabs>
        <w:spacing w:line="400" w:lineRule="exact"/>
        <w:ind w:left="9" w:firstLine="411"/>
        <w:rPr>
          <w:rFonts w:ascii="宋体" w:hAnsi="宋体" w:cs="宋体"/>
          <w:b/>
        </w:rPr>
      </w:pPr>
      <w:r>
        <w:rPr>
          <w:rFonts w:hint="eastAsia" w:ascii="宋体" w:hAnsi="宋体" w:cs="宋体"/>
          <w:color w:val="auto"/>
        </w:rPr>
        <w:t>（</w:t>
      </w:r>
      <w:r>
        <w:rPr>
          <w:rFonts w:hint="eastAsia" w:ascii="宋体" w:hAnsi="宋体" w:cs="宋体"/>
          <w:color w:val="auto"/>
          <w:lang w:val="en-US" w:eastAsia="zh-CN"/>
        </w:rPr>
        <w:t>9</w:t>
      </w:r>
      <w:r>
        <w:rPr>
          <w:rFonts w:hint="eastAsia" w:ascii="宋体" w:hAnsi="宋体" w:cs="宋体"/>
          <w:color w:val="auto"/>
        </w:rPr>
        <w:t>）投标人可结合本项目的评</w:t>
      </w:r>
      <w:r>
        <w:rPr>
          <w:rFonts w:hint="eastAsia" w:ascii="宋体" w:hAnsi="宋体" w:cs="宋体"/>
        </w:rPr>
        <w:t>标办法视自身情况自行提交相关证明材料</w:t>
      </w:r>
      <w:r>
        <w:rPr>
          <w:rFonts w:hint="eastAsia" w:ascii="宋体" w:hAnsi="宋体" w:cs="宋体"/>
          <w:b/>
        </w:rPr>
        <w:t>（如有，请提供）。</w:t>
      </w:r>
    </w:p>
    <w:p w14:paraId="6ABD3C07">
      <w:pPr>
        <w:spacing w:line="276" w:lineRule="auto"/>
        <w:ind w:left="9" w:firstLine="411"/>
        <w:rPr>
          <w:rFonts w:ascii="宋体" w:hAnsi="宋体" w:cs="宋体"/>
          <w:b/>
        </w:rPr>
      </w:pPr>
    </w:p>
    <w:p w14:paraId="435FDA66">
      <w:pPr>
        <w:pStyle w:val="216"/>
        <w:rPr>
          <w:rFonts w:ascii="宋体" w:hAnsi="宋体" w:cs="宋体"/>
          <w:szCs w:val="21"/>
        </w:rPr>
      </w:pPr>
    </w:p>
    <w:p w14:paraId="4ABF2306">
      <w:pPr>
        <w:rPr>
          <w:b/>
          <w:bCs/>
          <w:sz w:val="32"/>
          <w:szCs w:val="32"/>
        </w:rPr>
      </w:pPr>
      <w:r>
        <w:rPr>
          <w:b/>
          <w:bCs/>
          <w:sz w:val="32"/>
          <w:szCs w:val="32"/>
        </w:rPr>
        <w:br w:type="page"/>
      </w:r>
    </w:p>
    <w:p w14:paraId="5D525D1F">
      <w:pPr>
        <w:outlineLvl w:val="1"/>
        <w:rPr>
          <w:rFonts w:ascii="宋体" w:hAnsi="宋体" w:cs="宋体"/>
          <w:b/>
          <w:bCs/>
          <w:sz w:val="32"/>
          <w:szCs w:val="32"/>
        </w:rPr>
      </w:pPr>
      <w:r>
        <w:rPr>
          <w:rFonts w:hint="eastAsia"/>
          <w:b/>
          <w:bCs/>
          <w:sz w:val="32"/>
          <w:szCs w:val="32"/>
        </w:rPr>
        <w:t>一、资格性响应证明材料（格式）</w:t>
      </w:r>
    </w:p>
    <w:p w14:paraId="1A8DE51C">
      <w:pPr>
        <w:outlineLvl w:val="2"/>
        <w:rPr>
          <w:rFonts w:ascii="宋体" w:hAnsi="宋体" w:cs="宋体"/>
          <w:b/>
          <w:bCs/>
          <w:sz w:val="28"/>
          <w:szCs w:val="28"/>
        </w:rPr>
      </w:pPr>
      <w:r>
        <w:rPr>
          <w:rFonts w:hint="eastAsia" w:ascii="宋体" w:hAnsi="宋体" w:cs="宋体"/>
          <w:b/>
          <w:bCs/>
          <w:sz w:val="28"/>
          <w:szCs w:val="28"/>
        </w:rPr>
        <w:t>1.</w:t>
      </w:r>
      <w:r>
        <w:rPr>
          <w:rFonts w:hint="eastAsia" w:ascii="宋体" w:hAnsi="宋体" w:cs="宋体"/>
          <w:sz w:val="28"/>
          <w:szCs w:val="28"/>
        </w:rPr>
        <w:t xml:space="preserve"> </w:t>
      </w:r>
      <w:r>
        <w:rPr>
          <w:rFonts w:hint="eastAsia" w:ascii="宋体" w:hAnsi="宋体" w:cs="宋体"/>
          <w:b/>
          <w:bCs/>
          <w:sz w:val="28"/>
          <w:szCs w:val="28"/>
        </w:rPr>
        <w:t>投标人相应的法定代表人或负责人或自然人身份证正反面扫描件（必须提供）；</w:t>
      </w:r>
    </w:p>
    <w:p w14:paraId="2406BDA8">
      <w:pPr>
        <w:rPr>
          <w:rFonts w:ascii="宋体" w:hAnsi="宋体" w:cs="宋体"/>
          <w:b/>
          <w:bCs/>
          <w:sz w:val="28"/>
          <w:szCs w:val="28"/>
        </w:rPr>
      </w:pPr>
    </w:p>
    <w:p w14:paraId="796B6E1E">
      <w:pPr>
        <w:outlineLvl w:val="2"/>
        <w:rPr>
          <w:rFonts w:ascii="宋体" w:hAnsi="宋体" w:cs="宋体"/>
          <w:b/>
          <w:bCs/>
          <w:sz w:val="28"/>
          <w:szCs w:val="28"/>
        </w:rPr>
      </w:pPr>
      <w:r>
        <w:rPr>
          <w:rFonts w:hint="eastAsia" w:ascii="宋体" w:hAnsi="宋体" w:cs="宋体"/>
          <w:b/>
          <w:bCs/>
          <w:sz w:val="28"/>
          <w:szCs w:val="28"/>
        </w:rPr>
        <w:t>2.</w:t>
      </w:r>
      <w:r>
        <w:rPr>
          <w:rFonts w:hint="eastAsia" w:ascii="宋体" w:hAnsi="宋体" w:cs="宋体"/>
          <w:sz w:val="28"/>
          <w:szCs w:val="28"/>
        </w:rPr>
        <w:t xml:space="preserve"> </w:t>
      </w:r>
      <w:r>
        <w:rPr>
          <w:rFonts w:hint="eastAsia" w:ascii="宋体" w:hAnsi="宋体" w:eastAsia="宋体" w:cs="宋体"/>
          <w:b/>
          <w:bCs/>
          <w:sz w:val="28"/>
          <w:szCs w:val="28"/>
        </w:rPr>
        <w:t>投标</w:t>
      </w:r>
      <w:r>
        <w:rPr>
          <w:rFonts w:hint="eastAsia" w:ascii="宋体" w:hAnsi="宋体" w:cs="宋体"/>
          <w:b/>
          <w:bCs/>
          <w:sz w:val="28"/>
          <w:szCs w:val="28"/>
        </w:rPr>
        <w:t>人的授权委托书原件、委托代理人身份证正反面扫描件以及由县级以上（含县级）社会养老保险经办机构出具的投标人为委托代理人交纳的</w:t>
      </w:r>
      <w:r>
        <w:rPr>
          <w:rFonts w:hint="eastAsia" w:ascii="宋体" w:hAnsi="宋体" w:cs="宋体"/>
          <w:b/>
          <w:bCs/>
          <w:sz w:val="28"/>
          <w:szCs w:val="28"/>
          <w:lang w:eastAsia="zh-CN"/>
        </w:rPr>
        <w:t>投标截止时间前半年内任意一个月</w:t>
      </w:r>
      <w:r>
        <w:rPr>
          <w:rFonts w:hint="eastAsia" w:ascii="宋体" w:hAnsi="宋体" w:cs="宋体"/>
          <w:b/>
          <w:bCs/>
          <w:sz w:val="28"/>
          <w:szCs w:val="28"/>
        </w:rPr>
        <w:t>养老保险证明扫描件【属自然人的应提供由县级以上（含县级）社会养老保险经办机构出具的自然人本人及委托代理人所交纳的</w:t>
      </w:r>
      <w:r>
        <w:rPr>
          <w:rFonts w:hint="eastAsia" w:ascii="宋体" w:hAnsi="宋体" w:cs="宋体"/>
          <w:b/>
          <w:bCs/>
          <w:sz w:val="28"/>
          <w:szCs w:val="28"/>
          <w:lang w:eastAsia="zh-CN"/>
        </w:rPr>
        <w:t>投标截止时间前半年内任意一个月</w:t>
      </w:r>
      <w:r>
        <w:rPr>
          <w:rFonts w:hint="eastAsia" w:ascii="宋体" w:hAnsi="宋体" w:cs="宋体"/>
          <w:b/>
          <w:bCs/>
          <w:sz w:val="28"/>
          <w:szCs w:val="28"/>
        </w:rPr>
        <w:t>养老保险证明扫描件。】（委托代理时，必须提供）；</w:t>
      </w:r>
    </w:p>
    <w:p w14:paraId="618292DD">
      <w:pPr>
        <w:pStyle w:val="216"/>
        <w:keepNext w:val="0"/>
        <w:keepLines w:val="0"/>
        <w:pageBreakBefore w:val="0"/>
        <w:widowControl w:val="0"/>
        <w:kinsoku/>
        <w:wordWrap/>
        <w:overflowPunct/>
        <w:topLinePunct w:val="0"/>
        <w:autoSpaceDE/>
        <w:autoSpaceDN/>
        <w:bidi w:val="0"/>
        <w:adjustRightInd/>
        <w:snapToGrid/>
        <w:spacing w:line="300" w:lineRule="exact"/>
        <w:ind w:firstLine="422" w:firstLineChars="200"/>
        <w:textAlignment w:val="auto"/>
        <w:rPr>
          <w:rFonts w:ascii="宋体" w:hAnsi="宋体" w:cs="宋体"/>
          <w:b/>
          <w:bCs/>
          <w:sz w:val="21"/>
          <w:szCs w:val="21"/>
        </w:rPr>
      </w:pPr>
      <w:r>
        <w:rPr>
          <w:rFonts w:hint="eastAsia" w:ascii="宋体" w:hAnsi="宋体" w:cs="宋体"/>
          <w:b/>
          <w:bCs/>
          <w:sz w:val="21"/>
          <w:szCs w:val="21"/>
        </w:rPr>
        <w:t>注：①如投标人为截标时间前60日以内成立的公司，可以提供投标人与委托代理人签订的劳动合同扫描件代替养老保险证明扫描件；②如投标人为事业单位，可以提供事业单位机构编制管理证扫描件或事业单位机构为其发放工资的工资条扫描件代替养老保险证明扫描件；③如委托代理人为免缴纳养老保险人员，提供免缴纳养老保险的证明材料扫描件及投标人与委托代理人签订的劳动合同扫描件代替养老保险证明扫描件。④如因社会养老保险经办机构系统升级等原因，暂时无法向投标人提供社会养老保险缴纳情况查询服务时，投标人可以提供已为委托代理人缴纳社会养老保险的承诺书，须同时提供无法查询的相关证明材料，包括但不限于查询网站截图、公告等。</w:t>
      </w:r>
    </w:p>
    <w:p w14:paraId="00D74CE9">
      <w:pPr>
        <w:jc w:val="center"/>
        <w:rPr>
          <w:rFonts w:ascii="宋体" w:hAnsi="宋体" w:cs="宋体"/>
          <w:b/>
          <w:sz w:val="32"/>
        </w:rPr>
      </w:pPr>
    </w:p>
    <w:p w14:paraId="085A6F4B">
      <w:pPr>
        <w:jc w:val="center"/>
        <w:rPr>
          <w:rFonts w:ascii="宋体" w:hAnsi="宋体" w:cs="宋体"/>
          <w:b/>
          <w:sz w:val="32"/>
        </w:rPr>
      </w:pPr>
      <w:r>
        <w:rPr>
          <w:rFonts w:hint="eastAsia" w:ascii="宋体" w:hAnsi="宋体" w:cs="宋体"/>
          <w:b/>
          <w:sz w:val="32"/>
        </w:rPr>
        <w:t>授权委托书（格式一）</w:t>
      </w:r>
    </w:p>
    <w:p w14:paraId="39A765E4">
      <w:pPr>
        <w:spacing w:line="400" w:lineRule="exact"/>
        <w:rPr>
          <w:rFonts w:hint="eastAsia" w:ascii="宋体" w:hAnsi="宋体" w:eastAsia="宋体" w:cs="宋体"/>
          <w:lang w:eastAsia="zh-CN"/>
        </w:rPr>
      </w:pPr>
      <w:r>
        <w:rPr>
          <w:rFonts w:hint="eastAsia" w:ascii="宋体" w:hAnsi="宋体" w:cs="宋体"/>
          <w:b/>
          <w:szCs w:val="21"/>
        </w:rPr>
        <w:t>致</w:t>
      </w:r>
      <w:r>
        <w:rPr>
          <w:rFonts w:hint="eastAsia" w:ascii="宋体" w:hAnsi="宋体" w:cs="宋体"/>
          <w:szCs w:val="21"/>
        </w:rPr>
        <w:t>：</w:t>
      </w:r>
      <w:r>
        <w:rPr>
          <w:rFonts w:hint="eastAsia" w:ascii="宋体" w:hAnsi="宋体" w:cs="宋体"/>
          <w:u w:val="single"/>
          <w:lang w:eastAsia="zh-CN"/>
        </w:rPr>
        <w:t>广西北部湾宏亚建设管理有限公司</w:t>
      </w:r>
    </w:p>
    <w:p w14:paraId="23C13824">
      <w:pPr>
        <w:spacing w:line="400" w:lineRule="exact"/>
        <w:ind w:firstLine="525"/>
        <w:rPr>
          <w:rFonts w:ascii="宋体" w:hAnsi="宋体" w:cs="宋体"/>
        </w:rPr>
      </w:pPr>
      <w:r>
        <w:rPr>
          <w:rFonts w:hint="eastAsia" w:ascii="宋体" w:hAnsi="宋体" w:cs="宋体"/>
        </w:rPr>
        <w:t>我</w:t>
      </w:r>
      <w:r>
        <w:rPr>
          <w:rFonts w:hint="eastAsia" w:ascii="宋体" w:hAnsi="宋体" w:cs="宋体"/>
          <w:u w:val="single"/>
        </w:rPr>
        <w:t xml:space="preserve">              </w:t>
      </w:r>
      <w:r>
        <w:rPr>
          <w:rFonts w:hint="eastAsia" w:ascii="宋体" w:hAnsi="宋体" w:cs="宋体"/>
        </w:rPr>
        <w:t>（姓名）系</w:t>
      </w:r>
      <w:r>
        <w:rPr>
          <w:rFonts w:hint="eastAsia" w:ascii="宋体" w:hAnsi="宋体" w:cs="宋体"/>
          <w:u w:val="single"/>
        </w:rPr>
        <w:t xml:space="preserve">                           </w:t>
      </w:r>
      <w:r>
        <w:rPr>
          <w:rFonts w:hint="eastAsia" w:ascii="宋体" w:hAnsi="宋体" w:cs="宋体"/>
        </w:rPr>
        <w:t>（投标人名称）的法定代表人（负责人），现授权委托本单位在职职工</w:t>
      </w:r>
      <w:r>
        <w:rPr>
          <w:rFonts w:hint="eastAsia" w:ascii="宋体" w:hAnsi="宋体" w:cs="宋体"/>
          <w:u w:val="single"/>
        </w:rPr>
        <w:t xml:space="preserve">          </w:t>
      </w:r>
      <w:r>
        <w:rPr>
          <w:rFonts w:hint="eastAsia" w:ascii="宋体" w:hAnsi="宋体" w:cs="宋体"/>
        </w:rPr>
        <w:t>（姓名），身份证号码：</w:t>
      </w:r>
      <w:r>
        <w:rPr>
          <w:rFonts w:hint="eastAsia" w:ascii="宋体" w:hAnsi="宋体" w:cs="宋体"/>
          <w:u w:val="single"/>
        </w:rPr>
        <w:t xml:space="preserve">                      </w:t>
      </w:r>
      <w:r>
        <w:rPr>
          <w:rFonts w:hint="eastAsia" w:ascii="宋体" w:hAnsi="宋体" w:cs="宋体"/>
        </w:rPr>
        <w:t>以我公司名义参加</w:t>
      </w:r>
      <w:r>
        <w:rPr>
          <w:rFonts w:hint="eastAsia" w:ascii="宋体" w:hAnsi="宋体" w:cs="宋体"/>
          <w:u w:val="single"/>
        </w:rPr>
        <w:t xml:space="preserve">   （项目名称及项目编号）    </w:t>
      </w:r>
      <w:r>
        <w:rPr>
          <w:rFonts w:hint="eastAsia" w:ascii="宋体" w:hAnsi="宋体" w:cs="宋体"/>
        </w:rPr>
        <w:t>项目的投标活动，并代表我方全权办理针对上述项目的投标、开标、评标、签约等具体事务和签署相关文件。</w:t>
      </w:r>
    </w:p>
    <w:p w14:paraId="2323C9A6">
      <w:pPr>
        <w:spacing w:line="400" w:lineRule="exact"/>
        <w:ind w:firstLine="420"/>
        <w:rPr>
          <w:rFonts w:ascii="宋体" w:hAnsi="宋体" w:cs="宋体"/>
        </w:rPr>
      </w:pPr>
      <w:r>
        <w:rPr>
          <w:rFonts w:hint="eastAsia" w:ascii="宋体" w:hAnsi="宋体" w:cs="宋体"/>
        </w:rPr>
        <w:t>我方对被授权人的签字事项负全部责任。</w:t>
      </w:r>
    </w:p>
    <w:p w14:paraId="68AA067F">
      <w:pPr>
        <w:spacing w:line="400" w:lineRule="exact"/>
        <w:ind w:firstLine="420"/>
        <w:rPr>
          <w:rFonts w:ascii="宋体" w:hAnsi="宋体" w:cs="宋体"/>
          <w:u w:val="single"/>
        </w:rPr>
      </w:pPr>
      <w:r>
        <w:rPr>
          <w:rFonts w:hint="eastAsia" w:ascii="宋体" w:hAnsi="宋体" w:cs="宋体"/>
        </w:rPr>
        <w:t>授权委托代理期限：自即日起至该项目政府采购活动结束。</w:t>
      </w:r>
    </w:p>
    <w:p w14:paraId="44F1992D">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cs="宋体"/>
          <w:u w:val="single"/>
        </w:rPr>
      </w:pPr>
      <w:r>
        <w:rPr>
          <w:rFonts w:hint="eastAsia" w:ascii="宋体" w:hAnsi="宋体" w:cs="宋体"/>
        </w:rPr>
        <w:t xml:space="preserve">                                                                                             </w:t>
      </w:r>
    </w:p>
    <w:p w14:paraId="03FB384D">
      <w:pPr>
        <w:keepNext w:val="0"/>
        <w:keepLines w:val="0"/>
        <w:pageBreakBefore w:val="0"/>
        <w:widowControl w:val="0"/>
        <w:kinsoku/>
        <w:wordWrap/>
        <w:overflowPunct/>
        <w:topLinePunct w:val="0"/>
        <w:autoSpaceDE/>
        <w:autoSpaceDN/>
        <w:bidi w:val="0"/>
        <w:adjustRightInd/>
        <w:snapToGrid/>
        <w:spacing w:line="300" w:lineRule="exact"/>
        <w:ind w:firstLine="420"/>
        <w:textAlignment w:val="auto"/>
        <w:rPr>
          <w:rFonts w:ascii="宋体" w:hAnsi="宋体" w:cs="宋体"/>
        </w:rPr>
      </w:pPr>
      <w:r>
        <w:rPr>
          <w:rFonts w:hint="eastAsia" w:ascii="宋体" w:hAnsi="宋体" w:cs="宋体"/>
        </w:rPr>
        <w:t xml:space="preserve">代理人无转委托权,特此委托。 </w:t>
      </w:r>
    </w:p>
    <w:p w14:paraId="6E9F544D">
      <w:pPr>
        <w:keepNext w:val="0"/>
        <w:keepLines w:val="0"/>
        <w:pageBreakBefore w:val="0"/>
        <w:widowControl w:val="0"/>
        <w:kinsoku/>
        <w:wordWrap/>
        <w:overflowPunct/>
        <w:topLinePunct w:val="0"/>
        <w:autoSpaceDE/>
        <w:autoSpaceDN/>
        <w:bidi w:val="0"/>
        <w:adjustRightInd/>
        <w:snapToGrid/>
        <w:spacing w:line="300" w:lineRule="exact"/>
        <w:ind w:firstLine="525"/>
        <w:textAlignment w:val="auto"/>
        <w:rPr>
          <w:rFonts w:ascii="宋体" w:hAnsi="宋体" w:cs="宋体"/>
          <w:szCs w:val="21"/>
        </w:rPr>
      </w:pPr>
    </w:p>
    <w:p w14:paraId="2089960F">
      <w:pPr>
        <w:keepNext w:val="0"/>
        <w:keepLines w:val="0"/>
        <w:pageBreakBefore w:val="0"/>
        <w:widowControl w:val="0"/>
        <w:kinsoku/>
        <w:wordWrap/>
        <w:overflowPunct/>
        <w:topLinePunct w:val="0"/>
        <w:autoSpaceDE/>
        <w:autoSpaceDN/>
        <w:bidi w:val="0"/>
        <w:adjustRightInd/>
        <w:snapToGrid/>
        <w:spacing w:line="300" w:lineRule="exact"/>
        <w:ind w:firstLine="420"/>
        <w:textAlignment w:val="auto"/>
        <w:rPr>
          <w:rFonts w:ascii="宋体" w:hAnsi="宋体" w:cs="宋体"/>
          <w:szCs w:val="21"/>
        </w:rPr>
      </w:pPr>
      <w:r>
        <w:rPr>
          <w:rFonts w:hint="eastAsia" w:ascii="宋体" w:hAnsi="宋体" w:cs="宋体"/>
          <w:szCs w:val="21"/>
        </w:rPr>
        <w:t>我已在下面签字，以资证明。</w:t>
      </w:r>
    </w:p>
    <w:p w14:paraId="7945DC9A">
      <w:pPr>
        <w:keepNext w:val="0"/>
        <w:keepLines w:val="0"/>
        <w:pageBreakBefore w:val="0"/>
        <w:widowControl w:val="0"/>
        <w:kinsoku/>
        <w:wordWrap/>
        <w:overflowPunct/>
        <w:topLinePunct w:val="0"/>
        <w:autoSpaceDE/>
        <w:autoSpaceDN/>
        <w:bidi w:val="0"/>
        <w:adjustRightInd/>
        <w:snapToGrid/>
        <w:spacing w:line="300" w:lineRule="exact"/>
        <w:ind w:firstLine="420"/>
        <w:textAlignment w:val="auto"/>
        <w:rPr>
          <w:rFonts w:ascii="宋体" w:hAnsi="宋体" w:cs="宋体"/>
          <w:szCs w:val="21"/>
        </w:rPr>
      </w:pPr>
    </w:p>
    <w:p w14:paraId="5128B674">
      <w:pPr>
        <w:keepNext w:val="0"/>
        <w:keepLines w:val="0"/>
        <w:pageBreakBefore w:val="0"/>
        <w:widowControl w:val="0"/>
        <w:kinsoku/>
        <w:wordWrap/>
        <w:overflowPunct/>
        <w:topLinePunct w:val="0"/>
        <w:autoSpaceDE/>
        <w:autoSpaceDN/>
        <w:bidi w:val="0"/>
        <w:adjustRightInd/>
        <w:snapToGrid/>
        <w:spacing w:line="300" w:lineRule="exact"/>
        <w:ind w:firstLine="420"/>
        <w:textAlignment w:val="auto"/>
        <w:rPr>
          <w:rFonts w:ascii="宋体" w:hAnsi="宋体" w:cs="宋体"/>
          <w:szCs w:val="21"/>
          <w:u w:val="single"/>
        </w:rPr>
      </w:pPr>
      <w:r>
        <w:rPr>
          <w:rFonts w:hint="eastAsia" w:ascii="宋体" w:hAnsi="宋体" w:cs="宋体"/>
          <w:szCs w:val="21"/>
        </w:rPr>
        <w:t>投标人[公章（CA签章）]：</w:t>
      </w:r>
      <w:r>
        <w:rPr>
          <w:rFonts w:hint="eastAsia" w:ascii="宋体" w:hAnsi="宋体" w:cs="宋体"/>
          <w:szCs w:val="21"/>
          <w:u w:val="single"/>
        </w:rPr>
        <w:t xml:space="preserve">                                   </w:t>
      </w:r>
    </w:p>
    <w:p w14:paraId="1D7010A3">
      <w:pPr>
        <w:keepNext w:val="0"/>
        <w:keepLines w:val="0"/>
        <w:pageBreakBefore w:val="0"/>
        <w:widowControl w:val="0"/>
        <w:kinsoku/>
        <w:wordWrap/>
        <w:overflowPunct/>
        <w:topLinePunct w:val="0"/>
        <w:autoSpaceDE/>
        <w:autoSpaceDN/>
        <w:bidi w:val="0"/>
        <w:adjustRightInd/>
        <w:snapToGrid/>
        <w:spacing w:line="300" w:lineRule="exact"/>
        <w:ind w:firstLine="420"/>
        <w:textAlignment w:val="auto"/>
        <w:rPr>
          <w:rFonts w:ascii="宋体" w:hAnsi="宋体" w:cs="宋体"/>
          <w:szCs w:val="21"/>
        </w:rPr>
      </w:pPr>
    </w:p>
    <w:p w14:paraId="55EB252E">
      <w:pPr>
        <w:keepNext w:val="0"/>
        <w:keepLines w:val="0"/>
        <w:pageBreakBefore w:val="0"/>
        <w:widowControl w:val="0"/>
        <w:kinsoku/>
        <w:wordWrap/>
        <w:overflowPunct/>
        <w:topLinePunct w:val="0"/>
        <w:autoSpaceDE/>
        <w:autoSpaceDN/>
        <w:bidi w:val="0"/>
        <w:adjustRightInd/>
        <w:snapToGrid/>
        <w:spacing w:line="300" w:lineRule="exact"/>
        <w:ind w:firstLine="420"/>
        <w:textAlignment w:val="auto"/>
        <w:rPr>
          <w:rFonts w:ascii="宋体" w:hAnsi="宋体" w:cs="宋体"/>
          <w:szCs w:val="21"/>
        </w:rPr>
      </w:pPr>
      <w:r>
        <w:rPr>
          <w:rFonts w:hint="eastAsia" w:ascii="宋体" w:hAnsi="宋体" w:cs="宋体"/>
          <w:szCs w:val="21"/>
        </w:rPr>
        <w:t>法定代表人（负责人）签字（或个人CA签章）：</w:t>
      </w:r>
      <w:r>
        <w:rPr>
          <w:rFonts w:hint="eastAsia" w:ascii="宋体" w:hAnsi="宋体" w:cs="宋体"/>
          <w:szCs w:val="21"/>
          <w:u w:val="single"/>
        </w:rPr>
        <w:t xml:space="preserve">            </w:t>
      </w:r>
      <w:r>
        <w:rPr>
          <w:rFonts w:hint="eastAsia" w:ascii="宋体" w:hAnsi="宋体" w:cs="宋体"/>
          <w:szCs w:val="21"/>
        </w:rPr>
        <w:t xml:space="preserve">    </w:t>
      </w:r>
    </w:p>
    <w:p w14:paraId="602286FE">
      <w:pPr>
        <w:keepNext w:val="0"/>
        <w:keepLines w:val="0"/>
        <w:pageBreakBefore w:val="0"/>
        <w:widowControl w:val="0"/>
        <w:kinsoku/>
        <w:wordWrap/>
        <w:overflowPunct/>
        <w:topLinePunct w:val="0"/>
        <w:autoSpaceDE/>
        <w:autoSpaceDN/>
        <w:bidi w:val="0"/>
        <w:adjustRightInd/>
        <w:snapToGrid/>
        <w:spacing w:line="300" w:lineRule="exact"/>
        <w:ind w:firstLine="2940" w:firstLineChars="1400"/>
        <w:jc w:val="right"/>
        <w:textAlignment w:val="auto"/>
        <w:rPr>
          <w:rFonts w:ascii="宋体" w:hAnsi="宋体" w:cs="宋体"/>
          <w:szCs w:val="21"/>
        </w:rPr>
      </w:pPr>
    </w:p>
    <w:p w14:paraId="1F7DCDD7">
      <w:pPr>
        <w:pStyle w:val="220"/>
        <w:jc w:val="center"/>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07064283">
      <w:pPr>
        <w:rPr>
          <w:rFonts w:hint="eastAsia" w:ascii="宋体" w:hAnsi="宋体" w:cs="宋体"/>
          <w:szCs w:val="21"/>
        </w:rPr>
      </w:pPr>
      <w:r>
        <w:rPr>
          <w:rFonts w:hint="eastAsia" w:ascii="宋体" w:hAnsi="宋体" w:cs="宋体"/>
          <w:szCs w:val="21"/>
        </w:rPr>
        <w:br w:type="page"/>
      </w:r>
    </w:p>
    <w:p w14:paraId="6348FABE">
      <w:pPr>
        <w:pStyle w:val="220"/>
        <w:jc w:val="center"/>
        <w:rPr>
          <w:rFonts w:hAnsi="宋体" w:cs="宋体"/>
          <w:b/>
          <w:sz w:val="32"/>
        </w:rPr>
      </w:pPr>
      <w:r>
        <w:rPr>
          <w:rFonts w:hint="eastAsia" w:hAnsi="宋体" w:cs="宋体"/>
          <w:b/>
          <w:sz w:val="32"/>
        </w:rPr>
        <w:t>授权委托书（格式二，自然人适用）</w:t>
      </w:r>
    </w:p>
    <w:p w14:paraId="721D2639">
      <w:pPr>
        <w:spacing w:line="400" w:lineRule="exact"/>
        <w:rPr>
          <w:rFonts w:hint="eastAsia" w:ascii="宋体" w:hAnsi="宋体" w:eastAsia="宋体" w:cs="宋体"/>
          <w:lang w:eastAsia="zh-CN"/>
        </w:rPr>
      </w:pPr>
      <w:r>
        <w:rPr>
          <w:rFonts w:hint="eastAsia" w:ascii="宋体" w:hAnsi="宋体" w:cs="宋体"/>
          <w:b/>
          <w:szCs w:val="21"/>
        </w:rPr>
        <w:t>致</w:t>
      </w:r>
      <w:r>
        <w:rPr>
          <w:rFonts w:hint="eastAsia" w:ascii="宋体" w:hAnsi="宋体" w:cs="宋体"/>
          <w:szCs w:val="21"/>
        </w:rPr>
        <w:t>：</w:t>
      </w:r>
      <w:r>
        <w:rPr>
          <w:rFonts w:hint="eastAsia" w:ascii="宋体" w:hAnsi="宋体" w:cs="宋体"/>
          <w:u w:val="single"/>
          <w:lang w:eastAsia="zh-CN"/>
        </w:rPr>
        <w:t>广西北部湾宏亚建设管理有限公司</w:t>
      </w:r>
    </w:p>
    <w:p w14:paraId="0BE735AE">
      <w:pPr>
        <w:spacing w:line="400" w:lineRule="exact"/>
        <w:rPr>
          <w:rFonts w:ascii="宋体" w:hAnsi="宋体" w:cs="宋体"/>
          <w:szCs w:val="21"/>
          <w:u w:val="single"/>
        </w:rPr>
      </w:pPr>
    </w:p>
    <w:p w14:paraId="4655A553">
      <w:pPr>
        <w:pStyle w:val="220"/>
        <w:spacing w:line="340" w:lineRule="exact"/>
        <w:ind w:firstLine="420"/>
        <w:rPr>
          <w:rFonts w:hAnsi="宋体" w:cs="宋体"/>
        </w:rPr>
      </w:pPr>
      <w:r>
        <w:rPr>
          <w:rFonts w:hint="eastAsia" w:hAnsi="宋体" w:cs="宋体"/>
        </w:rPr>
        <w:t>我</w:t>
      </w:r>
      <w:r>
        <w:rPr>
          <w:rFonts w:hint="eastAsia" w:hAnsi="宋体" w:cs="宋体"/>
          <w:u w:val="single"/>
        </w:rPr>
        <w:t xml:space="preserve">              </w:t>
      </w:r>
      <w:r>
        <w:rPr>
          <w:rFonts w:hint="eastAsia" w:hAnsi="宋体" w:cs="宋体"/>
        </w:rPr>
        <w:t>（姓名）系自然人，现授权委托</w:t>
      </w:r>
      <w:r>
        <w:rPr>
          <w:rFonts w:hint="eastAsia" w:hAnsi="宋体" w:cs="宋体"/>
          <w:u w:val="single"/>
        </w:rPr>
        <w:t xml:space="preserve">            </w:t>
      </w:r>
      <w:r>
        <w:rPr>
          <w:rFonts w:hint="eastAsia" w:hAnsi="宋体" w:cs="宋体"/>
        </w:rPr>
        <w:t>（姓 名），身份证号码：</w:t>
      </w:r>
      <w:r>
        <w:rPr>
          <w:rFonts w:hint="eastAsia" w:hAnsi="宋体" w:cs="宋体"/>
          <w:u w:val="single"/>
        </w:rPr>
        <w:t xml:space="preserve">              </w:t>
      </w:r>
      <w:r>
        <w:rPr>
          <w:rFonts w:hint="eastAsia" w:hAnsi="宋体" w:cs="宋体"/>
        </w:rPr>
        <w:t>以本人名义参加</w:t>
      </w:r>
      <w:r>
        <w:rPr>
          <w:rFonts w:hint="eastAsia" w:hAnsi="宋体" w:cs="宋体"/>
          <w:u w:val="single"/>
        </w:rPr>
        <w:t xml:space="preserve">      （项目名称及项目编号）        </w:t>
      </w:r>
      <w:r>
        <w:rPr>
          <w:rFonts w:hint="eastAsia" w:hAnsi="宋体" w:cs="宋体"/>
        </w:rPr>
        <w:t>项目的投标活动，并代表本人全权办理针对上述项目的投标、开标、评标、签约等具体事务和签署相关文件。</w:t>
      </w:r>
    </w:p>
    <w:p w14:paraId="77E594AD">
      <w:pPr>
        <w:pStyle w:val="220"/>
        <w:spacing w:line="340" w:lineRule="exact"/>
        <w:ind w:firstLine="420"/>
        <w:rPr>
          <w:rFonts w:hAnsi="宋体" w:cs="宋体"/>
        </w:rPr>
      </w:pPr>
      <w:r>
        <w:rPr>
          <w:rFonts w:hint="eastAsia" w:hAnsi="宋体" w:cs="宋体"/>
        </w:rPr>
        <w:t>本人对被授权人的签字事项负全部责任。</w:t>
      </w:r>
    </w:p>
    <w:p w14:paraId="24183265">
      <w:pPr>
        <w:pStyle w:val="220"/>
        <w:keepNext w:val="0"/>
        <w:keepLines w:val="0"/>
        <w:pageBreakBefore w:val="0"/>
        <w:widowControl w:val="0"/>
        <w:kinsoku/>
        <w:wordWrap/>
        <w:overflowPunct/>
        <w:topLinePunct w:val="0"/>
        <w:autoSpaceDE/>
        <w:autoSpaceDN/>
        <w:bidi w:val="0"/>
        <w:adjustRightInd/>
        <w:snapToGrid/>
        <w:spacing w:line="300" w:lineRule="exact"/>
        <w:ind w:firstLine="420"/>
        <w:textAlignment w:val="auto"/>
        <w:rPr>
          <w:rFonts w:hAnsi="宋体" w:cs="宋体"/>
          <w:u w:val="single"/>
        </w:rPr>
      </w:pPr>
      <w:r>
        <w:rPr>
          <w:rFonts w:hint="eastAsia" w:hAnsi="宋体" w:cs="宋体"/>
        </w:rPr>
        <w:t>授权委托代理期限：自即日起至该项目政府采购活动结束。</w:t>
      </w:r>
    </w:p>
    <w:p w14:paraId="3FCA6810">
      <w:pPr>
        <w:pStyle w:val="220"/>
        <w:keepNext w:val="0"/>
        <w:keepLines w:val="0"/>
        <w:pageBreakBefore w:val="0"/>
        <w:widowControl w:val="0"/>
        <w:kinsoku/>
        <w:wordWrap/>
        <w:overflowPunct/>
        <w:topLinePunct w:val="0"/>
        <w:autoSpaceDE/>
        <w:autoSpaceDN/>
        <w:bidi w:val="0"/>
        <w:adjustRightInd/>
        <w:snapToGrid/>
        <w:spacing w:line="300" w:lineRule="exact"/>
        <w:textAlignment w:val="auto"/>
        <w:rPr>
          <w:rFonts w:hAnsi="宋体" w:cs="宋体"/>
          <w:u w:val="single"/>
        </w:rPr>
      </w:pPr>
      <w:r>
        <w:rPr>
          <w:rFonts w:hint="eastAsia" w:hAnsi="宋体" w:cs="宋体"/>
        </w:rPr>
        <w:t xml:space="preserve">                                                                                             </w:t>
      </w:r>
    </w:p>
    <w:p w14:paraId="61623F17">
      <w:pPr>
        <w:keepNext w:val="0"/>
        <w:keepLines w:val="0"/>
        <w:pageBreakBefore w:val="0"/>
        <w:widowControl w:val="0"/>
        <w:kinsoku/>
        <w:wordWrap/>
        <w:overflowPunct/>
        <w:topLinePunct w:val="0"/>
        <w:autoSpaceDE/>
        <w:autoSpaceDN/>
        <w:bidi w:val="0"/>
        <w:adjustRightInd/>
        <w:snapToGrid/>
        <w:spacing w:line="300" w:lineRule="exact"/>
        <w:ind w:firstLine="420"/>
        <w:textAlignment w:val="auto"/>
        <w:rPr>
          <w:rFonts w:ascii="宋体" w:hAnsi="宋体" w:cs="宋体"/>
        </w:rPr>
      </w:pPr>
      <w:r>
        <w:rPr>
          <w:rFonts w:hint="eastAsia" w:ascii="宋体" w:hAnsi="宋体" w:cs="宋体"/>
        </w:rPr>
        <w:t xml:space="preserve">代理人无转委托权,特此委托。 </w:t>
      </w:r>
    </w:p>
    <w:p w14:paraId="7E0CDA25">
      <w:pPr>
        <w:keepNext w:val="0"/>
        <w:keepLines w:val="0"/>
        <w:pageBreakBefore w:val="0"/>
        <w:widowControl w:val="0"/>
        <w:kinsoku/>
        <w:wordWrap/>
        <w:overflowPunct/>
        <w:topLinePunct w:val="0"/>
        <w:autoSpaceDE/>
        <w:autoSpaceDN/>
        <w:bidi w:val="0"/>
        <w:adjustRightInd/>
        <w:snapToGrid/>
        <w:spacing w:line="300" w:lineRule="exact"/>
        <w:ind w:firstLine="525"/>
        <w:textAlignment w:val="auto"/>
        <w:rPr>
          <w:rFonts w:ascii="宋体" w:hAnsi="宋体" w:cs="宋体"/>
          <w:szCs w:val="21"/>
        </w:rPr>
      </w:pPr>
    </w:p>
    <w:p w14:paraId="07B01130">
      <w:pPr>
        <w:keepNext w:val="0"/>
        <w:keepLines w:val="0"/>
        <w:pageBreakBefore w:val="0"/>
        <w:widowControl w:val="0"/>
        <w:kinsoku/>
        <w:wordWrap/>
        <w:overflowPunct/>
        <w:topLinePunct w:val="0"/>
        <w:autoSpaceDE/>
        <w:autoSpaceDN/>
        <w:bidi w:val="0"/>
        <w:adjustRightInd/>
        <w:snapToGrid/>
        <w:spacing w:line="300" w:lineRule="exact"/>
        <w:ind w:firstLine="420"/>
        <w:textAlignment w:val="auto"/>
        <w:rPr>
          <w:rFonts w:ascii="宋体" w:hAnsi="宋体" w:cs="宋体"/>
          <w:szCs w:val="21"/>
        </w:rPr>
      </w:pPr>
      <w:r>
        <w:rPr>
          <w:rFonts w:hint="eastAsia" w:ascii="宋体" w:hAnsi="宋体" w:cs="宋体"/>
          <w:szCs w:val="21"/>
        </w:rPr>
        <w:t>我已在下面签字，以资证明。</w:t>
      </w:r>
    </w:p>
    <w:p w14:paraId="5123032B">
      <w:pPr>
        <w:keepNext w:val="0"/>
        <w:keepLines w:val="0"/>
        <w:pageBreakBefore w:val="0"/>
        <w:widowControl w:val="0"/>
        <w:kinsoku/>
        <w:wordWrap/>
        <w:overflowPunct/>
        <w:topLinePunct w:val="0"/>
        <w:autoSpaceDE/>
        <w:autoSpaceDN/>
        <w:bidi w:val="0"/>
        <w:adjustRightInd/>
        <w:snapToGrid/>
        <w:spacing w:line="300" w:lineRule="exact"/>
        <w:ind w:firstLine="420"/>
        <w:textAlignment w:val="auto"/>
        <w:rPr>
          <w:rFonts w:ascii="宋体" w:hAnsi="宋体" w:cs="宋体"/>
          <w:szCs w:val="21"/>
        </w:rPr>
      </w:pPr>
    </w:p>
    <w:p w14:paraId="5112449E">
      <w:pPr>
        <w:keepNext w:val="0"/>
        <w:keepLines w:val="0"/>
        <w:pageBreakBefore w:val="0"/>
        <w:widowControl w:val="0"/>
        <w:kinsoku/>
        <w:wordWrap/>
        <w:overflowPunct/>
        <w:topLinePunct w:val="0"/>
        <w:autoSpaceDE/>
        <w:autoSpaceDN/>
        <w:bidi w:val="0"/>
        <w:adjustRightInd/>
        <w:snapToGrid/>
        <w:spacing w:line="300" w:lineRule="exact"/>
        <w:ind w:firstLine="420"/>
        <w:textAlignment w:val="auto"/>
        <w:rPr>
          <w:rFonts w:ascii="宋体" w:hAnsi="宋体" w:cs="宋体"/>
          <w:szCs w:val="21"/>
        </w:rPr>
      </w:pPr>
      <w:r>
        <w:rPr>
          <w:rFonts w:hint="eastAsia" w:ascii="宋体" w:hAnsi="宋体" w:cs="宋体"/>
          <w:szCs w:val="21"/>
        </w:rPr>
        <w:t>自然人签字并在签名处加盖大拇指指印或个人CA签章：</w:t>
      </w:r>
      <w:r>
        <w:rPr>
          <w:rFonts w:hint="eastAsia" w:ascii="宋体" w:hAnsi="宋体" w:cs="宋体"/>
          <w:szCs w:val="21"/>
          <w:u w:val="single"/>
        </w:rPr>
        <w:t xml:space="preserve">             </w:t>
      </w:r>
      <w:r>
        <w:rPr>
          <w:rFonts w:hint="eastAsia" w:ascii="宋体" w:hAnsi="宋体" w:cs="宋体"/>
          <w:szCs w:val="21"/>
        </w:rPr>
        <w:t xml:space="preserve"> </w:t>
      </w:r>
    </w:p>
    <w:p w14:paraId="0721A62D">
      <w:pPr>
        <w:keepNext w:val="0"/>
        <w:keepLines w:val="0"/>
        <w:pageBreakBefore w:val="0"/>
        <w:widowControl w:val="0"/>
        <w:kinsoku/>
        <w:wordWrap/>
        <w:overflowPunct/>
        <w:topLinePunct w:val="0"/>
        <w:autoSpaceDE/>
        <w:autoSpaceDN/>
        <w:bidi w:val="0"/>
        <w:adjustRightInd/>
        <w:snapToGrid/>
        <w:spacing w:line="300" w:lineRule="exact"/>
        <w:ind w:firstLine="420"/>
        <w:jc w:val="right"/>
        <w:textAlignment w:val="auto"/>
        <w:rPr>
          <w:rFonts w:ascii="宋体" w:hAnsi="宋体" w:cs="宋体"/>
          <w:szCs w:val="21"/>
        </w:rPr>
      </w:pPr>
    </w:p>
    <w:p w14:paraId="5BD12E1F">
      <w:pPr>
        <w:pStyle w:val="220"/>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20F6BCC0">
      <w:pPr>
        <w:spacing w:line="340" w:lineRule="exact"/>
        <w:ind w:firstLine="420"/>
        <w:rPr>
          <w:rFonts w:ascii="宋体" w:hAnsi="宋体" w:cs="宋体"/>
          <w:szCs w:val="21"/>
        </w:rPr>
      </w:pPr>
    </w:p>
    <w:p w14:paraId="0BAEF7A7">
      <w:pPr>
        <w:rPr>
          <w:rFonts w:ascii="宋体" w:hAnsi="宋体" w:cs="宋体"/>
          <w:b/>
          <w:bCs/>
          <w:sz w:val="32"/>
          <w:szCs w:val="32"/>
        </w:rPr>
      </w:pPr>
    </w:p>
    <w:p w14:paraId="4B6A2BCF">
      <w:pPr>
        <w:rPr>
          <w:rFonts w:ascii="宋体" w:hAnsi="宋体" w:cs="宋体"/>
          <w:b/>
          <w:bCs/>
          <w:sz w:val="32"/>
          <w:szCs w:val="32"/>
        </w:rPr>
      </w:pPr>
    </w:p>
    <w:p w14:paraId="5E986122">
      <w:pPr>
        <w:rPr>
          <w:rFonts w:ascii="宋体" w:hAnsi="宋体" w:cs="宋体"/>
          <w:b/>
          <w:bCs/>
          <w:sz w:val="32"/>
          <w:szCs w:val="32"/>
        </w:rPr>
      </w:pPr>
    </w:p>
    <w:p w14:paraId="364BA28D">
      <w:pPr>
        <w:rPr>
          <w:rFonts w:ascii="宋体" w:hAnsi="宋体" w:cs="宋体"/>
          <w:b/>
          <w:bCs/>
          <w:sz w:val="32"/>
          <w:szCs w:val="32"/>
        </w:rPr>
      </w:pPr>
    </w:p>
    <w:p w14:paraId="3103637F">
      <w:pPr>
        <w:rPr>
          <w:rFonts w:ascii="宋体" w:hAnsi="宋体" w:cs="宋体"/>
          <w:b/>
          <w:bCs/>
          <w:sz w:val="32"/>
          <w:szCs w:val="32"/>
        </w:rPr>
      </w:pPr>
    </w:p>
    <w:p w14:paraId="1BDBC679">
      <w:pPr>
        <w:outlineLvl w:val="2"/>
        <w:rPr>
          <w:rFonts w:hint="eastAsia" w:ascii="宋体" w:hAnsi="宋体" w:eastAsia="宋体" w:cs="宋体"/>
          <w:b/>
          <w:bCs/>
          <w:sz w:val="28"/>
          <w:szCs w:val="28"/>
        </w:rPr>
      </w:pPr>
      <w:r>
        <w:rPr>
          <w:rFonts w:hint="eastAsia" w:ascii="宋体" w:hAnsi="宋体" w:eastAsia="宋体" w:cs="宋体"/>
          <w:b/>
          <w:bCs/>
          <w:sz w:val="28"/>
          <w:szCs w:val="28"/>
        </w:rPr>
        <w:t>3.投标人的法人或者其他组织营业执照等证明文件扫描件（必须提供，自然人除外）；</w:t>
      </w:r>
    </w:p>
    <w:p w14:paraId="370ED305">
      <w:pPr>
        <w:tabs>
          <w:tab w:val="left" w:pos="1305"/>
        </w:tabs>
        <w:spacing w:line="400" w:lineRule="exact"/>
        <w:rPr>
          <w:rFonts w:ascii="宋体" w:hAnsi="宋体" w:cs="宋体"/>
          <w:b/>
          <w:szCs w:val="21"/>
        </w:rPr>
      </w:pPr>
    </w:p>
    <w:p w14:paraId="64AA826A">
      <w:pPr>
        <w:tabs>
          <w:tab w:val="left" w:pos="1305"/>
        </w:tabs>
        <w:spacing w:line="400" w:lineRule="exact"/>
        <w:rPr>
          <w:rFonts w:ascii="宋体" w:hAnsi="宋体" w:cs="宋体"/>
          <w:b/>
          <w:szCs w:val="21"/>
        </w:rPr>
      </w:pPr>
      <w:r>
        <w:rPr>
          <w:rFonts w:hint="eastAsia" w:ascii="宋体" w:hAnsi="宋体" w:cs="宋体"/>
          <w:b/>
          <w:szCs w:val="21"/>
        </w:rPr>
        <w:t>注：供应商为企业（包括合伙企业），应提供市场监管部门（登记机关）注册的有效“企业法人营业执照”或“营业执照”；供应商为事业单位，应提供有效的“事业单位法人证书”；供应商为非企业专业服务机构的，应提供执业许可证等证明文件；供应商为个体工商户，应提供有效的“个体工商户营业执照”。</w:t>
      </w:r>
    </w:p>
    <w:p w14:paraId="19B483B7">
      <w:pPr>
        <w:spacing w:line="400" w:lineRule="exact"/>
        <w:ind w:left="420" w:firstLine="157"/>
        <w:rPr>
          <w:rFonts w:ascii="宋体" w:hAnsi="宋体" w:cs="宋体"/>
          <w:b/>
          <w:sz w:val="32"/>
          <w:szCs w:val="32"/>
        </w:rPr>
      </w:pPr>
    </w:p>
    <w:p w14:paraId="10A35270">
      <w:pPr>
        <w:rPr>
          <w:rFonts w:ascii="宋体" w:hAnsi="宋体" w:cs="宋体"/>
        </w:rPr>
      </w:pPr>
    </w:p>
    <w:p w14:paraId="28692F28">
      <w:pPr>
        <w:rPr>
          <w:rFonts w:hint="eastAsia" w:ascii="宋体" w:hAnsi="宋体" w:cs="宋体"/>
          <w:b/>
          <w:bCs/>
          <w:sz w:val="32"/>
          <w:szCs w:val="32"/>
        </w:rPr>
      </w:pPr>
      <w:r>
        <w:rPr>
          <w:rFonts w:hint="eastAsia" w:ascii="宋体" w:hAnsi="宋体" w:cs="宋体"/>
          <w:b/>
          <w:bCs/>
          <w:sz w:val="32"/>
          <w:szCs w:val="32"/>
        </w:rPr>
        <w:br w:type="page"/>
      </w:r>
    </w:p>
    <w:p w14:paraId="373D5EFC">
      <w:pPr>
        <w:outlineLvl w:val="2"/>
        <w:rPr>
          <w:rFonts w:hint="eastAsia" w:ascii="宋体" w:hAnsi="宋体" w:eastAsia="宋体" w:cs="宋体"/>
          <w:b/>
          <w:bCs/>
          <w:sz w:val="28"/>
          <w:szCs w:val="28"/>
        </w:rPr>
      </w:pPr>
      <w:r>
        <w:rPr>
          <w:rFonts w:hint="eastAsia" w:ascii="宋体" w:hAnsi="宋体" w:eastAsia="宋体" w:cs="宋体"/>
          <w:b/>
          <w:bCs/>
          <w:sz w:val="28"/>
          <w:szCs w:val="28"/>
        </w:rPr>
        <w:t>4.</w:t>
      </w:r>
      <w:r>
        <w:rPr>
          <w:rFonts w:hint="eastAsia" w:ascii="宋体" w:hAnsi="宋体" w:cs="宋体"/>
          <w:b/>
          <w:bCs/>
          <w:sz w:val="28"/>
          <w:szCs w:val="28"/>
          <w:lang w:eastAsia="zh-CN"/>
        </w:rPr>
        <w:t>投标人参加政府采购活动前3年内在经营活动中没有重大违法记录及有关信用信息的书面声明</w:t>
      </w:r>
      <w:r>
        <w:rPr>
          <w:rFonts w:hint="eastAsia" w:ascii="宋体" w:hAnsi="宋体" w:eastAsia="宋体" w:cs="宋体"/>
          <w:b/>
          <w:bCs/>
          <w:sz w:val="28"/>
          <w:szCs w:val="28"/>
        </w:rPr>
        <w:t>（必须提供）；</w:t>
      </w:r>
    </w:p>
    <w:p w14:paraId="7A583C50">
      <w:pPr>
        <w:spacing w:line="400" w:lineRule="exact"/>
        <w:jc w:val="center"/>
        <w:rPr>
          <w:rFonts w:hint="eastAsia" w:ascii="宋体" w:hAnsi="宋体" w:cs="宋体"/>
          <w:b/>
          <w:sz w:val="32"/>
          <w:szCs w:val="32"/>
        </w:rPr>
      </w:pPr>
    </w:p>
    <w:p w14:paraId="179B3E65">
      <w:pPr>
        <w:spacing w:line="400" w:lineRule="exact"/>
        <w:jc w:val="center"/>
        <w:rPr>
          <w:rFonts w:ascii="宋体" w:hAnsi="宋体" w:cs="宋体"/>
          <w:b/>
          <w:sz w:val="32"/>
          <w:szCs w:val="32"/>
        </w:rPr>
      </w:pPr>
      <w:r>
        <w:rPr>
          <w:rFonts w:hint="eastAsia" w:ascii="宋体" w:hAnsi="宋体" w:cs="宋体"/>
          <w:b/>
          <w:sz w:val="32"/>
          <w:szCs w:val="32"/>
        </w:rPr>
        <w:t>声   明</w:t>
      </w:r>
    </w:p>
    <w:p w14:paraId="4BCA2CB1">
      <w:pPr>
        <w:spacing w:line="400" w:lineRule="exact"/>
        <w:rPr>
          <w:rFonts w:ascii="宋体" w:hAnsi="宋体" w:cs="宋体"/>
          <w:b/>
          <w:szCs w:val="21"/>
        </w:rPr>
      </w:pPr>
    </w:p>
    <w:p w14:paraId="055E0036">
      <w:pPr>
        <w:spacing w:line="400" w:lineRule="exact"/>
        <w:rPr>
          <w:rFonts w:hint="eastAsia" w:ascii="宋体" w:hAnsi="宋体" w:eastAsia="宋体" w:cs="宋体"/>
          <w:lang w:eastAsia="zh-CN"/>
        </w:rPr>
      </w:pPr>
      <w:r>
        <w:rPr>
          <w:rFonts w:hint="eastAsia" w:ascii="宋体" w:hAnsi="宋体" w:cs="宋体"/>
          <w:b/>
          <w:szCs w:val="21"/>
        </w:rPr>
        <w:t>致</w:t>
      </w:r>
      <w:r>
        <w:rPr>
          <w:rFonts w:hint="eastAsia" w:ascii="宋体" w:hAnsi="宋体" w:cs="宋体"/>
          <w:szCs w:val="21"/>
        </w:rPr>
        <w:t>：</w:t>
      </w:r>
      <w:r>
        <w:rPr>
          <w:rFonts w:hint="eastAsia" w:ascii="宋体" w:hAnsi="宋体" w:cs="宋体"/>
          <w:u w:val="single"/>
          <w:lang w:eastAsia="zh-CN"/>
        </w:rPr>
        <w:t>广西北部湾宏亚建设管理有限公司</w:t>
      </w:r>
    </w:p>
    <w:p w14:paraId="671A2688">
      <w:pPr>
        <w:spacing w:line="400" w:lineRule="exact"/>
        <w:rPr>
          <w:rFonts w:ascii="宋体" w:hAnsi="宋体" w:cs="宋体"/>
          <w:szCs w:val="21"/>
          <w:u w:val="single"/>
        </w:rPr>
      </w:pPr>
    </w:p>
    <w:p w14:paraId="46C29F54">
      <w:pPr>
        <w:pStyle w:val="220"/>
        <w:spacing w:line="380" w:lineRule="exact"/>
        <w:ind w:firstLine="420"/>
        <w:rPr>
          <w:rFonts w:hAnsi="宋体" w:cs="宋体"/>
        </w:rPr>
      </w:pPr>
      <w:r>
        <w:rPr>
          <w:rFonts w:hint="eastAsia" w:hAnsi="宋体" w:cs="宋体"/>
        </w:rPr>
        <w:t>我（公司）郑重声明，在参加本项目政府采购活动前3年内在经营活动中没有重大违法记录（重大违法记录是指供应商因违法经营受到刑事处罚或者责令停产停业、吊销许可证或者执照、较大数额罚款等行政处罚），未被列入失信被执行人、重大税收违法失信主体名单、政府采购严重违法失信行为记录名单，完全符合《中华人民共和国政府采购法》第二十二条规定的供应商资格条件，我方对此声明负全部法律责任。</w:t>
      </w:r>
    </w:p>
    <w:p w14:paraId="6006A361">
      <w:pPr>
        <w:spacing w:line="400" w:lineRule="exact"/>
        <w:ind w:firstLine="4515"/>
        <w:rPr>
          <w:rFonts w:ascii="宋体" w:hAnsi="宋体" w:cs="宋体"/>
          <w:szCs w:val="21"/>
        </w:rPr>
      </w:pPr>
    </w:p>
    <w:p w14:paraId="77C6E8C3">
      <w:pPr>
        <w:spacing w:line="400" w:lineRule="exact"/>
        <w:ind w:firstLine="1890"/>
        <w:rPr>
          <w:rFonts w:ascii="宋体" w:hAnsi="宋体" w:cs="宋体"/>
          <w:szCs w:val="21"/>
          <w:u w:val="single"/>
        </w:rPr>
      </w:pPr>
      <w:r>
        <w:rPr>
          <w:rFonts w:hint="eastAsia" w:ascii="宋体" w:hAnsi="宋体" w:cs="宋体"/>
          <w:szCs w:val="21"/>
        </w:rPr>
        <w:t>投标人[公章(CA签章)，自然人签字或个人CA签章]：</w:t>
      </w:r>
      <w:r>
        <w:rPr>
          <w:rFonts w:hint="eastAsia" w:ascii="宋体" w:hAnsi="宋体" w:cs="宋体"/>
          <w:szCs w:val="21"/>
          <w:u w:val="single"/>
        </w:rPr>
        <w:t xml:space="preserve">                                         </w:t>
      </w:r>
    </w:p>
    <w:p w14:paraId="2747C2B8">
      <w:pPr>
        <w:spacing w:line="340" w:lineRule="exact"/>
        <w:ind w:firstLine="1680"/>
        <w:rPr>
          <w:rFonts w:ascii="宋体" w:hAnsi="宋体" w:cs="宋体"/>
          <w:szCs w:val="21"/>
          <w:u w:val="single"/>
        </w:rPr>
      </w:pPr>
    </w:p>
    <w:p w14:paraId="4A6390D9">
      <w:pPr>
        <w:spacing w:line="400" w:lineRule="exact"/>
        <w:ind w:firstLine="1890"/>
        <w:rPr>
          <w:rFonts w:ascii="宋体" w:hAnsi="宋体" w:cs="宋体"/>
          <w:u w:val="single"/>
        </w:rPr>
      </w:pPr>
      <w:r>
        <w:rPr>
          <w:rFonts w:hint="eastAsia" w:ascii="宋体" w:hAnsi="宋体" w:cs="宋体"/>
        </w:rPr>
        <w:t>日          期：</w:t>
      </w:r>
      <w:r>
        <w:rPr>
          <w:rFonts w:hint="eastAsia" w:ascii="宋体" w:hAnsi="宋体" w:cs="宋体"/>
          <w:u w:val="single"/>
        </w:rPr>
        <w:t xml:space="preserve">                                                   </w:t>
      </w:r>
    </w:p>
    <w:p w14:paraId="48D1817D">
      <w:pPr>
        <w:pStyle w:val="216"/>
        <w:rPr>
          <w:rFonts w:ascii="宋体" w:hAnsi="宋体" w:cs="宋体"/>
          <w:u w:val="single"/>
        </w:rPr>
      </w:pPr>
    </w:p>
    <w:p w14:paraId="5752FF22">
      <w:pPr>
        <w:outlineLvl w:val="2"/>
        <w:rPr>
          <w:rFonts w:hint="eastAsia" w:ascii="宋体" w:hAnsi="宋体" w:eastAsia="宋体" w:cs="宋体"/>
          <w:b/>
          <w:bCs/>
          <w:sz w:val="28"/>
          <w:szCs w:val="28"/>
        </w:rPr>
      </w:pPr>
      <w:r>
        <w:rPr>
          <w:rFonts w:hint="eastAsia" w:ascii="宋体" w:hAnsi="宋体" w:eastAsia="宋体" w:cs="宋体"/>
          <w:b/>
          <w:bCs/>
          <w:sz w:val="28"/>
          <w:szCs w:val="28"/>
        </w:rPr>
        <w:t>5.投标人2025年的财务状况报告（必须提供）；</w:t>
      </w:r>
    </w:p>
    <w:p w14:paraId="11B85900">
      <w:pPr>
        <w:ind w:left="-31" w:firstLine="562" w:firstLineChars="200"/>
        <w:rPr>
          <w:rFonts w:ascii="宋体" w:hAnsi="宋体" w:cs="宋体"/>
          <w:b/>
          <w:bCs/>
          <w:sz w:val="28"/>
          <w:szCs w:val="28"/>
        </w:rPr>
      </w:pPr>
    </w:p>
    <w:p w14:paraId="59A281C8">
      <w:pPr>
        <w:tabs>
          <w:tab w:val="left" w:pos="1305"/>
        </w:tabs>
        <w:spacing w:line="400" w:lineRule="exact"/>
        <w:rPr>
          <w:rFonts w:ascii="宋体" w:hAnsi="宋体" w:cs="宋体"/>
          <w:b/>
          <w:szCs w:val="21"/>
        </w:rPr>
      </w:pPr>
      <w:r>
        <w:rPr>
          <w:rFonts w:hint="eastAsia" w:ascii="宋体" w:hAnsi="宋体" w:cs="宋体"/>
          <w:b/>
          <w:szCs w:val="21"/>
        </w:rPr>
        <w:t>注：财务状况报告的内容应包括：资产负债表、利润表、现金流量表，三表缺一不可，三表可以是投标人自行编制或是第三方审计的；若投标人为新成立的企业，请根据实际情况提供。</w:t>
      </w:r>
    </w:p>
    <w:p w14:paraId="02B3D9CE">
      <w:pPr>
        <w:rPr>
          <w:rFonts w:hint="eastAsia" w:ascii="宋体" w:hAnsi="宋体" w:cs="宋体"/>
          <w:b/>
          <w:bCs/>
          <w:sz w:val="32"/>
          <w:szCs w:val="32"/>
        </w:rPr>
      </w:pPr>
    </w:p>
    <w:p w14:paraId="65DD1919">
      <w:pPr>
        <w:outlineLvl w:val="2"/>
        <w:rPr>
          <w:rFonts w:hint="eastAsia" w:ascii="宋体" w:hAnsi="宋体" w:eastAsia="宋体" w:cs="宋体"/>
          <w:b/>
          <w:bCs/>
          <w:sz w:val="28"/>
          <w:szCs w:val="28"/>
        </w:rPr>
      </w:pPr>
      <w:r>
        <w:rPr>
          <w:rFonts w:hint="eastAsia" w:ascii="宋体" w:hAnsi="宋体" w:eastAsia="宋体" w:cs="宋体"/>
          <w:b/>
          <w:bCs/>
          <w:sz w:val="28"/>
          <w:szCs w:val="28"/>
        </w:rPr>
        <w:t>6.投标人在投标截止之日前半年内任意一个月依法缴纳税费或依法免缴税费的相关证明材料（必须提供）；</w:t>
      </w:r>
    </w:p>
    <w:p w14:paraId="6C820E17">
      <w:pPr>
        <w:rPr>
          <w:rFonts w:hint="eastAsia" w:ascii="宋体" w:hAnsi="宋体" w:eastAsia="宋体" w:cs="宋体"/>
          <w:b/>
          <w:bCs/>
          <w:sz w:val="28"/>
          <w:szCs w:val="28"/>
        </w:rPr>
      </w:pPr>
    </w:p>
    <w:p w14:paraId="3AD7837D">
      <w:pPr>
        <w:rPr>
          <w:rFonts w:hint="eastAsia" w:ascii="宋体" w:hAnsi="宋体" w:eastAsia="宋体" w:cs="宋体"/>
          <w:b/>
          <w:bCs/>
          <w:sz w:val="28"/>
          <w:szCs w:val="28"/>
        </w:rPr>
      </w:pPr>
    </w:p>
    <w:p w14:paraId="2A4C1520">
      <w:pPr>
        <w:outlineLvl w:val="2"/>
        <w:rPr>
          <w:rFonts w:hint="eastAsia" w:ascii="宋体" w:hAnsi="宋体" w:eastAsia="宋体" w:cs="宋体"/>
          <w:b/>
          <w:bCs/>
          <w:sz w:val="28"/>
          <w:szCs w:val="28"/>
          <w:lang w:val="en-US" w:eastAsia="zh-CN"/>
        </w:rPr>
      </w:pPr>
      <w:r>
        <w:rPr>
          <w:rFonts w:hint="eastAsia" w:ascii="宋体" w:hAnsi="宋体" w:eastAsia="宋体" w:cs="宋体"/>
          <w:b/>
          <w:bCs/>
          <w:sz w:val="28"/>
          <w:szCs w:val="28"/>
        </w:rPr>
        <w:t>7.投标人在投标截止之日前半年内任意一个月依法缴纳社保的凭据或依法免缴社保的相关证明材料扫描件；无缴费记录的，应提供由投标人所在地社保部门出具的《依法缴纳或依法免缴社保证明》扫描件（若为新成立的企业，请根据实际情况提供）（必须提供）</w:t>
      </w:r>
      <w:r>
        <w:rPr>
          <w:rFonts w:hint="eastAsia" w:ascii="宋体" w:hAnsi="宋体" w:cs="宋体"/>
          <w:b/>
          <w:bCs/>
          <w:sz w:val="28"/>
          <w:szCs w:val="28"/>
          <w:lang w:eastAsia="zh-CN"/>
        </w:rPr>
        <w:t>。</w:t>
      </w:r>
    </w:p>
    <w:p w14:paraId="1581388A">
      <w:pPr>
        <w:pStyle w:val="216"/>
        <w:ind w:left="-31"/>
        <w:rPr>
          <w:rFonts w:ascii="宋体" w:hAnsi="宋体" w:cs="宋体"/>
          <w:b/>
          <w:bCs/>
          <w:sz w:val="32"/>
          <w:szCs w:val="32"/>
        </w:rPr>
      </w:pPr>
    </w:p>
    <w:p w14:paraId="606A1AA8">
      <w:pPr>
        <w:rPr>
          <w:rFonts w:hint="eastAsia" w:ascii="宋体" w:hAnsi="宋体" w:eastAsia="宋体" w:cs="宋体"/>
          <w:b/>
          <w:bCs/>
          <w:sz w:val="28"/>
          <w:szCs w:val="28"/>
        </w:rPr>
      </w:pPr>
      <w:r>
        <w:rPr>
          <w:rFonts w:hint="eastAsia" w:ascii="宋体" w:hAnsi="宋体" w:eastAsia="宋体" w:cs="宋体"/>
          <w:b/>
          <w:bCs/>
          <w:sz w:val="28"/>
          <w:szCs w:val="28"/>
        </w:rPr>
        <w:br w:type="page"/>
      </w:r>
    </w:p>
    <w:p w14:paraId="7044FA73">
      <w:pPr>
        <w:outlineLvl w:val="1"/>
        <w:rPr>
          <w:rFonts w:ascii="宋体" w:hAnsi="宋体" w:cs="宋体"/>
          <w:b/>
          <w:bCs/>
          <w:sz w:val="32"/>
          <w:szCs w:val="32"/>
        </w:rPr>
      </w:pPr>
      <w:r>
        <w:rPr>
          <w:rFonts w:hint="eastAsia" w:ascii="宋体" w:hAnsi="宋体" w:cs="宋体"/>
          <w:b/>
          <w:bCs/>
          <w:sz w:val="32"/>
          <w:szCs w:val="32"/>
        </w:rPr>
        <w:t>二、</w:t>
      </w:r>
      <w:r>
        <w:rPr>
          <w:rFonts w:hint="eastAsia" w:ascii="宋体" w:hAnsi="宋体" w:cs="宋体"/>
          <w:b/>
          <w:bCs/>
          <w:sz w:val="32"/>
          <w:szCs w:val="32"/>
          <w:lang w:eastAsia="zh-CN"/>
        </w:rPr>
        <w:t>商务、技术性响应</w:t>
      </w:r>
      <w:r>
        <w:rPr>
          <w:rFonts w:hint="eastAsia" w:ascii="宋体" w:hAnsi="宋体" w:cs="宋体"/>
          <w:b/>
          <w:bCs/>
          <w:sz w:val="32"/>
          <w:szCs w:val="32"/>
        </w:rPr>
        <w:t>及其他有效证明材料（格式）</w:t>
      </w:r>
    </w:p>
    <w:p w14:paraId="6235FAB1">
      <w:pPr>
        <w:outlineLvl w:val="2"/>
        <w:rPr>
          <w:rFonts w:ascii="宋体" w:hAnsi="宋体" w:cs="宋体"/>
          <w:b/>
          <w:bCs/>
          <w:sz w:val="32"/>
          <w:szCs w:val="32"/>
        </w:rPr>
      </w:pPr>
      <w:r>
        <w:rPr>
          <w:rFonts w:hint="eastAsia" w:ascii="宋体" w:hAnsi="宋体" w:eastAsia="宋体" w:cs="宋体"/>
          <w:b/>
          <w:bCs/>
          <w:sz w:val="28"/>
          <w:szCs w:val="28"/>
        </w:rPr>
        <w:t>1.投标报价表（格式见附件）（必须提供）；</w:t>
      </w:r>
    </w:p>
    <w:p w14:paraId="2008D755">
      <w:pPr>
        <w:jc w:val="center"/>
        <w:rPr>
          <w:rFonts w:ascii="宋体" w:hAnsi="宋体"/>
          <w:b/>
          <w:bCs/>
          <w:sz w:val="24"/>
        </w:rPr>
      </w:pPr>
    </w:p>
    <w:p w14:paraId="086B1AFB">
      <w:pPr>
        <w:pStyle w:val="207"/>
        <w:ind w:left="0"/>
        <w:rPr>
          <w:rFonts w:ascii="宋体" w:hAnsi="宋体" w:cs="宋体"/>
        </w:rPr>
      </w:pPr>
      <w:r>
        <w:rPr>
          <w:rFonts w:hint="eastAsia" w:ascii="宋体" w:hAnsi="宋体" w:cs="宋体"/>
          <w:b/>
          <w:bCs/>
          <w:sz w:val="30"/>
          <w:szCs w:val="30"/>
        </w:rPr>
        <w:t>附件：</w:t>
      </w:r>
    </w:p>
    <w:p w14:paraId="17352B73">
      <w:pPr>
        <w:pStyle w:val="220"/>
        <w:spacing w:line="480" w:lineRule="exact"/>
        <w:ind w:left="420"/>
        <w:jc w:val="center"/>
        <w:rPr>
          <w:rFonts w:hAnsi="宋体" w:cs="宋体"/>
          <w:b/>
          <w:sz w:val="24"/>
          <w:szCs w:val="24"/>
        </w:rPr>
      </w:pPr>
      <w:r>
        <w:rPr>
          <w:rFonts w:hint="eastAsia" w:hAnsi="宋体" w:cs="宋体"/>
          <w:b/>
          <w:sz w:val="24"/>
          <w:szCs w:val="24"/>
        </w:rPr>
        <w:t>投标报价表（格式）</w:t>
      </w:r>
    </w:p>
    <w:tbl>
      <w:tblPr>
        <w:tblStyle w:val="35"/>
        <w:tblW w:w="5003"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710"/>
        <w:gridCol w:w="1835"/>
        <w:gridCol w:w="1287"/>
        <w:gridCol w:w="683"/>
        <w:gridCol w:w="683"/>
        <w:gridCol w:w="2869"/>
        <w:gridCol w:w="1283"/>
      </w:tblGrid>
      <w:tr w14:paraId="0AF9F0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77" w:hRule="atLeast"/>
        </w:trPr>
        <w:tc>
          <w:tcPr>
            <w:tcW w:w="380" w:type="pct"/>
            <w:tcBorders>
              <w:top w:val="single" w:color="auto" w:sz="4" w:space="0"/>
              <w:left w:val="single" w:color="auto" w:sz="4" w:space="0"/>
              <w:bottom w:val="single" w:color="auto" w:sz="4" w:space="0"/>
              <w:right w:val="single" w:color="auto" w:sz="4" w:space="0"/>
            </w:tcBorders>
            <w:vAlign w:val="center"/>
          </w:tcPr>
          <w:p w14:paraId="6D8B221D">
            <w:pPr>
              <w:spacing w:line="300" w:lineRule="exact"/>
              <w:jc w:val="center"/>
              <w:rPr>
                <w:rFonts w:ascii="宋体" w:hAnsi="宋体" w:cs="宋体"/>
                <w:b/>
                <w:bCs/>
                <w:sz w:val="24"/>
                <w:szCs w:val="24"/>
              </w:rPr>
            </w:pPr>
            <w:r>
              <w:rPr>
                <w:rFonts w:hint="eastAsia" w:ascii="宋体" w:hAnsi="宋体" w:cs="宋体"/>
                <w:b/>
                <w:bCs/>
                <w:sz w:val="24"/>
                <w:szCs w:val="24"/>
              </w:rPr>
              <w:t>项号</w:t>
            </w:r>
          </w:p>
        </w:tc>
        <w:tc>
          <w:tcPr>
            <w:tcW w:w="1670" w:type="pct"/>
            <w:gridSpan w:val="2"/>
            <w:tcBorders>
              <w:top w:val="single" w:color="auto" w:sz="4" w:space="0"/>
              <w:left w:val="single" w:color="auto" w:sz="4" w:space="0"/>
              <w:bottom w:val="single" w:color="auto" w:sz="4" w:space="0"/>
              <w:right w:val="single" w:color="auto" w:sz="4" w:space="0"/>
            </w:tcBorders>
            <w:vAlign w:val="center"/>
          </w:tcPr>
          <w:p w14:paraId="62C50925">
            <w:pPr>
              <w:spacing w:line="280" w:lineRule="exact"/>
              <w:jc w:val="center"/>
              <w:rPr>
                <w:rFonts w:ascii="宋体" w:hAnsi="宋体" w:cs="宋体"/>
                <w:b/>
                <w:bCs/>
                <w:sz w:val="24"/>
                <w:szCs w:val="24"/>
              </w:rPr>
            </w:pPr>
            <w:r>
              <w:rPr>
                <w:rFonts w:hint="eastAsia" w:ascii="宋体" w:hAnsi="宋体" w:cs="宋体"/>
                <w:b/>
                <w:bCs/>
                <w:sz w:val="24"/>
                <w:szCs w:val="24"/>
              </w:rPr>
              <w:t>采购内容名称</w:t>
            </w:r>
          </w:p>
        </w:tc>
        <w:tc>
          <w:tcPr>
            <w:tcW w:w="365" w:type="pct"/>
            <w:tcBorders>
              <w:top w:val="single" w:color="auto" w:sz="4" w:space="0"/>
              <w:left w:val="single" w:color="auto" w:sz="4" w:space="0"/>
              <w:bottom w:val="single" w:color="auto" w:sz="4" w:space="0"/>
              <w:right w:val="single" w:color="auto" w:sz="4" w:space="0"/>
            </w:tcBorders>
            <w:vAlign w:val="center"/>
          </w:tcPr>
          <w:p w14:paraId="331A42C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b/>
                <w:bCs/>
                <w:sz w:val="24"/>
                <w:szCs w:val="24"/>
              </w:rPr>
            </w:pPr>
            <w:r>
              <w:rPr>
                <w:rFonts w:hint="eastAsia" w:ascii="宋体" w:hAnsi="宋体" w:eastAsia="宋体" w:cs="宋体"/>
                <w:b/>
                <w:bCs/>
                <w:sz w:val="24"/>
                <w:szCs w:val="24"/>
                <w:highlight w:val="none"/>
                <w:lang w:val="en-US" w:eastAsia="zh-CN"/>
              </w:rPr>
              <w:t>数量</w:t>
            </w:r>
          </w:p>
        </w:tc>
        <w:tc>
          <w:tcPr>
            <w:tcW w:w="365" w:type="pct"/>
            <w:tcBorders>
              <w:top w:val="single" w:color="auto" w:sz="4" w:space="0"/>
              <w:left w:val="single" w:color="auto" w:sz="4" w:space="0"/>
              <w:bottom w:val="single" w:color="auto" w:sz="4" w:space="0"/>
              <w:right w:val="single" w:color="auto" w:sz="4" w:space="0"/>
            </w:tcBorders>
            <w:vAlign w:val="center"/>
          </w:tcPr>
          <w:p w14:paraId="5723B8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b/>
                <w:bCs/>
                <w:sz w:val="24"/>
                <w:szCs w:val="24"/>
              </w:rPr>
            </w:pPr>
            <w:r>
              <w:rPr>
                <w:rFonts w:hint="eastAsia" w:ascii="宋体" w:hAnsi="宋体" w:eastAsia="宋体" w:cs="宋体"/>
                <w:b/>
                <w:bCs/>
                <w:sz w:val="24"/>
                <w:szCs w:val="24"/>
                <w:highlight w:val="none"/>
                <w:lang w:val="en-US" w:eastAsia="zh-CN"/>
              </w:rPr>
              <w:t>单位</w:t>
            </w:r>
          </w:p>
        </w:tc>
        <w:tc>
          <w:tcPr>
            <w:tcW w:w="1534" w:type="pct"/>
            <w:tcBorders>
              <w:top w:val="single" w:color="auto" w:sz="4" w:space="0"/>
              <w:left w:val="single" w:color="auto" w:sz="4" w:space="0"/>
              <w:bottom w:val="single" w:color="auto" w:sz="4" w:space="0"/>
              <w:right w:val="single" w:color="auto" w:sz="4" w:space="0"/>
            </w:tcBorders>
            <w:vAlign w:val="center"/>
          </w:tcPr>
          <w:p w14:paraId="4110338A">
            <w:pPr>
              <w:jc w:val="center"/>
              <w:rPr>
                <w:rFonts w:ascii="宋体" w:hAnsi="宋体" w:cs="宋体"/>
                <w:b/>
                <w:bCs/>
                <w:sz w:val="24"/>
                <w:szCs w:val="24"/>
              </w:rPr>
            </w:pPr>
            <w:r>
              <w:rPr>
                <w:rFonts w:hint="eastAsia" w:ascii="宋体" w:hAnsi="宋体"/>
                <w:b/>
                <w:bCs/>
                <w:sz w:val="24"/>
                <w:szCs w:val="24"/>
              </w:rPr>
              <w:t>投标报价(</w:t>
            </w:r>
            <w:r>
              <w:rPr>
                <w:rFonts w:hint="eastAsia" w:ascii="宋体" w:hAnsi="宋体"/>
                <w:b/>
                <w:bCs/>
                <w:sz w:val="24"/>
                <w:szCs w:val="24"/>
                <w:lang w:val="en-US" w:eastAsia="zh-CN"/>
              </w:rPr>
              <w:t>元</w:t>
            </w:r>
            <w:r>
              <w:rPr>
                <w:rFonts w:hint="eastAsia" w:ascii="宋体" w:hAnsi="宋体"/>
                <w:b/>
                <w:bCs/>
                <w:sz w:val="24"/>
                <w:szCs w:val="24"/>
              </w:rPr>
              <w:t>)</w:t>
            </w:r>
          </w:p>
        </w:tc>
        <w:tc>
          <w:tcPr>
            <w:tcW w:w="685" w:type="pct"/>
            <w:tcBorders>
              <w:top w:val="single" w:color="auto" w:sz="4" w:space="0"/>
              <w:left w:val="single" w:color="auto" w:sz="4" w:space="0"/>
              <w:bottom w:val="single" w:color="auto" w:sz="4" w:space="0"/>
              <w:right w:val="single" w:color="auto" w:sz="4" w:space="0"/>
            </w:tcBorders>
            <w:vAlign w:val="center"/>
          </w:tcPr>
          <w:p w14:paraId="0849A19D">
            <w:pPr>
              <w:spacing w:line="300" w:lineRule="exact"/>
              <w:jc w:val="center"/>
              <w:rPr>
                <w:rFonts w:ascii="宋体" w:hAnsi="宋体" w:cs="宋体"/>
                <w:b/>
                <w:bCs/>
                <w:sz w:val="24"/>
                <w:szCs w:val="24"/>
              </w:rPr>
            </w:pPr>
            <w:r>
              <w:rPr>
                <w:rFonts w:hint="eastAsia" w:ascii="宋体" w:hAnsi="宋体" w:cs="宋体"/>
                <w:b/>
                <w:bCs/>
                <w:sz w:val="24"/>
                <w:szCs w:val="24"/>
              </w:rPr>
              <w:t>备注</w:t>
            </w:r>
          </w:p>
        </w:tc>
      </w:tr>
      <w:tr w14:paraId="36A182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184" w:hRule="exact"/>
        </w:trPr>
        <w:tc>
          <w:tcPr>
            <w:tcW w:w="380" w:type="pct"/>
            <w:tcBorders>
              <w:top w:val="single" w:color="auto" w:sz="4" w:space="0"/>
              <w:left w:val="single" w:color="auto" w:sz="4" w:space="0"/>
              <w:bottom w:val="single" w:color="auto" w:sz="4" w:space="0"/>
              <w:right w:val="single" w:color="auto" w:sz="4" w:space="0"/>
            </w:tcBorders>
            <w:vAlign w:val="center"/>
          </w:tcPr>
          <w:p w14:paraId="28CF39F8">
            <w:pPr>
              <w:jc w:val="center"/>
              <w:rPr>
                <w:rFonts w:ascii="宋体" w:hAnsi="宋体" w:cs="宋体"/>
                <w:sz w:val="24"/>
                <w:szCs w:val="24"/>
              </w:rPr>
            </w:pPr>
            <w:r>
              <w:rPr>
                <w:rFonts w:hint="eastAsia" w:ascii="宋体" w:hAnsi="宋体" w:cs="宋体"/>
                <w:sz w:val="24"/>
                <w:szCs w:val="24"/>
              </w:rPr>
              <w:t>1</w:t>
            </w:r>
          </w:p>
        </w:tc>
        <w:tc>
          <w:tcPr>
            <w:tcW w:w="1670" w:type="pct"/>
            <w:gridSpan w:val="2"/>
            <w:tcBorders>
              <w:top w:val="single" w:color="auto" w:sz="4" w:space="0"/>
              <w:left w:val="single" w:color="auto" w:sz="4" w:space="0"/>
              <w:bottom w:val="single" w:color="auto" w:sz="4" w:space="0"/>
              <w:right w:val="single" w:color="auto" w:sz="4" w:space="0"/>
            </w:tcBorders>
            <w:vAlign w:val="center"/>
          </w:tcPr>
          <w:p w14:paraId="6DC4F457">
            <w:pPr>
              <w:jc w:val="center"/>
              <w:rPr>
                <w:rFonts w:hint="eastAsia" w:ascii="宋体" w:hAnsi="宋体" w:eastAsia="宋体" w:cs="宋体"/>
                <w:sz w:val="24"/>
                <w:szCs w:val="24"/>
                <w:lang w:eastAsia="zh-CN"/>
              </w:rPr>
            </w:pPr>
            <w:r>
              <w:rPr>
                <w:rFonts w:hint="eastAsia" w:ascii="宋体" w:hAnsi="宋体" w:cs="宋体"/>
                <w:sz w:val="24"/>
                <w:szCs w:val="24"/>
                <w:lang w:eastAsia="zh-CN"/>
              </w:rPr>
              <w:t>灌阳县雪亮工程一期到期后运维服务项目</w:t>
            </w:r>
          </w:p>
        </w:tc>
        <w:tc>
          <w:tcPr>
            <w:tcW w:w="365" w:type="pct"/>
            <w:tcBorders>
              <w:top w:val="single" w:color="auto" w:sz="4" w:space="0"/>
              <w:left w:val="single" w:color="auto" w:sz="4" w:space="0"/>
              <w:bottom w:val="single" w:color="auto" w:sz="4" w:space="0"/>
              <w:right w:val="single" w:color="auto" w:sz="4" w:space="0"/>
            </w:tcBorders>
            <w:vAlign w:val="center"/>
          </w:tcPr>
          <w:p w14:paraId="1AAAD3E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sz w:val="24"/>
                <w:szCs w:val="24"/>
              </w:rPr>
            </w:pPr>
            <w:r>
              <w:rPr>
                <w:rFonts w:hint="eastAsia" w:ascii="宋体" w:hAnsi="宋体" w:eastAsia="宋体" w:cs="宋体"/>
                <w:sz w:val="24"/>
                <w:szCs w:val="24"/>
                <w:highlight w:val="none"/>
                <w:lang w:val="en-US" w:eastAsia="zh-CN"/>
              </w:rPr>
              <w:t>1</w:t>
            </w:r>
          </w:p>
        </w:tc>
        <w:tc>
          <w:tcPr>
            <w:tcW w:w="365" w:type="pct"/>
            <w:tcBorders>
              <w:top w:val="single" w:color="auto" w:sz="4" w:space="0"/>
              <w:left w:val="single" w:color="auto" w:sz="4" w:space="0"/>
              <w:bottom w:val="single" w:color="auto" w:sz="4" w:space="0"/>
              <w:right w:val="single" w:color="auto" w:sz="4" w:space="0"/>
            </w:tcBorders>
            <w:vAlign w:val="center"/>
          </w:tcPr>
          <w:p w14:paraId="048F3B2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sz w:val="24"/>
                <w:szCs w:val="24"/>
              </w:rPr>
            </w:pPr>
            <w:r>
              <w:rPr>
                <w:rFonts w:hint="eastAsia" w:ascii="宋体" w:hAnsi="宋体" w:eastAsia="宋体" w:cs="宋体"/>
                <w:sz w:val="24"/>
                <w:szCs w:val="24"/>
                <w:highlight w:val="none"/>
                <w:lang w:val="en-US" w:eastAsia="zh-CN"/>
              </w:rPr>
              <w:t>项</w:t>
            </w:r>
          </w:p>
        </w:tc>
        <w:tc>
          <w:tcPr>
            <w:tcW w:w="1534" w:type="pct"/>
            <w:tcBorders>
              <w:top w:val="single" w:color="auto" w:sz="4" w:space="0"/>
              <w:left w:val="single" w:color="auto" w:sz="4" w:space="0"/>
              <w:bottom w:val="single" w:color="auto" w:sz="4" w:space="0"/>
              <w:right w:val="single" w:color="auto" w:sz="4" w:space="0"/>
            </w:tcBorders>
            <w:vAlign w:val="center"/>
          </w:tcPr>
          <w:p w14:paraId="17585DBC">
            <w:pPr>
              <w:spacing w:line="300" w:lineRule="exact"/>
              <w:jc w:val="center"/>
              <w:rPr>
                <w:rFonts w:ascii="宋体" w:hAnsi="宋体" w:cs="宋体"/>
                <w:b w:val="0"/>
                <w:bCs w:val="0"/>
                <w:sz w:val="24"/>
                <w:szCs w:val="24"/>
              </w:rPr>
            </w:pPr>
          </w:p>
        </w:tc>
        <w:tc>
          <w:tcPr>
            <w:tcW w:w="685" w:type="pct"/>
            <w:tcBorders>
              <w:top w:val="single" w:color="auto" w:sz="4" w:space="0"/>
              <w:left w:val="single" w:color="auto" w:sz="4" w:space="0"/>
              <w:bottom w:val="single" w:color="auto" w:sz="4" w:space="0"/>
              <w:right w:val="single" w:color="auto" w:sz="4" w:space="0"/>
            </w:tcBorders>
            <w:vAlign w:val="center"/>
          </w:tcPr>
          <w:p w14:paraId="4B922A93">
            <w:pPr>
              <w:spacing w:line="300" w:lineRule="exact"/>
              <w:jc w:val="center"/>
              <w:rPr>
                <w:rFonts w:hint="default" w:ascii="宋体" w:hAnsi="宋体" w:eastAsia="宋体" w:cs="宋体"/>
                <w:b w:val="0"/>
                <w:bCs w:val="0"/>
                <w:sz w:val="24"/>
                <w:szCs w:val="24"/>
                <w:lang w:val="en-US" w:eastAsia="zh-CN"/>
              </w:rPr>
            </w:pPr>
          </w:p>
        </w:tc>
      </w:tr>
      <w:tr w14:paraId="4CAB2E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44" w:hRule="atLeast"/>
        </w:trPr>
        <w:tc>
          <w:tcPr>
            <w:tcW w:w="1362" w:type="pct"/>
            <w:gridSpan w:val="2"/>
            <w:tcBorders>
              <w:top w:val="single" w:color="auto" w:sz="4" w:space="0"/>
              <w:left w:val="single" w:color="auto" w:sz="4" w:space="0"/>
              <w:bottom w:val="single" w:color="auto" w:sz="4" w:space="0"/>
              <w:right w:val="single" w:color="auto" w:sz="4" w:space="0"/>
            </w:tcBorders>
            <w:vAlign w:val="center"/>
          </w:tcPr>
          <w:p w14:paraId="71A8827E">
            <w:pPr>
              <w:spacing w:line="300" w:lineRule="exact"/>
              <w:jc w:val="center"/>
              <w:rPr>
                <w:rFonts w:hint="eastAsia" w:ascii="宋体" w:hAnsi="宋体" w:eastAsia="宋体" w:cs="宋体"/>
                <w:spacing w:val="-6"/>
                <w:sz w:val="24"/>
                <w:szCs w:val="24"/>
                <w:lang w:val="en-US" w:eastAsia="zh-CN"/>
              </w:rPr>
            </w:pPr>
            <w:r>
              <w:rPr>
                <w:rFonts w:hint="eastAsia" w:ascii="宋体" w:hAnsi="宋体" w:eastAsia="宋体" w:cs="宋体"/>
                <w:sz w:val="24"/>
                <w:szCs w:val="24"/>
                <w:highlight w:val="none"/>
                <w:lang w:val="en-US" w:eastAsia="zh-CN"/>
              </w:rPr>
              <w:t>投标报价</w:t>
            </w:r>
            <w:r>
              <w:rPr>
                <w:rFonts w:hint="eastAsia" w:ascii="宋体" w:hAnsi="宋体" w:cs="宋体"/>
                <w:sz w:val="24"/>
                <w:szCs w:val="24"/>
                <w:highlight w:val="none"/>
                <w:lang w:val="en-US" w:eastAsia="zh-CN"/>
              </w:rPr>
              <w:t>（12个月）</w:t>
            </w:r>
          </w:p>
        </w:tc>
        <w:tc>
          <w:tcPr>
            <w:tcW w:w="3637" w:type="pct"/>
            <w:gridSpan w:val="5"/>
            <w:tcBorders>
              <w:top w:val="single" w:color="auto" w:sz="4" w:space="0"/>
              <w:left w:val="single" w:color="auto" w:sz="4" w:space="0"/>
              <w:bottom w:val="single" w:color="auto" w:sz="4" w:space="0"/>
              <w:right w:val="single" w:color="auto" w:sz="4" w:space="0"/>
            </w:tcBorders>
            <w:vAlign w:val="center"/>
          </w:tcPr>
          <w:p w14:paraId="374C4A93">
            <w:pPr>
              <w:spacing w:line="300" w:lineRule="exac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（大写）</w:t>
            </w:r>
            <w:r>
              <w:rPr>
                <w:rFonts w:hint="eastAsia" w:ascii="宋体" w:hAnsi="宋体" w:cs="宋体"/>
                <w:spacing w:val="-6"/>
                <w:sz w:val="24"/>
                <w:szCs w:val="24"/>
              </w:rPr>
              <w:t>：</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cs="宋体"/>
                <w:color w:val="000000"/>
                <w:spacing w:val="-6"/>
                <w:sz w:val="24"/>
                <w:szCs w:val="24"/>
                <w:highlight w:val="none"/>
              </w:rPr>
              <w:t xml:space="preserve"> </w:t>
            </w:r>
            <w:r>
              <w:rPr>
                <w:rFonts w:hint="eastAsia" w:ascii="宋体" w:hAnsi="宋体" w:cs="宋体"/>
                <w:color w:val="000000"/>
                <w:spacing w:val="-6"/>
                <w:sz w:val="24"/>
                <w:szCs w:val="24"/>
                <w:highlight w:val="none"/>
                <w:lang w:val="en-US" w:eastAsia="zh-CN"/>
              </w:rPr>
              <w:t>；</w:t>
            </w: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小</w:t>
            </w:r>
            <w:r>
              <w:rPr>
                <w:rFonts w:hint="eastAsia" w:ascii="宋体" w:hAnsi="宋体" w:eastAsia="宋体" w:cs="宋体"/>
                <w:sz w:val="24"/>
                <w:szCs w:val="24"/>
                <w:highlight w:val="none"/>
              </w:rPr>
              <w:t>写）(¥</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tc>
      </w:tr>
      <w:tr w14:paraId="4585CA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74" w:hRule="atLeast"/>
        </w:trPr>
        <w:tc>
          <w:tcPr>
            <w:tcW w:w="1362" w:type="pct"/>
            <w:gridSpan w:val="2"/>
            <w:tcBorders>
              <w:top w:val="single" w:color="auto" w:sz="4" w:space="0"/>
              <w:left w:val="single" w:color="auto" w:sz="4" w:space="0"/>
              <w:bottom w:val="single" w:color="auto" w:sz="4" w:space="0"/>
              <w:right w:val="single" w:color="auto" w:sz="4" w:space="0"/>
            </w:tcBorders>
            <w:vAlign w:val="center"/>
          </w:tcPr>
          <w:p w14:paraId="2C1BC606">
            <w:pPr>
              <w:spacing w:line="300" w:lineRule="exact"/>
              <w:jc w:val="center"/>
              <w:rPr>
                <w:rFonts w:hint="default" w:ascii="宋体" w:hAnsi="宋体" w:eastAsia="宋体" w:cs="宋体"/>
                <w:sz w:val="24"/>
                <w:szCs w:val="24"/>
                <w:highlight w:val="none"/>
                <w:lang w:val="en-US" w:eastAsia="zh-CN"/>
              </w:rPr>
            </w:pPr>
            <w:r>
              <w:rPr>
                <w:rFonts w:hint="eastAsia" w:ascii="宋体" w:hAnsi="宋体" w:cs="宋体"/>
                <w:color w:val="auto"/>
                <w:sz w:val="24"/>
                <w:szCs w:val="24"/>
                <w:highlight w:val="none"/>
                <w:lang w:val="en-US" w:eastAsia="zh-CN"/>
              </w:rPr>
              <w:t>36个月</w:t>
            </w:r>
            <w:r>
              <w:rPr>
                <w:rFonts w:hint="eastAsia" w:ascii="宋体" w:hAnsi="宋体" w:cs="宋体"/>
                <w:color w:val="auto"/>
                <w:sz w:val="24"/>
                <w:szCs w:val="24"/>
                <w:highlight w:val="none"/>
              </w:rPr>
              <w:t>报价</w:t>
            </w:r>
            <w:r>
              <w:rPr>
                <w:rFonts w:hint="eastAsia" w:ascii="宋体" w:hAnsi="宋体" w:eastAsia="宋体" w:cs="宋体"/>
                <w:color w:val="000000"/>
                <w:spacing w:val="-6"/>
                <w:sz w:val="24"/>
                <w:szCs w:val="24"/>
                <w:highlight w:val="none"/>
                <w:lang w:val="en-US" w:eastAsia="zh-CN"/>
              </w:rPr>
              <w:t>金额</w:t>
            </w:r>
            <w:r>
              <w:rPr>
                <w:rFonts w:hint="eastAsia" w:ascii="宋体" w:hAnsi="宋体" w:cs="宋体"/>
                <w:color w:val="000000"/>
                <w:spacing w:val="-6"/>
                <w:sz w:val="24"/>
                <w:szCs w:val="24"/>
                <w:highlight w:val="none"/>
                <w:lang w:val="en-US" w:eastAsia="zh-CN"/>
              </w:rPr>
              <w:t>合计</w:t>
            </w:r>
          </w:p>
        </w:tc>
        <w:tc>
          <w:tcPr>
            <w:tcW w:w="3637" w:type="pct"/>
            <w:gridSpan w:val="5"/>
            <w:tcBorders>
              <w:top w:val="single" w:color="auto" w:sz="4" w:space="0"/>
              <w:left w:val="single" w:color="auto" w:sz="4" w:space="0"/>
              <w:bottom w:val="single" w:color="auto" w:sz="4" w:space="0"/>
              <w:right w:val="single" w:color="auto" w:sz="4" w:space="0"/>
            </w:tcBorders>
            <w:vAlign w:val="center"/>
          </w:tcPr>
          <w:p w14:paraId="5E0B2B6A">
            <w:pPr>
              <w:spacing w:line="30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（大写）</w:t>
            </w:r>
            <w:r>
              <w:rPr>
                <w:rFonts w:hint="eastAsia" w:ascii="宋体" w:hAnsi="宋体" w:cs="宋体"/>
                <w:spacing w:val="-6"/>
                <w:sz w:val="24"/>
                <w:szCs w:val="24"/>
              </w:rPr>
              <w:t>：</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cs="宋体"/>
                <w:color w:val="000000"/>
                <w:spacing w:val="-6"/>
                <w:sz w:val="24"/>
                <w:szCs w:val="24"/>
                <w:highlight w:val="none"/>
              </w:rPr>
              <w:t xml:space="preserve"> </w:t>
            </w:r>
            <w:r>
              <w:rPr>
                <w:rFonts w:hint="eastAsia" w:ascii="宋体" w:hAnsi="宋体" w:cs="宋体"/>
                <w:color w:val="000000"/>
                <w:spacing w:val="-6"/>
                <w:sz w:val="24"/>
                <w:szCs w:val="24"/>
                <w:highlight w:val="none"/>
                <w:lang w:val="en-US" w:eastAsia="zh-CN"/>
              </w:rPr>
              <w:t>；</w:t>
            </w: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小</w:t>
            </w:r>
            <w:r>
              <w:rPr>
                <w:rFonts w:hint="eastAsia" w:ascii="宋体" w:hAnsi="宋体" w:eastAsia="宋体" w:cs="宋体"/>
                <w:sz w:val="24"/>
                <w:szCs w:val="24"/>
                <w:highlight w:val="none"/>
              </w:rPr>
              <w:t>写）(¥</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tc>
      </w:tr>
      <w:tr w14:paraId="57AD49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60" w:hRule="atLeast"/>
        </w:trPr>
        <w:tc>
          <w:tcPr>
            <w:tcW w:w="5000" w:type="pct"/>
            <w:gridSpan w:val="7"/>
            <w:tcBorders>
              <w:top w:val="single" w:color="auto" w:sz="4" w:space="0"/>
              <w:left w:val="single" w:color="auto" w:sz="4" w:space="0"/>
              <w:bottom w:val="single" w:color="auto" w:sz="4" w:space="0"/>
              <w:right w:val="single" w:color="auto" w:sz="4" w:space="0"/>
            </w:tcBorders>
            <w:vAlign w:val="center"/>
          </w:tcPr>
          <w:p w14:paraId="19F309BC">
            <w:pPr>
              <w:spacing w:line="300" w:lineRule="exact"/>
              <w:rPr>
                <w:rFonts w:ascii="宋体" w:hAnsi="宋体" w:cs="宋体"/>
                <w:spacing w:val="-6"/>
                <w:sz w:val="24"/>
                <w:szCs w:val="24"/>
              </w:rPr>
            </w:pPr>
            <w:r>
              <w:rPr>
                <w:rFonts w:hint="eastAsia" w:ascii="宋体" w:hAnsi="宋体" w:cs="宋体"/>
                <w:spacing w:val="-6"/>
                <w:sz w:val="24"/>
                <w:szCs w:val="24"/>
              </w:rPr>
              <w:t>合同履约期限：</w:t>
            </w:r>
            <w:r>
              <w:rPr>
                <w:rFonts w:hint="eastAsia" w:ascii="宋体" w:hAnsi="宋体" w:cs="宋体"/>
                <w:sz w:val="24"/>
                <w:szCs w:val="24"/>
                <w:lang w:eastAsia="zh-CN"/>
              </w:rPr>
              <w:t>自验收合格并交付使用之日起36个月</w:t>
            </w:r>
            <w:r>
              <w:rPr>
                <w:rFonts w:hint="eastAsia" w:ascii="宋体" w:hAnsi="宋体" w:cs="宋体"/>
                <w:sz w:val="24"/>
                <w:szCs w:val="24"/>
              </w:rPr>
              <w:t>。</w:t>
            </w:r>
          </w:p>
        </w:tc>
      </w:tr>
      <w:tr w14:paraId="442A6C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754" w:hRule="atLeast"/>
        </w:trPr>
        <w:tc>
          <w:tcPr>
            <w:tcW w:w="5000" w:type="pct"/>
            <w:gridSpan w:val="7"/>
            <w:tcBorders>
              <w:top w:val="single" w:color="auto" w:sz="4" w:space="0"/>
              <w:left w:val="single" w:color="auto" w:sz="4" w:space="0"/>
              <w:bottom w:val="single" w:color="auto" w:sz="4" w:space="0"/>
              <w:right w:val="single" w:color="auto" w:sz="4" w:space="0"/>
            </w:tcBorders>
            <w:vAlign w:val="center"/>
          </w:tcPr>
          <w:p w14:paraId="05D76A45">
            <w:pPr>
              <w:spacing w:line="400" w:lineRule="exact"/>
              <w:ind w:firstLine="240" w:firstLineChars="100"/>
              <w:rPr>
                <w:rFonts w:hint="eastAsia" w:hAnsi="宋体"/>
                <w:sz w:val="24"/>
                <w:szCs w:val="24"/>
              </w:rPr>
            </w:pPr>
            <w:r>
              <w:rPr>
                <w:rFonts w:hint="eastAsia" w:ascii="宋体" w:hAnsi="宋体" w:cs="宋体"/>
                <w:sz w:val="24"/>
                <w:szCs w:val="24"/>
              </w:rPr>
              <w:t>说明：</w:t>
            </w:r>
          </w:p>
          <w:p w14:paraId="504A0760">
            <w:pPr>
              <w:spacing w:line="400" w:lineRule="exact"/>
              <w:ind w:firstLine="240" w:firstLineChars="100"/>
              <w:rPr>
                <w:rFonts w:ascii="宋体" w:hAnsi="宋体" w:cs="宋体"/>
                <w:sz w:val="24"/>
                <w:szCs w:val="24"/>
              </w:rPr>
            </w:pPr>
            <w:r>
              <w:rPr>
                <w:rFonts w:hint="eastAsia" w:hAnsi="宋体"/>
                <w:sz w:val="24"/>
                <w:szCs w:val="24"/>
              </w:rPr>
              <w:t>投标报价包含本次采购范围内</w:t>
            </w:r>
            <w:r>
              <w:rPr>
                <w:rFonts w:hint="eastAsia" w:hAnsi="宋体"/>
                <w:sz w:val="24"/>
                <w:szCs w:val="24"/>
                <w:lang w:val="en-US" w:eastAsia="zh-CN"/>
              </w:rPr>
              <w:t>的服务价款、服务随配标准附件、包装、运输、装卸、保险、税金、及其他所有成本费用的总和；</w:t>
            </w:r>
            <w:r>
              <w:rPr>
                <w:rFonts w:hint="eastAsia" w:hAnsi="宋体"/>
                <w:sz w:val="24"/>
                <w:szCs w:val="24"/>
              </w:rPr>
              <w:t>投标人综合考虑投标报价</w:t>
            </w:r>
            <w:r>
              <w:rPr>
                <w:rFonts w:hint="eastAsia" w:hAnsi="宋体"/>
                <w:sz w:val="24"/>
                <w:szCs w:val="24"/>
                <w:lang w:val="en-US" w:eastAsia="zh-CN"/>
              </w:rPr>
              <w:t>。</w:t>
            </w:r>
            <w:r>
              <w:rPr>
                <w:rFonts w:hint="eastAsia" w:hAnsi="宋体"/>
                <w:sz w:val="24"/>
                <w:szCs w:val="24"/>
                <w:lang w:eastAsia="zh-CN"/>
              </w:rPr>
              <w:t>投标人的报价在合同实施期间应保持不变</w:t>
            </w:r>
            <w:r>
              <w:rPr>
                <w:rFonts w:hint="eastAsia" w:hAnsi="宋体"/>
                <w:sz w:val="24"/>
                <w:szCs w:val="24"/>
                <w:lang w:val="en-US" w:eastAsia="zh-CN"/>
              </w:rPr>
              <w:t>；</w:t>
            </w:r>
            <w:r>
              <w:rPr>
                <w:rFonts w:hint="eastAsia" w:hAnsi="宋体"/>
                <w:sz w:val="24"/>
                <w:szCs w:val="24"/>
              </w:rPr>
              <w:t>除此之外，采购人不再另行支付任何费用</w:t>
            </w:r>
            <w:r>
              <w:rPr>
                <w:rFonts w:hint="eastAsia" w:hAnsi="宋体"/>
                <w:sz w:val="24"/>
                <w:szCs w:val="24"/>
                <w:lang w:eastAsia="zh-CN"/>
              </w:rPr>
              <w:t>。</w:t>
            </w:r>
          </w:p>
        </w:tc>
      </w:tr>
    </w:tbl>
    <w:p w14:paraId="2BB4E3CB">
      <w:pPr>
        <w:spacing w:line="340" w:lineRule="exact"/>
        <w:rPr>
          <w:rFonts w:ascii="宋体" w:hAnsi="宋体" w:cs="宋体"/>
          <w:szCs w:val="21"/>
        </w:rPr>
      </w:pPr>
    </w:p>
    <w:p w14:paraId="4F779637">
      <w:pPr>
        <w:spacing w:line="340" w:lineRule="exact"/>
        <w:rPr>
          <w:rFonts w:ascii="宋体" w:hAnsi="宋体" w:cs="宋体"/>
          <w:szCs w:val="21"/>
          <w:u w:val="single"/>
        </w:rPr>
      </w:pPr>
      <w:r>
        <w:rPr>
          <w:rFonts w:hint="eastAsia" w:ascii="宋体" w:hAnsi="宋体" w:cs="宋体"/>
          <w:szCs w:val="21"/>
        </w:rPr>
        <w:t>投标人（CA签章，自然人除外）：</w:t>
      </w:r>
      <w:r>
        <w:rPr>
          <w:rFonts w:hint="eastAsia" w:ascii="宋体" w:hAnsi="宋体" w:cs="宋体"/>
          <w:szCs w:val="21"/>
          <w:u w:val="single"/>
        </w:rPr>
        <w:t xml:space="preserve">                                        </w:t>
      </w:r>
    </w:p>
    <w:p w14:paraId="59C9185B">
      <w:pPr>
        <w:spacing w:line="340" w:lineRule="exact"/>
        <w:rPr>
          <w:rFonts w:ascii="宋体" w:hAnsi="宋体" w:cs="宋体"/>
          <w:szCs w:val="21"/>
          <w:u w:val="single"/>
        </w:rPr>
      </w:pPr>
      <w:r>
        <w:rPr>
          <w:rFonts w:hint="eastAsia" w:ascii="宋体" w:hAnsi="宋体" w:cs="宋体"/>
        </w:rPr>
        <w:t>法定代表人、负责人、自然人或相应的委托代理人签字或个人CA签章（属自然人的应在签名处加盖大拇指指印或个人CA签章）：</w:t>
      </w:r>
      <w:r>
        <w:rPr>
          <w:rFonts w:hint="eastAsia" w:ascii="宋体" w:hAnsi="宋体" w:cs="宋体"/>
          <w:szCs w:val="21"/>
          <w:u w:val="single"/>
        </w:rPr>
        <w:t xml:space="preserve">                                    </w:t>
      </w:r>
    </w:p>
    <w:p w14:paraId="7144A6FE">
      <w:pPr>
        <w:tabs>
          <w:tab w:val="left" w:pos="1305"/>
        </w:tabs>
        <w:spacing w:line="340" w:lineRule="exact"/>
        <w:rPr>
          <w:rFonts w:ascii="宋体" w:hAnsi="宋体" w:cs="宋体"/>
          <w:bCs/>
          <w:szCs w:val="21"/>
        </w:rPr>
      </w:pPr>
    </w:p>
    <w:p w14:paraId="33989863">
      <w:pPr>
        <w:tabs>
          <w:tab w:val="left" w:pos="1305"/>
        </w:tabs>
        <w:spacing w:line="340" w:lineRule="exact"/>
        <w:rPr>
          <w:rFonts w:ascii="宋体" w:hAnsi="宋体" w:cs="宋体"/>
          <w:bCs/>
          <w:szCs w:val="21"/>
        </w:rPr>
      </w:pPr>
      <w:r>
        <w:rPr>
          <w:rFonts w:hint="eastAsia" w:ascii="宋体" w:hAnsi="宋体" w:cs="宋体"/>
          <w:bCs/>
          <w:szCs w:val="21"/>
        </w:rPr>
        <w:t>注</w:t>
      </w:r>
      <w:r>
        <w:rPr>
          <w:rFonts w:hint="eastAsia" w:ascii="宋体" w:hAnsi="宋体" w:cs="宋体"/>
          <w:b/>
          <w:bCs/>
          <w:szCs w:val="21"/>
        </w:rPr>
        <w:t>：</w:t>
      </w:r>
      <w:r>
        <w:rPr>
          <w:rFonts w:hint="eastAsia" w:ascii="宋体" w:hAnsi="宋体" w:cs="宋体"/>
          <w:bCs/>
          <w:szCs w:val="21"/>
        </w:rPr>
        <w:t>1.各投标人</w:t>
      </w:r>
      <w:r>
        <w:rPr>
          <w:rFonts w:hint="eastAsia" w:ascii="宋体" w:hAnsi="宋体" w:cs="宋体"/>
          <w:szCs w:val="21"/>
        </w:rPr>
        <w:t>必须就“采购需求”中所投分标的所有内容作完整唯一报价，否则，其投标将被拒绝。投标文件只允许有一个报价。</w:t>
      </w:r>
    </w:p>
    <w:p w14:paraId="335EBAA6">
      <w:pPr>
        <w:pStyle w:val="220"/>
        <w:spacing w:line="360" w:lineRule="exact"/>
        <w:ind w:firstLine="420"/>
        <w:rPr>
          <w:rFonts w:hAnsi="宋体" w:cs="宋体"/>
          <w:szCs w:val="21"/>
        </w:rPr>
      </w:pPr>
      <w:r>
        <w:rPr>
          <w:rFonts w:hint="eastAsia" w:hAnsi="宋体" w:cs="宋体"/>
          <w:szCs w:val="21"/>
        </w:rPr>
        <w:t>2.投标人应根据所投项目如实填写投标报价表</w:t>
      </w:r>
      <w:r>
        <w:rPr>
          <w:rFonts w:hint="eastAsia" w:hAnsi="宋体" w:cs="宋体"/>
          <w:bCs/>
          <w:szCs w:val="21"/>
        </w:rPr>
        <w:t>的各项内容。</w:t>
      </w:r>
    </w:p>
    <w:p w14:paraId="762B789C">
      <w:pPr>
        <w:ind w:firstLine="420"/>
        <w:rPr>
          <w:rFonts w:ascii="宋体" w:hAnsi="宋体" w:cs="宋体"/>
          <w:b/>
          <w:bCs/>
          <w:sz w:val="32"/>
          <w:szCs w:val="32"/>
        </w:rPr>
      </w:pPr>
      <w:r>
        <w:rPr>
          <w:rFonts w:hint="eastAsia" w:ascii="宋体" w:hAnsi="宋体" w:cs="宋体"/>
          <w:szCs w:val="21"/>
        </w:rPr>
        <w:t>3.</w:t>
      </w:r>
      <w:r>
        <w:rPr>
          <w:rFonts w:hint="eastAsia" w:ascii="宋体" w:hAnsi="宋体" w:cs="宋体"/>
        </w:rPr>
        <w:t>投标报价表须由法定代表人负责人、自然人或相应的委托代理人签字或个人CA签章（属自然人的应在签名处加盖大拇指指印或个人CA签章）并加盖投标人CA签章（自然人除外）。</w:t>
      </w:r>
      <w:r>
        <w:rPr>
          <w:rFonts w:hint="eastAsia" w:ascii="宋体" w:hAnsi="宋体" w:cs="宋体"/>
          <w:b/>
        </w:rPr>
        <w:t>当本表由多页构成时，需逐页加盖投标人公章（属自然人的须逐页签字或个人CA签章）</w:t>
      </w:r>
    </w:p>
    <w:p w14:paraId="7FF55B9C">
      <w:pPr>
        <w:pStyle w:val="216"/>
      </w:pPr>
    </w:p>
    <w:p w14:paraId="78CE7C35">
      <w:pPr>
        <w:pStyle w:val="216"/>
      </w:pPr>
    </w:p>
    <w:p w14:paraId="1B1795D4">
      <w:pPr>
        <w:rPr>
          <w:rFonts w:hint="eastAsia" w:ascii="宋体" w:hAnsi="宋体" w:cs="宋体"/>
          <w:b/>
          <w:bCs/>
          <w:sz w:val="32"/>
          <w:szCs w:val="32"/>
        </w:rPr>
      </w:pPr>
      <w:r>
        <w:rPr>
          <w:rFonts w:hint="eastAsia" w:ascii="宋体" w:hAnsi="宋体" w:cs="宋体"/>
          <w:b/>
          <w:bCs/>
          <w:sz w:val="32"/>
          <w:szCs w:val="32"/>
        </w:rPr>
        <w:br w:type="page"/>
      </w:r>
    </w:p>
    <w:p w14:paraId="4F65CCE1">
      <w:pPr>
        <w:outlineLvl w:val="2"/>
        <w:rPr>
          <w:rFonts w:hint="eastAsia" w:ascii="宋体" w:hAnsi="宋体" w:eastAsia="宋体" w:cs="宋体"/>
          <w:b/>
          <w:bCs/>
          <w:sz w:val="28"/>
          <w:szCs w:val="28"/>
        </w:rPr>
      </w:pPr>
      <w:r>
        <w:rPr>
          <w:rFonts w:hint="eastAsia" w:ascii="宋体" w:hAnsi="宋体" w:eastAsia="宋体" w:cs="宋体"/>
          <w:b/>
          <w:bCs/>
          <w:sz w:val="28"/>
          <w:szCs w:val="28"/>
        </w:rPr>
        <w:t>2.服务响应表（格式见附件）（必须提供）；</w:t>
      </w:r>
    </w:p>
    <w:p w14:paraId="02BE816E">
      <w:pPr>
        <w:ind w:firstLine="472"/>
        <w:jc w:val="center"/>
        <w:rPr>
          <w:rFonts w:ascii="宋体" w:hAnsi="宋体" w:cs="宋体"/>
          <w:b/>
          <w:bCs/>
          <w:sz w:val="32"/>
          <w:szCs w:val="32"/>
        </w:rPr>
      </w:pPr>
    </w:p>
    <w:p w14:paraId="7B9C3F54">
      <w:pPr>
        <w:keepNext w:val="0"/>
        <w:keepLines w:val="0"/>
        <w:pageBreakBefore w:val="0"/>
        <w:widowControl w:val="0"/>
        <w:kinsoku/>
        <w:wordWrap/>
        <w:overflowPunct/>
        <w:topLinePunct w:val="0"/>
        <w:bidi w:val="0"/>
        <w:rPr>
          <w:rFonts w:ascii="宋体" w:hAnsi="宋体" w:cs="宋体"/>
          <w:b/>
          <w:bCs/>
          <w:color w:val="000000" w:themeColor="text1"/>
          <w:sz w:val="32"/>
          <w:szCs w:val="32"/>
          <w14:textFill>
            <w14:solidFill>
              <w14:schemeClr w14:val="tx1"/>
            </w14:solidFill>
          </w14:textFill>
        </w:rPr>
      </w:pPr>
      <w:r>
        <w:rPr>
          <w:rFonts w:hint="eastAsia" w:ascii="宋体" w:hAnsi="宋体" w:cs="宋体"/>
          <w:b/>
          <w:bCs/>
          <w:color w:val="000000" w:themeColor="text1"/>
          <w:sz w:val="32"/>
          <w:szCs w:val="32"/>
          <w14:textFill>
            <w14:solidFill>
              <w14:schemeClr w14:val="tx1"/>
            </w14:solidFill>
          </w14:textFill>
        </w:rPr>
        <w:t>附件：</w:t>
      </w:r>
    </w:p>
    <w:p w14:paraId="37EDBA26">
      <w:pPr>
        <w:keepNext w:val="0"/>
        <w:keepLines w:val="0"/>
        <w:pageBreakBefore w:val="0"/>
        <w:widowControl w:val="0"/>
        <w:kinsoku/>
        <w:wordWrap/>
        <w:overflowPunct/>
        <w:topLinePunct w:val="0"/>
        <w:bidi w:val="0"/>
        <w:jc w:val="center"/>
        <w:rPr>
          <w:rFonts w:ascii="宋体" w:hAnsi="宋体" w:cs="宋体"/>
          <w:b/>
          <w:bCs/>
          <w:color w:val="000000" w:themeColor="text1"/>
          <w:sz w:val="32"/>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服务响应表</w:t>
      </w:r>
      <w:r>
        <w:rPr>
          <w:rFonts w:hint="eastAsia" w:ascii="宋体" w:hAnsi="宋体" w:cs="宋体"/>
          <w:b/>
          <w:bCs/>
          <w:color w:val="000000" w:themeColor="text1"/>
          <w:sz w:val="32"/>
          <w14:textFill>
            <w14:solidFill>
              <w14:schemeClr w14:val="tx1"/>
            </w14:solidFill>
          </w14:textFill>
        </w:rPr>
        <w:t>（格式）</w:t>
      </w:r>
    </w:p>
    <w:p w14:paraId="4F8DB2EA">
      <w:pPr>
        <w:pStyle w:val="258"/>
        <w:keepNext w:val="0"/>
        <w:keepLines w:val="0"/>
        <w:pageBreakBefore w:val="0"/>
        <w:widowControl w:val="0"/>
        <w:kinsoku/>
        <w:wordWrap/>
        <w:overflowPunct/>
        <w:topLinePunct w:val="0"/>
        <w:bidi w:val="0"/>
        <w:rPr>
          <w:color w:val="000000" w:themeColor="text1"/>
          <w14:textFill>
            <w14:solidFill>
              <w14:schemeClr w14:val="tx1"/>
            </w14:solidFill>
          </w14:textFill>
        </w:rPr>
      </w:pPr>
    </w:p>
    <w:tbl>
      <w:tblPr>
        <w:tblStyle w:val="3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587"/>
        <w:gridCol w:w="2700"/>
        <w:gridCol w:w="2520"/>
        <w:gridCol w:w="1590"/>
      </w:tblGrid>
      <w:tr w14:paraId="2C25F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709" w:type="dxa"/>
            <w:shd w:val="clear" w:color="auto" w:fill="8DB3E2"/>
            <w:vAlign w:val="center"/>
          </w:tcPr>
          <w:p w14:paraId="10A5C5B8">
            <w:pPr>
              <w:keepNext w:val="0"/>
              <w:keepLines w:val="0"/>
              <w:pageBreakBefore w:val="0"/>
              <w:widowControl w:val="0"/>
              <w:kinsoku/>
              <w:wordWrap/>
              <w:overflowPunct/>
              <w:topLinePunct w:val="0"/>
              <w:bidi w:val="0"/>
              <w:spacing w:line="400" w:lineRule="exact"/>
              <w:jc w:val="center"/>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序号</w:t>
            </w:r>
          </w:p>
        </w:tc>
        <w:tc>
          <w:tcPr>
            <w:tcW w:w="1587" w:type="dxa"/>
            <w:shd w:val="clear" w:color="auto" w:fill="8DB3E2"/>
            <w:vAlign w:val="center"/>
          </w:tcPr>
          <w:p w14:paraId="18E4853B">
            <w:pPr>
              <w:keepNext w:val="0"/>
              <w:keepLines w:val="0"/>
              <w:pageBreakBefore w:val="0"/>
              <w:widowControl w:val="0"/>
              <w:kinsoku/>
              <w:wordWrap/>
              <w:overflowPunct/>
              <w:topLinePunct w:val="0"/>
              <w:bidi w:val="0"/>
              <w:spacing w:line="400" w:lineRule="exact"/>
              <w:jc w:val="center"/>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服务名称</w:t>
            </w:r>
          </w:p>
        </w:tc>
        <w:tc>
          <w:tcPr>
            <w:tcW w:w="2700" w:type="dxa"/>
            <w:shd w:val="clear" w:color="auto" w:fill="8DB3E2"/>
            <w:vAlign w:val="center"/>
          </w:tcPr>
          <w:p w14:paraId="2FC57F5D">
            <w:pPr>
              <w:keepNext w:val="0"/>
              <w:keepLines w:val="0"/>
              <w:pageBreakBefore w:val="0"/>
              <w:widowControl w:val="0"/>
              <w:kinsoku/>
              <w:wordWrap/>
              <w:overflowPunct/>
              <w:topLinePunct w:val="0"/>
              <w:bidi w:val="0"/>
              <w:spacing w:line="400" w:lineRule="exact"/>
              <w:jc w:val="center"/>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项目要求及技术需求</w:t>
            </w:r>
          </w:p>
        </w:tc>
        <w:tc>
          <w:tcPr>
            <w:tcW w:w="2520" w:type="dxa"/>
            <w:shd w:val="clear" w:color="auto" w:fill="8DB3E2"/>
            <w:vAlign w:val="center"/>
          </w:tcPr>
          <w:p w14:paraId="00E0563B">
            <w:pPr>
              <w:keepNext w:val="0"/>
              <w:keepLines w:val="0"/>
              <w:pageBreakBefore w:val="0"/>
              <w:widowControl w:val="0"/>
              <w:kinsoku/>
              <w:wordWrap/>
              <w:overflowPunct/>
              <w:topLinePunct w:val="0"/>
              <w:bidi w:val="0"/>
              <w:spacing w:line="400" w:lineRule="exact"/>
              <w:jc w:val="center"/>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投标文件的响应情况</w:t>
            </w:r>
          </w:p>
        </w:tc>
        <w:tc>
          <w:tcPr>
            <w:tcW w:w="1590" w:type="dxa"/>
            <w:shd w:val="clear" w:color="auto" w:fill="8DB3E2"/>
            <w:vAlign w:val="center"/>
          </w:tcPr>
          <w:p w14:paraId="59EE11DC">
            <w:pPr>
              <w:keepNext w:val="0"/>
              <w:keepLines w:val="0"/>
              <w:pageBreakBefore w:val="0"/>
              <w:widowControl w:val="0"/>
              <w:kinsoku/>
              <w:wordWrap/>
              <w:overflowPunct/>
              <w:topLinePunct w:val="0"/>
              <w:bidi w:val="0"/>
              <w:spacing w:line="400" w:lineRule="exact"/>
              <w:jc w:val="center"/>
              <w:rPr>
                <w:rFonts w:ascii="宋体" w:hAnsi="宋体" w:cs="宋体"/>
                <w:b/>
                <w:color w:val="000000" w:themeColor="text1"/>
                <w:sz w:val="24"/>
                <w:szCs w:val="24"/>
                <w14:textFill>
                  <w14:solidFill>
                    <w14:schemeClr w14:val="tx1"/>
                  </w14:solidFill>
                </w14:textFill>
              </w:rPr>
            </w:pPr>
            <w:bookmarkStart w:id="359" w:name="_Toc254970701"/>
            <w:bookmarkStart w:id="360" w:name="_Toc254970560"/>
            <w:r>
              <w:rPr>
                <w:rFonts w:hint="eastAsia" w:ascii="宋体" w:hAnsi="宋体" w:cs="宋体"/>
                <w:b/>
                <w:color w:val="000000" w:themeColor="text1"/>
                <w:sz w:val="24"/>
                <w:szCs w:val="24"/>
                <w14:textFill>
                  <w14:solidFill>
                    <w14:schemeClr w14:val="tx1"/>
                  </w14:solidFill>
                </w14:textFill>
              </w:rPr>
              <w:t>偏离情况</w:t>
            </w:r>
            <w:bookmarkEnd w:id="359"/>
            <w:bookmarkEnd w:id="360"/>
            <w:r>
              <w:rPr>
                <w:rFonts w:hint="eastAsia" w:ascii="宋体" w:hAnsi="宋体" w:cs="宋体"/>
                <w:b/>
                <w:color w:val="000000" w:themeColor="text1"/>
                <w:sz w:val="24"/>
                <w:szCs w:val="24"/>
                <w14:textFill>
                  <w14:solidFill>
                    <w14:schemeClr w14:val="tx1"/>
                  </w14:solidFill>
                </w14:textFill>
              </w:rPr>
              <w:t>说明</w:t>
            </w:r>
          </w:p>
        </w:tc>
      </w:tr>
      <w:tr w14:paraId="76F5D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55D31244">
            <w:pPr>
              <w:keepNext w:val="0"/>
              <w:keepLines w:val="0"/>
              <w:pageBreakBefore w:val="0"/>
              <w:widowControl w:val="0"/>
              <w:kinsoku/>
              <w:wordWrap/>
              <w:overflowPunct/>
              <w:topLinePunct w:val="0"/>
              <w:bidi w:val="0"/>
              <w:spacing w:line="400" w:lineRule="exact"/>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w:t>
            </w:r>
          </w:p>
        </w:tc>
        <w:tc>
          <w:tcPr>
            <w:tcW w:w="1587" w:type="dxa"/>
            <w:vAlign w:val="center"/>
          </w:tcPr>
          <w:p w14:paraId="62AC9CA5">
            <w:pPr>
              <w:keepNext w:val="0"/>
              <w:keepLines w:val="0"/>
              <w:pageBreakBefore w:val="0"/>
              <w:widowControl w:val="0"/>
              <w:kinsoku/>
              <w:wordWrap/>
              <w:overflowPunct/>
              <w:topLinePunct w:val="0"/>
              <w:bidi w:val="0"/>
              <w:spacing w:line="400" w:lineRule="exact"/>
              <w:rPr>
                <w:rFonts w:ascii="宋体" w:hAnsi="宋体" w:cs="宋体"/>
                <w:color w:val="000000" w:themeColor="text1"/>
                <w:kern w:val="0"/>
                <w:sz w:val="24"/>
                <w:szCs w:val="24"/>
                <w14:textFill>
                  <w14:solidFill>
                    <w14:schemeClr w14:val="tx1"/>
                  </w14:solidFill>
                </w14:textFill>
              </w:rPr>
            </w:pPr>
          </w:p>
        </w:tc>
        <w:tc>
          <w:tcPr>
            <w:tcW w:w="2700" w:type="dxa"/>
            <w:vAlign w:val="center"/>
          </w:tcPr>
          <w:p w14:paraId="16E5A838">
            <w:pPr>
              <w:keepNext w:val="0"/>
              <w:keepLines w:val="0"/>
              <w:pageBreakBefore w:val="0"/>
              <w:widowControl w:val="0"/>
              <w:kinsoku/>
              <w:wordWrap/>
              <w:overflowPunct/>
              <w:topLinePunct w:val="0"/>
              <w:bidi w:val="0"/>
              <w:spacing w:line="400" w:lineRule="exact"/>
              <w:jc w:val="left"/>
              <w:rPr>
                <w:rFonts w:ascii="宋体" w:hAnsi="宋体" w:cs="宋体"/>
                <w:color w:val="000000" w:themeColor="text1"/>
                <w:sz w:val="24"/>
                <w:szCs w:val="24"/>
                <w14:textFill>
                  <w14:solidFill>
                    <w14:schemeClr w14:val="tx1"/>
                  </w14:solidFill>
                </w14:textFill>
              </w:rPr>
            </w:pPr>
          </w:p>
        </w:tc>
        <w:tc>
          <w:tcPr>
            <w:tcW w:w="2520" w:type="dxa"/>
          </w:tcPr>
          <w:p w14:paraId="2ED87056">
            <w:pPr>
              <w:keepNext w:val="0"/>
              <w:keepLines w:val="0"/>
              <w:pageBreakBefore w:val="0"/>
              <w:widowControl w:val="0"/>
              <w:kinsoku/>
              <w:wordWrap/>
              <w:overflowPunct/>
              <w:topLinePunct w:val="0"/>
              <w:bidi w:val="0"/>
              <w:spacing w:line="400" w:lineRule="exact"/>
              <w:jc w:val="left"/>
              <w:rPr>
                <w:rFonts w:ascii="宋体" w:hAnsi="宋体" w:cs="宋体"/>
                <w:color w:val="000000" w:themeColor="text1"/>
                <w:sz w:val="24"/>
                <w:szCs w:val="24"/>
                <w14:textFill>
                  <w14:solidFill>
                    <w14:schemeClr w14:val="tx1"/>
                  </w14:solidFill>
                </w14:textFill>
              </w:rPr>
            </w:pPr>
          </w:p>
        </w:tc>
        <w:tc>
          <w:tcPr>
            <w:tcW w:w="1590" w:type="dxa"/>
            <w:vAlign w:val="center"/>
          </w:tcPr>
          <w:p w14:paraId="5F38D4E9">
            <w:pPr>
              <w:keepNext w:val="0"/>
              <w:keepLines w:val="0"/>
              <w:pageBreakBefore w:val="0"/>
              <w:widowControl w:val="0"/>
              <w:kinsoku/>
              <w:wordWrap/>
              <w:overflowPunct/>
              <w:topLinePunct w:val="0"/>
              <w:bidi w:val="0"/>
              <w:spacing w:line="400" w:lineRule="exact"/>
              <w:jc w:val="left"/>
              <w:rPr>
                <w:rFonts w:ascii="宋体" w:hAnsi="宋体" w:cs="宋体"/>
                <w:color w:val="000000" w:themeColor="text1"/>
                <w:sz w:val="24"/>
                <w:szCs w:val="24"/>
                <w14:textFill>
                  <w14:solidFill>
                    <w14:schemeClr w14:val="tx1"/>
                  </w14:solidFill>
                </w14:textFill>
              </w:rPr>
            </w:pPr>
          </w:p>
        </w:tc>
      </w:tr>
      <w:tr w14:paraId="60EB6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05DE99ED">
            <w:pPr>
              <w:keepNext w:val="0"/>
              <w:keepLines w:val="0"/>
              <w:pageBreakBefore w:val="0"/>
              <w:widowControl w:val="0"/>
              <w:kinsoku/>
              <w:wordWrap/>
              <w:overflowPunct/>
              <w:topLinePunct w:val="0"/>
              <w:bidi w:val="0"/>
              <w:spacing w:line="400" w:lineRule="exact"/>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w:t>
            </w:r>
          </w:p>
        </w:tc>
        <w:tc>
          <w:tcPr>
            <w:tcW w:w="1587" w:type="dxa"/>
            <w:vAlign w:val="center"/>
          </w:tcPr>
          <w:p w14:paraId="082B47FC">
            <w:pPr>
              <w:keepNext w:val="0"/>
              <w:keepLines w:val="0"/>
              <w:pageBreakBefore w:val="0"/>
              <w:widowControl w:val="0"/>
              <w:kinsoku/>
              <w:wordWrap/>
              <w:overflowPunct/>
              <w:topLinePunct w:val="0"/>
              <w:bidi w:val="0"/>
              <w:spacing w:line="400" w:lineRule="exact"/>
              <w:rPr>
                <w:rFonts w:ascii="宋体" w:hAnsi="宋体" w:cs="宋体"/>
                <w:color w:val="000000" w:themeColor="text1"/>
                <w:kern w:val="0"/>
                <w:sz w:val="24"/>
                <w:szCs w:val="24"/>
                <w14:textFill>
                  <w14:solidFill>
                    <w14:schemeClr w14:val="tx1"/>
                  </w14:solidFill>
                </w14:textFill>
              </w:rPr>
            </w:pPr>
          </w:p>
        </w:tc>
        <w:tc>
          <w:tcPr>
            <w:tcW w:w="2700" w:type="dxa"/>
            <w:vAlign w:val="center"/>
          </w:tcPr>
          <w:p w14:paraId="12A119FC">
            <w:pPr>
              <w:keepNext w:val="0"/>
              <w:keepLines w:val="0"/>
              <w:pageBreakBefore w:val="0"/>
              <w:widowControl w:val="0"/>
              <w:kinsoku/>
              <w:wordWrap/>
              <w:overflowPunct/>
              <w:topLinePunct w:val="0"/>
              <w:bidi w:val="0"/>
              <w:spacing w:line="400" w:lineRule="exact"/>
              <w:jc w:val="left"/>
              <w:rPr>
                <w:rFonts w:ascii="宋体" w:hAnsi="宋体" w:cs="宋体"/>
                <w:color w:val="000000" w:themeColor="text1"/>
                <w:sz w:val="24"/>
                <w:szCs w:val="24"/>
                <w14:textFill>
                  <w14:solidFill>
                    <w14:schemeClr w14:val="tx1"/>
                  </w14:solidFill>
                </w14:textFill>
              </w:rPr>
            </w:pPr>
          </w:p>
        </w:tc>
        <w:tc>
          <w:tcPr>
            <w:tcW w:w="2520" w:type="dxa"/>
          </w:tcPr>
          <w:p w14:paraId="37CA4990">
            <w:pPr>
              <w:keepNext w:val="0"/>
              <w:keepLines w:val="0"/>
              <w:pageBreakBefore w:val="0"/>
              <w:widowControl w:val="0"/>
              <w:kinsoku/>
              <w:wordWrap/>
              <w:overflowPunct/>
              <w:topLinePunct w:val="0"/>
              <w:bidi w:val="0"/>
              <w:spacing w:line="400" w:lineRule="exact"/>
              <w:jc w:val="left"/>
              <w:rPr>
                <w:rFonts w:ascii="宋体" w:hAnsi="宋体" w:cs="宋体"/>
                <w:color w:val="000000" w:themeColor="text1"/>
                <w:sz w:val="24"/>
                <w:szCs w:val="24"/>
                <w14:textFill>
                  <w14:solidFill>
                    <w14:schemeClr w14:val="tx1"/>
                  </w14:solidFill>
                </w14:textFill>
              </w:rPr>
            </w:pPr>
          </w:p>
        </w:tc>
        <w:tc>
          <w:tcPr>
            <w:tcW w:w="1590" w:type="dxa"/>
            <w:vAlign w:val="center"/>
          </w:tcPr>
          <w:p w14:paraId="022486B0">
            <w:pPr>
              <w:keepNext w:val="0"/>
              <w:keepLines w:val="0"/>
              <w:pageBreakBefore w:val="0"/>
              <w:widowControl w:val="0"/>
              <w:kinsoku/>
              <w:wordWrap/>
              <w:overflowPunct/>
              <w:topLinePunct w:val="0"/>
              <w:bidi w:val="0"/>
              <w:spacing w:line="400" w:lineRule="exact"/>
              <w:jc w:val="left"/>
              <w:rPr>
                <w:rFonts w:ascii="宋体" w:hAnsi="宋体" w:cs="宋体"/>
                <w:color w:val="000000" w:themeColor="text1"/>
                <w:sz w:val="24"/>
                <w:szCs w:val="24"/>
                <w14:textFill>
                  <w14:solidFill>
                    <w14:schemeClr w14:val="tx1"/>
                  </w14:solidFill>
                </w14:textFill>
              </w:rPr>
            </w:pPr>
          </w:p>
        </w:tc>
      </w:tr>
      <w:tr w14:paraId="2A31A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2EB4C2AB">
            <w:pPr>
              <w:keepNext w:val="0"/>
              <w:keepLines w:val="0"/>
              <w:pageBreakBefore w:val="0"/>
              <w:widowControl w:val="0"/>
              <w:kinsoku/>
              <w:wordWrap/>
              <w:overflowPunct/>
              <w:topLinePunct w:val="0"/>
              <w:bidi w:val="0"/>
              <w:spacing w:line="400" w:lineRule="exact"/>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w:t>
            </w:r>
          </w:p>
        </w:tc>
        <w:tc>
          <w:tcPr>
            <w:tcW w:w="1587" w:type="dxa"/>
            <w:vAlign w:val="center"/>
          </w:tcPr>
          <w:p w14:paraId="52078F54">
            <w:pPr>
              <w:keepNext w:val="0"/>
              <w:keepLines w:val="0"/>
              <w:pageBreakBefore w:val="0"/>
              <w:widowControl w:val="0"/>
              <w:kinsoku/>
              <w:wordWrap/>
              <w:overflowPunct/>
              <w:topLinePunct w:val="0"/>
              <w:bidi w:val="0"/>
              <w:spacing w:line="400" w:lineRule="exact"/>
              <w:rPr>
                <w:rFonts w:ascii="宋体" w:hAnsi="宋体" w:cs="宋体"/>
                <w:color w:val="000000" w:themeColor="text1"/>
                <w:kern w:val="0"/>
                <w:sz w:val="24"/>
                <w:szCs w:val="24"/>
                <w14:textFill>
                  <w14:solidFill>
                    <w14:schemeClr w14:val="tx1"/>
                  </w14:solidFill>
                </w14:textFill>
              </w:rPr>
            </w:pPr>
          </w:p>
        </w:tc>
        <w:tc>
          <w:tcPr>
            <w:tcW w:w="2700" w:type="dxa"/>
          </w:tcPr>
          <w:p w14:paraId="1298486D">
            <w:pPr>
              <w:keepNext w:val="0"/>
              <w:keepLines w:val="0"/>
              <w:pageBreakBefore w:val="0"/>
              <w:widowControl w:val="0"/>
              <w:kinsoku/>
              <w:wordWrap/>
              <w:overflowPunct/>
              <w:topLinePunct w:val="0"/>
              <w:bidi w:val="0"/>
              <w:spacing w:line="400" w:lineRule="exact"/>
              <w:jc w:val="left"/>
              <w:rPr>
                <w:rFonts w:ascii="宋体" w:hAnsi="宋体" w:cs="宋体"/>
                <w:color w:val="000000" w:themeColor="text1"/>
                <w:sz w:val="24"/>
                <w:szCs w:val="24"/>
                <w14:textFill>
                  <w14:solidFill>
                    <w14:schemeClr w14:val="tx1"/>
                  </w14:solidFill>
                </w14:textFill>
              </w:rPr>
            </w:pPr>
          </w:p>
        </w:tc>
        <w:tc>
          <w:tcPr>
            <w:tcW w:w="2520" w:type="dxa"/>
          </w:tcPr>
          <w:p w14:paraId="74337501">
            <w:pPr>
              <w:keepNext w:val="0"/>
              <w:keepLines w:val="0"/>
              <w:pageBreakBefore w:val="0"/>
              <w:widowControl w:val="0"/>
              <w:kinsoku/>
              <w:wordWrap/>
              <w:overflowPunct/>
              <w:topLinePunct w:val="0"/>
              <w:bidi w:val="0"/>
              <w:spacing w:line="400" w:lineRule="exact"/>
              <w:jc w:val="left"/>
              <w:rPr>
                <w:rFonts w:ascii="宋体" w:hAnsi="宋体" w:cs="宋体"/>
                <w:color w:val="000000" w:themeColor="text1"/>
                <w:sz w:val="24"/>
                <w:szCs w:val="24"/>
                <w14:textFill>
                  <w14:solidFill>
                    <w14:schemeClr w14:val="tx1"/>
                  </w14:solidFill>
                </w14:textFill>
              </w:rPr>
            </w:pPr>
          </w:p>
        </w:tc>
        <w:tc>
          <w:tcPr>
            <w:tcW w:w="1590" w:type="dxa"/>
          </w:tcPr>
          <w:p w14:paraId="76169AC9">
            <w:pPr>
              <w:keepNext w:val="0"/>
              <w:keepLines w:val="0"/>
              <w:pageBreakBefore w:val="0"/>
              <w:widowControl w:val="0"/>
              <w:kinsoku/>
              <w:wordWrap/>
              <w:overflowPunct/>
              <w:topLinePunct w:val="0"/>
              <w:bidi w:val="0"/>
              <w:spacing w:line="400" w:lineRule="exact"/>
              <w:jc w:val="left"/>
              <w:rPr>
                <w:rFonts w:ascii="宋体" w:hAnsi="宋体" w:cs="宋体"/>
                <w:color w:val="000000" w:themeColor="text1"/>
                <w:sz w:val="24"/>
                <w:szCs w:val="24"/>
                <w14:textFill>
                  <w14:solidFill>
                    <w14:schemeClr w14:val="tx1"/>
                  </w14:solidFill>
                </w14:textFill>
              </w:rPr>
            </w:pPr>
          </w:p>
        </w:tc>
      </w:tr>
      <w:tr w14:paraId="7320A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1D908F96">
            <w:pPr>
              <w:keepNext w:val="0"/>
              <w:keepLines w:val="0"/>
              <w:pageBreakBefore w:val="0"/>
              <w:widowControl w:val="0"/>
              <w:kinsoku/>
              <w:wordWrap/>
              <w:overflowPunct/>
              <w:topLinePunct w:val="0"/>
              <w:bidi w:val="0"/>
              <w:spacing w:line="400" w:lineRule="exact"/>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w:t>
            </w:r>
          </w:p>
        </w:tc>
        <w:tc>
          <w:tcPr>
            <w:tcW w:w="1587" w:type="dxa"/>
            <w:vAlign w:val="center"/>
          </w:tcPr>
          <w:p w14:paraId="44168B60">
            <w:pPr>
              <w:keepNext w:val="0"/>
              <w:keepLines w:val="0"/>
              <w:pageBreakBefore w:val="0"/>
              <w:widowControl w:val="0"/>
              <w:kinsoku/>
              <w:wordWrap/>
              <w:overflowPunct/>
              <w:topLinePunct w:val="0"/>
              <w:bidi w:val="0"/>
              <w:spacing w:line="400" w:lineRule="exact"/>
              <w:rPr>
                <w:rFonts w:ascii="宋体" w:hAnsi="宋体" w:cs="宋体"/>
                <w:color w:val="000000" w:themeColor="text1"/>
                <w:kern w:val="0"/>
                <w:sz w:val="24"/>
                <w:szCs w:val="24"/>
                <w14:textFill>
                  <w14:solidFill>
                    <w14:schemeClr w14:val="tx1"/>
                  </w14:solidFill>
                </w14:textFill>
              </w:rPr>
            </w:pPr>
          </w:p>
        </w:tc>
        <w:tc>
          <w:tcPr>
            <w:tcW w:w="2700" w:type="dxa"/>
          </w:tcPr>
          <w:p w14:paraId="1E4731CB">
            <w:pPr>
              <w:keepNext w:val="0"/>
              <w:keepLines w:val="0"/>
              <w:pageBreakBefore w:val="0"/>
              <w:widowControl w:val="0"/>
              <w:kinsoku/>
              <w:wordWrap/>
              <w:overflowPunct/>
              <w:topLinePunct w:val="0"/>
              <w:bidi w:val="0"/>
              <w:spacing w:line="400" w:lineRule="exact"/>
              <w:jc w:val="left"/>
              <w:rPr>
                <w:rFonts w:ascii="宋体" w:hAnsi="宋体" w:cs="宋体"/>
                <w:color w:val="000000" w:themeColor="text1"/>
                <w:sz w:val="24"/>
                <w:szCs w:val="24"/>
                <w14:textFill>
                  <w14:solidFill>
                    <w14:schemeClr w14:val="tx1"/>
                  </w14:solidFill>
                </w14:textFill>
              </w:rPr>
            </w:pPr>
          </w:p>
        </w:tc>
        <w:tc>
          <w:tcPr>
            <w:tcW w:w="2520" w:type="dxa"/>
          </w:tcPr>
          <w:p w14:paraId="2A285837">
            <w:pPr>
              <w:keepNext w:val="0"/>
              <w:keepLines w:val="0"/>
              <w:pageBreakBefore w:val="0"/>
              <w:widowControl w:val="0"/>
              <w:kinsoku/>
              <w:wordWrap/>
              <w:overflowPunct/>
              <w:topLinePunct w:val="0"/>
              <w:bidi w:val="0"/>
              <w:spacing w:line="400" w:lineRule="exact"/>
              <w:jc w:val="left"/>
              <w:rPr>
                <w:rFonts w:ascii="宋体" w:hAnsi="宋体" w:cs="宋体"/>
                <w:color w:val="000000" w:themeColor="text1"/>
                <w:sz w:val="24"/>
                <w:szCs w:val="24"/>
                <w14:textFill>
                  <w14:solidFill>
                    <w14:schemeClr w14:val="tx1"/>
                  </w14:solidFill>
                </w14:textFill>
              </w:rPr>
            </w:pPr>
          </w:p>
        </w:tc>
        <w:tc>
          <w:tcPr>
            <w:tcW w:w="1590" w:type="dxa"/>
          </w:tcPr>
          <w:p w14:paraId="13ECF100">
            <w:pPr>
              <w:keepNext w:val="0"/>
              <w:keepLines w:val="0"/>
              <w:pageBreakBefore w:val="0"/>
              <w:widowControl w:val="0"/>
              <w:kinsoku/>
              <w:wordWrap/>
              <w:overflowPunct/>
              <w:topLinePunct w:val="0"/>
              <w:bidi w:val="0"/>
              <w:spacing w:line="400" w:lineRule="exact"/>
              <w:jc w:val="left"/>
              <w:rPr>
                <w:rFonts w:ascii="宋体" w:hAnsi="宋体" w:cs="宋体"/>
                <w:color w:val="000000" w:themeColor="text1"/>
                <w:sz w:val="24"/>
                <w:szCs w:val="24"/>
                <w14:textFill>
                  <w14:solidFill>
                    <w14:schemeClr w14:val="tx1"/>
                  </w14:solidFill>
                </w14:textFill>
              </w:rPr>
            </w:pPr>
          </w:p>
        </w:tc>
      </w:tr>
      <w:tr w14:paraId="375A7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3E28F034">
            <w:pPr>
              <w:keepNext w:val="0"/>
              <w:keepLines w:val="0"/>
              <w:pageBreakBefore w:val="0"/>
              <w:widowControl w:val="0"/>
              <w:kinsoku/>
              <w:wordWrap/>
              <w:overflowPunct/>
              <w:topLinePunct w:val="0"/>
              <w:bidi w:val="0"/>
              <w:spacing w:line="400" w:lineRule="exact"/>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w:t>
            </w:r>
          </w:p>
        </w:tc>
        <w:tc>
          <w:tcPr>
            <w:tcW w:w="1587" w:type="dxa"/>
            <w:vAlign w:val="center"/>
          </w:tcPr>
          <w:p w14:paraId="3DEB25D1">
            <w:pPr>
              <w:keepNext w:val="0"/>
              <w:keepLines w:val="0"/>
              <w:pageBreakBefore w:val="0"/>
              <w:widowControl w:val="0"/>
              <w:kinsoku/>
              <w:wordWrap/>
              <w:overflowPunct/>
              <w:topLinePunct w:val="0"/>
              <w:bidi w:val="0"/>
              <w:spacing w:line="400" w:lineRule="exact"/>
              <w:rPr>
                <w:rFonts w:ascii="宋体" w:hAnsi="宋体" w:cs="宋体"/>
                <w:color w:val="000000" w:themeColor="text1"/>
                <w:kern w:val="0"/>
                <w:sz w:val="24"/>
                <w:szCs w:val="24"/>
                <w14:textFill>
                  <w14:solidFill>
                    <w14:schemeClr w14:val="tx1"/>
                  </w14:solidFill>
                </w14:textFill>
              </w:rPr>
            </w:pPr>
          </w:p>
        </w:tc>
        <w:tc>
          <w:tcPr>
            <w:tcW w:w="2700" w:type="dxa"/>
          </w:tcPr>
          <w:p w14:paraId="55FF4E44">
            <w:pPr>
              <w:keepNext w:val="0"/>
              <w:keepLines w:val="0"/>
              <w:pageBreakBefore w:val="0"/>
              <w:widowControl w:val="0"/>
              <w:kinsoku/>
              <w:wordWrap/>
              <w:overflowPunct/>
              <w:topLinePunct w:val="0"/>
              <w:bidi w:val="0"/>
              <w:spacing w:line="400" w:lineRule="exact"/>
              <w:jc w:val="left"/>
              <w:rPr>
                <w:rFonts w:ascii="宋体" w:hAnsi="宋体" w:cs="宋体"/>
                <w:color w:val="000000" w:themeColor="text1"/>
                <w:sz w:val="24"/>
                <w:szCs w:val="24"/>
                <w14:textFill>
                  <w14:solidFill>
                    <w14:schemeClr w14:val="tx1"/>
                  </w14:solidFill>
                </w14:textFill>
              </w:rPr>
            </w:pPr>
          </w:p>
        </w:tc>
        <w:tc>
          <w:tcPr>
            <w:tcW w:w="2520" w:type="dxa"/>
          </w:tcPr>
          <w:p w14:paraId="11D6EDE5">
            <w:pPr>
              <w:keepNext w:val="0"/>
              <w:keepLines w:val="0"/>
              <w:pageBreakBefore w:val="0"/>
              <w:widowControl w:val="0"/>
              <w:kinsoku/>
              <w:wordWrap/>
              <w:overflowPunct/>
              <w:topLinePunct w:val="0"/>
              <w:bidi w:val="0"/>
              <w:spacing w:line="400" w:lineRule="exact"/>
              <w:jc w:val="left"/>
              <w:rPr>
                <w:rFonts w:ascii="宋体" w:hAnsi="宋体" w:cs="宋体"/>
                <w:color w:val="000000" w:themeColor="text1"/>
                <w:sz w:val="24"/>
                <w:szCs w:val="24"/>
                <w14:textFill>
                  <w14:solidFill>
                    <w14:schemeClr w14:val="tx1"/>
                  </w14:solidFill>
                </w14:textFill>
              </w:rPr>
            </w:pPr>
          </w:p>
        </w:tc>
        <w:tc>
          <w:tcPr>
            <w:tcW w:w="1590" w:type="dxa"/>
          </w:tcPr>
          <w:p w14:paraId="6D70C8D4">
            <w:pPr>
              <w:keepNext w:val="0"/>
              <w:keepLines w:val="0"/>
              <w:pageBreakBefore w:val="0"/>
              <w:widowControl w:val="0"/>
              <w:kinsoku/>
              <w:wordWrap/>
              <w:overflowPunct/>
              <w:topLinePunct w:val="0"/>
              <w:bidi w:val="0"/>
              <w:spacing w:line="400" w:lineRule="exact"/>
              <w:jc w:val="left"/>
              <w:rPr>
                <w:rFonts w:ascii="宋体" w:hAnsi="宋体" w:cs="宋体"/>
                <w:color w:val="000000" w:themeColor="text1"/>
                <w:sz w:val="24"/>
                <w:szCs w:val="24"/>
                <w14:textFill>
                  <w14:solidFill>
                    <w14:schemeClr w14:val="tx1"/>
                  </w14:solidFill>
                </w14:textFill>
              </w:rPr>
            </w:pPr>
          </w:p>
        </w:tc>
      </w:tr>
      <w:tr w14:paraId="1BF0C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352D6563">
            <w:pPr>
              <w:keepNext w:val="0"/>
              <w:keepLines w:val="0"/>
              <w:pageBreakBefore w:val="0"/>
              <w:widowControl w:val="0"/>
              <w:kinsoku/>
              <w:wordWrap/>
              <w:overflowPunct/>
              <w:topLinePunct w:val="0"/>
              <w:bidi w:val="0"/>
              <w:spacing w:line="400" w:lineRule="exact"/>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N</w:t>
            </w:r>
          </w:p>
        </w:tc>
        <w:tc>
          <w:tcPr>
            <w:tcW w:w="1587" w:type="dxa"/>
            <w:vAlign w:val="center"/>
          </w:tcPr>
          <w:p w14:paraId="74A2FE20">
            <w:pPr>
              <w:keepNext w:val="0"/>
              <w:keepLines w:val="0"/>
              <w:pageBreakBefore w:val="0"/>
              <w:widowControl w:val="0"/>
              <w:kinsoku/>
              <w:wordWrap/>
              <w:overflowPunct/>
              <w:topLinePunct w:val="0"/>
              <w:bidi w:val="0"/>
              <w:spacing w:line="400" w:lineRule="exact"/>
              <w:rPr>
                <w:rFonts w:ascii="宋体" w:hAnsi="宋体" w:cs="宋体"/>
                <w:b/>
                <w:bCs/>
                <w:color w:val="000000" w:themeColor="text1"/>
                <w:kern w:val="0"/>
                <w:sz w:val="24"/>
                <w:szCs w:val="24"/>
                <w14:textFill>
                  <w14:solidFill>
                    <w14:schemeClr w14:val="tx1"/>
                  </w14:solidFill>
                </w14:textFill>
              </w:rPr>
            </w:pPr>
          </w:p>
        </w:tc>
        <w:tc>
          <w:tcPr>
            <w:tcW w:w="2700" w:type="dxa"/>
          </w:tcPr>
          <w:p w14:paraId="00732EB8">
            <w:pPr>
              <w:keepNext w:val="0"/>
              <w:keepLines w:val="0"/>
              <w:pageBreakBefore w:val="0"/>
              <w:widowControl w:val="0"/>
              <w:kinsoku/>
              <w:wordWrap/>
              <w:overflowPunct/>
              <w:topLinePunct w:val="0"/>
              <w:bidi w:val="0"/>
              <w:spacing w:line="400" w:lineRule="exact"/>
              <w:jc w:val="left"/>
              <w:rPr>
                <w:rFonts w:ascii="宋体" w:hAnsi="宋体" w:cs="宋体"/>
                <w:color w:val="000000" w:themeColor="text1"/>
                <w:sz w:val="24"/>
                <w:szCs w:val="24"/>
                <w14:textFill>
                  <w14:solidFill>
                    <w14:schemeClr w14:val="tx1"/>
                  </w14:solidFill>
                </w14:textFill>
              </w:rPr>
            </w:pPr>
          </w:p>
        </w:tc>
        <w:tc>
          <w:tcPr>
            <w:tcW w:w="2520" w:type="dxa"/>
          </w:tcPr>
          <w:p w14:paraId="4F3D95EF">
            <w:pPr>
              <w:keepNext w:val="0"/>
              <w:keepLines w:val="0"/>
              <w:pageBreakBefore w:val="0"/>
              <w:widowControl w:val="0"/>
              <w:kinsoku/>
              <w:wordWrap/>
              <w:overflowPunct/>
              <w:topLinePunct w:val="0"/>
              <w:bidi w:val="0"/>
              <w:spacing w:line="400" w:lineRule="exact"/>
              <w:jc w:val="left"/>
              <w:rPr>
                <w:rFonts w:ascii="宋体" w:hAnsi="宋体" w:cs="宋体"/>
                <w:color w:val="000000" w:themeColor="text1"/>
                <w:sz w:val="24"/>
                <w:szCs w:val="24"/>
                <w14:textFill>
                  <w14:solidFill>
                    <w14:schemeClr w14:val="tx1"/>
                  </w14:solidFill>
                </w14:textFill>
              </w:rPr>
            </w:pPr>
          </w:p>
        </w:tc>
        <w:tc>
          <w:tcPr>
            <w:tcW w:w="1590" w:type="dxa"/>
          </w:tcPr>
          <w:p w14:paraId="74D935D8">
            <w:pPr>
              <w:keepNext w:val="0"/>
              <w:keepLines w:val="0"/>
              <w:pageBreakBefore w:val="0"/>
              <w:widowControl w:val="0"/>
              <w:kinsoku/>
              <w:wordWrap/>
              <w:overflowPunct/>
              <w:topLinePunct w:val="0"/>
              <w:bidi w:val="0"/>
              <w:spacing w:line="400" w:lineRule="exact"/>
              <w:jc w:val="left"/>
              <w:rPr>
                <w:rFonts w:ascii="宋体" w:hAnsi="宋体" w:cs="宋体"/>
                <w:color w:val="000000" w:themeColor="text1"/>
                <w:sz w:val="24"/>
                <w:szCs w:val="24"/>
                <w14:textFill>
                  <w14:solidFill>
                    <w14:schemeClr w14:val="tx1"/>
                  </w14:solidFill>
                </w14:textFill>
              </w:rPr>
            </w:pPr>
          </w:p>
        </w:tc>
      </w:tr>
    </w:tbl>
    <w:p w14:paraId="45DD0E88">
      <w:pPr>
        <w:keepNext w:val="0"/>
        <w:keepLines w:val="0"/>
        <w:pageBreakBefore w:val="0"/>
        <w:widowControl w:val="0"/>
        <w:kinsoku/>
        <w:wordWrap/>
        <w:overflowPunct/>
        <w:topLinePunct w:val="0"/>
        <w:bidi w:val="0"/>
        <w:snapToGrid w:val="0"/>
        <w:spacing w:line="400" w:lineRule="exact"/>
        <w:ind w:firstLine="422" w:firstLineChars="200"/>
        <w:rPr>
          <w:rFonts w:ascii="宋体" w:hAnsi="宋体" w:cs="宋体"/>
          <w:color w:val="000000" w:themeColor="text1"/>
          <w:szCs w:val="20"/>
          <w:u w:val="single"/>
          <w14:textFill>
            <w14:solidFill>
              <w14:schemeClr w14:val="tx1"/>
            </w14:solidFill>
          </w14:textFill>
        </w:rPr>
      </w:pPr>
      <w:r>
        <w:rPr>
          <w:rFonts w:hint="eastAsia" w:ascii="宋体" w:hAnsi="宋体" w:cs="宋体"/>
          <w:b/>
          <w:bCs/>
          <w:color w:val="000000" w:themeColor="text1"/>
          <w14:textFill>
            <w14:solidFill>
              <w14:schemeClr w14:val="tx1"/>
            </w14:solidFill>
          </w14:textFill>
        </w:rPr>
        <w:t>注：投标人应对照招标文件中</w:t>
      </w:r>
      <w:r>
        <w:rPr>
          <w:rFonts w:hint="eastAsia" w:ascii="宋体" w:hAnsi="宋体" w:cs="宋体"/>
          <w:b/>
          <w:bCs/>
          <w:color w:val="000000" w:themeColor="text1"/>
          <w:lang w:val="en-US" w:eastAsia="zh-CN"/>
          <w14:textFill>
            <w14:solidFill>
              <w14:schemeClr w14:val="tx1"/>
            </w14:solidFill>
          </w14:textFill>
        </w:rPr>
        <w:t>第三章</w:t>
      </w:r>
      <w:r>
        <w:rPr>
          <w:rFonts w:hint="eastAsia" w:ascii="宋体" w:hAnsi="宋体" w:cs="宋体"/>
          <w:b/>
          <w:bCs/>
          <w:color w:val="000000" w:themeColor="text1"/>
          <w:lang w:eastAsia="zh-CN"/>
          <w14:textFill>
            <w14:solidFill>
              <w14:schemeClr w14:val="tx1"/>
            </w14:solidFill>
          </w14:textFill>
        </w:rPr>
        <w:t>“</w:t>
      </w:r>
      <w:r>
        <w:rPr>
          <w:rFonts w:hint="eastAsia" w:ascii="宋体" w:hAnsi="宋体" w:cs="宋体"/>
          <w:b/>
          <w:bCs/>
          <w:color w:val="000000" w:themeColor="text1"/>
          <w:lang w:val="en-US" w:eastAsia="zh-CN"/>
          <w14:textFill>
            <w14:solidFill>
              <w14:schemeClr w14:val="tx1"/>
            </w14:solidFill>
          </w14:textFill>
        </w:rPr>
        <w:t>采购需求</w:t>
      </w:r>
      <w:r>
        <w:rPr>
          <w:rFonts w:hint="eastAsia" w:ascii="宋体" w:hAnsi="宋体" w:cs="宋体"/>
          <w:b/>
          <w:bCs/>
          <w:color w:val="000000" w:themeColor="text1"/>
          <w:lang w:eastAsia="zh-CN"/>
          <w14:textFill>
            <w14:solidFill>
              <w14:schemeClr w14:val="tx1"/>
            </w14:solidFill>
          </w14:textFill>
        </w:rPr>
        <w:t>”</w:t>
      </w:r>
      <w:r>
        <w:rPr>
          <w:rFonts w:hint="eastAsia" w:ascii="宋体" w:hAnsi="宋体" w:cs="宋体"/>
          <w:b/>
          <w:bCs/>
          <w:color w:val="000000" w:themeColor="text1"/>
          <w:lang w:val="en-US" w:eastAsia="zh-CN"/>
          <w14:textFill>
            <w14:solidFill>
              <w14:schemeClr w14:val="tx1"/>
            </w14:solidFill>
          </w14:textFill>
        </w:rPr>
        <w:t>中第三点“服务要求”</w:t>
      </w:r>
      <w:r>
        <w:rPr>
          <w:rFonts w:hint="eastAsia" w:ascii="宋体" w:hAnsi="宋体" w:cs="宋体"/>
          <w:b/>
          <w:bCs/>
          <w:color w:val="000000" w:themeColor="text1"/>
          <w14:textFill>
            <w14:solidFill>
              <w14:schemeClr w14:val="tx1"/>
            </w14:solidFill>
          </w14:textFill>
        </w:rPr>
        <w:t>的内容逐条响应，并在“偏离情况说明”栏注明“正偏离”、“负偏离”或“无偏离”</w:t>
      </w:r>
      <w:r>
        <w:rPr>
          <w:rFonts w:hint="eastAsia" w:ascii="宋体" w:hAnsi="宋体" w:cs="宋体"/>
          <w:color w:val="000000" w:themeColor="text1"/>
          <w14:textFill>
            <w14:solidFill>
              <w14:schemeClr w14:val="tx1"/>
            </w14:solidFill>
          </w14:textFill>
        </w:rPr>
        <w:t>。</w:t>
      </w:r>
    </w:p>
    <w:p w14:paraId="7E0240C8">
      <w:pPr>
        <w:keepNext w:val="0"/>
        <w:keepLines w:val="0"/>
        <w:pageBreakBefore w:val="0"/>
        <w:widowControl w:val="0"/>
        <w:kinsoku/>
        <w:wordWrap/>
        <w:overflowPunct/>
        <w:topLinePunct w:val="0"/>
        <w:bidi w:val="0"/>
        <w:snapToGrid w:val="0"/>
        <w:spacing w:line="400" w:lineRule="exact"/>
        <w:ind w:firstLine="3780" w:firstLineChars="1800"/>
        <w:rPr>
          <w:rFonts w:ascii="宋体" w:hAnsi="宋体" w:cs="宋体"/>
          <w:color w:val="000000" w:themeColor="text1"/>
          <w:szCs w:val="20"/>
          <w:u w:val="single"/>
          <w14:textFill>
            <w14:solidFill>
              <w14:schemeClr w14:val="tx1"/>
            </w14:solidFill>
          </w14:textFill>
        </w:rPr>
      </w:pPr>
    </w:p>
    <w:p w14:paraId="0808883C">
      <w:pPr>
        <w:keepNext w:val="0"/>
        <w:keepLines w:val="0"/>
        <w:pageBreakBefore w:val="0"/>
        <w:widowControl w:val="0"/>
        <w:kinsoku/>
        <w:wordWrap/>
        <w:overflowPunct/>
        <w:topLinePunct w:val="0"/>
        <w:bidi w:val="0"/>
        <w:snapToGrid w:val="0"/>
        <w:spacing w:line="400" w:lineRule="exact"/>
        <w:ind w:firstLine="1890" w:firstLineChars="900"/>
        <w:rPr>
          <w:rFonts w:ascii="宋体" w:hAnsi="宋体" w:cs="宋体"/>
          <w:color w:val="000000" w:themeColor="text1"/>
          <w:szCs w:val="21"/>
          <w:u w:val="single"/>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投标人[公章(CA签章)，自然人签字或个人CA签章]：</w:t>
      </w:r>
      <w:r>
        <w:rPr>
          <w:rFonts w:hint="eastAsia" w:ascii="宋体" w:hAnsi="宋体" w:cs="宋体"/>
          <w:color w:val="000000" w:themeColor="text1"/>
          <w:szCs w:val="21"/>
          <w:u w:val="single"/>
          <w14:textFill>
            <w14:solidFill>
              <w14:schemeClr w14:val="tx1"/>
            </w14:solidFill>
          </w14:textFill>
        </w:rPr>
        <w:t xml:space="preserve">                                         </w:t>
      </w:r>
    </w:p>
    <w:p w14:paraId="649C0052">
      <w:pPr>
        <w:keepNext w:val="0"/>
        <w:keepLines w:val="0"/>
        <w:pageBreakBefore w:val="0"/>
        <w:widowControl w:val="0"/>
        <w:kinsoku/>
        <w:wordWrap/>
        <w:overflowPunct/>
        <w:topLinePunct w:val="0"/>
        <w:bidi w:val="0"/>
        <w:spacing w:line="340" w:lineRule="exact"/>
        <w:rPr>
          <w:rFonts w:ascii="宋体" w:hAnsi="宋体" w:cs="宋体"/>
          <w:color w:val="000000" w:themeColor="text1"/>
          <w:szCs w:val="21"/>
          <w:u w:val="single"/>
          <w14:textFill>
            <w14:solidFill>
              <w14:schemeClr w14:val="tx1"/>
            </w14:solidFill>
          </w14:textFill>
        </w:rPr>
      </w:pPr>
    </w:p>
    <w:p w14:paraId="5A4767BF">
      <w:pPr>
        <w:keepNext w:val="0"/>
        <w:keepLines w:val="0"/>
        <w:pageBreakBefore w:val="0"/>
        <w:widowControl w:val="0"/>
        <w:kinsoku/>
        <w:wordWrap/>
        <w:overflowPunct/>
        <w:topLinePunct w:val="0"/>
        <w:bidi w:val="0"/>
        <w:ind w:firstLine="1890" w:firstLineChars="900"/>
        <w:rPr>
          <w:rFonts w:ascii="宋体" w:hAnsi="宋体" w:cs="宋体"/>
          <w:color w:val="000000" w:themeColor="text1"/>
          <w:u w:val="single"/>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 日          期：</w:t>
      </w:r>
      <w:r>
        <w:rPr>
          <w:rFonts w:hint="eastAsia" w:ascii="宋体" w:hAnsi="宋体" w:cs="宋体"/>
          <w:color w:val="000000" w:themeColor="text1"/>
          <w:u w:val="single"/>
          <w14:textFill>
            <w14:solidFill>
              <w14:schemeClr w14:val="tx1"/>
            </w14:solidFill>
          </w14:textFill>
        </w:rPr>
        <w:t xml:space="preserve">                                                   </w:t>
      </w:r>
    </w:p>
    <w:p w14:paraId="09FF523F">
      <w:pPr>
        <w:keepNext w:val="0"/>
        <w:keepLines w:val="0"/>
        <w:pageBreakBefore w:val="0"/>
        <w:widowControl w:val="0"/>
        <w:kinsoku/>
        <w:wordWrap/>
        <w:overflowPunct/>
        <w:topLinePunct w:val="0"/>
        <w:bidi w:val="0"/>
        <w:spacing w:line="360" w:lineRule="exact"/>
        <w:rPr>
          <w:rFonts w:ascii="宋体" w:hAnsi="宋体" w:cs="宋体"/>
          <w:color w:val="000000" w:themeColor="text1"/>
          <w14:textFill>
            <w14:solidFill>
              <w14:schemeClr w14:val="tx1"/>
            </w14:solidFill>
          </w14:textFill>
        </w:rPr>
      </w:pPr>
    </w:p>
    <w:p w14:paraId="575AB1B8">
      <w:pPr>
        <w:keepNext w:val="0"/>
        <w:keepLines w:val="0"/>
        <w:pageBreakBefore w:val="0"/>
        <w:widowControl w:val="0"/>
        <w:kinsoku/>
        <w:wordWrap/>
        <w:overflowPunct/>
        <w:topLinePunct w:val="0"/>
        <w:bidi w:val="0"/>
        <w:spacing w:line="400" w:lineRule="exact"/>
        <w:ind w:left="982" w:leftChars="200" w:hanging="562" w:hangingChars="200"/>
        <w:rPr>
          <w:rFonts w:ascii="宋体" w:hAnsi="宋体" w:cs="宋体"/>
          <w:b/>
          <w:color w:val="000000" w:themeColor="text1"/>
          <w:sz w:val="24"/>
          <w14:textFill>
            <w14:solidFill>
              <w14:schemeClr w14:val="tx1"/>
            </w14:solidFill>
          </w14:textFill>
        </w:rPr>
      </w:pPr>
      <w:r>
        <w:rPr>
          <w:rFonts w:hint="eastAsia" w:ascii="宋体" w:hAnsi="宋体" w:cs="宋体"/>
          <w:b/>
          <w:bCs/>
          <w:color w:val="000000" w:themeColor="text1"/>
          <w:sz w:val="28"/>
          <w:szCs w:val="28"/>
          <w14:textFill>
            <w14:solidFill>
              <w14:schemeClr w14:val="tx1"/>
            </w14:solidFill>
          </w14:textFill>
        </w:rPr>
        <w:t>注：</w:t>
      </w:r>
      <w:r>
        <w:rPr>
          <w:rFonts w:hint="eastAsia" w:ascii="宋体" w:hAnsi="宋体" w:cs="宋体"/>
          <w:b/>
          <w:color w:val="000000" w:themeColor="text1"/>
          <w:sz w:val="24"/>
          <w14:textFill>
            <w14:solidFill>
              <w14:schemeClr w14:val="tx1"/>
            </w14:solidFill>
          </w14:textFill>
        </w:rPr>
        <w:t>1.“服务响应表”各项内容必须如实填写。</w:t>
      </w:r>
    </w:p>
    <w:p w14:paraId="3D1E12F2">
      <w:pPr>
        <w:keepNext w:val="0"/>
        <w:keepLines w:val="0"/>
        <w:pageBreakBefore w:val="0"/>
        <w:widowControl w:val="0"/>
        <w:kinsoku/>
        <w:wordWrap/>
        <w:overflowPunct/>
        <w:topLinePunct w:val="0"/>
        <w:bidi w:val="0"/>
        <w:spacing w:line="400" w:lineRule="exact"/>
        <w:ind w:left="840" w:leftChars="400" w:firstLine="181" w:firstLineChars="75"/>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2.当本表由多页构成时，需逐页加盖投标人公章（CA签章）（属自然人的须逐页签字或个人CA签章）。</w:t>
      </w:r>
    </w:p>
    <w:p w14:paraId="287ADD74">
      <w:pPr>
        <w:pStyle w:val="258"/>
        <w:rPr>
          <w:rFonts w:ascii="宋体" w:hAnsi="宋体" w:eastAsia="宋体" w:cs="宋体"/>
          <w:color w:val="auto"/>
        </w:rPr>
      </w:pPr>
    </w:p>
    <w:p w14:paraId="4E59A8B7">
      <w:pPr>
        <w:spacing w:line="400" w:lineRule="exact"/>
        <w:rPr>
          <w:rFonts w:ascii="宋体" w:hAnsi="宋体" w:cs="宋体"/>
          <w:sz w:val="32"/>
          <w:szCs w:val="32"/>
        </w:rPr>
      </w:pPr>
    </w:p>
    <w:p w14:paraId="1EA77B5D">
      <w:pPr>
        <w:rPr>
          <w:rFonts w:hint="eastAsia" w:ascii="宋体" w:hAnsi="宋体" w:eastAsia="宋体" w:cs="宋体"/>
          <w:b/>
          <w:bCs/>
          <w:sz w:val="28"/>
          <w:szCs w:val="28"/>
        </w:rPr>
      </w:pPr>
      <w:r>
        <w:rPr>
          <w:rFonts w:hint="eastAsia" w:ascii="宋体" w:hAnsi="宋体" w:eastAsia="宋体" w:cs="宋体"/>
          <w:b/>
          <w:bCs/>
          <w:sz w:val="28"/>
          <w:szCs w:val="28"/>
        </w:rPr>
        <w:br w:type="page"/>
      </w:r>
    </w:p>
    <w:p w14:paraId="05DB0F40">
      <w:pPr>
        <w:outlineLvl w:val="2"/>
        <w:rPr>
          <w:rFonts w:hint="eastAsia" w:ascii="宋体" w:hAnsi="宋体" w:eastAsia="宋体" w:cs="宋体"/>
          <w:b/>
          <w:bCs/>
          <w:sz w:val="28"/>
          <w:szCs w:val="28"/>
        </w:rPr>
      </w:pPr>
      <w:r>
        <w:rPr>
          <w:rFonts w:hint="eastAsia" w:ascii="宋体" w:hAnsi="宋体" w:eastAsia="宋体" w:cs="宋体"/>
          <w:b/>
          <w:bCs/>
          <w:sz w:val="28"/>
          <w:szCs w:val="28"/>
        </w:rPr>
        <w:t>3.“采购需求”需提供的有效证明文件（如有，按其要求提供）；</w:t>
      </w:r>
    </w:p>
    <w:p w14:paraId="23EA6135">
      <w:pPr>
        <w:outlineLvl w:val="9"/>
        <w:rPr>
          <w:rFonts w:hint="eastAsia" w:ascii="宋体" w:hAnsi="宋体" w:eastAsia="宋体" w:cs="宋体"/>
          <w:b/>
          <w:bCs/>
          <w:sz w:val="28"/>
          <w:szCs w:val="28"/>
        </w:rPr>
      </w:pPr>
    </w:p>
    <w:p w14:paraId="05886FA7">
      <w:pPr>
        <w:rPr>
          <w:rFonts w:ascii="宋体" w:hAnsi="宋体" w:cs="宋体"/>
        </w:rPr>
      </w:pPr>
    </w:p>
    <w:p w14:paraId="31410FBE">
      <w:pPr>
        <w:outlineLvl w:val="2"/>
        <w:rPr>
          <w:rFonts w:ascii="宋体" w:hAnsi="宋体" w:cs="宋体"/>
          <w:b/>
          <w:bCs/>
          <w:sz w:val="32"/>
          <w:szCs w:val="32"/>
        </w:rPr>
      </w:pPr>
      <w:r>
        <w:rPr>
          <w:rFonts w:hint="eastAsia" w:ascii="宋体" w:hAnsi="宋体" w:eastAsia="宋体" w:cs="宋体"/>
          <w:b/>
          <w:bCs/>
          <w:sz w:val="28"/>
          <w:szCs w:val="28"/>
        </w:rPr>
        <w:t>4.</w:t>
      </w:r>
      <w:r>
        <w:rPr>
          <w:rFonts w:hint="eastAsia" w:ascii="宋体" w:hAnsi="宋体" w:eastAsia="宋体" w:cs="宋体"/>
          <w:b/>
          <w:bCs/>
          <w:sz w:val="28"/>
          <w:szCs w:val="28"/>
          <w:lang w:eastAsia="zh-CN"/>
        </w:rPr>
        <w:t>项目实施方案</w:t>
      </w:r>
      <w:r>
        <w:rPr>
          <w:rFonts w:hint="eastAsia" w:ascii="宋体" w:hAnsi="宋体" w:eastAsia="宋体" w:cs="宋体"/>
          <w:b/>
          <w:bCs/>
          <w:sz w:val="28"/>
          <w:szCs w:val="28"/>
        </w:rPr>
        <w:t>（内容可根据本项目采购需求、特点、评标办法及自身的处理能力自行编写）（必须提供）；</w:t>
      </w:r>
    </w:p>
    <w:p w14:paraId="7AFA2DBB">
      <w:pPr>
        <w:outlineLvl w:val="9"/>
        <w:rPr>
          <w:rFonts w:hint="eastAsia" w:ascii="宋体" w:hAnsi="宋体" w:eastAsia="宋体" w:cs="宋体"/>
          <w:b/>
          <w:bCs/>
          <w:sz w:val="28"/>
          <w:szCs w:val="28"/>
        </w:rPr>
      </w:pPr>
    </w:p>
    <w:p w14:paraId="12C4CE48">
      <w:pPr>
        <w:outlineLvl w:val="9"/>
        <w:rPr>
          <w:rFonts w:hint="eastAsia" w:ascii="宋体" w:hAnsi="宋体" w:eastAsia="宋体" w:cs="宋体"/>
          <w:b/>
          <w:bCs/>
          <w:sz w:val="28"/>
          <w:szCs w:val="28"/>
        </w:rPr>
      </w:pPr>
    </w:p>
    <w:p w14:paraId="0BB53652">
      <w:pPr>
        <w:outlineLvl w:val="2"/>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5.项目服务方案（内容可根据本项目采购需求、特点、评标办法及自身的处理能力自行编写）（必须提供）；</w:t>
      </w:r>
    </w:p>
    <w:p w14:paraId="2AF7643C">
      <w:pPr>
        <w:outlineLvl w:val="9"/>
        <w:rPr>
          <w:rFonts w:hint="eastAsia" w:ascii="宋体" w:hAnsi="宋体" w:eastAsia="宋体" w:cs="宋体"/>
          <w:b/>
          <w:bCs/>
          <w:sz w:val="28"/>
          <w:szCs w:val="28"/>
          <w:lang w:val="en-US" w:eastAsia="zh-CN"/>
        </w:rPr>
      </w:pPr>
    </w:p>
    <w:p w14:paraId="4628005F">
      <w:pPr>
        <w:outlineLvl w:val="9"/>
        <w:rPr>
          <w:rFonts w:hint="eastAsia" w:ascii="宋体" w:hAnsi="宋体" w:eastAsia="宋体" w:cs="宋体"/>
          <w:b/>
          <w:bCs/>
          <w:sz w:val="28"/>
          <w:szCs w:val="28"/>
          <w:lang w:val="en-US" w:eastAsia="zh-CN"/>
        </w:rPr>
      </w:pPr>
    </w:p>
    <w:p w14:paraId="04DB9885">
      <w:pPr>
        <w:outlineLvl w:val="2"/>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6.项目实施人员一览表（如有，请提供）；</w:t>
      </w:r>
    </w:p>
    <w:p w14:paraId="457395BD">
      <w:pPr>
        <w:jc w:val="center"/>
        <w:rPr>
          <w:rFonts w:ascii="宋体" w:hAnsi="宋体" w:cs="宋体"/>
          <w:b/>
          <w:bCs/>
          <w:sz w:val="32"/>
          <w:szCs w:val="32"/>
        </w:rPr>
      </w:pPr>
      <w:r>
        <w:rPr>
          <w:rFonts w:hint="eastAsia" w:ascii="宋体" w:hAnsi="宋体" w:cs="宋体"/>
          <w:b/>
          <w:bCs/>
          <w:sz w:val="32"/>
          <w:szCs w:val="32"/>
        </w:rPr>
        <w:t xml:space="preserve">项目实施人员一览表（格式）    </w:t>
      </w:r>
    </w:p>
    <w:tbl>
      <w:tblPr>
        <w:tblStyle w:val="3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6"/>
        <w:gridCol w:w="949"/>
        <w:gridCol w:w="1803"/>
        <w:gridCol w:w="1489"/>
        <w:gridCol w:w="2067"/>
        <w:gridCol w:w="1410"/>
      </w:tblGrid>
      <w:tr w14:paraId="0774F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pct"/>
            <w:tcBorders>
              <w:top w:val="single" w:color="auto" w:sz="4" w:space="0"/>
              <w:left w:val="single" w:color="auto" w:sz="4" w:space="0"/>
              <w:bottom w:val="single" w:color="auto" w:sz="4" w:space="0"/>
              <w:right w:val="single" w:color="auto" w:sz="4" w:space="0"/>
            </w:tcBorders>
            <w:shd w:val="clear" w:color="auto" w:fill="8DB3E2"/>
            <w:vAlign w:val="center"/>
          </w:tcPr>
          <w:p w14:paraId="7C14569E">
            <w:pPr>
              <w:spacing w:line="400" w:lineRule="exact"/>
              <w:jc w:val="center"/>
              <w:rPr>
                <w:rFonts w:ascii="宋体" w:hAnsi="宋体" w:cs="宋体"/>
                <w:b/>
                <w:bCs/>
                <w:sz w:val="24"/>
                <w:szCs w:val="24"/>
              </w:rPr>
            </w:pPr>
            <w:r>
              <w:rPr>
                <w:rFonts w:hint="eastAsia" w:ascii="宋体" w:hAnsi="宋体" w:cs="宋体"/>
                <w:b/>
                <w:bCs/>
                <w:sz w:val="24"/>
                <w:szCs w:val="24"/>
              </w:rPr>
              <w:t>姓 名</w:t>
            </w:r>
          </w:p>
        </w:tc>
        <w:tc>
          <w:tcPr>
            <w:tcW w:w="508" w:type="pct"/>
            <w:tcBorders>
              <w:top w:val="single" w:color="auto" w:sz="4" w:space="0"/>
              <w:left w:val="single" w:color="auto" w:sz="4" w:space="0"/>
              <w:bottom w:val="single" w:color="auto" w:sz="4" w:space="0"/>
              <w:right w:val="single" w:color="auto" w:sz="4" w:space="0"/>
            </w:tcBorders>
            <w:shd w:val="clear" w:color="auto" w:fill="8DB3E2"/>
            <w:vAlign w:val="center"/>
          </w:tcPr>
          <w:p w14:paraId="72BAB49D">
            <w:pPr>
              <w:spacing w:line="400" w:lineRule="exact"/>
              <w:jc w:val="center"/>
              <w:rPr>
                <w:rFonts w:ascii="宋体" w:hAnsi="宋体" w:cs="宋体"/>
                <w:b/>
                <w:bCs/>
                <w:sz w:val="24"/>
                <w:szCs w:val="24"/>
              </w:rPr>
            </w:pPr>
            <w:r>
              <w:rPr>
                <w:rFonts w:hint="eastAsia" w:ascii="宋体" w:hAnsi="宋体" w:cs="宋体"/>
                <w:b/>
                <w:bCs/>
                <w:sz w:val="24"/>
                <w:szCs w:val="24"/>
              </w:rPr>
              <w:t>职务</w:t>
            </w:r>
          </w:p>
        </w:tc>
        <w:tc>
          <w:tcPr>
            <w:tcW w:w="965" w:type="pct"/>
            <w:tcBorders>
              <w:top w:val="single" w:color="auto" w:sz="4" w:space="0"/>
              <w:left w:val="single" w:color="auto" w:sz="4" w:space="0"/>
              <w:bottom w:val="single" w:color="auto" w:sz="4" w:space="0"/>
              <w:right w:val="single" w:color="auto" w:sz="4" w:space="0"/>
            </w:tcBorders>
            <w:shd w:val="clear" w:color="auto" w:fill="8DB3E2"/>
            <w:vAlign w:val="center"/>
          </w:tcPr>
          <w:p w14:paraId="3F47DB92">
            <w:pPr>
              <w:spacing w:line="400" w:lineRule="exact"/>
              <w:jc w:val="center"/>
              <w:rPr>
                <w:rFonts w:ascii="宋体" w:hAnsi="宋体" w:cs="宋体"/>
                <w:b/>
                <w:bCs/>
                <w:sz w:val="24"/>
                <w:szCs w:val="24"/>
              </w:rPr>
            </w:pPr>
            <w:r>
              <w:rPr>
                <w:rFonts w:hint="eastAsia" w:ascii="宋体" w:hAnsi="宋体" w:cs="宋体"/>
                <w:b/>
                <w:bCs/>
                <w:sz w:val="24"/>
                <w:szCs w:val="24"/>
              </w:rPr>
              <w:t>专业技术资格</w:t>
            </w:r>
          </w:p>
        </w:tc>
        <w:tc>
          <w:tcPr>
            <w:tcW w:w="797" w:type="pct"/>
            <w:tcBorders>
              <w:top w:val="single" w:color="auto" w:sz="4" w:space="0"/>
              <w:left w:val="single" w:color="auto" w:sz="4" w:space="0"/>
              <w:bottom w:val="single" w:color="auto" w:sz="4" w:space="0"/>
              <w:right w:val="single" w:color="auto" w:sz="4" w:space="0"/>
            </w:tcBorders>
            <w:shd w:val="clear" w:color="auto" w:fill="8DB3E2"/>
            <w:vAlign w:val="center"/>
          </w:tcPr>
          <w:p w14:paraId="6F75E3A6">
            <w:pPr>
              <w:spacing w:line="400" w:lineRule="exact"/>
              <w:jc w:val="center"/>
              <w:rPr>
                <w:rFonts w:ascii="宋体" w:hAnsi="宋体" w:cs="宋体"/>
                <w:b/>
                <w:bCs/>
                <w:sz w:val="24"/>
                <w:szCs w:val="24"/>
              </w:rPr>
            </w:pPr>
            <w:r>
              <w:rPr>
                <w:rFonts w:hint="eastAsia" w:ascii="宋体" w:hAnsi="宋体" w:cs="宋体"/>
                <w:b/>
                <w:bCs/>
                <w:sz w:val="24"/>
                <w:szCs w:val="24"/>
              </w:rPr>
              <w:t>证书编号</w:t>
            </w:r>
          </w:p>
        </w:tc>
        <w:tc>
          <w:tcPr>
            <w:tcW w:w="1106" w:type="pct"/>
            <w:tcBorders>
              <w:top w:val="single" w:color="auto" w:sz="4" w:space="0"/>
              <w:left w:val="single" w:color="auto" w:sz="4" w:space="0"/>
              <w:bottom w:val="single" w:color="auto" w:sz="4" w:space="0"/>
              <w:right w:val="single" w:color="auto" w:sz="4" w:space="0"/>
            </w:tcBorders>
            <w:shd w:val="clear" w:color="auto" w:fill="8DB3E2"/>
            <w:vAlign w:val="center"/>
          </w:tcPr>
          <w:p w14:paraId="3DF5CF69">
            <w:pPr>
              <w:spacing w:line="400" w:lineRule="exact"/>
              <w:jc w:val="center"/>
              <w:rPr>
                <w:rFonts w:ascii="宋体" w:hAnsi="宋体" w:cs="宋体"/>
                <w:b/>
                <w:bCs/>
                <w:sz w:val="24"/>
                <w:szCs w:val="24"/>
              </w:rPr>
            </w:pPr>
            <w:r>
              <w:rPr>
                <w:rFonts w:hint="eastAsia" w:ascii="宋体" w:hAnsi="宋体" w:cs="宋体"/>
                <w:b/>
                <w:bCs/>
                <w:sz w:val="24"/>
                <w:szCs w:val="24"/>
              </w:rPr>
              <w:t>参加工作时间</w:t>
            </w:r>
          </w:p>
        </w:tc>
        <w:tc>
          <w:tcPr>
            <w:tcW w:w="755" w:type="pct"/>
            <w:tcBorders>
              <w:top w:val="single" w:color="auto" w:sz="4" w:space="0"/>
              <w:left w:val="single" w:color="auto" w:sz="4" w:space="0"/>
              <w:bottom w:val="single" w:color="auto" w:sz="4" w:space="0"/>
              <w:right w:val="single" w:color="auto" w:sz="4" w:space="0"/>
            </w:tcBorders>
            <w:shd w:val="clear" w:color="auto" w:fill="8DB3E2"/>
            <w:vAlign w:val="center"/>
          </w:tcPr>
          <w:p w14:paraId="6677BD55">
            <w:pPr>
              <w:spacing w:line="400" w:lineRule="exact"/>
              <w:jc w:val="center"/>
              <w:rPr>
                <w:rFonts w:ascii="宋体" w:hAnsi="宋体" w:cs="宋体"/>
                <w:b/>
                <w:bCs/>
                <w:sz w:val="24"/>
                <w:szCs w:val="24"/>
              </w:rPr>
            </w:pPr>
            <w:r>
              <w:rPr>
                <w:rFonts w:hint="eastAsia" w:ascii="宋体" w:hAnsi="宋体" w:cs="宋体"/>
                <w:b/>
                <w:bCs/>
                <w:sz w:val="24"/>
                <w:szCs w:val="24"/>
              </w:rPr>
              <w:t>备注</w:t>
            </w:r>
          </w:p>
        </w:tc>
      </w:tr>
      <w:tr w14:paraId="4925A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pct"/>
            <w:tcBorders>
              <w:top w:val="single" w:color="auto" w:sz="4" w:space="0"/>
              <w:left w:val="single" w:color="auto" w:sz="4" w:space="0"/>
              <w:bottom w:val="single" w:color="auto" w:sz="4" w:space="0"/>
              <w:right w:val="single" w:color="auto" w:sz="4" w:space="0"/>
            </w:tcBorders>
          </w:tcPr>
          <w:p w14:paraId="395B0E5E">
            <w:pPr>
              <w:spacing w:line="400" w:lineRule="exact"/>
              <w:rPr>
                <w:rFonts w:ascii="宋体" w:hAnsi="宋体" w:cs="宋体"/>
                <w:sz w:val="24"/>
                <w:szCs w:val="24"/>
              </w:rPr>
            </w:pPr>
          </w:p>
        </w:tc>
        <w:tc>
          <w:tcPr>
            <w:tcW w:w="508" w:type="pct"/>
            <w:tcBorders>
              <w:top w:val="single" w:color="auto" w:sz="4" w:space="0"/>
              <w:left w:val="single" w:color="auto" w:sz="4" w:space="0"/>
              <w:bottom w:val="single" w:color="auto" w:sz="4" w:space="0"/>
              <w:right w:val="single" w:color="auto" w:sz="4" w:space="0"/>
            </w:tcBorders>
          </w:tcPr>
          <w:p w14:paraId="1E8E159B">
            <w:pPr>
              <w:spacing w:line="400" w:lineRule="exact"/>
              <w:rPr>
                <w:rFonts w:ascii="宋体" w:hAnsi="宋体" w:cs="宋体"/>
                <w:sz w:val="24"/>
                <w:szCs w:val="24"/>
              </w:rPr>
            </w:pPr>
          </w:p>
        </w:tc>
        <w:tc>
          <w:tcPr>
            <w:tcW w:w="965" w:type="pct"/>
            <w:tcBorders>
              <w:top w:val="single" w:color="auto" w:sz="4" w:space="0"/>
              <w:left w:val="single" w:color="auto" w:sz="4" w:space="0"/>
              <w:bottom w:val="single" w:color="auto" w:sz="4" w:space="0"/>
              <w:right w:val="single" w:color="auto" w:sz="4" w:space="0"/>
            </w:tcBorders>
          </w:tcPr>
          <w:p w14:paraId="0F596677">
            <w:pPr>
              <w:spacing w:line="400" w:lineRule="exact"/>
              <w:rPr>
                <w:rFonts w:ascii="宋体" w:hAnsi="宋体" w:cs="宋体"/>
                <w:sz w:val="24"/>
                <w:szCs w:val="24"/>
              </w:rPr>
            </w:pPr>
          </w:p>
        </w:tc>
        <w:tc>
          <w:tcPr>
            <w:tcW w:w="797" w:type="pct"/>
            <w:tcBorders>
              <w:top w:val="single" w:color="auto" w:sz="4" w:space="0"/>
              <w:left w:val="single" w:color="auto" w:sz="4" w:space="0"/>
              <w:bottom w:val="single" w:color="auto" w:sz="4" w:space="0"/>
              <w:right w:val="single" w:color="auto" w:sz="4" w:space="0"/>
            </w:tcBorders>
          </w:tcPr>
          <w:p w14:paraId="62A22E7C">
            <w:pPr>
              <w:spacing w:line="400" w:lineRule="exact"/>
              <w:rPr>
                <w:rFonts w:ascii="宋体" w:hAnsi="宋体" w:cs="宋体"/>
                <w:sz w:val="24"/>
                <w:szCs w:val="24"/>
              </w:rPr>
            </w:pPr>
          </w:p>
        </w:tc>
        <w:tc>
          <w:tcPr>
            <w:tcW w:w="1106" w:type="pct"/>
            <w:tcBorders>
              <w:top w:val="single" w:color="auto" w:sz="4" w:space="0"/>
              <w:left w:val="single" w:color="auto" w:sz="4" w:space="0"/>
              <w:bottom w:val="single" w:color="auto" w:sz="4" w:space="0"/>
              <w:right w:val="single" w:color="auto" w:sz="4" w:space="0"/>
            </w:tcBorders>
          </w:tcPr>
          <w:p w14:paraId="4C2DA9E3">
            <w:pPr>
              <w:spacing w:line="400" w:lineRule="exact"/>
              <w:rPr>
                <w:rFonts w:ascii="宋体" w:hAnsi="宋体" w:cs="宋体"/>
                <w:sz w:val="24"/>
                <w:szCs w:val="24"/>
              </w:rPr>
            </w:pPr>
          </w:p>
        </w:tc>
        <w:tc>
          <w:tcPr>
            <w:tcW w:w="755" w:type="pct"/>
            <w:tcBorders>
              <w:top w:val="single" w:color="auto" w:sz="4" w:space="0"/>
              <w:left w:val="single" w:color="auto" w:sz="4" w:space="0"/>
              <w:bottom w:val="single" w:color="auto" w:sz="4" w:space="0"/>
              <w:right w:val="single" w:color="auto" w:sz="4" w:space="0"/>
            </w:tcBorders>
          </w:tcPr>
          <w:p w14:paraId="095B2CE5">
            <w:pPr>
              <w:spacing w:line="400" w:lineRule="exact"/>
              <w:rPr>
                <w:rFonts w:ascii="宋体" w:hAnsi="宋体" w:cs="宋体"/>
                <w:sz w:val="24"/>
                <w:szCs w:val="24"/>
              </w:rPr>
            </w:pPr>
          </w:p>
        </w:tc>
      </w:tr>
      <w:tr w14:paraId="02C0E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pct"/>
            <w:tcBorders>
              <w:top w:val="single" w:color="auto" w:sz="4" w:space="0"/>
              <w:left w:val="single" w:color="auto" w:sz="4" w:space="0"/>
              <w:bottom w:val="single" w:color="auto" w:sz="4" w:space="0"/>
              <w:right w:val="single" w:color="auto" w:sz="4" w:space="0"/>
            </w:tcBorders>
          </w:tcPr>
          <w:p w14:paraId="26F09A55">
            <w:pPr>
              <w:spacing w:line="400" w:lineRule="exact"/>
              <w:rPr>
                <w:rFonts w:ascii="宋体" w:hAnsi="宋体" w:cs="宋体"/>
                <w:sz w:val="24"/>
                <w:szCs w:val="24"/>
              </w:rPr>
            </w:pPr>
          </w:p>
        </w:tc>
        <w:tc>
          <w:tcPr>
            <w:tcW w:w="508" w:type="pct"/>
            <w:tcBorders>
              <w:top w:val="single" w:color="auto" w:sz="4" w:space="0"/>
              <w:left w:val="single" w:color="auto" w:sz="4" w:space="0"/>
              <w:bottom w:val="single" w:color="auto" w:sz="4" w:space="0"/>
              <w:right w:val="single" w:color="auto" w:sz="4" w:space="0"/>
            </w:tcBorders>
          </w:tcPr>
          <w:p w14:paraId="4DD9EDF7">
            <w:pPr>
              <w:spacing w:line="400" w:lineRule="exact"/>
              <w:rPr>
                <w:rFonts w:ascii="宋体" w:hAnsi="宋体" w:cs="宋体"/>
                <w:sz w:val="24"/>
                <w:szCs w:val="24"/>
              </w:rPr>
            </w:pPr>
          </w:p>
        </w:tc>
        <w:tc>
          <w:tcPr>
            <w:tcW w:w="965" w:type="pct"/>
            <w:tcBorders>
              <w:top w:val="single" w:color="auto" w:sz="4" w:space="0"/>
              <w:left w:val="single" w:color="auto" w:sz="4" w:space="0"/>
              <w:bottom w:val="single" w:color="auto" w:sz="4" w:space="0"/>
              <w:right w:val="single" w:color="auto" w:sz="4" w:space="0"/>
            </w:tcBorders>
          </w:tcPr>
          <w:p w14:paraId="3F765B79">
            <w:pPr>
              <w:spacing w:line="400" w:lineRule="exact"/>
              <w:rPr>
                <w:rFonts w:ascii="宋体" w:hAnsi="宋体" w:cs="宋体"/>
                <w:sz w:val="24"/>
                <w:szCs w:val="24"/>
              </w:rPr>
            </w:pPr>
          </w:p>
        </w:tc>
        <w:tc>
          <w:tcPr>
            <w:tcW w:w="797" w:type="pct"/>
            <w:tcBorders>
              <w:top w:val="single" w:color="auto" w:sz="4" w:space="0"/>
              <w:left w:val="single" w:color="auto" w:sz="4" w:space="0"/>
              <w:bottom w:val="single" w:color="auto" w:sz="4" w:space="0"/>
              <w:right w:val="single" w:color="auto" w:sz="4" w:space="0"/>
            </w:tcBorders>
          </w:tcPr>
          <w:p w14:paraId="5275BDF7">
            <w:pPr>
              <w:spacing w:line="400" w:lineRule="exact"/>
              <w:rPr>
                <w:rFonts w:ascii="宋体" w:hAnsi="宋体" w:cs="宋体"/>
                <w:sz w:val="24"/>
                <w:szCs w:val="24"/>
              </w:rPr>
            </w:pPr>
          </w:p>
        </w:tc>
        <w:tc>
          <w:tcPr>
            <w:tcW w:w="1106" w:type="pct"/>
            <w:tcBorders>
              <w:top w:val="single" w:color="auto" w:sz="4" w:space="0"/>
              <w:left w:val="single" w:color="auto" w:sz="4" w:space="0"/>
              <w:bottom w:val="single" w:color="auto" w:sz="4" w:space="0"/>
              <w:right w:val="single" w:color="auto" w:sz="4" w:space="0"/>
            </w:tcBorders>
          </w:tcPr>
          <w:p w14:paraId="25519C8E">
            <w:pPr>
              <w:spacing w:line="400" w:lineRule="exact"/>
              <w:rPr>
                <w:rFonts w:ascii="宋体" w:hAnsi="宋体" w:cs="宋体"/>
                <w:sz w:val="24"/>
                <w:szCs w:val="24"/>
              </w:rPr>
            </w:pPr>
          </w:p>
        </w:tc>
        <w:tc>
          <w:tcPr>
            <w:tcW w:w="755" w:type="pct"/>
            <w:tcBorders>
              <w:top w:val="single" w:color="auto" w:sz="4" w:space="0"/>
              <w:left w:val="single" w:color="auto" w:sz="4" w:space="0"/>
              <w:bottom w:val="single" w:color="auto" w:sz="4" w:space="0"/>
              <w:right w:val="single" w:color="auto" w:sz="4" w:space="0"/>
            </w:tcBorders>
          </w:tcPr>
          <w:p w14:paraId="1D47BB77">
            <w:pPr>
              <w:spacing w:line="400" w:lineRule="exact"/>
              <w:rPr>
                <w:rFonts w:ascii="宋体" w:hAnsi="宋体" w:cs="宋体"/>
                <w:sz w:val="24"/>
                <w:szCs w:val="24"/>
              </w:rPr>
            </w:pPr>
          </w:p>
        </w:tc>
      </w:tr>
      <w:tr w14:paraId="73C17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pct"/>
            <w:tcBorders>
              <w:top w:val="single" w:color="auto" w:sz="4" w:space="0"/>
              <w:left w:val="single" w:color="auto" w:sz="4" w:space="0"/>
              <w:bottom w:val="single" w:color="auto" w:sz="4" w:space="0"/>
              <w:right w:val="single" w:color="auto" w:sz="4" w:space="0"/>
            </w:tcBorders>
          </w:tcPr>
          <w:p w14:paraId="03FBF566">
            <w:pPr>
              <w:spacing w:line="400" w:lineRule="exact"/>
              <w:rPr>
                <w:rFonts w:ascii="宋体" w:hAnsi="宋体" w:cs="宋体"/>
                <w:sz w:val="24"/>
                <w:szCs w:val="24"/>
              </w:rPr>
            </w:pPr>
          </w:p>
        </w:tc>
        <w:tc>
          <w:tcPr>
            <w:tcW w:w="508" w:type="pct"/>
            <w:tcBorders>
              <w:top w:val="single" w:color="auto" w:sz="4" w:space="0"/>
              <w:left w:val="single" w:color="auto" w:sz="4" w:space="0"/>
              <w:bottom w:val="single" w:color="auto" w:sz="4" w:space="0"/>
              <w:right w:val="single" w:color="auto" w:sz="4" w:space="0"/>
            </w:tcBorders>
          </w:tcPr>
          <w:p w14:paraId="4387E932">
            <w:pPr>
              <w:spacing w:line="400" w:lineRule="exact"/>
              <w:rPr>
                <w:rFonts w:ascii="宋体" w:hAnsi="宋体" w:cs="宋体"/>
                <w:sz w:val="24"/>
                <w:szCs w:val="24"/>
              </w:rPr>
            </w:pPr>
          </w:p>
        </w:tc>
        <w:tc>
          <w:tcPr>
            <w:tcW w:w="965" w:type="pct"/>
            <w:tcBorders>
              <w:top w:val="single" w:color="auto" w:sz="4" w:space="0"/>
              <w:left w:val="single" w:color="auto" w:sz="4" w:space="0"/>
              <w:bottom w:val="single" w:color="auto" w:sz="4" w:space="0"/>
              <w:right w:val="single" w:color="auto" w:sz="4" w:space="0"/>
            </w:tcBorders>
          </w:tcPr>
          <w:p w14:paraId="37A54924">
            <w:pPr>
              <w:spacing w:line="400" w:lineRule="exact"/>
              <w:rPr>
                <w:rFonts w:ascii="宋体" w:hAnsi="宋体" w:cs="宋体"/>
                <w:sz w:val="24"/>
                <w:szCs w:val="24"/>
              </w:rPr>
            </w:pPr>
          </w:p>
        </w:tc>
        <w:tc>
          <w:tcPr>
            <w:tcW w:w="797" w:type="pct"/>
            <w:tcBorders>
              <w:top w:val="single" w:color="auto" w:sz="4" w:space="0"/>
              <w:left w:val="single" w:color="auto" w:sz="4" w:space="0"/>
              <w:bottom w:val="single" w:color="auto" w:sz="4" w:space="0"/>
              <w:right w:val="single" w:color="auto" w:sz="4" w:space="0"/>
            </w:tcBorders>
          </w:tcPr>
          <w:p w14:paraId="2B819A0F">
            <w:pPr>
              <w:spacing w:line="400" w:lineRule="exact"/>
              <w:rPr>
                <w:rFonts w:ascii="宋体" w:hAnsi="宋体" w:cs="宋体"/>
                <w:sz w:val="24"/>
                <w:szCs w:val="24"/>
              </w:rPr>
            </w:pPr>
          </w:p>
        </w:tc>
        <w:tc>
          <w:tcPr>
            <w:tcW w:w="1106" w:type="pct"/>
            <w:tcBorders>
              <w:top w:val="single" w:color="auto" w:sz="4" w:space="0"/>
              <w:left w:val="single" w:color="auto" w:sz="4" w:space="0"/>
              <w:bottom w:val="single" w:color="auto" w:sz="4" w:space="0"/>
              <w:right w:val="single" w:color="auto" w:sz="4" w:space="0"/>
            </w:tcBorders>
          </w:tcPr>
          <w:p w14:paraId="67EC7B1B">
            <w:pPr>
              <w:spacing w:line="400" w:lineRule="exact"/>
              <w:rPr>
                <w:rFonts w:ascii="宋体" w:hAnsi="宋体" w:cs="宋体"/>
                <w:sz w:val="24"/>
                <w:szCs w:val="24"/>
              </w:rPr>
            </w:pPr>
          </w:p>
        </w:tc>
        <w:tc>
          <w:tcPr>
            <w:tcW w:w="755" w:type="pct"/>
            <w:tcBorders>
              <w:top w:val="single" w:color="auto" w:sz="4" w:space="0"/>
              <w:left w:val="single" w:color="auto" w:sz="4" w:space="0"/>
              <w:bottom w:val="single" w:color="auto" w:sz="4" w:space="0"/>
              <w:right w:val="single" w:color="auto" w:sz="4" w:space="0"/>
            </w:tcBorders>
          </w:tcPr>
          <w:p w14:paraId="2A56E3ED">
            <w:pPr>
              <w:spacing w:line="400" w:lineRule="exact"/>
              <w:rPr>
                <w:rFonts w:ascii="宋体" w:hAnsi="宋体" w:cs="宋体"/>
                <w:sz w:val="24"/>
                <w:szCs w:val="24"/>
              </w:rPr>
            </w:pPr>
          </w:p>
        </w:tc>
      </w:tr>
    </w:tbl>
    <w:p w14:paraId="29426D20">
      <w:pPr>
        <w:spacing w:line="400" w:lineRule="exact"/>
        <w:rPr>
          <w:rFonts w:ascii="宋体" w:hAnsi="宋体" w:cs="宋体"/>
          <w:szCs w:val="21"/>
        </w:rPr>
      </w:pPr>
    </w:p>
    <w:p w14:paraId="440DA0F1">
      <w:pPr>
        <w:spacing w:line="400" w:lineRule="exact"/>
        <w:ind w:firstLine="422"/>
        <w:rPr>
          <w:rFonts w:ascii="宋体" w:hAnsi="宋体" w:cs="宋体"/>
          <w:b/>
          <w:szCs w:val="21"/>
        </w:rPr>
      </w:pPr>
      <w:r>
        <w:rPr>
          <w:rFonts w:hint="eastAsia" w:ascii="宋体" w:hAnsi="宋体" w:cs="宋体"/>
          <w:b/>
          <w:szCs w:val="21"/>
        </w:rPr>
        <w:t>注：1.在填写时，如本表格不适合投标单位的实际情况，可根据本表格式自行制表填写。</w:t>
      </w:r>
    </w:p>
    <w:p w14:paraId="532AEF93">
      <w:pPr>
        <w:spacing w:line="400" w:lineRule="exact"/>
        <w:ind w:firstLine="3255"/>
        <w:rPr>
          <w:rFonts w:ascii="宋体" w:hAnsi="宋体" w:cs="宋体"/>
        </w:rPr>
      </w:pPr>
    </w:p>
    <w:p w14:paraId="7AE45FC1">
      <w:pPr>
        <w:spacing w:line="400" w:lineRule="exact"/>
        <w:ind w:firstLine="3255"/>
        <w:rPr>
          <w:rFonts w:ascii="宋体" w:hAnsi="宋体" w:cs="宋体"/>
        </w:rPr>
      </w:pPr>
    </w:p>
    <w:p w14:paraId="35927DEA">
      <w:pPr>
        <w:spacing w:line="400" w:lineRule="exact"/>
        <w:ind w:firstLine="1890"/>
        <w:rPr>
          <w:rFonts w:ascii="宋体" w:hAnsi="宋体" w:cs="宋体"/>
          <w:szCs w:val="21"/>
          <w:u w:val="single"/>
        </w:rPr>
      </w:pPr>
      <w:r>
        <w:rPr>
          <w:rFonts w:hint="eastAsia" w:ascii="宋体" w:hAnsi="宋体" w:cs="宋体"/>
          <w:szCs w:val="21"/>
        </w:rPr>
        <w:t>投标人[公章(CA签章)，自然人签字或个人CA签章]：</w:t>
      </w:r>
      <w:r>
        <w:rPr>
          <w:rFonts w:hint="eastAsia" w:ascii="宋体" w:hAnsi="宋体" w:cs="宋体"/>
          <w:szCs w:val="21"/>
          <w:u w:val="single"/>
        </w:rPr>
        <w:t xml:space="preserve">                           </w:t>
      </w:r>
    </w:p>
    <w:p w14:paraId="212A459E">
      <w:pPr>
        <w:spacing w:line="340" w:lineRule="exact"/>
        <w:ind w:firstLine="1680"/>
        <w:rPr>
          <w:rFonts w:ascii="宋体" w:hAnsi="宋体" w:cs="宋体"/>
          <w:szCs w:val="21"/>
          <w:u w:val="single"/>
        </w:rPr>
      </w:pPr>
    </w:p>
    <w:p w14:paraId="00C6D5D3">
      <w:pPr>
        <w:spacing w:line="340" w:lineRule="exact"/>
        <w:ind w:firstLine="1890"/>
        <w:rPr>
          <w:rFonts w:ascii="宋体" w:hAnsi="宋体" w:cs="宋体"/>
          <w:b/>
          <w:sz w:val="32"/>
          <w:szCs w:val="32"/>
        </w:rPr>
      </w:pPr>
      <w:r>
        <w:rPr>
          <w:rFonts w:hint="eastAsia" w:ascii="宋体" w:hAnsi="宋体" w:cs="宋体"/>
        </w:rPr>
        <w:t>日          期：</w:t>
      </w:r>
      <w:r>
        <w:rPr>
          <w:rFonts w:hint="eastAsia" w:ascii="宋体" w:hAnsi="宋体" w:cs="宋体"/>
          <w:szCs w:val="21"/>
          <w:u w:val="single"/>
        </w:rPr>
        <w:t xml:space="preserve">                </w:t>
      </w:r>
    </w:p>
    <w:p w14:paraId="6F8849B6">
      <w:pPr>
        <w:spacing w:line="340" w:lineRule="exact"/>
        <w:ind w:firstLine="643" w:firstLineChars="200"/>
        <w:rPr>
          <w:rFonts w:ascii="宋体" w:hAnsi="宋体" w:cs="宋体"/>
          <w:b/>
          <w:sz w:val="32"/>
          <w:szCs w:val="32"/>
        </w:rPr>
      </w:pPr>
    </w:p>
    <w:p w14:paraId="5BCB6493">
      <w:pPr>
        <w:spacing w:line="340" w:lineRule="exact"/>
        <w:ind w:firstLine="482" w:firstLineChars="200"/>
        <w:rPr>
          <w:rFonts w:ascii="宋体" w:hAnsi="宋体" w:cs="宋体"/>
          <w:b/>
          <w:sz w:val="32"/>
          <w:szCs w:val="32"/>
        </w:rPr>
      </w:pPr>
      <w:r>
        <w:rPr>
          <w:rFonts w:hint="eastAsia" w:ascii="宋体" w:hAnsi="宋体" w:cs="宋体"/>
          <w:b/>
          <w:sz w:val="24"/>
        </w:rPr>
        <w:t>注：1.当本表由多页构成时，需逐页加盖投标人公章（CA签章）（属自然人的须逐页签字或个人CA签章）。</w:t>
      </w:r>
    </w:p>
    <w:p w14:paraId="47E72507">
      <w:pPr>
        <w:outlineLvl w:val="9"/>
        <w:rPr>
          <w:rFonts w:hint="eastAsia" w:ascii="宋体" w:hAnsi="宋体" w:eastAsia="宋体" w:cs="宋体"/>
          <w:b/>
          <w:bCs/>
          <w:sz w:val="28"/>
          <w:szCs w:val="28"/>
        </w:rPr>
      </w:pPr>
    </w:p>
    <w:p w14:paraId="49A2025D">
      <w:pPr>
        <w:outlineLvl w:val="9"/>
        <w:rPr>
          <w:rFonts w:hint="eastAsia" w:ascii="宋体" w:hAnsi="宋体" w:eastAsia="宋体" w:cs="宋体"/>
          <w:b/>
          <w:bCs/>
          <w:sz w:val="28"/>
          <w:szCs w:val="28"/>
        </w:rPr>
      </w:pPr>
    </w:p>
    <w:p w14:paraId="1720D1F1">
      <w:pPr>
        <w:outlineLvl w:val="2"/>
        <w:rPr>
          <w:rFonts w:hint="eastAsia" w:ascii="宋体" w:hAnsi="宋体" w:eastAsia="宋体" w:cs="宋体"/>
          <w:b/>
          <w:bCs/>
          <w:sz w:val="28"/>
          <w:szCs w:val="28"/>
        </w:rPr>
      </w:pPr>
      <w:r>
        <w:rPr>
          <w:rFonts w:hint="eastAsia" w:ascii="宋体" w:hAnsi="宋体" w:eastAsia="宋体" w:cs="宋体"/>
          <w:b/>
          <w:bCs/>
          <w:sz w:val="28"/>
          <w:szCs w:val="28"/>
          <w:lang w:val="en-US" w:eastAsia="zh-CN"/>
        </w:rPr>
        <w:t>7</w:t>
      </w:r>
      <w:r>
        <w:rPr>
          <w:rFonts w:hint="eastAsia" w:ascii="宋体" w:hAnsi="宋体" w:eastAsia="宋体" w:cs="宋体"/>
          <w:b/>
          <w:bCs/>
          <w:sz w:val="28"/>
          <w:szCs w:val="28"/>
        </w:rPr>
        <w:t>.投标人业绩的相关证明材料（业绩要求详见评标办法）（如有，请提供）；</w:t>
      </w:r>
    </w:p>
    <w:p w14:paraId="5F54160C">
      <w:pPr>
        <w:outlineLvl w:val="9"/>
        <w:rPr>
          <w:rFonts w:hint="eastAsia" w:ascii="宋体" w:hAnsi="宋体" w:eastAsia="宋体" w:cs="宋体"/>
          <w:b/>
          <w:bCs/>
          <w:sz w:val="28"/>
          <w:szCs w:val="28"/>
        </w:rPr>
      </w:pPr>
    </w:p>
    <w:p w14:paraId="15C01116">
      <w:pPr>
        <w:outlineLvl w:val="9"/>
        <w:rPr>
          <w:rFonts w:hint="eastAsia" w:ascii="宋体" w:hAnsi="宋体" w:eastAsia="宋体" w:cs="宋体"/>
          <w:b/>
          <w:bCs/>
          <w:sz w:val="28"/>
          <w:szCs w:val="28"/>
        </w:rPr>
      </w:pPr>
    </w:p>
    <w:p w14:paraId="06788AB3">
      <w:p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br w:type="page"/>
      </w:r>
    </w:p>
    <w:p w14:paraId="4E137375">
      <w:pPr>
        <w:outlineLvl w:val="2"/>
        <w:rPr>
          <w:rFonts w:hint="eastAsia" w:ascii="宋体" w:hAnsi="宋体" w:eastAsia="宋体" w:cs="宋体"/>
          <w:b/>
          <w:bCs/>
          <w:sz w:val="28"/>
          <w:szCs w:val="28"/>
          <w:lang w:eastAsia="zh-CN"/>
        </w:rPr>
      </w:pPr>
      <w:r>
        <w:rPr>
          <w:rFonts w:hint="eastAsia" w:ascii="宋体" w:hAnsi="宋体" w:eastAsia="宋体" w:cs="宋体"/>
          <w:b/>
          <w:bCs/>
          <w:sz w:val="28"/>
          <w:szCs w:val="28"/>
          <w:lang w:val="en-US" w:eastAsia="zh-CN"/>
        </w:rPr>
        <w:t>8</w:t>
      </w:r>
      <w:r>
        <w:rPr>
          <w:rFonts w:hint="eastAsia" w:ascii="宋体" w:hAnsi="宋体" w:eastAsia="宋体" w:cs="宋体"/>
          <w:b/>
          <w:bCs/>
          <w:sz w:val="28"/>
          <w:szCs w:val="28"/>
        </w:rPr>
        <w:t>.中小微企业或监狱企业或残疾人福利性单位的证明材料（</w:t>
      </w:r>
      <w:r>
        <w:rPr>
          <w:rFonts w:hint="eastAsia" w:ascii="宋体" w:hAnsi="宋体" w:cs="宋体"/>
          <w:b/>
          <w:bCs/>
          <w:sz w:val="28"/>
          <w:szCs w:val="28"/>
          <w:lang w:val="en-US" w:eastAsia="zh-CN"/>
        </w:rPr>
        <w:t>如有，请</w:t>
      </w:r>
      <w:r>
        <w:rPr>
          <w:rFonts w:hint="eastAsia" w:ascii="宋体" w:hAnsi="宋体" w:eastAsia="宋体" w:cs="宋体"/>
          <w:b/>
          <w:bCs/>
          <w:sz w:val="28"/>
          <w:szCs w:val="28"/>
        </w:rPr>
        <w:t>提供）</w:t>
      </w:r>
      <w:r>
        <w:rPr>
          <w:rFonts w:hint="eastAsia" w:ascii="宋体" w:hAnsi="宋体" w:cs="宋体"/>
          <w:b/>
          <w:bCs/>
          <w:sz w:val="28"/>
          <w:szCs w:val="28"/>
          <w:lang w:val="en-US" w:eastAsia="zh-CN"/>
        </w:rPr>
        <w:t>；</w:t>
      </w:r>
    </w:p>
    <w:p w14:paraId="6A13F44B">
      <w:pPr>
        <w:tabs>
          <w:tab w:val="left" w:pos="1305"/>
        </w:tabs>
        <w:spacing w:line="400" w:lineRule="exact"/>
        <w:rPr>
          <w:rFonts w:hint="eastAsia" w:ascii="宋体" w:hAnsi="宋体" w:eastAsia="宋体" w:cs="宋体"/>
          <w:b/>
          <w:szCs w:val="21"/>
        </w:rPr>
      </w:pPr>
      <w:r>
        <w:rPr>
          <w:rFonts w:hint="eastAsia" w:ascii="宋体" w:hAnsi="宋体" w:eastAsia="宋体" w:cs="宋体"/>
          <w:b/>
          <w:szCs w:val="21"/>
        </w:rPr>
        <w:t>【①如属于中小型、微型企业（中小微型企业划分标准按照《国家统计局关于印发〈统计上大中小微型企业划分办法〔2017〕〉的通知》（国统字〔2017〕213 号）执行，具体划分标准见第四章评标办法中附表《统计上大中小微型企业划分标准》），以提供的《中小企业声明函》（见附件）为准；②如属于监狱企业的，应当提供由省级以上监狱管理局、戒毒管理局（含新疆生产建设兵团）出具的属于监狱企业的证明文件复印件；③如符合条件的残疾人福利性单位在参加政府采购活动时，应当提供《残疾人福利性单位声明函》（格式见附件），并对声明的真实性负责】</w:t>
      </w:r>
      <w:r>
        <w:rPr>
          <w:rFonts w:hint="eastAsia" w:ascii="宋体" w:hAnsi="宋体" w:eastAsia="宋体" w:cs="宋体"/>
          <w:b/>
          <w:szCs w:val="21"/>
          <w:lang w:eastAsia="zh-CN"/>
        </w:rPr>
        <w:t>。</w:t>
      </w:r>
    </w:p>
    <w:p w14:paraId="59518061">
      <w:pPr>
        <w:pStyle w:val="20"/>
        <w:rPr>
          <w:rFonts w:hint="eastAsia" w:hAnsi="宋体" w:cs="宋体"/>
          <w:b/>
          <w:bCs/>
          <w:color w:val="000000" w:themeColor="text1"/>
          <w:sz w:val="32"/>
          <w:szCs w:val="32"/>
          <w14:textFill>
            <w14:solidFill>
              <w14:schemeClr w14:val="tx1"/>
            </w14:solidFill>
          </w14:textFill>
        </w:rPr>
      </w:pPr>
    </w:p>
    <w:p w14:paraId="4467847B">
      <w:pPr>
        <w:pStyle w:val="20"/>
        <w:rPr>
          <w:rFonts w:hint="eastAsia" w:hAnsi="宋体" w:cs="宋体"/>
          <w:b/>
          <w:bCs/>
          <w:color w:val="000000" w:themeColor="text1"/>
          <w:sz w:val="32"/>
          <w:szCs w:val="32"/>
          <w14:textFill>
            <w14:solidFill>
              <w14:schemeClr w14:val="tx1"/>
            </w14:solidFill>
          </w14:textFill>
        </w:rPr>
      </w:pPr>
      <w:r>
        <w:rPr>
          <w:rFonts w:hint="eastAsia" w:hAnsi="宋体" w:cs="宋体"/>
          <w:b/>
          <w:bCs/>
          <w:color w:val="000000" w:themeColor="text1"/>
          <w:sz w:val="32"/>
          <w:szCs w:val="32"/>
          <w14:textFill>
            <w14:solidFill>
              <w14:schemeClr w14:val="tx1"/>
            </w14:solidFill>
          </w14:textFill>
        </w:rPr>
        <w:t>附件：</w:t>
      </w:r>
    </w:p>
    <w:p w14:paraId="4D1542DD">
      <w:pPr>
        <w:pStyle w:val="20"/>
        <w:spacing w:line="440" w:lineRule="exact"/>
        <w:jc w:val="center"/>
        <w:rPr>
          <w:rFonts w:hint="eastAsia" w:hAnsi="宋体" w:cs="宋体"/>
          <w:b/>
          <w:bCs/>
          <w:color w:val="000000" w:themeColor="text1"/>
          <w:sz w:val="28"/>
          <w:szCs w:val="28"/>
          <w14:textFill>
            <w14:solidFill>
              <w14:schemeClr w14:val="tx1"/>
            </w14:solidFill>
          </w14:textFill>
        </w:rPr>
      </w:pPr>
      <w:r>
        <w:rPr>
          <w:rFonts w:hint="eastAsia" w:hAnsi="宋体" w:cs="宋体"/>
          <w:b/>
          <w:bCs/>
          <w:color w:val="000000" w:themeColor="text1"/>
          <w:sz w:val="28"/>
          <w:szCs w:val="28"/>
          <w14:textFill>
            <w14:solidFill>
              <w14:schemeClr w14:val="tx1"/>
            </w14:solidFill>
          </w14:textFill>
        </w:rPr>
        <w:t>中小企业声明函（服务）</w:t>
      </w:r>
    </w:p>
    <w:p w14:paraId="1C55778C">
      <w:pPr>
        <w:spacing w:line="440" w:lineRule="exact"/>
        <w:ind w:firstLine="444" w:firstLineChars="200"/>
        <w:rPr>
          <w:rFonts w:hint="eastAsia" w:ascii="宋体" w:hAnsi="宋体" w:cs="宋体"/>
          <w:color w:val="000000"/>
          <w:spacing w:val="6"/>
          <w:szCs w:val="21"/>
        </w:rPr>
      </w:pPr>
      <w:r>
        <w:rPr>
          <w:rFonts w:hint="eastAsia" w:ascii="宋体" w:hAnsi="宋体" w:cs="宋体"/>
          <w:color w:val="000000"/>
          <w:spacing w:val="6"/>
          <w:szCs w:val="21"/>
        </w:rPr>
        <w:t>本公司（联合体）郑重声明，根据《政府采购促进中小企业发展管理办法》（财库﹝2020﹞46 号）的规定，本公司（联合体）参加（</w:t>
      </w:r>
      <w:r>
        <w:rPr>
          <w:rFonts w:hint="eastAsia" w:ascii="宋体" w:hAnsi="宋体" w:cs="宋体"/>
          <w:color w:val="000000"/>
          <w:spacing w:val="6"/>
          <w:szCs w:val="21"/>
          <w:u w:val="single"/>
        </w:rPr>
        <w:t>单位名称</w:t>
      </w:r>
      <w:r>
        <w:rPr>
          <w:rFonts w:hint="eastAsia" w:ascii="宋体" w:hAnsi="宋体" w:cs="宋体"/>
          <w:color w:val="000000"/>
          <w:spacing w:val="6"/>
          <w:szCs w:val="21"/>
        </w:rPr>
        <w:t>）的（</w:t>
      </w:r>
      <w:r>
        <w:rPr>
          <w:rFonts w:hint="eastAsia" w:ascii="宋体" w:hAnsi="宋体" w:cs="宋体"/>
          <w:color w:val="000000"/>
          <w:spacing w:val="6"/>
          <w:szCs w:val="21"/>
          <w:u w:val="single"/>
        </w:rPr>
        <w:t>项目名称</w:t>
      </w:r>
      <w:r>
        <w:rPr>
          <w:rFonts w:hint="eastAsia" w:ascii="宋体" w:hAnsi="宋体" w:cs="宋体"/>
          <w:color w:val="000000"/>
          <w:spacing w:val="6"/>
          <w:szCs w:val="21"/>
        </w:rPr>
        <w:t>）采购活动，工程的施工单位全部为符合政策要求的中小企业（或者：服务全部由符合政策要求的中小企业承接）。相关企业（含联合体中的中小企业、签订分包意向协议的中小企业）的具体情况如下：</w:t>
      </w:r>
    </w:p>
    <w:p w14:paraId="1314E54A">
      <w:pPr>
        <w:spacing w:line="440" w:lineRule="exact"/>
        <w:ind w:firstLine="444" w:firstLineChars="200"/>
        <w:rPr>
          <w:rFonts w:ascii="宋体" w:hAnsi="Courier New"/>
          <w:color w:val="000000"/>
          <w:kern w:val="0"/>
          <w:szCs w:val="21"/>
        </w:rPr>
      </w:pPr>
      <w:r>
        <w:rPr>
          <w:rFonts w:hint="eastAsia" w:ascii="宋体" w:hAnsi="宋体" w:cs="宋体"/>
          <w:color w:val="000000"/>
          <w:spacing w:val="6"/>
          <w:szCs w:val="21"/>
        </w:rPr>
        <w:t>1.</w:t>
      </w:r>
      <w:r>
        <w:rPr>
          <w:rFonts w:hint="eastAsia" w:ascii="宋体" w:hAnsi="宋体" w:cs="宋体"/>
          <w:color w:val="000000"/>
          <w:spacing w:val="6"/>
          <w:szCs w:val="21"/>
          <w:u w:val="single"/>
        </w:rPr>
        <w:t xml:space="preserve">（标的名称） </w:t>
      </w:r>
      <w:r>
        <w:rPr>
          <w:rFonts w:hint="eastAsia" w:ascii="宋体" w:hAnsi="宋体" w:cs="宋体"/>
          <w:color w:val="000000"/>
          <w:spacing w:val="6"/>
          <w:szCs w:val="21"/>
        </w:rPr>
        <w:t>，属于</w:t>
      </w:r>
      <w:r>
        <w:rPr>
          <w:rFonts w:hint="eastAsia" w:ascii="宋体" w:hAnsi="宋体" w:cs="宋体"/>
          <w:color w:val="000000"/>
          <w:spacing w:val="6"/>
          <w:szCs w:val="21"/>
          <w:u w:val="single"/>
        </w:rPr>
        <w:t>（采购文件中明确的所属行业）</w:t>
      </w:r>
      <w:r>
        <w:rPr>
          <w:rFonts w:hint="eastAsia" w:ascii="宋体" w:hAnsi="宋体" w:cs="宋体"/>
          <w:color w:val="000000"/>
          <w:spacing w:val="6"/>
          <w:szCs w:val="21"/>
        </w:rPr>
        <w:t>； 承建（承接）企业为（</w:t>
      </w:r>
      <w:r>
        <w:rPr>
          <w:rFonts w:hint="eastAsia" w:ascii="宋体" w:hAnsi="宋体" w:cs="宋体"/>
          <w:color w:val="000000"/>
          <w:spacing w:val="6"/>
          <w:szCs w:val="21"/>
          <w:u w:val="single"/>
        </w:rPr>
        <w:t>企业名称</w:t>
      </w:r>
      <w:r>
        <w:rPr>
          <w:rFonts w:hint="eastAsia" w:ascii="宋体" w:hAnsi="宋体" w:cs="宋体"/>
          <w:color w:val="000000"/>
          <w:spacing w:val="6"/>
          <w:szCs w:val="21"/>
        </w:rPr>
        <w:t>），从业人员</w:t>
      </w:r>
      <w:r>
        <w:rPr>
          <w:rFonts w:hint="eastAsia" w:ascii="宋体" w:hAnsi="宋体" w:cs="宋体"/>
          <w:color w:val="000000"/>
          <w:spacing w:val="6"/>
          <w:szCs w:val="21"/>
          <w:u w:val="single"/>
        </w:rPr>
        <w:t xml:space="preserve">   </w:t>
      </w:r>
      <w:r>
        <w:rPr>
          <w:rFonts w:hint="eastAsia" w:ascii="宋体" w:hAnsi="宋体" w:cs="宋体"/>
          <w:color w:val="000000"/>
          <w:spacing w:val="6"/>
          <w:szCs w:val="21"/>
        </w:rPr>
        <w:t>人，营业 收入为</w:t>
      </w:r>
      <w:r>
        <w:rPr>
          <w:rFonts w:hint="eastAsia" w:ascii="宋体" w:hAnsi="宋体" w:cs="宋体"/>
          <w:color w:val="000000"/>
          <w:spacing w:val="6"/>
          <w:szCs w:val="21"/>
          <w:u w:val="single"/>
        </w:rPr>
        <w:t xml:space="preserve">  </w:t>
      </w:r>
      <w:r>
        <w:rPr>
          <w:rFonts w:hint="eastAsia" w:ascii="宋体" w:hAnsi="宋体" w:cs="宋体"/>
          <w:color w:val="000000"/>
          <w:spacing w:val="6"/>
          <w:szCs w:val="21"/>
        </w:rPr>
        <w:t>万元，资产总额为</w:t>
      </w:r>
      <w:r>
        <w:rPr>
          <w:rFonts w:hint="eastAsia" w:ascii="宋体" w:hAnsi="宋体" w:cs="宋体"/>
          <w:color w:val="000000"/>
          <w:spacing w:val="6"/>
          <w:szCs w:val="21"/>
          <w:u w:val="single"/>
        </w:rPr>
        <w:t xml:space="preserve">  </w:t>
      </w:r>
      <w:r>
        <w:rPr>
          <w:rFonts w:hint="eastAsia" w:ascii="宋体" w:hAnsi="宋体" w:cs="宋体"/>
          <w:color w:val="000000"/>
          <w:spacing w:val="6"/>
          <w:szCs w:val="21"/>
        </w:rPr>
        <w:t>万元，属于（</w:t>
      </w:r>
      <w:r>
        <w:rPr>
          <w:rFonts w:hint="eastAsia" w:ascii="宋体" w:hAnsi="宋体" w:cs="宋体"/>
          <w:color w:val="000000"/>
          <w:spacing w:val="6"/>
          <w:szCs w:val="21"/>
          <w:u w:val="single"/>
        </w:rPr>
        <w:t>中型企业、 小型企业、微型企业</w:t>
      </w:r>
      <w:r>
        <w:rPr>
          <w:rFonts w:hint="eastAsia" w:ascii="宋体" w:hAnsi="宋体" w:cs="宋体"/>
          <w:color w:val="000000"/>
          <w:spacing w:val="6"/>
          <w:szCs w:val="21"/>
        </w:rPr>
        <w:t>）</w:t>
      </w:r>
    </w:p>
    <w:p w14:paraId="5C03CCB7">
      <w:pPr>
        <w:widowControl/>
        <w:ind w:firstLine="444" w:firstLineChars="200"/>
        <w:jc w:val="left"/>
        <w:rPr>
          <w:rFonts w:hint="eastAsia" w:ascii="宋体" w:hAnsi="宋体" w:cs="宋体"/>
          <w:color w:val="000000"/>
          <w:spacing w:val="6"/>
          <w:szCs w:val="21"/>
        </w:rPr>
      </w:pPr>
      <w:r>
        <w:rPr>
          <w:rFonts w:hint="eastAsia" w:ascii="宋体" w:hAnsi="宋体" w:cs="宋体"/>
          <w:color w:val="000000"/>
          <w:spacing w:val="6"/>
          <w:szCs w:val="21"/>
        </w:rPr>
        <w:t>2.</w:t>
      </w:r>
      <w:r>
        <w:rPr>
          <w:rFonts w:hint="eastAsia" w:ascii="宋体" w:hAnsi="宋体" w:cs="宋体"/>
          <w:color w:val="000000"/>
          <w:spacing w:val="6"/>
          <w:szCs w:val="21"/>
          <w:u w:val="single"/>
        </w:rPr>
        <w:t xml:space="preserve">（标的名称） </w:t>
      </w:r>
      <w:r>
        <w:rPr>
          <w:rFonts w:hint="eastAsia" w:ascii="宋体" w:hAnsi="宋体" w:cs="宋体"/>
          <w:color w:val="000000"/>
          <w:spacing w:val="6"/>
          <w:szCs w:val="21"/>
        </w:rPr>
        <w:t>，属于</w:t>
      </w:r>
      <w:r>
        <w:rPr>
          <w:rFonts w:hint="eastAsia" w:ascii="宋体" w:hAnsi="宋体" w:cs="宋体"/>
          <w:color w:val="000000"/>
          <w:spacing w:val="6"/>
          <w:szCs w:val="21"/>
          <w:u w:val="single"/>
        </w:rPr>
        <w:t>（采购文件中明确的所属行业）</w:t>
      </w:r>
      <w:r>
        <w:rPr>
          <w:rFonts w:hint="eastAsia" w:ascii="宋体" w:hAnsi="宋体" w:cs="宋体"/>
          <w:color w:val="000000"/>
          <w:spacing w:val="6"/>
          <w:szCs w:val="21"/>
        </w:rPr>
        <w:t>；承建（承接）企业为（</w:t>
      </w:r>
      <w:r>
        <w:rPr>
          <w:rFonts w:hint="eastAsia" w:ascii="宋体" w:hAnsi="宋体" w:cs="宋体"/>
          <w:color w:val="000000"/>
          <w:spacing w:val="6"/>
          <w:szCs w:val="21"/>
          <w:u w:val="single"/>
        </w:rPr>
        <w:t>企业名称</w:t>
      </w:r>
      <w:r>
        <w:rPr>
          <w:rFonts w:hint="eastAsia" w:ascii="宋体" w:hAnsi="宋体" w:cs="宋体"/>
          <w:color w:val="000000"/>
          <w:spacing w:val="6"/>
          <w:szCs w:val="21"/>
        </w:rPr>
        <w:t>），从业人员</w:t>
      </w:r>
      <w:r>
        <w:rPr>
          <w:rFonts w:hint="eastAsia" w:ascii="宋体" w:hAnsi="宋体" w:cs="宋体"/>
          <w:color w:val="000000"/>
          <w:spacing w:val="6"/>
          <w:szCs w:val="21"/>
          <w:u w:val="single"/>
        </w:rPr>
        <w:t xml:space="preserve">  </w:t>
      </w:r>
      <w:r>
        <w:rPr>
          <w:rFonts w:hint="eastAsia" w:ascii="宋体" w:hAnsi="宋体" w:cs="宋体"/>
          <w:color w:val="000000"/>
          <w:spacing w:val="6"/>
          <w:szCs w:val="21"/>
        </w:rPr>
        <w:t>人，营业收入为</w:t>
      </w:r>
      <w:r>
        <w:rPr>
          <w:rFonts w:hint="eastAsia" w:ascii="宋体" w:hAnsi="宋体" w:cs="宋体"/>
          <w:color w:val="000000"/>
          <w:spacing w:val="6"/>
          <w:szCs w:val="21"/>
          <w:u w:val="single"/>
        </w:rPr>
        <w:t xml:space="preserve">  </w:t>
      </w:r>
      <w:r>
        <w:rPr>
          <w:rFonts w:hint="eastAsia" w:ascii="宋体" w:hAnsi="宋体" w:cs="宋体"/>
          <w:color w:val="000000"/>
          <w:spacing w:val="6"/>
          <w:szCs w:val="21"/>
        </w:rPr>
        <w:t>万元，资产总额为</w:t>
      </w:r>
      <w:r>
        <w:rPr>
          <w:rFonts w:hint="eastAsia" w:ascii="宋体" w:hAnsi="宋体" w:cs="宋体"/>
          <w:color w:val="000000"/>
          <w:spacing w:val="6"/>
          <w:szCs w:val="21"/>
          <w:u w:val="single"/>
        </w:rPr>
        <w:t xml:space="preserve">  </w:t>
      </w:r>
      <w:r>
        <w:rPr>
          <w:rFonts w:hint="eastAsia" w:ascii="宋体" w:hAnsi="宋体" w:cs="宋体"/>
          <w:color w:val="000000"/>
          <w:spacing w:val="6"/>
          <w:szCs w:val="21"/>
        </w:rPr>
        <w:t>万元，属于（</w:t>
      </w:r>
      <w:r>
        <w:rPr>
          <w:rFonts w:hint="eastAsia" w:ascii="宋体" w:hAnsi="宋体" w:cs="宋体"/>
          <w:color w:val="000000"/>
          <w:spacing w:val="6"/>
          <w:szCs w:val="21"/>
          <w:u w:val="single"/>
        </w:rPr>
        <w:t>中型企业、 小型企业、微型企业</w:t>
      </w:r>
      <w:r>
        <w:rPr>
          <w:rFonts w:hint="eastAsia" w:ascii="宋体" w:hAnsi="宋体" w:cs="宋体"/>
          <w:color w:val="000000"/>
          <w:spacing w:val="6"/>
          <w:szCs w:val="21"/>
        </w:rPr>
        <w:t>）；</w:t>
      </w:r>
    </w:p>
    <w:p w14:paraId="0F7B5178">
      <w:pPr>
        <w:rPr>
          <w:rFonts w:ascii="Calibri" w:hAnsi="Calibri"/>
          <w:color w:val="000000"/>
          <w:szCs w:val="21"/>
        </w:rPr>
      </w:pPr>
      <w:r>
        <w:rPr>
          <w:rFonts w:hint="eastAsia" w:ascii="Calibri" w:hAnsi="Calibri"/>
          <w:color w:val="000000"/>
          <w:szCs w:val="21"/>
        </w:rPr>
        <w:t>……</w:t>
      </w:r>
    </w:p>
    <w:p w14:paraId="25EC5EC9">
      <w:pPr>
        <w:widowControl/>
        <w:jc w:val="left"/>
        <w:rPr>
          <w:rFonts w:hint="eastAsia" w:ascii="宋体" w:hAnsi="宋体" w:cs="宋体"/>
          <w:color w:val="000000"/>
          <w:spacing w:val="6"/>
          <w:szCs w:val="21"/>
        </w:rPr>
      </w:pPr>
      <w:r>
        <w:rPr>
          <w:rFonts w:hint="eastAsia" w:ascii="宋体" w:hAnsi="宋体" w:cs="宋体"/>
          <w:color w:val="000000"/>
          <w:spacing w:val="6"/>
          <w:szCs w:val="21"/>
        </w:rPr>
        <w:t>以上企业，不属于大企业的分支机构，不存在控股股东为大企业的情形，也不存在与大企业的负责人为同一人的情形。</w:t>
      </w:r>
    </w:p>
    <w:p w14:paraId="34F44000">
      <w:pPr>
        <w:widowControl/>
        <w:jc w:val="left"/>
        <w:rPr>
          <w:rFonts w:hint="eastAsia" w:ascii="宋体" w:hAnsi="宋体" w:cs="宋体"/>
          <w:color w:val="000000"/>
          <w:spacing w:val="6"/>
          <w:szCs w:val="21"/>
        </w:rPr>
      </w:pPr>
      <w:r>
        <w:rPr>
          <w:rFonts w:hint="eastAsia" w:ascii="宋体" w:hAnsi="宋体" w:cs="宋体"/>
          <w:color w:val="000000"/>
          <w:spacing w:val="6"/>
          <w:szCs w:val="21"/>
        </w:rPr>
        <w:t xml:space="preserve">本企业对上述声明内容的真实性负责。如有虚假，将依法承担相应责任。 </w:t>
      </w:r>
    </w:p>
    <w:p w14:paraId="616876CE">
      <w:pPr>
        <w:pStyle w:val="295"/>
        <w:spacing w:after="40" w:line="400" w:lineRule="exact"/>
        <w:ind w:firstLine="640"/>
        <w:jc w:val="both"/>
        <w:rPr>
          <w:rFonts w:hint="eastAsia"/>
          <w:color w:val="000000"/>
          <w:sz w:val="24"/>
          <w:szCs w:val="24"/>
        </w:rPr>
      </w:pPr>
    </w:p>
    <w:p w14:paraId="1122A9C9">
      <w:pPr>
        <w:pStyle w:val="295"/>
        <w:spacing w:line="400" w:lineRule="exact"/>
        <w:ind w:firstLine="640"/>
        <w:jc w:val="both"/>
        <w:rPr>
          <w:rFonts w:hint="eastAsia"/>
          <w:color w:val="000000"/>
          <w:spacing w:val="6"/>
          <w:kern w:val="2"/>
          <w:sz w:val="21"/>
          <w:szCs w:val="21"/>
        </w:rPr>
      </w:pPr>
      <w:r>
        <w:rPr>
          <w:rFonts w:hint="eastAsia"/>
          <w:color w:val="000000"/>
          <w:sz w:val="24"/>
          <w:szCs w:val="24"/>
        </w:rPr>
        <w:t xml:space="preserve">                          </w:t>
      </w:r>
      <w:r>
        <w:rPr>
          <w:rFonts w:hint="eastAsia"/>
          <w:color w:val="000000"/>
          <w:spacing w:val="6"/>
          <w:kern w:val="2"/>
          <w:sz w:val="21"/>
          <w:szCs w:val="21"/>
        </w:rPr>
        <w:t xml:space="preserve">                  企业名称[盖公章（CA签章）]：</w:t>
      </w:r>
    </w:p>
    <w:p w14:paraId="5C51DCCB">
      <w:pPr>
        <w:pStyle w:val="295"/>
        <w:spacing w:line="400" w:lineRule="exact"/>
        <w:ind w:firstLine="640"/>
        <w:jc w:val="both"/>
        <w:rPr>
          <w:rFonts w:hint="eastAsia"/>
          <w:color w:val="000000"/>
          <w:spacing w:val="6"/>
          <w:kern w:val="2"/>
          <w:sz w:val="21"/>
          <w:szCs w:val="21"/>
        </w:rPr>
      </w:pPr>
      <w:r>
        <w:rPr>
          <w:rFonts w:hint="eastAsia"/>
          <w:color w:val="000000"/>
          <w:spacing w:val="6"/>
          <w:kern w:val="2"/>
          <w:sz w:val="21"/>
          <w:szCs w:val="21"/>
        </w:rPr>
        <w:t xml:space="preserve">                                               日期：</w:t>
      </w:r>
    </w:p>
    <w:p w14:paraId="3E99ADC5">
      <w:pPr>
        <w:pStyle w:val="295"/>
        <w:spacing w:line="400" w:lineRule="exact"/>
        <w:ind w:firstLine="640"/>
        <w:jc w:val="both"/>
        <w:rPr>
          <w:rFonts w:hint="eastAsia"/>
          <w:color w:val="000000"/>
          <w:spacing w:val="6"/>
          <w:kern w:val="2"/>
          <w:sz w:val="21"/>
          <w:szCs w:val="21"/>
        </w:rPr>
      </w:pPr>
    </w:p>
    <w:p w14:paraId="23D49422">
      <w:pPr>
        <w:pStyle w:val="16"/>
        <w:rPr>
          <w:rFonts w:hint="eastAsia" w:ascii="宋体" w:hAnsi="宋体" w:cs="宋体"/>
          <w:color w:val="000000" w:themeColor="text1"/>
          <w:sz w:val="24"/>
          <w14:textFill>
            <w14:solidFill>
              <w14:schemeClr w14:val="tx1"/>
            </w14:solidFill>
          </w14:textFill>
        </w:rPr>
      </w:pPr>
      <w:r>
        <w:rPr>
          <w:rFonts w:hint="eastAsia" w:ascii="宋体" w:hAnsi="宋体" w:cs="宋体"/>
          <w:b/>
          <w:bCs/>
          <w:color w:val="000000"/>
          <w:kern w:val="0"/>
          <w:szCs w:val="21"/>
        </w:rPr>
        <w:t>注：从业人员、营业收入、资产总额填报上一年度数据，无上一年度数据的新成立企业可不填报。</w:t>
      </w:r>
    </w:p>
    <w:p w14:paraId="17BD2500">
      <w:pPr>
        <w:rPr>
          <w:rFonts w:hint="eastAsia" w:ascii="宋体" w:hAnsi="宋体" w:cs="宋体"/>
          <w:b/>
          <w:bCs/>
          <w:sz w:val="32"/>
          <w:szCs w:val="32"/>
        </w:rPr>
      </w:pPr>
      <w:r>
        <w:rPr>
          <w:rFonts w:hint="eastAsia" w:ascii="宋体" w:hAnsi="宋体" w:cs="宋体"/>
          <w:b/>
          <w:bCs/>
          <w:sz w:val="32"/>
          <w:szCs w:val="32"/>
        </w:rPr>
        <w:br w:type="page"/>
      </w:r>
    </w:p>
    <w:p w14:paraId="23808070">
      <w:pPr>
        <w:jc w:val="center"/>
        <w:rPr>
          <w:rFonts w:ascii="宋体" w:hAnsi="宋体" w:cs="宋体"/>
          <w:b/>
          <w:bCs/>
          <w:sz w:val="32"/>
          <w:szCs w:val="32"/>
        </w:rPr>
      </w:pPr>
      <w:r>
        <w:rPr>
          <w:rFonts w:hint="eastAsia" w:ascii="宋体" w:hAnsi="宋体" w:cs="宋体"/>
          <w:b/>
          <w:bCs/>
          <w:sz w:val="32"/>
          <w:szCs w:val="32"/>
        </w:rPr>
        <w:t>残疾人福利性单位声明函</w:t>
      </w:r>
    </w:p>
    <w:p w14:paraId="46FA138A">
      <w:pPr>
        <w:spacing w:line="588" w:lineRule="exact"/>
        <w:ind w:firstLine="444"/>
        <w:rPr>
          <w:rFonts w:ascii="宋体" w:hAnsi="宋体" w:cs="宋体"/>
          <w:spacing w:val="6"/>
          <w:szCs w:val="21"/>
        </w:rPr>
      </w:pPr>
      <w:r>
        <w:rPr>
          <w:rFonts w:hint="eastAsia" w:ascii="宋体" w:hAnsi="宋体" w:cs="宋体"/>
          <w:spacing w:val="6"/>
          <w:szCs w:val="21"/>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提供的货物或服务（由本单位承担工程/提供服务），或者提供其他残疾人福利性单位提供的货物或服务（不包括使用非残疾人福利性单位注册商标的货物）。</w:t>
      </w:r>
    </w:p>
    <w:p w14:paraId="7EF2ADCD">
      <w:pPr>
        <w:spacing w:line="588" w:lineRule="exact"/>
        <w:ind w:firstLine="444"/>
        <w:rPr>
          <w:rFonts w:ascii="宋体" w:hAnsi="宋体" w:cs="宋体"/>
          <w:spacing w:val="6"/>
          <w:szCs w:val="21"/>
        </w:rPr>
      </w:pPr>
      <w:r>
        <w:rPr>
          <w:rFonts w:hint="eastAsia" w:ascii="宋体" w:hAnsi="宋体" w:cs="宋体"/>
          <w:spacing w:val="6"/>
          <w:szCs w:val="21"/>
        </w:rPr>
        <w:t>本单位对上述声明的真实性负责。如有虚假，将依法承担相应责任。</w:t>
      </w:r>
    </w:p>
    <w:p w14:paraId="27A6F3B7">
      <w:pPr>
        <w:spacing w:line="588" w:lineRule="exact"/>
        <w:rPr>
          <w:rFonts w:ascii="宋体" w:hAnsi="宋体" w:cs="宋体"/>
          <w:spacing w:val="6"/>
          <w:szCs w:val="21"/>
        </w:rPr>
      </w:pPr>
    </w:p>
    <w:p w14:paraId="48011A36">
      <w:pPr>
        <w:spacing w:line="588" w:lineRule="exact"/>
        <w:ind w:firstLine="4218" w:firstLineChars="1900"/>
        <w:rPr>
          <w:rFonts w:ascii="宋体" w:hAnsi="宋体" w:cs="宋体"/>
          <w:spacing w:val="6"/>
          <w:szCs w:val="21"/>
        </w:rPr>
      </w:pPr>
      <w:r>
        <w:rPr>
          <w:rFonts w:hint="eastAsia" w:ascii="宋体" w:hAnsi="宋体" w:cs="宋体"/>
          <w:spacing w:val="6"/>
          <w:szCs w:val="21"/>
        </w:rPr>
        <w:t>单 位 名 称[盖公章(CA签章)]：</w:t>
      </w:r>
    </w:p>
    <w:p w14:paraId="10D6D128">
      <w:pPr>
        <w:pStyle w:val="216"/>
      </w:pPr>
      <w:r>
        <w:rPr>
          <w:rFonts w:hint="eastAsia" w:ascii="宋体" w:hAnsi="宋体" w:cs="宋体"/>
          <w:spacing w:val="6"/>
          <w:sz w:val="21"/>
          <w:szCs w:val="21"/>
        </w:rPr>
        <w:t xml:space="preserve">                                         日  期：</w:t>
      </w:r>
    </w:p>
    <w:p w14:paraId="0A95749F">
      <w:pPr>
        <w:rPr>
          <w:rFonts w:hint="eastAsia" w:ascii="宋体" w:hAnsi="宋体" w:cs="宋体"/>
          <w:color w:val="000000" w:themeColor="text1"/>
          <w14:textFill>
            <w14:solidFill>
              <w14:schemeClr w14:val="tx1"/>
            </w14:solidFill>
          </w14:textFill>
        </w:rPr>
      </w:pPr>
    </w:p>
    <w:p w14:paraId="527D3757">
      <w:pPr>
        <w:rPr>
          <w:rFonts w:hint="eastAsia" w:ascii="宋体" w:hAnsi="宋体" w:cs="宋体"/>
          <w:color w:val="000000" w:themeColor="text1"/>
          <w14:textFill>
            <w14:solidFill>
              <w14:schemeClr w14:val="tx1"/>
            </w14:solidFill>
          </w14:textFill>
        </w:rPr>
      </w:pPr>
    </w:p>
    <w:p w14:paraId="3B7A02A2">
      <w:pPr>
        <w:outlineLvl w:val="2"/>
        <w:rPr>
          <w:rFonts w:hint="eastAsia" w:ascii="宋体" w:hAnsi="宋体" w:eastAsia="宋体" w:cs="宋体"/>
          <w:b/>
          <w:bCs/>
          <w:sz w:val="28"/>
          <w:szCs w:val="28"/>
        </w:rPr>
      </w:pPr>
      <w:r>
        <w:rPr>
          <w:rFonts w:hint="eastAsia" w:ascii="宋体" w:hAnsi="宋体" w:cs="宋体"/>
          <w:b/>
          <w:bCs/>
          <w:sz w:val="28"/>
          <w:szCs w:val="28"/>
          <w:lang w:val="en-US" w:eastAsia="zh-CN"/>
        </w:rPr>
        <w:t>9.</w:t>
      </w:r>
      <w:r>
        <w:rPr>
          <w:rFonts w:hint="eastAsia" w:ascii="宋体" w:hAnsi="宋体" w:eastAsia="宋体" w:cs="宋体"/>
          <w:b/>
          <w:bCs/>
          <w:sz w:val="28"/>
          <w:szCs w:val="28"/>
        </w:rPr>
        <w:t>投标人可结合本项目的评标办法视自身情况自行提交相关证明材料（如有，请提供）。</w:t>
      </w:r>
    </w:p>
    <w:p w14:paraId="05407AC6">
      <w:pPr>
        <w:outlineLvl w:val="9"/>
        <w:rPr>
          <w:rFonts w:hint="eastAsia"/>
          <w:b/>
          <w:bCs/>
          <w:sz w:val="32"/>
          <w:szCs w:val="32"/>
        </w:rPr>
      </w:pPr>
      <w:r>
        <w:rPr>
          <w:rFonts w:hint="eastAsia"/>
          <w:b/>
          <w:bCs/>
          <w:sz w:val="32"/>
          <w:szCs w:val="32"/>
        </w:rPr>
        <w:br w:type="page"/>
      </w:r>
    </w:p>
    <w:p w14:paraId="00C3597E">
      <w:pPr>
        <w:pStyle w:val="220"/>
        <w:spacing w:line="390" w:lineRule="exact"/>
        <w:contextualSpacing/>
        <w:rPr>
          <w:rFonts w:hAnsi="宋体" w:cs="宋体"/>
          <w:b/>
          <w:bCs/>
          <w:sz w:val="32"/>
          <w:szCs w:val="32"/>
        </w:rPr>
      </w:pPr>
      <w:r>
        <w:rPr>
          <w:rFonts w:hint="eastAsia"/>
          <w:b/>
          <w:bCs/>
          <w:sz w:val="32"/>
          <w:szCs w:val="32"/>
        </w:rPr>
        <w:t>附表</w:t>
      </w:r>
    </w:p>
    <w:p w14:paraId="49016C10">
      <w:pPr>
        <w:widowControl/>
        <w:spacing w:before="156" w:after="156" w:line="400" w:lineRule="exact"/>
        <w:jc w:val="center"/>
        <w:rPr>
          <w:rFonts w:ascii="宋体" w:hAnsi="宋体" w:cs="宋体"/>
          <w:b/>
          <w:bCs/>
          <w:sz w:val="30"/>
          <w:szCs w:val="30"/>
        </w:rPr>
      </w:pPr>
      <w:bookmarkStart w:id="361" w:name="_Toc28361_WPSOffice_Level2"/>
      <w:r>
        <w:rPr>
          <w:rFonts w:hint="eastAsia" w:ascii="宋体" w:hAnsi="宋体" w:cs="宋体"/>
          <w:b/>
          <w:bCs/>
          <w:sz w:val="30"/>
          <w:szCs w:val="30"/>
        </w:rPr>
        <w:t>统计上大中小微型企业划分标准</w:t>
      </w:r>
      <w:bookmarkEnd w:id="361"/>
    </w:p>
    <w:tbl>
      <w:tblPr>
        <w:tblStyle w:val="3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2"/>
        <w:gridCol w:w="1355"/>
        <w:gridCol w:w="703"/>
        <w:gridCol w:w="1114"/>
        <w:gridCol w:w="1686"/>
        <w:gridCol w:w="1413"/>
        <w:gridCol w:w="981"/>
      </w:tblGrid>
      <w:tr w14:paraId="3403E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blHeader/>
        </w:trPr>
        <w:tc>
          <w:tcPr>
            <w:tcW w:w="1120" w:type="pct"/>
            <w:tcBorders>
              <w:top w:val="single" w:color="auto" w:sz="4" w:space="0"/>
              <w:left w:val="single" w:color="auto" w:sz="4" w:space="0"/>
              <w:bottom w:val="single" w:color="auto" w:sz="4" w:space="0"/>
              <w:right w:val="single" w:color="auto" w:sz="4" w:space="0"/>
            </w:tcBorders>
            <w:shd w:val="clear" w:color="auto" w:fill="8DB3E2"/>
            <w:vAlign w:val="center"/>
          </w:tcPr>
          <w:p w14:paraId="367ABC3A">
            <w:pPr>
              <w:widowControl/>
              <w:spacing w:line="240" w:lineRule="exact"/>
              <w:jc w:val="center"/>
              <w:rPr>
                <w:rFonts w:ascii="宋体" w:hAnsi="宋体" w:cs="宋体"/>
                <w:b/>
                <w:bCs/>
                <w:sz w:val="18"/>
                <w:szCs w:val="21"/>
              </w:rPr>
            </w:pPr>
            <w:r>
              <w:rPr>
                <w:rFonts w:hint="eastAsia" w:ascii="宋体" w:hAnsi="宋体" w:cs="宋体"/>
                <w:b/>
                <w:bCs/>
                <w:sz w:val="18"/>
                <w:szCs w:val="21"/>
              </w:rPr>
              <w:t>行业名称</w:t>
            </w:r>
          </w:p>
        </w:tc>
        <w:tc>
          <w:tcPr>
            <w:tcW w:w="725" w:type="pct"/>
            <w:tcBorders>
              <w:top w:val="single" w:color="auto" w:sz="4" w:space="0"/>
              <w:left w:val="single" w:color="auto" w:sz="4" w:space="0"/>
              <w:bottom w:val="single" w:color="auto" w:sz="4" w:space="0"/>
              <w:right w:val="single" w:color="auto" w:sz="4" w:space="0"/>
            </w:tcBorders>
            <w:shd w:val="clear" w:color="auto" w:fill="8DB3E2"/>
            <w:vAlign w:val="center"/>
          </w:tcPr>
          <w:p w14:paraId="2F8765B1">
            <w:pPr>
              <w:widowControl/>
              <w:jc w:val="center"/>
              <w:rPr>
                <w:rFonts w:ascii="宋体" w:hAnsi="宋体" w:cs="宋体"/>
                <w:b/>
                <w:bCs/>
                <w:sz w:val="18"/>
                <w:szCs w:val="18"/>
              </w:rPr>
            </w:pPr>
            <w:r>
              <w:rPr>
                <w:rFonts w:hint="eastAsia" w:ascii="宋体" w:hAnsi="宋体" w:cs="宋体"/>
                <w:b/>
                <w:bCs/>
                <w:sz w:val="18"/>
                <w:szCs w:val="18"/>
              </w:rPr>
              <w:t>指标名称</w:t>
            </w:r>
          </w:p>
        </w:tc>
        <w:tc>
          <w:tcPr>
            <w:tcW w:w="376" w:type="pct"/>
            <w:tcBorders>
              <w:top w:val="single" w:color="auto" w:sz="4" w:space="0"/>
              <w:left w:val="single" w:color="auto" w:sz="4" w:space="0"/>
              <w:bottom w:val="single" w:color="auto" w:sz="4" w:space="0"/>
              <w:right w:val="single" w:color="auto" w:sz="4" w:space="0"/>
            </w:tcBorders>
            <w:shd w:val="clear" w:color="auto" w:fill="8DB3E2"/>
            <w:vAlign w:val="center"/>
          </w:tcPr>
          <w:p w14:paraId="291B0382">
            <w:pPr>
              <w:widowControl/>
              <w:jc w:val="center"/>
              <w:rPr>
                <w:rFonts w:ascii="宋体" w:hAnsi="宋体" w:cs="宋体"/>
                <w:b/>
                <w:bCs/>
                <w:sz w:val="18"/>
                <w:szCs w:val="18"/>
              </w:rPr>
            </w:pPr>
            <w:r>
              <w:rPr>
                <w:rFonts w:hint="eastAsia" w:ascii="宋体" w:hAnsi="宋体" w:cs="宋体"/>
                <w:b/>
                <w:bCs/>
                <w:sz w:val="18"/>
                <w:szCs w:val="18"/>
              </w:rPr>
              <w:t>计量</w:t>
            </w:r>
          </w:p>
          <w:p w14:paraId="2512F709">
            <w:pPr>
              <w:widowControl/>
              <w:jc w:val="center"/>
              <w:rPr>
                <w:rFonts w:ascii="宋体" w:hAnsi="宋体" w:cs="宋体"/>
                <w:b/>
                <w:bCs/>
                <w:sz w:val="18"/>
                <w:szCs w:val="18"/>
              </w:rPr>
            </w:pPr>
            <w:r>
              <w:rPr>
                <w:rFonts w:hint="eastAsia" w:ascii="宋体" w:hAnsi="宋体" w:cs="宋体"/>
                <w:b/>
                <w:bCs/>
                <w:sz w:val="18"/>
                <w:szCs w:val="18"/>
              </w:rPr>
              <w:t>单位</w:t>
            </w:r>
          </w:p>
        </w:tc>
        <w:tc>
          <w:tcPr>
            <w:tcW w:w="596" w:type="pct"/>
            <w:tcBorders>
              <w:top w:val="single" w:color="auto" w:sz="4" w:space="0"/>
              <w:left w:val="single" w:color="auto" w:sz="4" w:space="0"/>
              <w:bottom w:val="single" w:color="auto" w:sz="4" w:space="0"/>
              <w:right w:val="single" w:color="auto" w:sz="4" w:space="0"/>
            </w:tcBorders>
            <w:shd w:val="clear" w:color="auto" w:fill="8DB3E2"/>
            <w:vAlign w:val="center"/>
          </w:tcPr>
          <w:p w14:paraId="14E8D74D">
            <w:pPr>
              <w:widowControl/>
              <w:jc w:val="center"/>
              <w:rPr>
                <w:rFonts w:ascii="宋体" w:hAnsi="宋体" w:cs="宋体"/>
                <w:b/>
                <w:bCs/>
                <w:sz w:val="18"/>
                <w:szCs w:val="18"/>
              </w:rPr>
            </w:pPr>
            <w:r>
              <w:rPr>
                <w:rFonts w:hint="eastAsia" w:ascii="宋体" w:hAnsi="宋体" w:cs="宋体"/>
                <w:b/>
                <w:bCs/>
                <w:sz w:val="18"/>
                <w:szCs w:val="18"/>
              </w:rPr>
              <w:t>大型</w:t>
            </w:r>
          </w:p>
        </w:tc>
        <w:tc>
          <w:tcPr>
            <w:tcW w:w="902" w:type="pct"/>
            <w:tcBorders>
              <w:top w:val="single" w:color="auto" w:sz="4" w:space="0"/>
              <w:left w:val="single" w:color="auto" w:sz="4" w:space="0"/>
              <w:bottom w:val="single" w:color="auto" w:sz="4" w:space="0"/>
              <w:right w:val="single" w:color="auto" w:sz="4" w:space="0"/>
            </w:tcBorders>
            <w:shd w:val="clear" w:color="auto" w:fill="8DB3E2"/>
            <w:vAlign w:val="center"/>
          </w:tcPr>
          <w:p w14:paraId="6C7A6744">
            <w:pPr>
              <w:widowControl/>
              <w:jc w:val="center"/>
              <w:rPr>
                <w:rFonts w:ascii="宋体" w:hAnsi="宋体" w:cs="宋体"/>
                <w:b/>
                <w:bCs/>
                <w:sz w:val="18"/>
                <w:szCs w:val="18"/>
              </w:rPr>
            </w:pPr>
            <w:r>
              <w:rPr>
                <w:rFonts w:hint="eastAsia" w:ascii="宋体" w:hAnsi="宋体" w:cs="宋体"/>
                <w:b/>
                <w:bCs/>
                <w:sz w:val="18"/>
                <w:szCs w:val="18"/>
              </w:rPr>
              <w:t>中型</w:t>
            </w:r>
          </w:p>
        </w:tc>
        <w:tc>
          <w:tcPr>
            <w:tcW w:w="756" w:type="pct"/>
            <w:tcBorders>
              <w:top w:val="single" w:color="auto" w:sz="4" w:space="0"/>
              <w:left w:val="single" w:color="auto" w:sz="4" w:space="0"/>
              <w:bottom w:val="single" w:color="auto" w:sz="4" w:space="0"/>
              <w:right w:val="single" w:color="auto" w:sz="4" w:space="0"/>
            </w:tcBorders>
            <w:shd w:val="clear" w:color="auto" w:fill="8DB3E2"/>
            <w:vAlign w:val="center"/>
          </w:tcPr>
          <w:p w14:paraId="681524DF">
            <w:pPr>
              <w:widowControl/>
              <w:jc w:val="center"/>
              <w:rPr>
                <w:rFonts w:ascii="宋体" w:hAnsi="宋体" w:cs="宋体"/>
                <w:b/>
                <w:bCs/>
                <w:sz w:val="18"/>
                <w:szCs w:val="18"/>
              </w:rPr>
            </w:pPr>
            <w:r>
              <w:rPr>
                <w:rFonts w:hint="eastAsia" w:ascii="宋体" w:hAnsi="宋体" w:cs="宋体"/>
                <w:b/>
                <w:bCs/>
                <w:sz w:val="18"/>
                <w:szCs w:val="18"/>
              </w:rPr>
              <w:t>小型</w:t>
            </w:r>
          </w:p>
        </w:tc>
        <w:tc>
          <w:tcPr>
            <w:tcW w:w="526" w:type="pct"/>
            <w:tcBorders>
              <w:top w:val="single" w:color="auto" w:sz="4" w:space="0"/>
              <w:left w:val="single" w:color="auto" w:sz="4" w:space="0"/>
              <w:bottom w:val="single" w:color="auto" w:sz="4" w:space="0"/>
              <w:right w:val="single" w:color="auto" w:sz="4" w:space="0"/>
            </w:tcBorders>
            <w:shd w:val="clear" w:color="auto" w:fill="8DB3E2"/>
            <w:vAlign w:val="center"/>
          </w:tcPr>
          <w:p w14:paraId="1523989D">
            <w:pPr>
              <w:widowControl/>
              <w:jc w:val="center"/>
              <w:rPr>
                <w:rFonts w:ascii="宋体" w:hAnsi="宋体" w:cs="宋体"/>
                <w:b/>
                <w:bCs/>
                <w:sz w:val="18"/>
                <w:szCs w:val="18"/>
              </w:rPr>
            </w:pPr>
            <w:r>
              <w:rPr>
                <w:rFonts w:hint="eastAsia" w:ascii="宋体" w:hAnsi="宋体" w:cs="宋体"/>
                <w:b/>
                <w:bCs/>
                <w:sz w:val="18"/>
                <w:szCs w:val="18"/>
              </w:rPr>
              <w:t>微型</w:t>
            </w:r>
          </w:p>
        </w:tc>
      </w:tr>
      <w:tr w14:paraId="26D52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120" w:type="pct"/>
            <w:tcBorders>
              <w:top w:val="single" w:color="auto" w:sz="4" w:space="0"/>
              <w:left w:val="single" w:color="auto" w:sz="4" w:space="0"/>
              <w:bottom w:val="single" w:color="auto" w:sz="4" w:space="0"/>
              <w:right w:val="single" w:color="auto" w:sz="4" w:space="0"/>
            </w:tcBorders>
            <w:vAlign w:val="center"/>
          </w:tcPr>
          <w:p w14:paraId="329F78B3">
            <w:pPr>
              <w:widowControl/>
              <w:spacing w:line="240" w:lineRule="exact"/>
              <w:jc w:val="left"/>
              <w:rPr>
                <w:rFonts w:ascii="宋体" w:hAnsi="宋体" w:cs="宋体"/>
                <w:sz w:val="18"/>
                <w:szCs w:val="18"/>
              </w:rPr>
            </w:pPr>
            <w:r>
              <w:rPr>
                <w:rFonts w:hint="eastAsia" w:ascii="宋体" w:hAnsi="宋体" w:cs="宋体"/>
                <w:sz w:val="18"/>
                <w:szCs w:val="18"/>
              </w:rPr>
              <w:t>农、林、牧、渔业</w:t>
            </w:r>
          </w:p>
        </w:tc>
        <w:tc>
          <w:tcPr>
            <w:tcW w:w="725" w:type="pct"/>
            <w:tcBorders>
              <w:top w:val="single" w:color="auto" w:sz="4" w:space="0"/>
              <w:left w:val="single" w:color="auto" w:sz="4" w:space="0"/>
              <w:bottom w:val="single" w:color="auto" w:sz="4" w:space="0"/>
              <w:right w:val="single" w:color="auto" w:sz="4" w:space="0"/>
            </w:tcBorders>
            <w:vAlign w:val="center"/>
          </w:tcPr>
          <w:p w14:paraId="3B25D55E">
            <w:pPr>
              <w:widowControl/>
              <w:jc w:val="center"/>
              <w:rPr>
                <w:rFonts w:ascii="宋体" w:hAnsi="宋体" w:cs="宋体"/>
                <w:sz w:val="18"/>
                <w:szCs w:val="18"/>
              </w:rPr>
            </w:pPr>
            <w:r>
              <w:rPr>
                <w:rFonts w:hint="eastAsia" w:ascii="宋体" w:hAnsi="宋体" w:cs="宋体"/>
                <w:sz w:val="18"/>
                <w:szCs w:val="18"/>
              </w:rPr>
              <w:t>营业收入(Y)</w:t>
            </w:r>
          </w:p>
        </w:tc>
        <w:tc>
          <w:tcPr>
            <w:tcW w:w="376" w:type="pct"/>
            <w:tcBorders>
              <w:top w:val="single" w:color="auto" w:sz="4" w:space="0"/>
              <w:left w:val="single" w:color="auto" w:sz="4" w:space="0"/>
              <w:bottom w:val="single" w:color="auto" w:sz="4" w:space="0"/>
              <w:right w:val="single" w:color="auto" w:sz="4" w:space="0"/>
            </w:tcBorders>
            <w:vAlign w:val="center"/>
          </w:tcPr>
          <w:p w14:paraId="48352F2A">
            <w:pPr>
              <w:widowControl/>
              <w:jc w:val="center"/>
              <w:rPr>
                <w:rFonts w:ascii="宋体" w:hAnsi="宋体" w:cs="宋体"/>
                <w:sz w:val="18"/>
                <w:szCs w:val="18"/>
              </w:rPr>
            </w:pPr>
            <w:r>
              <w:rPr>
                <w:rFonts w:hint="eastAsia" w:ascii="宋体" w:hAnsi="宋体" w:cs="宋体"/>
                <w:sz w:val="18"/>
                <w:szCs w:val="18"/>
              </w:rPr>
              <w:t>万元</w:t>
            </w:r>
          </w:p>
        </w:tc>
        <w:tc>
          <w:tcPr>
            <w:tcW w:w="596" w:type="pct"/>
            <w:tcBorders>
              <w:top w:val="single" w:color="auto" w:sz="4" w:space="0"/>
              <w:left w:val="single" w:color="auto" w:sz="4" w:space="0"/>
              <w:bottom w:val="single" w:color="auto" w:sz="4" w:space="0"/>
              <w:right w:val="single" w:color="auto" w:sz="4" w:space="0"/>
            </w:tcBorders>
            <w:vAlign w:val="center"/>
          </w:tcPr>
          <w:p w14:paraId="19C1944D">
            <w:pPr>
              <w:widowControl/>
              <w:jc w:val="center"/>
              <w:rPr>
                <w:rFonts w:ascii="宋体" w:hAnsi="宋体" w:cs="宋体"/>
                <w:sz w:val="18"/>
                <w:szCs w:val="18"/>
              </w:rPr>
            </w:pPr>
            <w:r>
              <w:rPr>
                <w:rFonts w:hint="eastAsia" w:ascii="宋体" w:hAnsi="宋体" w:cs="宋体"/>
                <w:sz w:val="18"/>
                <w:szCs w:val="18"/>
              </w:rPr>
              <w:t>Y≥20000</w:t>
            </w:r>
          </w:p>
        </w:tc>
        <w:tc>
          <w:tcPr>
            <w:tcW w:w="902" w:type="pct"/>
            <w:tcBorders>
              <w:top w:val="single" w:color="auto" w:sz="4" w:space="0"/>
              <w:left w:val="single" w:color="auto" w:sz="4" w:space="0"/>
              <w:bottom w:val="single" w:color="auto" w:sz="4" w:space="0"/>
              <w:right w:val="single" w:color="auto" w:sz="4" w:space="0"/>
            </w:tcBorders>
            <w:vAlign w:val="center"/>
          </w:tcPr>
          <w:p w14:paraId="6645F0FA">
            <w:pPr>
              <w:widowControl/>
              <w:jc w:val="center"/>
              <w:rPr>
                <w:rFonts w:ascii="宋体" w:hAnsi="宋体" w:cs="宋体"/>
                <w:sz w:val="18"/>
                <w:szCs w:val="18"/>
              </w:rPr>
            </w:pPr>
            <w:r>
              <w:rPr>
                <w:rFonts w:hint="eastAsia" w:ascii="宋体" w:hAnsi="宋体" w:cs="宋体"/>
                <w:sz w:val="18"/>
                <w:szCs w:val="18"/>
              </w:rPr>
              <w:t>500≤Y＜20000</w:t>
            </w:r>
          </w:p>
        </w:tc>
        <w:tc>
          <w:tcPr>
            <w:tcW w:w="756" w:type="pct"/>
            <w:tcBorders>
              <w:top w:val="single" w:color="auto" w:sz="4" w:space="0"/>
              <w:left w:val="single" w:color="auto" w:sz="4" w:space="0"/>
              <w:bottom w:val="single" w:color="auto" w:sz="4" w:space="0"/>
              <w:right w:val="single" w:color="auto" w:sz="4" w:space="0"/>
            </w:tcBorders>
            <w:vAlign w:val="center"/>
          </w:tcPr>
          <w:p w14:paraId="47B67F6B">
            <w:pPr>
              <w:widowControl/>
              <w:jc w:val="center"/>
              <w:rPr>
                <w:rFonts w:ascii="宋体" w:hAnsi="宋体" w:cs="宋体"/>
                <w:sz w:val="18"/>
                <w:szCs w:val="18"/>
              </w:rPr>
            </w:pPr>
            <w:r>
              <w:rPr>
                <w:rFonts w:hint="eastAsia" w:ascii="宋体" w:hAnsi="宋体" w:cs="宋体"/>
                <w:sz w:val="18"/>
                <w:szCs w:val="18"/>
              </w:rPr>
              <w:t>50≤Y＜500</w:t>
            </w:r>
          </w:p>
        </w:tc>
        <w:tc>
          <w:tcPr>
            <w:tcW w:w="526" w:type="pct"/>
            <w:tcBorders>
              <w:top w:val="single" w:color="auto" w:sz="4" w:space="0"/>
              <w:left w:val="single" w:color="auto" w:sz="4" w:space="0"/>
              <w:bottom w:val="single" w:color="auto" w:sz="4" w:space="0"/>
              <w:right w:val="single" w:color="auto" w:sz="4" w:space="0"/>
            </w:tcBorders>
            <w:vAlign w:val="center"/>
          </w:tcPr>
          <w:p w14:paraId="2A8D3CC5">
            <w:pPr>
              <w:widowControl/>
              <w:jc w:val="center"/>
              <w:rPr>
                <w:rFonts w:ascii="宋体" w:hAnsi="宋体" w:cs="宋体"/>
                <w:sz w:val="18"/>
                <w:szCs w:val="18"/>
              </w:rPr>
            </w:pPr>
            <w:r>
              <w:rPr>
                <w:rFonts w:hint="eastAsia" w:ascii="宋体" w:hAnsi="宋体" w:cs="宋体"/>
                <w:sz w:val="18"/>
                <w:szCs w:val="18"/>
              </w:rPr>
              <w:t>Y＜50</w:t>
            </w:r>
          </w:p>
        </w:tc>
      </w:tr>
      <w:tr w14:paraId="71327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120" w:type="pct"/>
            <w:vMerge w:val="restart"/>
            <w:tcBorders>
              <w:top w:val="single" w:color="auto" w:sz="4" w:space="0"/>
              <w:left w:val="single" w:color="auto" w:sz="4" w:space="0"/>
              <w:bottom w:val="single" w:color="auto" w:sz="4" w:space="0"/>
              <w:right w:val="single" w:color="auto" w:sz="4" w:space="0"/>
            </w:tcBorders>
            <w:vAlign w:val="center"/>
          </w:tcPr>
          <w:p w14:paraId="46F4F9B0">
            <w:pPr>
              <w:widowControl/>
              <w:spacing w:line="240" w:lineRule="exact"/>
              <w:jc w:val="left"/>
              <w:rPr>
                <w:rFonts w:ascii="宋体" w:hAnsi="宋体" w:cs="宋体"/>
                <w:sz w:val="18"/>
                <w:szCs w:val="18"/>
              </w:rPr>
            </w:pPr>
            <w:r>
              <w:rPr>
                <w:rFonts w:hint="eastAsia" w:ascii="宋体" w:hAnsi="宋体" w:cs="宋体"/>
                <w:sz w:val="18"/>
                <w:szCs w:val="18"/>
              </w:rPr>
              <w:t>工业 ※</w:t>
            </w:r>
          </w:p>
        </w:tc>
        <w:tc>
          <w:tcPr>
            <w:tcW w:w="725" w:type="pct"/>
            <w:tcBorders>
              <w:top w:val="single" w:color="auto" w:sz="4" w:space="0"/>
              <w:left w:val="single" w:color="auto" w:sz="4" w:space="0"/>
              <w:bottom w:val="single" w:color="auto" w:sz="4" w:space="0"/>
              <w:right w:val="single" w:color="auto" w:sz="4" w:space="0"/>
            </w:tcBorders>
            <w:vAlign w:val="center"/>
          </w:tcPr>
          <w:p w14:paraId="12B23980">
            <w:pPr>
              <w:widowControl/>
              <w:jc w:val="center"/>
              <w:rPr>
                <w:rFonts w:ascii="宋体" w:hAnsi="宋体" w:cs="宋体"/>
                <w:sz w:val="18"/>
                <w:szCs w:val="18"/>
              </w:rPr>
            </w:pPr>
            <w:r>
              <w:rPr>
                <w:rFonts w:hint="eastAsia" w:ascii="宋体" w:hAnsi="宋体" w:cs="宋体"/>
                <w:sz w:val="18"/>
                <w:szCs w:val="18"/>
              </w:rPr>
              <w:t>从业人员(X)</w:t>
            </w:r>
          </w:p>
        </w:tc>
        <w:tc>
          <w:tcPr>
            <w:tcW w:w="376" w:type="pct"/>
            <w:tcBorders>
              <w:top w:val="single" w:color="auto" w:sz="4" w:space="0"/>
              <w:left w:val="single" w:color="auto" w:sz="4" w:space="0"/>
              <w:bottom w:val="single" w:color="auto" w:sz="4" w:space="0"/>
              <w:right w:val="single" w:color="auto" w:sz="4" w:space="0"/>
            </w:tcBorders>
            <w:vAlign w:val="center"/>
          </w:tcPr>
          <w:p w14:paraId="0BDD0248">
            <w:pPr>
              <w:widowControl/>
              <w:jc w:val="center"/>
              <w:rPr>
                <w:rFonts w:ascii="宋体" w:hAnsi="宋体" w:cs="宋体"/>
                <w:sz w:val="18"/>
                <w:szCs w:val="18"/>
              </w:rPr>
            </w:pPr>
            <w:r>
              <w:rPr>
                <w:rFonts w:hint="eastAsia" w:ascii="宋体" w:hAnsi="宋体" w:cs="宋体"/>
                <w:sz w:val="18"/>
                <w:szCs w:val="18"/>
              </w:rPr>
              <w:t>人</w:t>
            </w:r>
          </w:p>
        </w:tc>
        <w:tc>
          <w:tcPr>
            <w:tcW w:w="596" w:type="pct"/>
            <w:tcBorders>
              <w:top w:val="single" w:color="auto" w:sz="4" w:space="0"/>
              <w:left w:val="single" w:color="auto" w:sz="4" w:space="0"/>
              <w:bottom w:val="single" w:color="auto" w:sz="4" w:space="0"/>
              <w:right w:val="single" w:color="auto" w:sz="4" w:space="0"/>
            </w:tcBorders>
            <w:vAlign w:val="center"/>
          </w:tcPr>
          <w:p w14:paraId="1C36B9FF">
            <w:pPr>
              <w:widowControl/>
              <w:jc w:val="center"/>
              <w:rPr>
                <w:rFonts w:ascii="宋体" w:hAnsi="宋体" w:cs="宋体"/>
                <w:sz w:val="18"/>
                <w:szCs w:val="18"/>
              </w:rPr>
            </w:pPr>
            <w:r>
              <w:rPr>
                <w:rFonts w:hint="eastAsia" w:ascii="宋体" w:hAnsi="宋体" w:cs="宋体"/>
                <w:sz w:val="18"/>
                <w:szCs w:val="18"/>
              </w:rPr>
              <w:t>X≥1000</w:t>
            </w:r>
          </w:p>
        </w:tc>
        <w:tc>
          <w:tcPr>
            <w:tcW w:w="902" w:type="pct"/>
            <w:tcBorders>
              <w:top w:val="single" w:color="auto" w:sz="4" w:space="0"/>
              <w:left w:val="single" w:color="auto" w:sz="4" w:space="0"/>
              <w:bottom w:val="single" w:color="auto" w:sz="4" w:space="0"/>
              <w:right w:val="single" w:color="auto" w:sz="4" w:space="0"/>
            </w:tcBorders>
            <w:vAlign w:val="center"/>
          </w:tcPr>
          <w:p w14:paraId="3882053E">
            <w:pPr>
              <w:widowControl/>
              <w:jc w:val="center"/>
              <w:rPr>
                <w:rFonts w:ascii="宋体" w:hAnsi="宋体" w:cs="宋体"/>
                <w:sz w:val="18"/>
                <w:szCs w:val="18"/>
              </w:rPr>
            </w:pPr>
            <w:r>
              <w:rPr>
                <w:rFonts w:hint="eastAsia" w:ascii="宋体" w:hAnsi="宋体" w:cs="宋体"/>
                <w:sz w:val="18"/>
                <w:szCs w:val="18"/>
              </w:rPr>
              <w:t>300≤X＜1000</w:t>
            </w:r>
          </w:p>
        </w:tc>
        <w:tc>
          <w:tcPr>
            <w:tcW w:w="756" w:type="pct"/>
            <w:tcBorders>
              <w:top w:val="single" w:color="auto" w:sz="4" w:space="0"/>
              <w:left w:val="single" w:color="auto" w:sz="4" w:space="0"/>
              <w:bottom w:val="single" w:color="auto" w:sz="4" w:space="0"/>
              <w:right w:val="single" w:color="auto" w:sz="4" w:space="0"/>
            </w:tcBorders>
            <w:vAlign w:val="center"/>
          </w:tcPr>
          <w:p w14:paraId="19386FA0">
            <w:pPr>
              <w:widowControl/>
              <w:jc w:val="center"/>
              <w:rPr>
                <w:rFonts w:ascii="宋体" w:hAnsi="宋体" w:cs="宋体"/>
                <w:sz w:val="18"/>
                <w:szCs w:val="18"/>
              </w:rPr>
            </w:pPr>
            <w:r>
              <w:rPr>
                <w:rFonts w:hint="eastAsia" w:ascii="宋体" w:hAnsi="宋体" w:cs="宋体"/>
                <w:sz w:val="18"/>
                <w:szCs w:val="18"/>
              </w:rPr>
              <w:t>20≤X＜300</w:t>
            </w:r>
          </w:p>
        </w:tc>
        <w:tc>
          <w:tcPr>
            <w:tcW w:w="526" w:type="pct"/>
            <w:tcBorders>
              <w:top w:val="single" w:color="auto" w:sz="4" w:space="0"/>
              <w:left w:val="single" w:color="auto" w:sz="4" w:space="0"/>
              <w:bottom w:val="single" w:color="auto" w:sz="4" w:space="0"/>
              <w:right w:val="single" w:color="auto" w:sz="4" w:space="0"/>
            </w:tcBorders>
            <w:vAlign w:val="center"/>
          </w:tcPr>
          <w:p w14:paraId="3F26ECEF">
            <w:pPr>
              <w:widowControl/>
              <w:jc w:val="center"/>
              <w:rPr>
                <w:rFonts w:ascii="宋体" w:hAnsi="宋体" w:cs="宋体"/>
                <w:sz w:val="18"/>
                <w:szCs w:val="18"/>
              </w:rPr>
            </w:pPr>
            <w:r>
              <w:rPr>
                <w:rFonts w:hint="eastAsia" w:ascii="宋体" w:hAnsi="宋体" w:cs="宋体"/>
                <w:sz w:val="18"/>
                <w:szCs w:val="18"/>
              </w:rPr>
              <w:t>X＜20</w:t>
            </w:r>
          </w:p>
        </w:tc>
      </w:tr>
      <w:tr w14:paraId="2CC6C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120" w:type="pct"/>
            <w:vMerge w:val="continue"/>
            <w:tcBorders>
              <w:top w:val="single" w:color="auto" w:sz="4" w:space="0"/>
              <w:left w:val="single" w:color="auto" w:sz="4" w:space="0"/>
              <w:bottom w:val="single" w:color="auto" w:sz="4" w:space="0"/>
              <w:right w:val="single" w:color="auto" w:sz="4" w:space="0"/>
            </w:tcBorders>
            <w:vAlign w:val="center"/>
          </w:tcPr>
          <w:p w14:paraId="53D8112B">
            <w:pPr>
              <w:widowControl/>
              <w:jc w:val="left"/>
              <w:rPr>
                <w:rFonts w:ascii="宋体" w:hAnsi="宋体" w:cs="宋体"/>
                <w:sz w:val="18"/>
                <w:szCs w:val="18"/>
              </w:rPr>
            </w:pPr>
          </w:p>
        </w:tc>
        <w:tc>
          <w:tcPr>
            <w:tcW w:w="725" w:type="pct"/>
            <w:tcBorders>
              <w:top w:val="single" w:color="auto" w:sz="4" w:space="0"/>
              <w:left w:val="single" w:color="auto" w:sz="4" w:space="0"/>
              <w:bottom w:val="single" w:color="auto" w:sz="4" w:space="0"/>
              <w:right w:val="single" w:color="auto" w:sz="4" w:space="0"/>
            </w:tcBorders>
            <w:vAlign w:val="center"/>
          </w:tcPr>
          <w:p w14:paraId="1AD0202F">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376" w:type="pct"/>
            <w:tcBorders>
              <w:top w:val="single" w:color="auto" w:sz="4" w:space="0"/>
              <w:left w:val="single" w:color="auto" w:sz="4" w:space="0"/>
              <w:bottom w:val="single" w:color="auto" w:sz="4" w:space="0"/>
              <w:right w:val="single" w:color="auto" w:sz="4" w:space="0"/>
            </w:tcBorders>
            <w:vAlign w:val="center"/>
          </w:tcPr>
          <w:p w14:paraId="1B0130BA">
            <w:pPr>
              <w:widowControl/>
              <w:jc w:val="center"/>
              <w:rPr>
                <w:rFonts w:ascii="宋体" w:hAnsi="宋体" w:cs="宋体"/>
                <w:sz w:val="18"/>
                <w:szCs w:val="18"/>
              </w:rPr>
            </w:pPr>
            <w:r>
              <w:rPr>
                <w:rFonts w:hint="eastAsia" w:ascii="宋体" w:hAnsi="宋体" w:cs="宋体"/>
                <w:sz w:val="18"/>
                <w:szCs w:val="18"/>
              </w:rPr>
              <w:t>万元</w:t>
            </w:r>
          </w:p>
        </w:tc>
        <w:tc>
          <w:tcPr>
            <w:tcW w:w="596" w:type="pct"/>
            <w:tcBorders>
              <w:top w:val="single" w:color="auto" w:sz="4" w:space="0"/>
              <w:left w:val="single" w:color="auto" w:sz="4" w:space="0"/>
              <w:bottom w:val="single" w:color="auto" w:sz="4" w:space="0"/>
              <w:right w:val="single" w:color="auto" w:sz="4" w:space="0"/>
            </w:tcBorders>
            <w:vAlign w:val="center"/>
          </w:tcPr>
          <w:p w14:paraId="25F2BFA2">
            <w:pPr>
              <w:widowControl/>
              <w:jc w:val="center"/>
              <w:rPr>
                <w:rFonts w:ascii="宋体" w:hAnsi="宋体" w:cs="宋体"/>
                <w:sz w:val="18"/>
                <w:szCs w:val="18"/>
              </w:rPr>
            </w:pPr>
            <w:r>
              <w:rPr>
                <w:rFonts w:hint="eastAsia" w:ascii="宋体" w:hAnsi="宋体" w:cs="宋体"/>
                <w:sz w:val="18"/>
                <w:szCs w:val="18"/>
              </w:rPr>
              <w:t>Y≥40000</w:t>
            </w:r>
          </w:p>
        </w:tc>
        <w:tc>
          <w:tcPr>
            <w:tcW w:w="902" w:type="pct"/>
            <w:tcBorders>
              <w:top w:val="single" w:color="auto" w:sz="4" w:space="0"/>
              <w:left w:val="single" w:color="auto" w:sz="4" w:space="0"/>
              <w:bottom w:val="single" w:color="auto" w:sz="4" w:space="0"/>
              <w:right w:val="single" w:color="auto" w:sz="4" w:space="0"/>
            </w:tcBorders>
            <w:vAlign w:val="center"/>
          </w:tcPr>
          <w:p w14:paraId="5E1F4A22">
            <w:pPr>
              <w:widowControl/>
              <w:jc w:val="center"/>
              <w:rPr>
                <w:rFonts w:ascii="宋体" w:hAnsi="宋体" w:cs="宋体"/>
                <w:sz w:val="18"/>
                <w:szCs w:val="18"/>
              </w:rPr>
            </w:pPr>
            <w:r>
              <w:rPr>
                <w:rFonts w:hint="eastAsia" w:ascii="宋体" w:hAnsi="宋体" w:cs="宋体"/>
                <w:sz w:val="18"/>
                <w:szCs w:val="18"/>
              </w:rPr>
              <w:t>2000≤Y＜40000</w:t>
            </w:r>
          </w:p>
        </w:tc>
        <w:tc>
          <w:tcPr>
            <w:tcW w:w="756" w:type="pct"/>
            <w:tcBorders>
              <w:top w:val="single" w:color="auto" w:sz="4" w:space="0"/>
              <w:left w:val="single" w:color="auto" w:sz="4" w:space="0"/>
              <w:bottom w:val="single" w:color="auto" w:sz="4" w:space="0"/>
              <w:right w:val="single" w:color="auto" w:sz="4" w:space="0"/>
            </w:tcBorders>
            <w:vAlign w:val="center"/>
          </w:tcPr>
          <w:p w14:paraId="556DDDE7">
            <w:pPr>
              <w:widowControl/>
              <w:jc w:val="center"/>
              <w:rPr>
                <w:rFonts w:ascii="宋体" w:hAnsi="宋体" w:cs="宋体"/>
                <w:sz w:val="18"/>
                <w:szCs w:val="18"/>
              </w:rPr>
            </w:pPr>
            <w:r>
              <w:rPr>
                <w:rFonts w:hint="eastAsia" w:ascii="宋体" w:hAnsi="宋体" w:cs="宋体"/>
                <w:sz w:val="18"/>
                <w:szCs w:val="18"/>
              </w:rPr>
              <w:t>300≤Y＜2000</w:t>
            </w:r>
          </w:p>
        </w:tc>
        <w:tc>
          <w:tcPr>
            <w:tcW w:w="526" w:type="pct"/>
            <w:tcBorders>
              <w:top w:val="single" w:color="auto" w:sz="4" w:space="0"/>
              <w:left w:val="single" w:color="auto" w:sz="4" w:space="0"/>
              <w:bottom w:val="single" w:color="auto" w:sz="4" w:space="0"/>
              <w:right w:val="single" w:color="auto" w:sz="4" w:space="0"/>
            </w:tcBorders>
            <w:vAlign w:val="center"/>
          </w:tcPr>
          <w:p w14:paraId="6F27E0F6">
            <w:pPr>
              <w:widowControl/>
              <w:jc w:val="center"/>
              <w:rPr>
                <w:rFonts w:ascii="宋体" w:hAnsi="宋体" w:cs="宋体"/>
                <w:sz w:val="18"/>
                <w:szCs w:val="18"/>
              </w:rPr>
            </w:pPr>
            <w:r>
              <w:rPr>
                <w:rFonts w:hint="eastAsia" w:ascii="宋体" w:hAnsi="宋体" w:cs="宋体"/>
                <w:sz w:val="18"/>
                <w:szCs w:val="18"/>
              </w:rPr>
              <w:t>Y＜300</w:t>
            </w:r>
          </w:p>
        </w:tc>
      </w:tr>
      <w:tr w14:paraId="19CDC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120" w:type="pct"/>
            <w:vMerge w:val="restart"/>
            <w:tcBorders>
              <w:top w:val="single" w:color="auto" w:sz="4" w:space="0"/>
              <w:left w:val="single" w:color="auto" w:sz="4" w:space="0"/>
              <w:bottom w:val="single" w:color="auto" w:sz="4" w:space="0"/>
              <w:right w:val="single" w:color="auto" w:sz="4" w:space="0"/>
            </w:tcBorders>
            <w:vAlign w:val="center"/>
          </w:tcPr>
          <w:p w14:paraId="00392116">
            <w:pPr>
              <w:widowControl/>
              <w:spacing w:line="240" w:lineRule="exact"/>
              <w:jc w:val="left"/>
              <w:rPr>
                <w:rFonts w:ascii="宋体" w:hAnsi="宋体" w:cs="宋体"/>
                <w:sz w:val="18"/>
                <w:szCs w:val="18"/>
              </w:rPr>
            </w:pPr>
            <w:r>
              <w:rPr>
                <w:rFonts w:hint="eastAsia" w:ascii="宋体" w:hAnsi="宋体" w:cs="宋体"/>
                <w:sz w:val="18"/>
                <w:szCs w:val="18"/>
              </w:rPr>
              <w:t>建筑业</w:t>
            </w:r>
          </w:p>
        </w:tc>
        <w:tc>
          <w:tcPr>
            <w:tcW w:w="725" w:type="pct"/>
            <w:tcBorders>
              <w:top w:val="single" w:color="auto" w:sz="4" w:space="0"/>
              <w:left w:val="single" w:color="auto" w:sz="4" w:space="0"/>
              <w:bottom w:val="single" w:color="auto" w:sz="4" w:space="0"/>
              <w:right w:val="single" w:color="auto" w:sz="4" w:space="0"/>
            </w:tcBorders>
            <w:vAlign w:val="center"/>
          </w:tcPr>
          <w:p w14:paraId="6E1E8B07">
            <w:pPr>
              <w:widowControl/>
              <w:jc w:val="center"/>
              <w:rPr>
                <w:rFonts w:ascii="宋体" w:hAnsi="宋体" w:cs="宋体"/>
                <w:sz w:val="18"/>
                <w:szCs w:val="18"/>
              </w:rPr>
            </w:pPr>
            <w:r>
              <w:rPr>
                <w:rFonts w:hint="eastAsia" w:ascii="宋体" w:hAnsi="宋体" w:cs="宋体"/>
                <w:sz w:val="18"/>
                <w:szCs w:val="18"/>
              </w:rPr>
              <w:t>营业收入(Y)</w:t>
            </w:r>
          </w:p>
        </w:tc>
        <w:tc>
          <w:tcPr>
            <w:tcW w:w="376" w:type="pct"/>
            <w:tcBorders>
              <w:top w:val="single" w:color="auto" w:sz="4" w:space="0"/>
              <w:left w:val="single" w:color="auto" w:sz="4" w:space="0"/>
              <w:bottom w:val="single" w:color="auto" w:sz="4" w:space="0"/>
              <w:right w:val="single" w:color="auto" w:sz="4" w:space="0"/>
            </w:tcBorders>
            <w:vAlign w:val="center"/>
          </w:tcPr>
          <w:p w14:paraId="1E500DA2">
            <w:pPr>
              <w:widowControl/>
              <w:jc w:val="center"/>
              <w:rPr>
                <w:rFonts w:ascii="宋体" w:hAnsi="宋体" w:cs="宋体"/>
                <w:sz w:val="18"/>
                <w:szCs w:val="18"/>
              </w:rPr>
            </w:pPr>
            <w:r>
              <w:rPr>
                <w:rFonts w:hint="eastAsia" w:ascii="宋体" w:hAnsi="宋体" w:cs="宋体"/>
                <w:sz w:val="18"/>
                <w:szCs w:val="18"/>
              </w:rPr>
              <w:t>万元</w:t>
            </w:r>
          </w:p>
        </w:tc>
        <w:tc>
          <w:tcPr>
            <w:tcW w:w="596" w:type="pct"/>
            <w:tcBorders>
              <w:top w:val="single" w:color="auto" w:sz="4" w:space="0"/>
              <w:left w:val="single" w:color="auto" w:sz="4" w:space="0"/>
              <w:bottom w:val="single" w:color="auto" w:sz="4" w:space="0"/>
              <w:right w:val="single" w:color="auto" w:sz="4" w:space="0"/>
            </w:tcBorders>
            <w:vAlign w:val="center"/>
          </w:tcPr>
          <w:p w14:paraId="14ADDD8E">
            <w:pPr>
              <w:widowControl/>
              <w:jc w:val="center"/>
              <w:rPr>
                <w:rFonts w:ascii="宋体" w:hAnsi="宋体" w:cs="宋体"/>
                <w:sz w:val="18"/>
                <w:szCs w:val="18"/>
              </w:rPr>
            </w:pPr>
            <w:r>
              <w:rPr>
                <w:rFonts w:hint="eastAsia" w:ascii="宋体" w:hAnsi="宋体" w:cs="宋体"/>
                <w:sz w:val="18"/>
                <w:szCs w:val="18"/>
              </w:rPr>
              <w:t>Y≥80000</w:t>
            </w:r>
          </w:p>
        </w:tc>
        <w:tc>
          <w:tcPr>
            <w:tcW w:w="902" w:type="pct"/>
            <w:tcBorders>
              <w:top w:val="single" w:color="auto" w:sz="4" w:space="0"/>
              <w:left w:val="single" w:color="auto" w:sz="4" w:space="0"/>
              <w:bottom w:val="single" w:color="auto" w:sz="4" w:space="0"/>
              <w:right w:val="single" w:color="auto" w:sz="4" w:space="0"/>
            </w:tcBorders>
            <w:vAlign w:val="center"/>
          </w:tcPr>
          <w:p w14:paraId="5C2F2E4B">
            <w:pPr>
              <w:widowControl/>
              <w:jc w:val="center"/>
              <w:rPr>
                <w:rFonts w:ascii="宋体" w:hAnsi="宋体" w:cs="宋体"/>
                <w:sz w:val="18"/>
                <w:szCs w:val="18"/>
              </w:rPr>
            </w:pPr>
            <w:r>
              <w:rPr>
                <w:rFonts w:hint="eastAsia" w:ascii="宋体" w:hAnsi="宋体" w:cs="宋体"/>
                <w:sz w:val="18"/>
                <w:szCs w:val="18"/>
              </w:rPr>
              <w:t>6000≤Y＜80000</w:t>
            </w:r>
          </w:p>
        </w:tc>
        <w:tc>
          <w:tcPr>
            <w:tcW w:w="756" w:type="pct"/>
            <w:tcBorders>
              <w:top w:val="single" w:color="auto" w:sz="4" w:space="0"/>
              <w:left w:val="single" w:color="auto" w:sz="4" w:space="0"/>
              <w:bottom w:val="single" w:color="auto" w:sz="4" w:space="0"/>
              <w:right w:val="single" w:color="auto" w:sz="4" w:space="0"/>
            </w:tcBorders>
            <w:vAlign w:val="center"/>
          </w:tcPr>
          <w:p w14:paraId="07102719">
            <w:pPr>
              <w:widowControl/>
              <w:jc w:val="center"/>
              <w:rPr>
                <w:rFonts w:ascii="宋体" w:hAnsi="宋体" w:cs="宋体"/>
                <w:sz w:val="18"/>
                <w:szCs w:val="18"/>
              </w:rPr>
            </w:pPr>
            <w:r>
              <w:rPr>
                <w:rFonts w:hint="eastAsia" w:ascii="宋体" w:hAnsi="宋体" w:cs="宋体"/>
                <w:sz w:val="18"/>
                <w:szCs w:val="18"/>
              </w:rPr>
              <w:t>300≤Y＜6000</w:t>
            </w:r>
          </w:p>
        </w:tc>
        <w:tc>
          <w:tcPr>
            <w:tcW w:w="526" w:type="pct"/>
            <w:tcBorders>
              <w:top w:val="single" w:color="auto" w:sz="4" w:space="0"/>
              <w:left w:val="single" w:color="auto" w:sz="4" w:space="0"/>
              <w:bottom w:val="single" w:color="auto" w:sz="4" w:space="0"/>
              <w:right w:val="single" w:color="auto" w:sz="4" w:space="0"/>
            </w:tcBorders>
            <w:vAlign w:val="center"/>
          </w:tcPr>
          <w:p w14:paraId="5AAE2B90">
            <w:pPr>
              <w:widowControl/>
              <w:jc w:val="center"/>
              <w:rPr>
                <w:rFonts w:ascii="宋体" w:hAnsi="宋体" w:cs="宋体"/>
                <w:sz w:val="18"/>
                <w:szCs w:val="18"/>
              </w:rPr>
            </w:pPr>
            <w:r>
              <w:rPr>
                <w:rFonts w:hint="eastAsia" w:ascii="宋体" w:hAnsi="宋体" w:cs="宋体"/>
                <w:sz w:val="18"/>
                <w:szCs w:val="18"/>
              </w:rPr>
              <w:t>Y＜300</w:t>
            </w:r>
          </w:p>
        </w:tc>
      </w:tr>
      <w:tr w14:paraId="4BEA9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120" w:type="pct"/>
            <w:vMerge w:val="continue"/>
            <w:tcBorders>
              <w:top w:val="single" w:color="auto" w:sz="4" w:space="0"/>
              <w:left w:val="single" w:color="auto" w:sz="4" w:space="0"/>
              <w:bottom w:val="single" w:color="auto" w:sz="4" w:space="0"/>
              <w:right w:val="single" w:color="auto" w:sz="4" w:space="0"/>
            </w:tcBorders>
            <w:vAlign w:val="center"/>
          </w:tcPr>
          <w:p w14:paraId="3C929C1B">
            <w:pPr>
              <w:widowControl/>
              <w:jc w:val="left"/>
              <w:rPr>
                <w:rFonts w:ascii="宋体" w:hAnsi="宋体" w:cs="宋体"/>
                <w:sz w:val="18"/>
                <w:szCs w:val="18"/>
              </w:rPr>
            </w:pPr>
          </w:p>
        </w:tc>
        <w:tc>
          <w:tcPr>
            <w:tcW w:w="725" w:type="pct"/>
            <w:tcBorders>
              <w:top w:val="single" w:color="auto" w:sz="4" w:space="0"/>
              <w:left w:val="single" w:color="auto" w:sz="4" w:space="0"/>
              <w:bottom w:val="single" w:color="auto" w:sz="4" w:space="0"/>
              <w:right w:val="single" w:color="auto" w:sz="4" w:space="0"/>
            </w:tcBorders>
            <w:vAlign w:val="center"/>
          </w:tcPr>
          <w:p w14:paraId="6F778D7B">
            <w:pPr>
              <w:widowControl/>
              <w:spacing w:line="240" w:lineRule="exact"/>
              <w:jc w:val="center"/>
              <w:rPr>
                <w:rFonts w:ascii="宋体" w:hAnsi="宋体" w:cs="宋体"/>
                <w:sz w:val="18"/>
                <w:szCs w:val="18"/>
              </w:rPr>
            </w:pPr>
            <w:r>
              <w:rPr>
                <w:rFonts w:hint="eastAsia" w:ascii="宋体" w:hAnsi="宋体" w:cs="宋体"/>
                <w:sz w:val="18"/>
                <w:szCs w:val="18"/>
              </w:rPr>
              <w:t>资产总额(Z)</w:t>
            </w:r>
          </w:p>
        </w:tc>
        <w:tc>
          <w:tcPr>
            <w:tcW w:w="376" w:type="pct"/>
            <w:tcBorders>
              <w:top w:val="single" w:color="auto" w:sz="4" w:space="0"/>
              <w:left w:val="single" w:color="auto" w:sz="4" w:space="0"/>
              <w:bottom w:val="single" w:color="auto" w:sz="4" w:space="0"/>
              <w:right w:val="single" w:color="auto" w:sz="4" w:space="0"/>
            </w:tcBorders>
            <w:vAlign w:val="center"/>
          </w:tcPr>
          <w:p w14:paraId="6EB624AE">
            <w:pPr>
              <w:widowControl/>
              <w:jc w:val="center"/>
              <w:rPr>
                <w:rFonts w:ascii="宋体" w:hAnsi="宋体" w:cs="宋体"/>
                <w:sz w:val="18"/>
                <w:szCs w:val="18"/>
              </w:rPr>
            </w:pPr>
            <w:r>
              <w:rPr>
                <w:rFonts w:hint="eastAsia" w:ascii="宋体" w:hAnsi="宋体" w:cs="宋体"/>
                <w:sz w:val="18"/>
                <w:szCs w:val="18"/>
              </w:rPr>
              <w:t>万元</w:t>
            </w:r>
          </w:p>
        </w:tc>
        <w:tc>
          <w:tcPr>
            <w:tcW w:w="596" w:type="pct"/>
            <w:tcBorders>
              <w:top w:val="single" w:color="auto" w:sz="4" w:space="0"/>
              <w:left w:val="single" w:color="auto" w:sz="4" w:space="0"/>
              <w:bottom w:val="single" w:color="auto" w:sz="4" w:space="0"/>
              <w:right w:val="single" w:color="auto" w:sz="4" w:space="0"/>
            </w:tcBorders>
            <w:vAlign w:val="center"/>
          </w:tcPr>
          <w:p w14:paraId="03DE0BC5">
            <w:pPr>
              <w:widowControl/>
              <w:jc w:val="center"/>
              <w:rPr>
                <w:rFonts w:ascii="宋体" w:hAnsi="宋体" w:cs="宋体"/>
                <w:sz w:val="18"/>
                <w:szCs w:val="18"/>
              </w:rPr>
            </w:pPr>
            <w:r>
              <w:rPr>
                <w:rFonts w:hint="eastAsia" w:ascii="宋体" w:hAnsi="宋体" w:cs="宋体"/>
                <w:sz w:val="18"/>
                <w:szCs w:val="18"/>
              </w:rPr>
              <w:t>Z≥80000</w:t>
            </w:r>
          </w:p>
        </w:tc>
        <w:tc>
          <w:tcPr>
            <w:tcW w:w="902" w:type="pct"/>
            <w:tcBorders>
              <w:top w:val="single" w:color="auto" w:sz="4" w:space="0"/>
              <w:left w:val="single" w:color="auto" w:sz="4" w:space="0"/>
              <w:bottom w:val="single" w:color="auto" w:sz="4" w:space="0"/>
              <w:right w:val="single" w:color="auto" w:sz="4" w:space="0"/>
            </w:tcBorders>
            <w:vAlign w:val="center"/>
          </w:tcPr>
          <w:p w14:paraId="561B5179">
            <w:pPr>
              <w:widowControl/>
              <w:jc w:val="center"/>
              <w:rPr>
                <w:rFonts w:ascii="宋体" w:hAnsi="宋体" w:cs="宋体"/>
                <w:sz w:val="18"/>
                <w:szCs w:val="18"/>
              </w:rPr>
            </w:pPr>
            <w:r>
              <w:rPr>
                <w:rFonts w:hint="eastAsia" w:ascii="宋体" w:hAnsi="宋体" w:cs="宋体"/>
                <w:sz w:val="18"/>
                <w:szCs w:val="18"/>
              </w:rPr>
              <w:t>5000≤Z＜80000</w:t>
            </w:r>
          </w:p>
        </w:tc>
        <w:tc>
          <w:tcPr>
            <w:tcW w:w="756" w:type="pct"/>
            <w:tcBorders>
              <w:top w:val="single" w:color="auto" w:sz="4" w:space="0"/>
              <w:left w:val="single" w:color="auto" w:sz="4" w:space="0"/>
              <w:bottom w:val="single" w:color="auto" w:sz="4" w:space="0"/>
              <w:right w:val="single" w:color="auto" w:sz="4" w:space="0"/>
            </w:tcBorders>
            <w:vAlign w:val="center"/>
          </w:tcPr>
          <w:p w14:paraId="14F3FA8C">
            <w:pPr>
              <w:widowControl/>
              <w:jc w:val="center"/>
              <w:rPr>
                <w:rFonts w:ascii="宋体" w:hAnsi="宋体" w:cs="宋体"/>
                <w:sz w:val="18"/>
                <w:szCs w:val="18"/>
              </w:rPr>
            </w:pPr>
            <w:r>
              <w:rPr>
                <w:rFonts w:hint="eastAsia" w:ascii="宋体" w:hAnsi="宋体" w:cs="宋体"/>
                <w:sz w:val="18"/>
                <w:szCs w:val="18"/>
              </w:rPr>
              <w:t>300≤Z＜5000</w:t>
            </w:r>
          </w:p>
        </w:tc>
        <w:tc>
          <w:tcPr>
            <w:tcW w:w="526" w:type="pct"/>
            <w:tcBorders>
              <w:top w:val="single" w:color="auto" w:sz="4" w:space="0"/>
              <w:left w:val="single" w:color="auto" w:sz="4" w:space="0"/>
              <w:bottom w:val="single" w:color="auto" w:sz="4" w:space="0"/>
              <w:right w:val="single" w:color="auto" w:sz="4" w:space="0"/>
            </w:tcBorders>
            <w:vAlign w:val="center"/>
          </w:tcPr>
          <w:p w14:paraId="54D31AC8">
            <w:pPr>
              <w:widowControl/>
              <w:jc w:val="center"/>
              <w:rPr>
                <w:rFonts w:ascii="宋体" w:hAnsi="宋体" w:cs="宋体"/>
                <w:sz w:val="18"/>
                <w:szCs w:val="18"/>
              </w:rPr>
            </w:pPr>
            <w:r>
              <w:rPr>
                <w:rFonts w:hint="eastAsia" w:ascii="宋体" w:hAnsi="宋体" w:cs="宋体"/>
                <w:sz w:val="18"/>
                <w:szCs w:val="18"/>
              </w:rPr>
              <w:t>Z＜300</w:t>
            </w:r>
          </w:p>
        </w:tc>
      </w:tr>
      <w:tr w14:paraId="4473A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120" w:type="pct"/>
            <w:vMerge w:val="restart"/>
            <w:tcBorders>
              <w:top w:val="single" w:color="auto" w:sz="4" w:space="0"/>
              <w:left w:val="single" w:color="auto" w:sz="4" w:space="0"/>
              <w:bottom w:val="single" w:color="auto" w:sz="4" w:space="0"/>
              <w:right w:val="single" w:color="auto" w:sz="4" w:space="0"/>
            </w:tcBorders>
            <w:vAlign w:val="center"/>
          </w:tcPr>
          <w:p w14:paraId="03DF72CE">
            <w:pPr>
              <w:widowControl/>
              <w:spacing w:line="240" w:lineRule="exact"/>
              <w:jc w:val="left"/>
              <w:rPr>
                <w:rFonts w:ascii="宋体" w:hAnsi="宋体" w:cs="宋体"/>
                <w:sz w:val="18"/>
                <w:szCs w:val="18"/>
              </w:rPr>
            </w:pPr>
            <w:r>
              <w:rPr>
                <w:rFonts w:hint="eastAsia" w:ascii="宋体" w:hAnsi="宋体" w:cs="宋体"/>
                <w:sz w:val="18"/>
                <w:szCs w:val="18"/>
              </w:rPr>
              <w:t>批发业</w:t>
            </w:r>
          </w:p>
        </w:tc>
        <w:tc>
          <w:tcPr>
            <w:tcW w:w="725" w:type="pct"/>
            <w:tcBorders>
              <w:top w:val="single" w:color="auto" w:sz="4" w:space="0"/>
              <w:left w:val="single" w:color="auto" w:sz="4" w:space="0"/>
              <w:bottom w:val="single" w:color="auto" w:sz="4" w:space="0"/>
              <w:right w:val="single" w:color="auto" w:sz="4" w:space="0"/>
            </w:tcBorders>
            <w:vAlign w:val="center"/>
          </w:tcPr>
          <w:p w14:paraId="25B96CD7">
            <w:pPr>
              <w:widowControl/>
              <w:jc w:val="center"/>
              <w:rPr>
                <w:rFonts w:ascii="宋体" w:hAnsi="宋体" w:cs="宋体"/>
                <w:sz w:val="18"/>
                <w:szCs w:val="18"/>
              </w:rPr>
            </w:pPr>
            <w:r>
              <w:rPr>
                <w:rFonts w:hint="eastAsia" w:ascii="宋体" w:hAnsi="宋体" w:cs="宋体"/>
                <w:sz w:val="18"/>
                <w:szCs w:val="18"/>
              </w:rPr>
              <w:t>从业人员(X)</w:t>
            </w:r>
          </w:p>
        </w:tc>
        <w:tc>
          <w:tcPr>
            <w:tcW w:w="376" w:type="pct"/>
            <w:tcBorders>
              <w:top w:val="single" w:color="auto" w:sz="4" w:space="0"/>
              <w:left w:val="single" w:color="auto" w:sz="4" w:space="0"/>
              <w:bottom w:val="single" w:color="auto" w:sz="4" w:space="0"/>
              <w:right w:val="single" w:color="auto" w:sz="4" w:space="0"/>
            </w:tcBorders>
            <w:vAlign w:val="center"/>
          </w:tcPr>
          <w:p w14:paraId="0CB05058">
            <w:pPr>
              <w:widowControl/>
              <w:jc w:val="center"/>
              <w:rPr>
                <w:rFonts w:ascii="宋体" w:hAnsi="宋体" w:cs="宋体"/>
                <w:sz w:val="18"/>
                <w:szCs w:val="18"/>
              </w:rPr>
            </w:pPr>
            <w:r>
              <w:rPr>
                <w:rFonts w:hint="eastAsia" w:ascii="宋体" w:hAnsi="宋体" w:cs="宋体"/>
                <w:sz w:val="18"/>
                <w:szCs w:val="18"/>
              </w:rPr>
              <w:t>人</w:t>
            </w:r>
          </w:p>
        </w:tc>
        <w:tc>
          <w:tcPr>
            <w:tcW w:w="596" w:type="pct"/>
            <w:tcBorders>
              <w:top w:val="single" w:color="auto" w:sz="4" w:space="0"/>
              <w:left w:val="single" w:color="auto" w:sz="4" w:space="0"/>
              <w:bottom w:val="single" w:color="auto" w:sz="4" w:space="0"/>
              <w:right w:val="single" w:color="auto" w:sz="4" w:space="0"/>
            </w:tcBorders>
            <w:vAlign w:val="center"/>
          </w:tcPr>
          <w:p w14:paraId="5B35BEE7">
            <w:pPr>
              <w:widowControl/>
              <w:jc w:val="center"/>
              <w:rPr>
                <w:rFonts w:ascii="宋体" w:hAnsi="宋体" w:cs="宋体"/>
                <w:sz w:val="18"/>
                <w:szCs w:val="18"/>
              </w:rPr>
            </w:pPr>
            <w:r>
              <w:rPr>
                <w:rFonts w:hint="eastAsia" w:ascii="宋体" w:hAnsi="宋体" w:cs="宋体"/>
                <w:sz w:val="18"/>
                <w:szCs w:val="18"/>
              </w:rPr>
              <w:t>X≥200</w:t>
            </w:r>
          </w:p>
        </w:tc>
        <w:tc>
          <w:tcPr>
            <w:tcW w:w="902" w:type="pct"/>
            <w:tcBorders>
              <w:top w:val="single" w:color="auto" w:sz="4" w:space="0"/>
              <w:left w:val="single" w:color="auto" w:sz="4" w:space="0"/>
              <w:bottom w:val="single" w:color="auto" w:sz="4" w:space="0"/>
              <w:right w:val="single" w:color="auto" w:sz="4" w:space="0"/>
            </w:tcBorders>
            <w:vAlign w:val="center"/>
          </w:tcPr>
          <w:p w14:paraId="5DC80A93">
            <w:pPr>
              <w:widowControl/>
              <w:jc w:val="center"/>
              <w:rPr>
                <w:rFonts w:ascii="宋体" w:hAnsi="宋体" w:cs="宋体"/>
                <w:sz w:val="18"/>
                <w:szCs w:val="18"/>
              </w:rPr>
            </w:pPr>
            <w:r>
              <w:rPr>
                <w:rFonts w:hint="eastAsia" w:ascii="宋体" w:hAnsi="宋体" w:cs="宋体"/>
                <w:sz w:val="18"/>
                <w:szCs w:val="18"/>
              </w:rPr>
              <w:t>20≤X＜200</w:t>
            </w:r>
          </w:p>
        </w:tc>
        <w:tc>
          <w:tcPr>
            <w:tcW w:w="756" w:type="pct"/>
            <w:tcBorders>
              <w:top w:val="single" w:color="auto" w:sz="4" w:space="0"/>
              <w:left w:val="single" w:color="auto" w:sz="4" w:space="0"/>
              <w:bottom w:val="single" w:color="auto" w:sz="4" w:space="0"/>
              <w:right w:val="single" w:color="auto" w:sz="4" w:space="0"/>
            </w:tcBorders>
            <w:vAlign w:val="center"/>
          </w:tcPr>
          <w:p w14:paraId="78F35B2B">
            <w:pPr>
              <w:widowControl/>
              <w:jc w:val="center"/>
              <w:rPr>
                <w:rFonts w:ascii="宋体" w:hAnsi="宋体" w:cs="宋体"/>
                <w:sz w:val="18"/>
                <w:szCs w:val="18"/>
              </w:rPr>
            </w:pPr>
            <w:r>
              <w:rPr>
                <w:rFonts w:hint="eastAsia" w:ascii="宋体" w:hAnsi="宋体" w:cs="宋体"/>
                <w:sz w:val="18"/>
                <w:szCs w:val="18"/>
              </w:rPr>
              <w:t>5≤X＜20</w:t>
            </w:r>
          </w:p>
        </w:tc>
        <w:tc>
          <w:tcPr>
            <w:tcW w:w="526" w:type="pct"/>
            <w:tcBorders>
              <w:top w:val="single" w:color="auto" w:sz="4" w:space="0"/>
              <w:left w:val="single" w:color="auto" w:sz="4" w:space="0"/>
              <w:bottom w:val="single" w:color="auto" w:sz="4" w:space="0"/>
              <w:right w:val="single" w:color="auto" w:sz="4" w:space="0"/>
            </w:tcBorders>
            <w:vAlign w:val="center"/>
          </w:tcPr>
          <w:p w14:paraId="1EBD78FB">
            <w:pPr>
              <w:widowControl/>
              <w:jc w:val="center"/>
              <w:rPr>
                <w:rFonts w:ascii="宋体" w:hAnsi="宋体" w:cs="宋体"/>
                <w:sz w:val="18"/>
                <w:szCs w:val="18"/>
              </w:rPr>
            </w:pPr>
            <w:r>
              <w:rPr>
                <w:rFonts w:hint="eastAsia" w:ascii="宋体" w:hAnsi="宋体" w:cs="宋体"/>
                <w:sz w:val="18"/>
                <w:szCs w:val="18"/>
              </w:rPr>
              <w:t>X＜5</w:t>
            </w:r>
          </w:p>
        </w:tc>
      </w:tr>
      <w:tr w14:paraId="13C09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120" w:type="pct"/>
            <w:vMerge w:val="continue"/>
            <w:tcBorders>
              <w:top w:val="single" w:color="auto" w:sz="4" w:space="0"/>
              <w:left w:val="single" w:color="auto" w:sz="4" w:space="0"/>
              <w:bottom w:val="single" w:color="auto" w:sz="4" w:space="0"/>
              <w:right w:val="single" w:color="auto" w:sz="4" w:space="0"/>
            </w:tcBorders>
            <w:vAlign w:val="center"/>
          </w:tcPr>
          <w:p w14:paraId="423181AA">
            <w:pPr>
              <w:widowControl/>
              <w:jc w:val="left"/>
              <w:rPr>
                <w:rFonts w:ascii="宋体" w:hAnsi="宋体" w:cs="宋体"/>
                <w:sz w:val="18"/>
                <w:szCs w:val="18"/>
              </w:rPr>
            </w:pPr>
          </w:p>
        </w:tc>
        <w:tc>
          <w:tcPr>
            <w:tcW w:w="725" w:type="pct"/>
            <w:tcBorders>
              <w:top w:val="single" w:color="auto" w:sz="4" w:space="0"/>
              <w:left w:val="single" w:color="auto" w:sz="4" w:space="0"/>
              <w:bottom w:val="single" w:color="auto" w:sz="4" w:space="0"/>
              <w:right w:val="single" w:color="auto" w:sz="4" w:space="0"/>
            </w:tcBorders>
            <w:vAlign w:val="center"/>
          </w:tcPr>
          <w:p w14:paraId="75476DC5">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376" w:type="pct"/>
            <w:tcBorders>
              <w:top w:val="single" w:color="auto" w:sz="4" w:space="0"/>
              <w:left w:val="single" w:color="auto" w:sz="4" w:space="0"/>
              <w:bottom w:val="single" w:color="auto" w:sz="4" w:space="0"/>
              <w:right w:val="single" w:color="auto" w:sz="4" w:space="0"/>
            </w:tcBorders>
            <w:vAlign w:val="center"/>
          </w:tcPr>
          <w:p w14:paraId="1879FA04">
            <w:pPr>
              <w:widowControl/>
              <w:jc w:val="center"/>
              <w:rPr>
                <w:rFonts w:ascii="宋体" w:hAnsi="宋体" w:cs="宋体"/>
                <w:sz w:val="18"/>
                <w:szCs w:val="18"/>
              </w:rPr>
            </w:pPr>
            <w:r>
              <w:rPr>
                <w:rFonts w:hint="eastAsia" w:ascii="宋体" w:hAnsi="宋体" w:cs="宋体"/>
                <w:sz w:val="18"/>
                <w:szCs w:val="18"/>
              </w:rPr>
              <w:t>万元</w:t>
            </w:r>
          </w:p>
        </w:tc>
        <w:tc>
          <w:tcPr>
            <w:tcW w:w="596" w:type="pct"/>
            <w:tcBorders>
              <w:top w:val="single" w:color="auto" w:sz="4" w:space="0"/>
              <w:left w:val="single" w:color="auto" w:sz="4" w:space="0"/>
              <w:bottom w:val="single" w:color="auto" w:sz="4" w:space="0"/>
              <w:right w:val="single" w:color="auto" w:sz="4" w:space="0"/>
            </w:tcBorders>
            <w:vAlign w:val="center"/>
          </w:tcPr>
          <w:p w14:paraId="1643C988">
            <w:pPr>
              <w:widowControl/>
              <w:jc w:val="center"/>
              <w:rPr>
                <w:rFonts w:ascii="宋体" w:hAnsi="宋体" w:cs="宋体"/>
                <w:sz w:val="18"/>
                <w:szCs w:val="18"/>
              </w:rPr>
            </w:pPr>
            <w:r>
              <w:rPr>
                <w:rFonts w:hint="eastAsia" w:ascii="宋体" w:hAnsi="宋体" w:cs="宋体"/>
                <w:sz w:val="18"/>
                <w:szCs w:val="18"/>
              </w:rPr>
              <w:t>Y≥40000</w:t>
            </w:r>
          </w:p>
        </w:tc>
        <w:tc>
          <w:tcPr>
            <w:tcW w:w="902" w:type="pct"/>
            <w:tcBorders>
              <w:top w:val="single" w:color="auto" w:sz="4" w:space="0"/>
              <w:left w:val="single" w:color="auto" w:sz="4" w:space="0"/>
              <w:bottom w:val="single" w:color="auto" w:sz="4" w:space="0"/>
              <w:right w:val="single" w:color="auto" w:sz="4" w:space="0"/>
            </w:tcBorders>
            <w:vAlign w:val="center"/>
          </w:tcPr>
          <w:p w14:paraId="34971C86">
            <w:pPr>
              <w:widowControl/>
              <w:jc w:val="center"/>
              <w:rPr>
                <w:rFonts w:ascii="宋体" w:hAnsi="宋体" w:cs="宋体"/>
                <w:sz w:val="18"/>
                <w:szCs w:val="18"/>
              </w:rPr>
            </w:pPr>
            <w:r>
              <w:rPr>
                <w:rFonts w:hint="eastAsia" w:ascii="宋体" w:hAnsi="宋体" w:cs="宋体"/>
                <w:sz w:val="18"/>
                <w:szCs w:val="18"/>
              </w:rPr>
              <w:t>5000≤Y＜40000</w:t>
            </w:r>
          </w:p>
        </w:tc>
        <w:tc>
          <w:tcPr>
            <w:tcW w:w="756" w:type="pct"/>
            <w:tcBorders>
              <w:top w:val="single" w:color="auto" w:sz="4" w:space="0"/>
              <w:left w:val="single" w:color="auto" w:sz="4" w:space="0"/>
              <w:bottom w:val="single" w:color="auto" w:sz="4" w:space="0"/>
              <w:right w:val="single" w:color="auto" w:sz="4" w:space="0"/>
            </w:tcBorders>
            <w:vAlign w:val="center"/>
          </w:tcPr>
          <w:p w14:paraId="604DBCD8">
            <w:pPr>
              <w:widowControl/>
              <w:ind w:left="-1" w:hanging="1"/>
              <w:jc w:val="center"/>
              <w:rPr>
                <w:rFonts w:ascii="宋体" w:hAnsi="宋体" w:cs="宋体"/>
                <w:sz w:val="18"/>
                <w:szCs w:val="18"/>
              </w:rPr>
            </w:pPr>
            <w:r>
              <w:rPr>
                <w:rFonts w:hint="eastAsia" w:ascii="宋体" w:hAnsi="宋体" w:cs="宋体"/>
                <w:sz w:val="18"/>
                <w:szCs w:val="18"/>
              </w:rPr>
              <w:t>1000≤Y＜5000</w:t>
            </w:r>
          </w:p>
        </w:tc>
        <w:tc>
          <w:tcPr>
            <w:tcW w:w="526" w:type="pct"/>
            <w:tcBorders>
              <w:top w:val="single" w:color="auto" w:sz="4" w:space="0"/>
              <w:left w:val="single" w:color="auto" w:sz="4" w:space="0"/>
              <w:bottom w:val="single" w:color="auto" w:sz="4" w:space="0"/>
              <w:right w:val="single" w:color="auto" w:sz="4" w:space="0"/>
            </w:tcBorders>
            <w:vAlign w:val="center"/>
          </w:tcPr>
          <w:p w14:paraId="0E5AF8FF">
            <w:pPr>
              <w:widowControl/>
              <w:jc w:val="center"/>
              <w:rPr>
                <w:rFonts w:ascii="宋体" w:hAnsi="宋体" w:cs="宋体"/>
                <w:sz w:val="18"/>
                <w:szCs w:val="18"/>
              </w:rPr>
            </w:pPr>
            <w:r>
              <w:rPr>
                <w:rFonts w:hint="eastAsia" w:ascii="宋体" w:hAnsi="宋体" w:cs="宋体"/>
                <w:sz w:val="18"/>
                <w:szCs w:val="18"/>
              </w:rPr>
              <w:t>Y＜1000</w:t>
            </w:r>
          </w:p>
        </w:tc>
      </w:tr>
      <w:tr w14:paraId="0D65E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120" w:type="pct"/>
            <w:vMerge w:val="restart"/>
            <w:tcBorders>
              <w:top w:val="single" w:color="auto" w:sz="4" w:space="0"/>
              <w:left w:val="single" w:color="auto" w:sz="4" w:space="0"/>
              <w:bottom w:val="single" w:color="auto" w:sz="4" w:space="0"/>
              <w:right w:val="single" w:color="auto" w:sz="4" w:space="0"/>
            </w:tcBorders>
            <w:vAlign w:val="center"/>
          </w:tcPr>
          <w:p w14:paraId="03B186A4">
            <w:pPr>
              <w:widowControl/>
              <w:spacing w:line="240" w:lineRule="exact"/>
              <w:jc w:val="left"/>
              <w:rPr>
                <w:rFonts w:ascii="宋体" w:hAnsi="宋体" w:cs="宋体"/>
                <w:sz w:val="18"/>
                <w:szCs w:val="18"/>
              </w:rPr>
            </w:pPr>
            <w:r>
              <w:rPr>
                <w:rFonts w:hint="eastAsia" w:ascii="宋体" w:hAnsi="宋体" w:cs="宋体"/>
                <w:sz w:val="18"/>
                <w:szCs w:val="18"/>
              </w:rPr>
              <w:t>零售业</w:t>
            </w:r>
          </w:p>
        </w:tc>
        <w:tc>
          <w:tcPr>
            <w:tcW w:w="725" w:type="pct"/>
            <w:tcBorders>
              <w:top w:val="single" w:color="auto" w:sz="4" w:space="0"/>
              <w:left w:val="single" w:color="auto" w:sz="4" w:space="0"/>
              <w:bottom w:val="single" w:color="auto" w:sz="4" w:space="0"/>
              <w:right w:val="single" w:color="auto" w:sz="4" w:space="0"/>
            </w:tcBorders>
            <w:vAlign w:val="center"/>
          </w:tcPr>
          <w:p w14:paraId="74D5DA90">
            <w:pPr>
              <w:widowControl/>
              <w:jc w:val="center"/>
              <w:rPr>
                <w:rFonts w:ascii="宋体" w:hAnsi="宋体" w:cs="宋体"/>
                <w:sz w:val="18"/>
                <w:szCs w:val="18"/>
              </w:rPr>
            </w:pPr>
            <w:r>
              <w:rPr>
                <w:rFonts w:hint="eastAsia" w:ascii="宋体" w:hAnsi="宋体" w:cs="宋体"/>
                <w:sz w:val="18"/>
                <w:szCs w:val="18"/>
              </w:rPr>
              <w:t>从业人员(X)</w:t>
            </w:r>
          </w:p>
        </w:tc>
        <w:tc>
          <w:tcPr>
            <w:tcW w:w="376" w:type="pct"/>
            <w:tcBorders>
              <w:top w:val="single" w:color="auto" w:sz="4" w:space="0"/>
              <w:left w:val="single" w:color="auto" w:sz="4" w:space="0"/>
              <w:bottom w:val="single" w:color="auto" w:sz="4" w:space="0"/>
              <w:right w:val="single" w:color="auto" w:sz="4" w:space="0"/>
            </w:tcBorders>
            <w:vAlign w:val="center"/>
          </w:tcPr>
          <w:p w14:paraId="40CDE2CB">
            <w:pPr>
              <w:widowControl/>
              <w:jc w:val="center"/>
              <w:rPr>
                <w:rFonts w:ascii="宋体" w:hAnsi="宋体" w:cs="宋体"/>
                <w:sz w:val="18"/>
                <w:szCs w:val="18"/>
              </w:rPr>
            </w:pPr>
            <w:r>
              <w:rPr>
                <w:rFonts w:hint="eastAsia" w:ascii="宋体" w:hAnsi="宋体" w:cs="宋体"/>
                <w:sz w:val="18"/>
                <w:szCs w:val="18"/>
              </w:rPr>
              <w:t>人</w:t>
            </w:r>
          </w:p>
        </w:tc>
        <w:tc>
          <w:tcPr>
            <w:tcW w:w="596" w:type="pct"/>
            <w:tcBorders>
              <w:top w:val="single" w:color="auto" w:sz="4" w:space="0"/>
              <w:left w:val="single" w:color="auto" w:sz="4" w:space="0"/>
              <w:bottom w:val="single" w:color="auto" w:sz="4" w:space="0"/>
              <w:right w:val="single" w:color="auto" w:sz="4" w:space="0"/>
            </w:tcBorders>
            <w:vAlign w:val="center"/>
          </w:tcPr>
          <w:p w14:paraId="42B167E1">
            <w:pPr>
              <w:widowControl/>
              <w:jc w:val="center"/>
              <w:rPr>
                <w:rFonts w:ascii="宋体" w:hAnsi="宋体" w:cs="宋体"/>
                <w:sz w:val="18"/>
                <w:szCs w:val="18"/>
              </w:rPr>
            </w:pPr>
            <w:r>
              <w:rPr>
                <w:rFonts w:hint="eastAsia" w:ascii="宋体" w:hAnsi="宋体" w:cs="宋体"/>
                <w:sz w:val="18"/>
                <w:szCs w:val="18"/>
              </w:rPr>
              <w:t>X≥300</w:t>
            </w:r>
          </w:p>
        </w:tc>
        <w:tc>
          <w:tcPr>
            <w:tcW w:w="902" w:type="pct"/>
            <w:tcBorders>
              <w:top w:val="single" w:color="auto" w:sz="4" w:space="0"/>
              <w:left w:val="single" w:color="auto" w:sz="4" w:space="0"/>
              <w:bottom w:val="single" w:color="auto" w:sz="4" w:space="0"/>
              <w:right w:val="single" w:color="auto" w:sz="4" w:space="0"/>
            </w:tcBorders>
            <w:vAlign w:val="center"/>
          </w:tcPr>
          <w:p w14:paraId="70E446F4">
            <w:pPr>
              <w:widowControl/>
              <w:jc w:val="center"/>
              <w:rPr>
                <w:rFonts w:ascii="宋体" w:hAnsi="宋体" w:cs="宋体"/>
                <w:sz w:val="18"/>
                <w:szCs w:val="18"/>
              </w:rPr>
            </w:pPr>
            <w:r>
              <w:rPr>
                <w:rFonts w:hint="eastAsia" w:ascii="宋体" w:hAnsi="宋体" w:cs="宋体"/>
                <w:sz w:val="18"/>
                <w:szCs w:val="18"/>
              </w:rPr>
              <w:t>50≤X＜300</w:t>
            </w:r>
          </w:p>
        </w:tc>
        <w:tc>
          <w:tcPr>
            <w:tcW w:w="756" w:type="pct"/>
            <w:tcBorders>
              <w:top w:val="single" w:color="auto" w:sz="4" w:space="0"/>
              <w:left w:val="single" w:color="auto" w:sz="4" w:space="0"/>
              <w:bottom w:val="single" w:color="auto" w:sz="4" w:space="0"/>
              <w:right w:val="single" w:color="auto" w:sz="4" w:space="0"/>
            </w:tcBorders>
            <w:vAlign w:val="center"/>
          </w:tcPr>
          <w:p w14:paraId="0F3A5F60">
            <w:pPr>
              <w:widowControl/>
              <w:ind w:left="-1" w:hanging="1"/>
              <w:jc w:val="center"/>
              <w:rPr>
                <w:rFonts w:ascii="宋体" w:hAnsi="宋体" w:cs="宋体"/>
                <w:sz w:val="18"/>
                <w:szCs w:val="18"/>
              </w:rPr>
            </w:pPr>
            <w:r>
              <w:rPr>
                <w:rFonts w:hint="eastAsia" w:ascii="宋体" w:hAnsi="宋体" w:cs="宋体"/>
                <w:sz w:val="18"/>
                <w:szCs w:val="18"/>
              </w:rPr>
              <w:t xml:space="preserve">10≤X＜50 </w:t>
            </w:r>
          </w:p>
        </w:tc>
        <w:tc>
          <w:tcPr>
            <w:tcW w:w="526" w:type="pct"/>
            <w:tcBorders>
              <w:top w:val="single" w:color="auto" w:sz="4" w:space="0"/>
              <w:left w:val="single" w:color="auto" w:sz="4" w:space="0"/>
              <w:bottom w:val="single" w:color="auto" w:sz="4" w:space="0"/>
              <w:right w:val="single" w:color="auto" w:sz="4" w:space="0"/>
            </w:tcBorders>
            <w:vAlign w:val="center"/>
          </w:tcPr>
          <w:p w14:paraId="490B0028">
            <w:pPr>
              <w:widowControl/>
              <w:jc w:val="center"/>
              <w:rPr>
                <w:rFonts w:ascii="宋体" w:hAnsi="宋体" w:cs="宋体"/>
                <w:sz w:val="18"/>
                <w:szCs w:val="18"/>
              </w:rPr>
            </w:pPr>
            <w:r>
              <w:rPr>
                <w:rFonts w:hint="eastAsia" w:ascii="宋体" w:hAnsi="宋体" w:cs="宋体"/>
                <w:sz w:val="18"/>
                <w:szCs w:val="18"/>
              </w:rPr>
              <w:t>X＜10</w:t>
            </w:r>
          </w:p>
        </w:tc>
      </w:tr>
      <w:tr w14:paraId="31810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120" w:type="pct"/>
            <w:vMerge w:val="continue"/>
            <w:tcBorders>
              <w:top w:val="single" w:color="auto" w:sz="4" w:space="0"/>
              <w:left w:val="single" w:color="auto" w:sz="4" w:space="0"/>
              <w:bottom w:val="single" w:color="auto" w:sz="4" w:space="0"/>
              <w:right w:val="single" w:color="auto" w:sz="4" w:space="0"/>
            </w:tcBorders>
            <w:vAlign w:val="center"/>
          </w:tcPr>
          <w:p w14:paraId="3C268E1B">
            <w:pPr>
              <w:widowControl/>
              <w:jc w:val="left"/>
              <w:rPr>
                <w:rFonts w:ascii="宋体" w:hAnsi="宋体" w:cs="宋体"/>
                <w:sz w:val="18"/>
                <w:szCs w:val="18"/>
              </w:rPr>
            </w:pPr>
          </w:p>
        </w:tc>
        <w:tc>
          <w:tcPr>
            <w:tcW w:w="725" w:type="pct"/>
            <w:tcBorders>
              <w:top w:val="single" w:color="auto" w:sz="4" w:space="0"/>
              <w:left w:val="single" w:color="auto" w:sz="4" w:space="0"/>
              <w:bottom w:val="single" w:color="auto" w:sz="4" w:space="0"/>
              <w:right w:val="single" w:color="auto" w:sz="4" w:space="0"/>
            </w:tcBorders>
            <w:vAlign w:val="center"/>
          </w:tcPr>
          <w:p w14:paraId="10CB74AF">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376" w:type="pct"/>
            <w:tcBorders>
              <w:top w:val="single" w:color="auto" w:sz="4" w:space="0"/>
              <w:left w:val="single" w:color="auto" w:sz="4" w:space="0"/>
              <w:bottom w:val="single" w:color="auto" w:sz="4" w:space="0"/>
              <w:right w:val="single" w:color="auto" w:sz="4" w:space="0"/>
            </w:tcBorders>
            <w:vAlign w:val="center"/>
          </w:tcPr>
          <w:p w14:paraId="00D874B3">
            <w:pPr>
              <w:widowControl/>
              <w:jc w:val="center"/>
              <w:rPr>
                <w:rFonts w:ascii="宋体" w:hAnsi="宋体" w:cs="宋体"/>
                <w:sz w:val="18"/>
                <w:szCs w:val="18"/>
              </w:rPr>
            </w:pPr>
            <w:r>
              <w:rPr>
                <w:rFonts w:hint="eastAsia" w:ascii="宋体" w:hAnsi="宋体" w:cs="宋体"/>
                <w:sz w:val="18"/>
                <w:szCs w:val="18"/>
              </w:rPr>
              <w:t>万元</w:t>
            </w:r>
          </w:p>
        </w:tc>
        <w:tc>
          <w:tcPr>
            <w:tcW w:w="596" w:type="pct"/>
            <w:tcBorders>
              <w:top w:val="single" w:color="auto" w:sz="4" w:space="0"/>
              <w:left w:val="single" w:color="auto" w:sz="4" w:space="0"/>
              <w:bottom w:val="single" w:color="auto" w:sz="4" w:space="0"/>
              <w:right w:val="single" w:color="auto" w:sz="4" w:space="0"/>
            </w:tcBorders>
            <w:vAlign w:val="center"/>
          </w:tcPr>
          <w:p w14:paraId="28D0E06B">
            <w:pPr>
              <w:widowControl/>
              <w:jc w:val="center"/>
              <w:rPr>
                <w:rFonts w:ascii="宋体" w:hAnsi="宋体" w:cs="宋体"/>
                <w:sz w:val="18"/>
                <w:szCs w:val="18"/>
              </w:rPr>
            </w:pPr>
            <w:r>
              <w:rPr>
                <w:rFonts w:hint="eastAsia" w:ascii="宋体" w:hAnsi="宋体" w:cs="宋体"/>
                <w:sz w:val="18"/>
                <w:szCs w:val="18"/>
              </w:rPr>
              <w:t>Y≥20000</w:t>
            </w:r>
          </w:p>
        </w:tc>
        <w:tc>
          <w:tcPr>
            <w:tcW w:w="902" w:type="pct"/>
            <w:tcBorders>
              <w:top w:val="single" w:color="auto" w:sz="4" w:space="0"/>
              <w:left w:val="single" w:color="auto" w:sz="4" w:space="0"/>
              <w:bottom w:val="single" w:color="auto" w:sz="4" w:space="0"/>
              <w:right w:val="single" w:color="auto" w:sz="4" w:space="0"/>
            </w:tcBorders>
            <w:vAlign w:val="center"/>
          </w:tcPr>
          <w:p w14:paraId="18E8C7CF">
            <w:pPr>
              <w:widowControl/>
              <w:jc w:val="center"/>
              <w:rPr>
                <w:rFonts w:ascii="宋体" w:hAnsi="宋体" w:cs="宋体"/>
                <w:sz w:val="18"/>
                <w:szCs w:val="18"/>
              </w:rPr>
            </w:pPr>
            <w:r>
              <w:rPr>
                <w:rFonts w:hint="eastAsia" w:ascii="宋体" w:hAnsi="宋体" w:cs="宋体"/>
                <w:sz w:val="18"/>
                <w:szCs w:val="18"/>
              </w:rPr>
              <w:t>500≤Y＜20000</w:t>
            </w:r>
          </w:p>
        </w:tc>
        <w:tc>
          <w:tcPr>
            <w:tcW w:w="756" w:type="pct"/>
            <w:tcBorders>
              <w:top w:val="single" w:color="auto" w:sz="4" w:space="0"/>
              <w:left w:val="single" w:color="auto" w:sz="4" w:space="0"/>
              <w:bottom w:val="single" w:color="auto" w:sz="4" w:space="0"/>
              <w:right w:val="single" w:color="auto" w:sz="4" w:space="0"/>
            </w:tcBorders>
            <w:vAlign w:val="center"/>
          </w:tcPr>
          <w:p w14:paraId="0EF7AB15">
            <w:pPr>
              <w:widowControl/>
              <w:ind w:left="-1" w:hanging="1"/>
              <w:jc w:val="center"/>
              <w:rPr>
                <w:rFonts w:ascii="宋体" w:hAnsi="宋体" w:cs="宋体"/>
                <w:sz w:val="18"/>
                <w:szCs w:val="18"/>
              </w:rPr>
            </w:pPr>
            <w:r>
              <w:rPr>
                <w:rFonts w:hint="eastAsia" w:ascii="宋体" w:hAnsi="宋体" w:cs="宋体"/>
                <w:sz w:val="18"/>
                <w:szCs w:val="18"/>
              </w:rPr>
              <w:t>100≤Y＜500</w:t>
            </w:r>
          </w:p>
        </w:tc>
        <w:tc>
          <w:tcPr>
            <w:tcW w:w="526" w:type="pct"/>
            <w:tcBorders>
              <w:top w:val="single" w:color="auto" w:sz="4" w:space="0"/>
              <w:left w:val="single" w:color="auto" w:sz="4" w:space="0"/>
              <w:bottom w:val="single" w:color="auto" w:sz="4" w:space="0"/>
              <w:right w:val="single" w:color="auto" w:sz="4" w:space="0"/>
            </w:tcBorders>
            <w:vAlign w:val="center"/>
          </w:tcPr>
          <w:p w14:paraId="3D98FC79">
            <w:pPr>
              <w:widowControl/>
              <w:jc w:val="center"/>
              <w:rPr>
                <w:rFonts w:ascii="宋体" w:hAnsi="宋体" w:cs="宋体"/>
                <w:sz w:val="18"/>
                <w:szCs w:val="18"/>
              </w:rPr>
            </w:pPr>
            <w:r>
              <w:rPr>
                <w:rFonts w:hint="eastAsia" w:ascii="宋体" w:hAnsi="宋体" w:cs="宋体"/>
                <w:sz w:val="18"/>
                <w:szCs w:val="18"/>
              </w:rPr>
              <w:t>Y＜100</w:t>
            </w:r>
          </w:p>
        </w:tc>
      </w:tr>
      <w:tr w14:paraId="00E2B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120" w:type="pct"/>
            <w:vMerge w:val="restart"/>
            <w:tcBorders>
              <w:top w:val="single" w:color="auto" w:sz="4" w:space="0"/>
              <w:left w:val="single" w:color="auto" w:sz="4" w:space="0"/>
              <w:bottom w:val="single" w:color="auto" w:sz="4" w:space="0"/>
              <w:right w:val="single" w:color="auto" w:sz="4" w:space="0"/>
            </w:tcBorders>
            <w:vAlign w:val="center"/>
          </w:tcPr>
          <w:p w14:paraId="423FB785">
            <w:pPr>
              <w:widowControl/>
              <w:spacing w:line="240" w:lineRule="exact"/>
              <w:jc w:val="left"/>
              <w:rPr>
                <w:rFonts w:ascii="宋体" w:hAnsi="宋体" w:cs="宋体"/>
                <w:sz w:val="18"/>
                <w:szCs w:val="18"/>
              </w:rPr>
            </w:pPr>
            <w:r>
              <w:rPr>
                <w:rFonts w:hint="eastAsia" w:ascii="宋体" w:hAnsi="宋体" w:cs="宋体"/>
                <w:sz w:val="18"/>
                <w:szCs w:val="18"/>
              </w:rPr>
              <w:t>交通运输业 ※</w:t>
            </w:r>
          </w:p>
        </w:tc>
        <w:tc>
          <w:tcPr>
            <w:tcW w:w="725" w:type="pct"/>
            <w:tcBorders>
              <w:top w:val="single" w:color="auto" w:sz="4" w:space="0"/>
              <w:left w:val="single" w:color="auto" w:sz="4" w:space="0"/>
              <w:bottom w:val="single" w:color="auto" w:sz="4" w:space="0"/>
              <w:right w:val="single" w:color="auto" w:sz="4" w:space="0"/>
            </w:tcBorders>
            <w:vAlign w:val="center"/>
          </w:tcPr>
          <w:p w14:paraId="45635F8F">
            <w:pPr>
              <w:widowControl/>
              <w:jc w:val="center"/>
              <w:rPr>
                <w:rFonts w:ascii="宋体" w:hAnsi="宋体" w:cs="宋体"/>
                <w:sz w:val="18"/>
                <w:szCs w:val="18"/>
              </w:rPr>
            </w:pPr>
            <w:r>
              <w:rPr>
                <w:rFonts w:hint="eastAsia" w:ascii="宋体" w:hAnsi="宋体" w:cs="宋体"/>
                <w:sz w:val="18"/>
                <w:szCs w:val="18"/>
              </w:rPr>
              <w:t>从业人员(X)</w:t>
            </w:r>
          </w:p>
        </w:tc>
        <w:tc>
          <w:tcPr>
            <w:tcW w:w="376" w:type="pct"/>
            <w:tcBorders>
              <w:top w:val="single" w:color="auto" w:sz="4" w:space="0"/>
              <w:left w:val="single" w:color="auto" w:sz="4" w:space="0"/>
              <w:bottom w:val="single" w:color="auto" w:sz="4" w:space="0"/>
              <w:right w:val="single" w:color="auto" w:sz="4" w:space="0"/>
            </w:tcBorders>
            <w:vAlign w:val="center"/>
          </w:tcPr>
          <w:p w14:paraId="105BB0C4">
            <w:pPr>
              <w:widowControl/>
              <w:jc w:val="center"/>
              <w:rPr>
                <w:rFonts w:ascii="宋体" w:hAnsi="宋体" w:cs="宋体"/>
                <w:sz w:val="18"/>
                <w:szCs w:val="18"/>
              </w:rPr>
            </w:pPr>
            <w:r>
              <w:rPr>
                <w:rFonts w:hint="eastAsia" w:ascii="宋体" w:hAnsi="宋体" w:cs="宋体"/>
                <w:sz w:val="18"/>
                <w:szCs w:val="18"/>
              </w:rPr>
              <w:t>人</w:t>
            </w:r>
          </w:p>
        </w:tc>
        <w:tc>
          <w:tcPr>
            <w:tcW w:w="596" w:type="pct"/>
            <w:tcBorders>
              <w:top w:val="single" w:color="auto" w:sz="4" w:space="0"/>
              <w:left w:val="single" w:color="auto" w:sz="4" w:space="0"/>
              <w:bottom w:val="single" w:color="auto" w:sz="4" w:space="0"/>
              <w:right w:val="single" w:color="auto" w:sz="4" w:space="0"/>
            </w:tcBorders>
            <w:vAlign w:val="center"/>
          </w:tcPr>
          <w:p w14:paraId="14B8C83B">
            <w:pPr>
              <w:widowControl/>
              <w:jc w:val="center"/>
              <w:rPr>
                <w:rFonts w:ascii="宋体" w:hAnsi="宋体" w:cs="宋体"/>
                <w:sz w:val="18"/>
                <w:szCs w:val="18"/>
              </w:rPr>
            </w:pPr>
            <w:r>
              <w:rPr>
                <w:rFonts w:hint="eastAsia" w:ascii="宋体" w:hAnsi="宋体" w:cs="宋体"/>
                <w:sz w:val="18"/>
                <w:szCs w:val="18"/>
              </w:rPr>
              <w:t>X≥1000</w:t>
            </w:r>
          </w:p>
        </w:tc>
        <w:tc>
          <w:tcPr>
            <w:tcW w:w="902" w:type="pct"/>
            <w:tcBorders>
              <w:top w:val="single" w:color="auto" w:sz="4" w:space="0"/>
              <w:left w:val="single" w:color="auto" w:sz="4" w:space="0"/>
              <w:bottom w:val="single" w:color="auto" w:sz="4" w:space="0"/>
              <w:right w:val="single" w:color="auto" w:sz="4" w:space="0"/>
            </w:tcBorders>
            <w:vAlign w:val="center"/>
          </w:tcPr>
          <w:p w14:paraId="4DC372D7">
            <w:pPr>
              <w:widowControl/>
              <w:jc w:val="center"/>
              <w:rPr>
                <w:rFonts w:ascii="宋体" w:hAnsi="宋体" w:cs="宋体"/>
                <w:sz w:val="18"/>
                <w:szCs w:val="18"/>
              </w:rPr>
            </w:pPr>
            <w:r>
              <w:rPr>
                <w:rFonts w:hint="eastAsia" w:ascii="宋体" w:hAnsi="宋体" w:cs="宋体"/>
                <w:sz w:val="18"/>
                <w:szCs w:val="18"/>
              </w:rPr>
              <w:t>300≤X＜1000</w:t>
            </w:r>
          </w:p>
        </w:tc>
        <w:tc>
          <w:tcPr>
            <w:tcW w:w="756" w:type="pct"/>
            <w:tcBorders>
              <w:top w:val="single" w:color="auto" w:sz="4" w:space="0"/>
              <w:left w:val="single" w:color="auto" w:sz="4" w:space="0"/>
              <w:bottom w:val="single" w:color="auto" w:sz="4" w:space="0"/>
              <w:right w:val="single" w:color="auto" w:sz="4" w:space="0"/>
            </w:tcBorders>
            <w:vAlign w:val="center"/>
          </w:tcPr>
          <w:p w14:paraId="34EAA5E3">
            <w:pPr>
              <w:widowControl/>
              <w:jc w:val="center"/>
              <w:rPr>
                <w:rFonts w:ascii="宋体" w:hAnsi="宋体" w:cs="宋体"/>
                <w:sz w:val="18"/>
                <w:szCs w:val="18"/>
              </w:rPr>
            </w:pPr>
            <w:r>
              <w:rPr>
                <w:rFonts w:hint="eastAsia" w:ascii="宋体" w:hAnsi="宋体" w:cs="宋体"/>
                <w:sz w:val="18"/>
                <w:szCs w:val="18"/>
              </w:rPr>
              <w:t>20≤X＜300</w:t>
            </w:r>
          </w:p>
        </w:tc>
        <w:tc>
          <w:tcPr>
            <w:tcW w:w="526" w:type="pct"/>
            <w:tcBorders>
              <w:top w:val="single" w:color="auto" w:sz="4" w:space="0"/>
              <w:left w:val="single" w:color="auto" w:sz="4" w:space="0"/>
              <w:bottom w:val="single" w:color="auto" w:sz="4" w:space="0"/>
              <w:right w:val="single" w:color="auto" w:sz="4" w:space="0"/>
            </w:tcBorders>
            <w:vAlign w:val="center"/>
          </w:tcPr>
          <w:p w14:paraId="247DD972">
            <w:pPr>
              <w:widowControl/>
              <w:jc w:val="center"/>
              <w:rPr>
                <w:rFonts w:ascii="宋体" w:hAnsi="宋体" w:cs="宋体"/>
                <w:sz w:val="18"/>
                <w:szCs w:val="18"/>
              </w:rPr>
            </w:pPr>
            <w:r>
              <w:rPr>
                <w:rFonts w:hint="eastAsia" w:ascii="宋体" w:hAnsi="宋体" w:cs="宋体"/>
                <w:sz w:val="18"/>
                <w:szCs w:val="18"/>
              </w:rPr>
              <w:t>X＜20</w:t>
            </w:r>
          </w:p>
        </w:tc>
      </w:tr>
      <w:tr w14:paraId="13ADF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120" w:type="pct"/>
            <w:vMerge w:val="continue"/>
            <w:tcBorders>
              <w:top w:val="single" w:color="auto" w:sz="4" w:space="0"/>
              <w:left w:val="single" w:color="auto" w:sz="4" w:space="0"/>
              <w:bottom w:val="single" w:color="auto" w:sz="4" w:space="0"/>
              <w:right w:val="single" w:color="auto" w:sz="4" w:space="0"/>
            </w:tcBorders>
            <w:vAlign w:val="center"/>
          </w:tcPr>
          <w:p w14:paraId="2B897424">
            <w:pPr>
              <w:widowControl/>
              <w:jc w:val="left"/>
              <w:rPr>
                <w:rFonts w:ascii="宋体" w:hAnsi="宋体" w:cs="宋体"/>
                <w:sz w:val="18"/>
                <w:szCs w:val="18"/>
              </w:rPr>
            </w:pPr>
          </w:p>
        </w:tc>
        <w:tc>
          <w:tcPr>
            <w:tcW w:w="725" w:type="pct"/>
            <w:tcBorders>
              <w:top w:val="single" w:color="auto" w:sz="4" w:space="0"/>
              <w:left w:val="single" w:color="auto" w:sz="4" w:space="0"/>
              <w:bottom w:val="single" w:color="auto" w:sz="4" w:space="0"/>
              <w:right w:val="single" w:color="auto" w:sz="4" w:space="0"/>
            </w:tcBorders>
            <w:vAlign w:val="center"/>
          </w:tcPr>
          <w:p w14:paraId="729832A3">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376" w:type="pct"/>
            <w:tcBorders>
              <w:top w:val="single" w:color="auto" w:sz="4" w:space="0"/>
              <w:left w:val="single" w:color="auto" w:sz="4" w:space="0"/>
              <w:bottom w:val="single" w:color="auto" w:sz="4" w:space="0"/>
              <w:right w:val="single" w:color="auto" w:sz="4" w:space="0"/>
            </w:tcBorders>
            <w:vAlign w:val="center"/>
          </w:tcPr>
          <w:p w14:paraId="79BE4CCB">
            <w:pPr>
              <w:widowControl/>
              <w:jc w:val="center"/>
              <w:rPr>
                <w:rFonts w:ascii="宋体" w:hAnsi="宋体" w:cs="宋体"/>
                <w:sz w:val="18"/>
                <w:szCs w:val="18"/>
              </w:rPr>
            </w:pPr>
            <w:r>
              <w:rPr>
                <w:rFonts w:hint="eastAsia" w:ascii="宋体" w:hAnsi="宋体" w:cs="宋体"/>
                <w:sz w:val="18"/>
                <w:szCs w:val="18"/>
              </w:rPr>
              <w:t>万元</w:t>
            </w:r>
          </w:p>
        </w:tc>
        <w:tc>
          <w:tcPr>
            <w:tcW w:w="596" w:type="pct"/>
            <w:tcBorders>
              <w:top w:val="single" w:color="auto" w:sz="4" w:space="0"/>
              <w:left w:val="single" w:color="auto" w:sz="4" w:space="0"/>
              <w:bottom w:val="single" w:color="auto" w:sz="4" w:space="0"/>
              <w:right w:val="single" w:color="auto" w:sz="4" w:space="0"/>
            </w:tcBorders>
            <w:vAlign w:val="center"/>
          </w:tcPr>
          <w:p w14:paraId="1B13CADA">
            <w:pPr>
              <w:widowControl/>
              <w:jc w:val="center"/>
              <w:rPr>
                <w:rFonts w:ascii="宋体" w:hAnsi="宋体" w:cs="宋体"/>
                <w:sz w:val="18"/>
                <w:szCs w:val="18"/>
              </w:rPr>
            </w:pPr>
            <w:r>
              <w:rPr>
                <w:rFonts w:hint="eastAsia" w:ascii="宋体" w:hAnsi="宋体" w:cs="宋体"/>
                <w:sz w:val="18"/>
                <w:szCs w:val="18"/>
              </w:rPr>
              <w:t>Y≥30000</w:t>
            </w:r>
          </w:p>
        </w:tc>
        <w:tc>
          <w:tcPr>
            <w:tcW w:w="902" w:type="pct"/>
            <w:tcBorders>
              <w:top w:val="single" w:color="auto" w:sz="4" w:space="0"/>
              <w:left w:val="single" w:color="auto" w:sz="4" w:space="0"/>
              <w:bottom w:val="single" w:color="auto" w:sz="4" w:space="0"/>
              <w:right w:val="single" w:color="auto" w:sz="4" w:space="0"/>
            </w:tcBorders>
            <w:vAlign w:val="center"/>
          </w:tcPr>
          <w:p w14:paraId="3C2A97D6">
            <w:pPr>
              <w:widowControl/>
              <w:jc w:val="center"/>
              <w:rPr>
                <w:rFonts w:ascii="宋体" w:hAnsi="宋体" w:cs="宋体"/>
                <w:sz w:val="18"/>
                <w:szCs w:val="18"/>
              </w:rPr>
            </w:pPr>
            <w:r>
              <w:rPr>
                <w:rFonts w:hint="eastAsia" w:ascii="宋体" w:hAnsi="宋体" w:cs="宋体"/>
                <w:sz w:val="18"/>
                <w:szCs w:val="18"/>
              </w:rPr>
              <w:t>3000≤Y＜30000</w:t>
            </w:r>
          </w:p>
        </w:tc>
        <w:tc>
          <w:tcPr>
            <w:tcW w:w="756" w:type="pct"/>
            <w:tcBorders>
              <w:top w:val="single" w:color="auto" w:sz="4" w:space="0"/>
              <w:left w:val="single" w:color="auto" w:sz="4" w:space="0"/>
              <w:bottom w:val="single" w:color="auto" w:sz="4" w:space="0"/>
              <w:right w:val="single" w:color="auto" w:sz="4" w:space="0"/>
            </w:tcBorders>
            <w:vAlign w:val="center"/>
          </w:tcPr>
          <w:p w14:paraId="4E0ECF24">
            <w:pPr>
              <w:widowControl/>
              <w:jc w:val="center"/>
              <w:rPr>
                <w:rFonts w:ascii="宋体" w:hAnsi="宋体" w:cs="宋体"/>
                <w:sz w:val="18"/>
                <w:szCs w:val="18"/>
              </w:rPr>
            </w:pPr>
            <w:r>
              <w:rPr>
                <w:rFonts w:hint="eastAsia" w:ascii="宋体" w:hAnsi="宋体" w:cs="宋体"/>
                <w:sz w:val="18"/>
                <w:szCs w:val="18"/>
              </w:rPr>
              <w:t>200≤Y＜3000</w:t>
            </w:r>
          </w:p>
        </w:tc>
        <w:tc>
          <w:tcPr>
            <w:tcW w:w="526" w:type="pct"/>
            <w:tcBorders>
              <w:top w:val="single" w:color="auto" w:sz="4" w:space="0"/>
              <w:left w:val="single" w:color="auto" w:sz="4" w:space="0"/>
              <w:bottom w:val="single" w:color="auto" w:sz="4" w:space="0"/>
              <w:right w:val="single" w:color="auto" w:sz="4" w:space="0"/>
            </w:tcBorders>
            <w:vAlign w:val="center"/>
          </w:tcPr>
          <w:p w14:paraId="6D8FC5E1">
            <w:pPr>
              <w:widowControl/>
              <w:jc w:val="center"/>
              <w:rPr>
                <w:rFonts w:ascii="宋体" w:hAnsi="宋体" w:cs="宋体"/>
                <w:sz w:val="18"/>
                <w:szCs w:val="18"/>
              </w:rPr>
            </w:pPr>
            <w:r>
              <w:rPr>
                <w:rFonts w:hint="eastAsia" w:ascii="宋体" w:hAnsi="宋体" w:cs="宋体"/>
                <w:sz w:val="18"/>
                <w:szCs w:val="18"/>
              </w:rPr>
              <w:t>Y＜200</w:t>
            </w:r>
          </w:p>
        </w:tc>
      </w:tr>
      <w:tr w14:paraId="0797B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120" w:type="pct"/>
            <w:vMerge w:val="restart"/>
            <w:tcBorders>
              <w:top w:val="single" w:color="auto" w:sz="4" w:space="0"/>
              <w:left w:val="single" w:color="auto" w:sz="4" w:space="0"/>
              <w:bottom w:val="single" w:color="auto" w:sz="4" w:space="0"/>
              <w:right w:val="single" w:color="auto" w:sz="4" w:space="0"/>
            </w:tcBorders>
            <w:vAlign w:val="center"/>
          </w:tcPr>
          <w:p w14:paraId="60E22E5D">
            <w:pPr>
              <w:widowControl/>
              <w:spacing w:line="240" w:lineRule="exact"/>
              <w:jc w:val="left"/>
              <w:rPr>
                <w:rFonts w:ascii="宋体" w:hAnsi="宋体" w:cs="宋体"/>
                <w:sz w:val="18"/>
                <w:szCs w:val="18"/>
              </w:rPr>
            </w:pPr>
            <w:r>
              <w:rPr>
                <w:rFonts w:hint="eastAsia" w:ascii="宋体" w:hAnsi="宋体" w:cs="宋体"/>
                <w:sz w:val="18"/>
                <w:szCs w:val="18"/>
              </w:rPr>
              <w:t>仓储业※</w:t>
            </w:r>
          </w:p>
        </w:tc>
        <w:tc>
          <w:tcPr>
            <w:tcW w:w="725" w:type="pct"/>
            <w:tcBorders>
              <w:top w:val="single" w:color="auto" w:sz="4" w:space="0"/>
              <w:left w:val="single" w:color="auto" w:sz="4" w:space="0"/>
              <w:bottom w:val="single" w:color="auto" w:sz="4" w:space="0"/>
              <w:right w:val="single" w:color="auto" w:sz="4" w:space="0"/>
            </w:tcBorders>
            <w:vAlign w:val="center"/>
          </w:tcPr>
          <w:p w14:paraId="0A46AC01">
            <w:pPr>
              <w:widowControl/>
              <w:jc w:val="center"/>
              <w:rPr>
                <w:rFonts w:ascii="宋体" w:hAnsi="宋体" w:cs="宋体"/>
                <w:sz w:val="18"/>
                <w:szCs w:val="18"/>
              </w:rPr>
            </w:pPr>
            <w:r>
              <w:rPr>
                <w:rFonts w:hint="eastAsia" w:ascii="宋体" w:hAnsi="宋体" w:cs="宋体"/>
                <w:sz w:val="18"/>
                <w:szCs w:val="18"/>
              </w:rPr>
              <w:t>从业人员(X)</w:t>
            </w:r>
          </w:p>
        </w:tc>
        <w:tc>
          <w:tcPr>
            <w:tcW w:w="376" w:type="pct"/>
            <w:tcBorders>
              <w:top w:val="single" w:color="auto" w:sz="4" w:space="0"/>
              <w:left w:val="single" w:color="auto" w:sz="4" w:space="0"/>
              <w:bottom w:val="single" w:color="auto" w:sz="4" w:space="0"/>
              <w:right w:val="single" w:color="auto" w:sz="4" w:space="0"/>
            </w:tcBorders>
            <w:vAlign w:val="center"/>
          </w:tcPr>
          <w:p w14:paraId="450044A6">
            <w:pPr>
              <w:widowControl/>
              <w:jc w:val="center"/>
              <w:rPr>
                <w:rFonts w:ascii="宋体" w:hAnsi="宋体" w:cs="宋体"/>
                <w:sz w:val="18"/>
                <w:szCs w:val="18"/>
              </w:rPr>
            </w:pPr>
            <w:r>
              <w:rPr>
                <w:rFonts w:hint="eastAsia" w:ascii="宋体" w:hAnsi="宋体" w:cs="宋体"/>
                <w:sz w:val="18"/>
                <w:szCs w:val="18"/>
              </w:rPr>
              <w:t>人</w:t>
            </w:r>
          </w:p>
        </w:tc>
        <w:tc>
          <w:tcPr>
            <w:tcW w:w="596" w:type="pct"/>
            <w:tcBorders>
              <w:top w:val="single" w:color="auto" w:sz="4" w:space="0"/>
              <w:left w:val="single" w:color="auto" w:sz="4" w:space="0"/>
              <w:bottom w:val="single" w:color="auto" w:sz="4" w:space="0"/>
              <w:right w:val="single" w:color="auto" w:sz="4" w:space="0"/>
            </w:tcBorders>
            <w:vAlign w:val="center"/>
          </w:tcPr>
          <w:p w14:paraId="0C0F8B72">
            <w:pPr>
              <w:widowControl/>
              <w:jc w:val="center"/>
              <w:rPr>
                <w:rFonts w:ascii="宋体" w:hAnsi="宋体" w:cs="宋体"/>
                <w:sz w:val="18"/>
                <w:szCs w:val="18"/>
              </w:rPr>
            </w:pPr>
            <w:r>
              <w:rPr>
                <w:rFonts w:hint="eastAsia" w:ascii="宋体" w:hAnsi="宋体" w:cs="宋体"/>
                <w:sz w:val="18"/>
                <w:szCs w:val="18"/>
              </w:rPr>
              <w:t>X≥200</w:t>
            </w:r>
          </w:p>
        </w:tc>
        <w:tc>
          <w:tcPr>
            <w:tcW w:w="902" w:type="pct"/>
            <w:tcBorders>
              <w:top w:val="single" w:color="auto" w:sz="4" w:space="0"/>
              <w:left w:val="single" w:color="auto" w:sz="4" w:space="0"/>
              <w:bottom w:val="single" w:color="auto" w:sz="4" w:space="0"/>
              <w:right w:val="single" w:color="auto" w:sz="4" w:space="0"/>
            </w:tcBorders>
            <w:vAlign w:val="center"/>
          </w:tcPr>
          <w:p w14:paraId="6F45A327">
            <w:pPr>
              <w:widowControl/>
              <w:ind w:left="1" w:hanging="108"/>
              <w:jc w:val="center"/>
              <w:rPr>
                <w:rFonts w:ascii="宋体" w:hAnsi="宋体" w:cs="宋体"/>
                <w:sz w:val="18"/>
                <w:szCs w:val="18"/>
              </w:rPr>
            </w:pPr>
            <w:r>
              <w:rPr>
                <w:rFonts w:hint="eastAsia" w:ascii="宋体" w:hAnsi="宋体" w:cs="宋体"/>
                <w:sz w:val="18"/>
                <w:szCs w:val="18"/>
              </w:rPr>
              <w:t>100≤X＜200</w:t>
            </w:r>
          </w:p>
        </w:tc>
        <w:tc>
          <w:tcPr>
            <w:tcW w:w="756" w:type="pct"/>
            <w:tcBorders>
              <w:top w:val="single" w:color="auto" w:sz="4" w:space="0"/>
              <w:left w:val="single" w:color="auto" w:sz="4" w:space="0"/>
              <w:bottom w:val="single" w:color="auto" w:sz="4" w:space="0"/>
              <w:right w:val="single" w:color="auto" w:sz="4" w:space="0"/>
            </w:tcBorders>
            <w:vAlign w:val="center"/>
          </w:tcPr>
          <w:p w14:paraId="7D28AF8E">
            <w:pPr>
              <w:widowControl/>
              <w:jc w:val="center"/>
              <w:rPr>
                <w:rFonts w:ascii="宋体" w:hAnsi="宋体" w:cs="宋体"/>
                <w:sz w:val="18"/>
                <w:szCs w:val="18"/>
              </w:rPr>
            </w:pPr>
            <w:r>
              <w:rPr>
                <w:rFonts w:hint="eastAsia" w:ascii="宋体" w:hAnsi="宋体" w:cs="宋体"/>
                <w:sz w:val="18"/>
                <w:szCs w:val="18"/>
              </w:rPr>
              <w:t>20≤X＜100</w:t>
            </w:r>
          </w:p>
        </w:tc>
        <w:tc>
          <w:tcPr>
            <w:tcW w:w="526" w:type="pct"/>
            <w:tcBorders>
              <w:top w:val="single" w:color="auto" w:sz="4" w:space="0"/>
              <w:left w:val="single" w:color="auto" w:sz="4" w:space="0"/>
              <w:bottom w:val="single" w:color="auto" w:sz="4" w:space="0"/>
              <w:right w:val="single" w:color="auto" w:sz="4" w:space="0"/>
            </w:tcBorders>
            <w:vAlign w:val="center"/>
          </w:tcPr>
          <w:p w14:paraId="2E91024F">
            <w:pPr>
              <w:widowControl/>
              <w:jc w:val="center"/>
              <w:rPr>
                <w:rFonts w:ascii="宋体" w:hAnsi="宋体" w:cs="宋体"/>
                <w:sz w:val="18"/>
                <w:szCs w:val="18"/>
              </w:rPr>
            </w:pPr>
            <w:r>
              <w:rPr>
                <w:rFonts w:hint="eastAsia" w:ascii="宋体" w:hAnsi="宋体" w:cs="宋体"/>
                <w:sz w:val="18"/>
                <w:szCs w:val="18"/>
              </w:rPr>
              <w:t>X＜20</w:t>
            </w:r>
          </w:p>
        </w:tc>
      </w:tr>
      <w:tr w14:paraId="6E4E5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120" w:type="pct"/>
            <w:vMerge w:val="continue"/>
            <w:tcBorders>
              <w:top w:val="single" w:color="auto" w:sz="4" w:space="0"/>
              <w:left w:val="single" w:color="auto" w:sz="4" w:space="0"/>
              <w:bottom w:val="single" w:color="auto" w:sz="4" w:space="0"/>
              <w:right w:val="single" w:color="auto" w:sz="4" w:space="0"/>
            </w:tcBorders>
            <w:vAlign w:val="center"/>
          </w:tcPr>
          <w:p w14:paraId="18D56EBB">
            <w:pPr>
              <w:widowControl/>
              <w:jc w:val="left"/>
              <w:rPr>
                <w:rFonts w:ascii="宋体" w:hAnsi="宋体" w:cs="宋体"/>
                <w:sz w:val="18"/>
                <w:szCs w:val="18"/>
              </w:rPr>
            </w:pPr>
          </w:p>
        </w:tc>
        <w:tc>
          <w:tcPr>
            <w:tcW w:w="725" w:type="pct"/>
            <w:tcBorders>
              <w:top w:val="single" w:color="auto" w:sz="4" w:space="0"/>
              <w:left w:val="single" w:color="auto" w:sz="4" w:space="0"/>
              <w:bottom w:val="single" w:color="auto" w:sz="4" w:space="0"/>
              <w:right w:val="single" w:color="auto" w:sz="4" w:space="0"/>
            </w:tcBorders>
            <w:vAlign w:val="center"/>
          </w:tcPr>
          <w:p w14:paraId="1C9DDBDE">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376" w:type="pct"/>
            <w:tcBorders>
              <w:top w:val="single" w:color="auto" w:sz="4" w:space="0"/>
              <w:left w:val="single" w:color="auto" w:sz="4" w:space="0"/>
              <w:bottom w:val="single" w:color="auto" w:sz="4" w:space="0"/>
              <w:right w:val="single" w:color="auto" w:sz="4" w:space="0"/>
            </w:tcBorders>
            <w:vAlign w:val="center"/>
          </w:tcPr>
          <w:p w14:paraId="240F502E">
            <w:pPr>
              <w:widowControl/>
              <w:jc w:val="center"/>
              <w:rPr>
                <w:rFonts w:ascii="宋体" w:hAnsi="宋体" w:cs="宋体"/>
                <w:sz w:val="18"/>
                <w:szCs w:val="18"/>
              </w:rPr>
            </w:pPr>
            <w:r>
              <w:rPr>
                <w:rFonts w:hint="eastAsia" w:ascii="宋体" w:hAnsi="宋体" w:cs="宋体"/>
                <w:sz w:val="18"/>
                <w:szCs w:val="18"/>
              </w:rPr>
              <w:t>万元</w:t>
            </w:r>
          </w:p>
        </w:tc>
        <w:tc>
          <w:tcPr>
            <w:tcW w:w="596" w:type="pct"/>
            <w:tcBorders>
              <w:top w:val="single" w:color="auto" w:sz="4" w:space="0"/>
              <w:left w:val="single" w:color="auto" w:sz="4" w:space="0"/>
              <w:bottom w:val="single" w:color="auto" w:sz="4" w:space="0"/>
              <w:right w:val="single" w:color="auto" w:sz="4" w:space="0"/>
            </w:tcBorders>
            <w:vAlign w:val="center"/>
          </w:tcPr>
          <w:p w14:paraId="15BF72A9">
            <w:pPr>
              <w:widowControl/>
              <w:jc w:val="center"/>
              <w:rPr>
                <w:rFonts w:ascii="宋体" w:hAnsi="宋体" w:cs="宋体"/>
                <w:sz w:val="18"/>
                <w:szCs w:val="18"/>
              </w:rPr>
            </w:pPr>
            <w:r>
              <w:rPr>
                <w:rFonts w:hint="eastAsia" w:ascii="宋体" w:hAnsi="宋体" w:cs="宋体"/>
                <w:sz w:val="18"/>
                <w:szCs w:val="18"/>
              </w:rPr>
              <w:t>Y≥30000</w:t>
            </w:r>
          </w:p>
        </w:tc>
        <w:tc>
          <w:tcPr>
            <w:tcW w:w="902" w:type="pct"/>
            <w:tcBorders>
              <w:top w:val="single" w:color="auto" w:sz="4" w:space="0"/>
              <w:left w:val="single" w:color="auto" w:sz="4" w:space="0"/>
              <w:bottom w:val="single" w:color="auto" w:sz="4" w:space="0"/>
              <w:right w:val="single" w:color="auto" w:sz="4" w:space="0"/>
            </w:tcBorders>
            <w:vAlign w:val="center"/>
          </w:tcPr>
          <w:p w14:paraId="0D23BA3A">
            <w:pPr>
              <w:widowControl/>
              <w:jc w:val="center"/>
              <w:rPr>
                <w:rFonts w:ascii="宋体" w:hAnsi="宋体" w:cs="宋体"/>
                <w:sz w:val="18"/>
                <w:szCs w:val="18"/>
              </w:rPr>
            </w:pPr>
            <w:r>
              <w:rPr>
                <w:rFonts w:hint="eastAsia" w:ascii="宋体" w:hAnsi="宋体" w:cs="宋体"/>
                <w:sz w:val="18"/>
                <w:szCs w:val="18"/>
              </w:rPr>
              <w:t>1000≤Y＜30000</w:t>
            </w:r>
          </w:p>
        </w:tc>
        <w:tc>
          <w:tcPr>
            <w:tcW w:w="756" w:type="pct"/>
            <w:tcBorders>
              <w:top w:val="single" w:color="auto" w:sz="4" w:space="0"/>
              <w:left w:val="single" w:color="auto" w:sz="4" w:space="0"/>
              <w:bottom w:val="single" w:color="auto" w:sz="4" w:space="0"/>
              <w:right w:val="single" w:color="auto" w:sz="4" w:space="0"/>
            </w:tcBorders>
            <w:vAlign w:val="center"/>
          </w:tcPr>
          <w:p w14:paraId="17644D5C">
            <w:pPr>
              <w:widowControl/>
              <w:jc w:val="center"/>
              <w:rPr>
                <w:rFonts w:ascii="宋体" w:hAnsi="宋体" w:cs="宋体"/>
                <w:sz w:val="18"/>
                <w:szCs w:val="18"/>
              </w:rPr>
            </w:pPr>
            <w:r>
              <w:rPr>
                <w:rFonts w:hint="eastAsia" w:ascii="宋体" w:hAnsi="宋体" w:cs="宋体"/>
                <w:sz w:val="18"/>
                <w:szCs w:val="18"/>
              </w:rPr>
              <w:t>100≤Y＜1000</w:t>
            </w:r>
          </w:p>
        </w:tc>
        <w:tc>
          <w:tcPr>
            <w:tcW w:w="526" w:type="pct"/>
            <w:tcBorders>
              <w:top w:val="single" w:color="auto" w:sz="4" w:space="0"/>
              <w:left w:val="single" w:color="auto" w:sz="4" w:space="0"/>
              <w:bottom w:val="single" w:color="auto" w:sz="4" w:space="0"/>
              <w:right w:val="single" w:color="auto" w:sz="4" w:space="0"/>
            </w:tcBorders>
            <w:vAlign w:val="center"/>
          </w:tcPr>
          <w:p w14:paraId="220BC26B">
            <w:pPr>
              <w:widowControl/>
              <w:jc w:val="center"/>
              <w:rPr>
                <w:rFonts w:ascii="宋体" w:hAnsi="宋体" w:cs="宋体"/>
                <w:sz w:val="18"/>
                <w:szCs w:val="18"/>
              </w:rPr>
            </w:pPr>
            <w:r>
              <w:rPr>
                <w:rFonts w:hint="eastAsia" w:ascii="宋体" w:hAnsi="宋体" w:cs="宋体"/>
                <w:sz w:val="18"/>
                <w:szCs w:val="18"/>
              </w:rPr>
              <w:t>Y＜100</w:t>
            </w:r>
          </w:p>
        </w:tc>
      </w:tr>
      <w:tr w14:paraId="2A4DF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120" w:type="pct"/>
            <w:vMerge w:val="restart"/>
            <w:tcBorders>
              <w:top w:val="single" w:color="auto" w:sz="4" w:space="0"/>
              <w:left w:val="single" w:color="auto" w:sz="4" w:space="0"/>
              <w:bottom w:val="single" w:color="auto" w:sz="4" w:space="0"/>
              <w:right w:val="single" w:color="auto" w:sz="4" w:space="0"/>
            </w:tcBorders>
            <w:vAlign w:val="center"/>
          </w:tcPr>
          <w:p w14:paraId="29518835">
            <w:pPr>
              <w:widowControl/>
              <w:spacing w:line="240" w:lineRule="exact"/>
              <w:jc w:val="left"/>
              <w:rPr>
                <w:rFonts w:ascii="宋体" w:hAnsi="宋体" w:cs="宋体"/>
                <w:sz w:val="18"/>
                <w:szCs w:val="18"/>
              </w:rPr>
            </w:pPr>
            <w:r>
              <w:rPr>
                <w:rFonts w:hint="eastAsia" w:ascii="宋体" w:hAnsi="宋体" w:cs="宋体"/>
                <w:sz w:val="18"/>
                <w:szCs w:val="18"/>
              </w:rPr>
              <w:t>邮政业</w:t>
            </w:r>
          </w:p>
        </w:tc>
        <w:tc>
          <w:tcPr>
            <w:tcW w:w="725" w:type="pct"/>
            <w:tcBorders>
              <w:top w:val="single" w:color="auto" w:sz="4" w:space="0"/>
              <w:left w:val="single" w:color="auto" w:sz="4" w:space="0"/>
              <w:bottom w:val="single" w:color="auto" w:sz="4" w:space="0"/>
              <w:right w:val="single" w:color="auto" w:sz="4" w:space="0"/>
            </w:tcBorders>
            <w:vAlign w:val="center"/>
          </w:tcPr>
          <w:p w14:paraId="58910CD0">
            <w:pPr>
              <w:widowControl/>
              <w:jc w:val="center"/>
              <w:rPr>
                <w:rFonts w:ascii="宋体" w:hAnsi="宋体" w:cs="宋体"/>
                <w:sz w:val="18"/>
                <w:szCs w:val="18"/>
              </w:rPr>
            </w:pPr>
            <w:r>
              <w:rPr>
                <w:rFonts w:hint="eastAsia" w:ascii="宋体" w:hAnsi="宋体" w:cs="宋体"/>
                <w:sz w:val="18"/>
                <w:szCs w:val="18"/>
              </w:rPr>
              <w:t>从业人员(X)</w:t>
            </w:r>
          </w:p>
        </w:tc>
        <w:tc>
          <w:tcPr>
            <w:tcW w:w="376" w:type="pct"/>
            <w:tcBorders>
              <w:top w:val="single" w:color="auto" w:sz="4" w:space="0"/>
              <w:left w:val="single" w:color="auto" w:sz="4" w:space="0"/>
              <w:bottom w:val="single" w:color="auto" w:sz="4" w:space="0"/>
              <w:right w:val="single" w:color="auto" w:sz="4" w:space="0"/>
            </w:tcBorders>
            <w:vAlign w:val="center"/>
          </w:tcPr>
          <w:p w14:paraId="4D4CA0A8">
            <w:pPr>
              <w:widowControl/>
              <w:jc w:val="center"/>
              <w:rPr>
                <w:rFonts w:ascii="宋体" w:hAnsi="宋体" w:cs="宋体"/>
                <w:sz w:val="18"/>
                <w:szCs w:val="18"/>
              </w:rPr>
            </w:pPr>
            <w:r>
              <w:rPr>
                <w:rFonts w:hint="eastAsia" w:ascii="宋体" w:hAnsi="宋体" w:cs="宋体"/>
                <w:sz w:val="18"/>
                <w:szCs w:val="18"/>
              </w:rPr>
              <w:t>人</w:t>
            </w:r>
          </w:p>
        </w:tc>
        <w:tc>
          <w:tcPr>
            <w:tcW w:w="596" w:type="pct"/>
            <w:tcBorders>
              <w:top w:val="single" w:color="auto" w:sz="4" w:space="0"/>
              <w:left w:val="single" w:color="auto" w:sz="4" w:space="0"/>
              <w:bottom w:val="single" w:color="auto" w:sz="4" w:space="0"/>
              <w:right w:val="single" w:color="auto" w:sz="4" w:space="0"/>
            </w:tcBorders>
            <w:vAlign w:val="center"/>
          </w:tcPr>
          <w:p w14:paraId="62CE1569">
            <w:pPr>
              <w:widowControl/>
              <w:jc w:val="center"/>
              <w:rPr>
                <w:rFonts w:ascii="宋体" w:hAnsi="宋体" w:cs="宋体"/>
                <w:sz w:val="18"/>
                <w:szCs w:val="18"/>
              </w:rPr>
            </w:pPr>
            <w:r>
              <w:rPr>
                <w:rFonts w:hint="eastAsia" w:ascii="宋体" w:hAnsi="宋体" w:cs="宋体"/>
                <w:sz w:val="18"/>
                <w:szCs w:val="18"/>
              </w:rPr>
              <w:t>X≥1000</w:t>
            </w:r>
          </w:p>
        </w:tc>
        <w:tc>
          <w:tcPr>
            <w:tcW w:w="902" w:type="pct"/>
            <w:tcBorders>
              <w:top w:val="single" w:color="auto" w:sz="4" w:space="0"/>
              <w:left w:val="single" w:color="auto" w:sz="4" w:space="0"/>
              <w:bottom w:val="single" w:color="auto" w:sz="4" w:space="0"/>
              <w:right w:val="single" w:color="auto" w:sz="4" w:space="0"/>
            </w:tcBorders>
            <w:vAlign w:val="center"/>
          </w:tcPr>
          <w:p w14:paraId="287777DE">
            <w:pPr>
              <w:widowControl/>
              <w:jc w:val="center"/>
              <w:rPr>
                <w:rFonts w:ascii="宋体" w:hAnsi="宋体" w:cs="宋体"/>
                <w:sz w:val="18"/>
                <w:szCs w:val="18"/>
              </w:rPr>
            </w:pPr>
            <w:r>
              <w:rPr>
                <w:rFonts w:hint="eastAsia" w:ascii="宋体" w:hAnsi="宋体" w:cs="宋体"/>
                <w:sz w:val="18"/>
                <w:szCs w:val="18"/>
              </w:rPr>
              <w:t>300≤X＜1000</w:t>
            </w:r>
          </w:p>
        </w:tc>
        <w:tc>
          <w:tcPr>
            <w:tcW w:w="756" w:type="pct"/>
            <w:tcBorders>
              <w:top w:val="single" w:color="auto" w:sz="4" w:space="0"/>
              <w:left w:val="single" w:color="auto" w:sz="4" w:space="0"/>
              <w:bottom w:val="single" w:color="auto" w:sz="4" w:space="0"/>
              <w:right w:val="single" w:color="auto" w:sz="4" w:space="0"/>
            </w:tcBorders>
            <w:vAlign w:val="center"/>
          </w:tcPr>
          <w:p w14:paraId="17AB1605">
            <w:pPr>
              <w:widowControl/>
              <w:jc w:val="center"/>
              <w:rPr>
                <w:rFonts w:ascii="宋体" w:hAnsi="宋体" w:cs="宋体"/>
                <w:sz w:val="18"/>
                <w:szCs w:val="18"/>
              </w:rPr>
            </w:pPr>
            <w:r>
              <w:rPr>
                <w:rFonts w:hint="eastAsia" w:ascii="宋体" w:hAnsi="宋体" w:cs="宋体"/>
                <w:sz w:val="18"/>
                <w:szCs w:val="18"/>
              </w:rPr>
              <w:t>20≤X＜300</w:t>
            </w:r>
          </w:p>
        </w:tc>
        <w:tc>
          <w:tcPr>
            <w:tcW w:w="526" w:type="pct"/>
            <w:tcBorders>
              <w:top w:val="single" w:color="auto" w:sz="4" w:space="0"/>
              <w:left w:val="single" w:color="auto" w:sz="4" w:space="0"/>
              <w:bottom w:val="single" w:color="auto" w:sz="4" w:space="0"/>
              <w:right w:val="single" w:color="auto" w:sz="4" w:space="0"/>
            </w:tcBorders>
            <w:vAlign w:val="center"/>
          </w:tcPr>
          <w:p w14:paraId="39E0870A">
            <w:pPr>
              <w:widowControl/>
              <w:jc w:val="center"/>
              <w:rPr>
                <w:rFonts w:ascii="宋体" w:hAnsi="宋体" w:cs="宋体"/>
                <w:sz w:val="18"/>
                <w:szCs w:val="18"/>
              </w:rPr>
            </w:pPr>
            <w:r>
              <w:rPr>
                <w:rFonts w:hint="eastAsia" w:ascii="宋体" w:hAnsi="宋体" w:cs="宋体"/>
                <w:sz w:val="18"/>
                <w:szCs w:val="18"/>
              </w:rPr>
              <w:t>X＜20</w:t>
            </w:r>
          </w:p>
        </w:tc>
      </w:tr>
      <w:tr w14:paraId="741B2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120" w:type="pct"/>
            <w:vMerge w:val="continue"/>
            <w:tcBorders>
              <w:top w:val="single" w:color="auto" w:sz="4" w:space="0"/>
              <w:left w:val="single" w:color="auto" w:sz="4" w:space="0"/>
              <w:bottom w:val="single" w:color="auto" w:sz="4" w:space="0"/>
              <w:right w:val="single" w:color="auto" w:sz="4" w:space="0"/>
            </w:tcBorders>
            <w:vAlign w:val="center"/>
          </w:tcPr>
          <w:p w14:paraId="56297C4D">
            <w:pPr>
              <w:widowControl/>
              <w:jc w:val="left"/>
              <w:rPr>
                <w:rFonts w:ascii="宋体" w:hAnsi="宋体" w:cs="宋体"/>
                <w:sz w:val="18"/>
                <w:szCs w:val="18"/>
              </w:rPr>
            </w:pPr>
          </w:p>
        </w:tc>
        <w:tc>
          <w:tcPr>
            <w:tcW w:w="725" w:type="pct"/>
            <w:tcBorders>
              <w:top w:val="single" w:color="auto" w:sz="4" w:space="0"/>
              <w:left w:val="single" w:color="auto" w:sz="4" w:space="0"/>
              <w:bottom w:val="single" w:color="auto" w:sz="4" w:space="0"/>
              <w:right w:val="single" w:color="auto" w:sz="4" w:space="0"/>
            </w:tcBorders>
            <w:vAlign w:val="center"/>
          </w:tcPr>
          <w:p w14:paraId="1C514145">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376" w:type="pct"/>
            <w:tcBorders>
              <w:top w:val="single" w:color="auto" w:sz="4" w:space="0"/>
              <w:left w:val="single" w:color="auto" w:sz="4" w:space="0"/>
              <w:bottom w:val="single" w:color="auto" w:sz="4" w:space="0"/>
              <w:right w:val="single" w:color="auto" w:sz="4" w:space="0"/>
            </w:tcBorders>
            <w:vAlign w:val="center"/>
          </w:tcPr>
          <w:p w14:paraId="48F5462E">
            <w:pPr>
              <w:widowControl/>
              <w:jc w:val="center"/>
              <w:rPr>
                <w:rFonts w:ascii="宋体" w:hAnsi="宋体" w:cs="宋体"/>
                <w:sz w:val="18"/>
                <w:szCs w:val="18"/>
              </w:rPr>
            </w:pPr>
            <w:r>
              <w:rPr>
                <w:rFonts w:hint="eastAsia" w:ascii="宋体" w:hAnsi="宋体" w:cs="宋体"/>
                <w:sz w:val="18"/>
                <w:szCs w:val="18"/>
              </w:rPr>
              <w:t>万元</w:t>
            </w:r>
          </w:p>
        </w:tc>
        <w:tc>
          <w:tcPr>
            <w:tcW w:w="596" w:type="pct"/>
            <w:tcBorders>
              <w:top w:val="single" w:color="auto" w:sz="4" w:space="0"/>
              <w:left w:val="single" w:color="auto" w:sz="4" w:space="0"/>
              <w:bottom w:val="single" w:color="auto" w:sz="4" w:space="0"/>
              <w:right w:val="single" w:color="auto" w:sz="4" w:space="0"/>
            </w:tcBorders>
            <w:vAlign w:val="center"/>
          </w:tcPr>
          <w:p w14:paraId="2156E14E">
            <w:pPr>
              <w:widowControl/>
              <w:jc w:val="center"/>
              <w:rPr>
                <w:rFonts w:ascii="宋体" w:hAnsi="宋体" w:cs="宋体"/>
                <w:sz w:val="18"/>
                <w:szCs w:val="18"/>
              </w:rPr>
            </w:pPr>
            <w:r>
              <w:rPr>
                <w:rFonts w:hint="eastAsia" w:ascii="宋体" w:hAnsi="宋体" w:cs="宋体"/>
                <w:sz w:val="18"/>
                <w:szCs w:val="18"/>
              </w:rPr>
              <w:t>Y≥30000</w:t>
            </w:r>
          </w:p>
        </w:tc>
        <w:tc>
          <w:tcPr>
            <w:tcW w:w="902" w:type="pct"/>
            <w:tcBorders>
              <w:top w:val="single" w:color="auto" w:sz="4" w:space="0"/>
              <w:left w:val="single" w:color="auto" w:sz="4" w:space="0"/>
              <w:bottom w:val="single" w:color="auto" w:sz="4" w:space="0"/>
              <w:right w:val="single" w:color="auto" w:sz="4" w:space="0"/>
            </w:tcBorders>
            <w:vAlign w:val="center"/>
          </w:tcPr>
          <w:p w14:paraId="72190D35">
            <w:pPr>
              <w:widowControl/>
              <w:jc w:val="center"/>
              <w:rPr>
                <w:rFonts w:ascii="宋体" w:hAnsi="宋体" w:cs="宋体"/>
                <w:sz w:val="18"/>
                <w:szCs w:val="18"/>
              </w:rPr>
            </w:pPr>
            <w:r>
              <w:rPr>
                <w:rFonts w:hint="eastAsia" w:ascii="宋体" w:hAnsi="宋体" w:cs="宋体"/>
                <w:sz w:val="18"/>
                <w:szCs w:val="18"/>
              </w:rPr>
              <w:t>2000≤Y＜30000</w:t>
            </w:r>
          </w:p>
        </w:tc>
        <w:tc>
          <w:tcPr>
            <w:tcW w:w="756" w:type="pct"/>
            <w:tcBorders>
              <w:top w:val="single" w:color="auto" w:sz="4" w:space="0"/>
              <w:left w:val="single" w:color="auto" w:sz="4" w:space="0"/>
              <w:bottom w:val="single" w:color="auto" w:sz="4" w:space="0"/>
              <w:right w:val="single" w:color="auto" w:sz="4" w:space="0"/>
            </w:tcBorders>
            <w:vAlign w:val="center"/>
          </w:tcPr>
          <w:p w14:paraId="4EBE1898">
            <w:pPr>
              <w:widowControl/>
              <w:jc w:val="center"/>
              <w:rPr>
                <w:rFonts w:ascii="宋体" w:hAnsi="宋体" w:cs="宋体"/>
                <w:sz w:val="18"/>
                <w:szCs w:val="18"/>
              </w:rPr>
            </w:pPr>
            <w:r>
              <w:rPr>
                <w:rFonts w:hint="eastAsia" w:ascii="宋体" w:hAnsi="宋体" w:cs="宋体"/>
                <w:sz w:val="18"/>
                <w:szCs w:val="18"/>
              </w:rPr>
              <w:t>100≤Y＜2000</w:t>
            </w:r>
          </w:p>
        </w:tc>
        <w:tc>
          <w:tcPr>
            <w:tcW w:w="526" w:type="pct"/>
            <w:tcBorders>
              <w:top w:val="single" w:color="auto" w:sz="4" w:space="0"/>
              <w:left w:val="single" w:color="auto" w:sz="4" w:space="0"/>
              <w:bottom w:val="single" w:color="auto" w:sz="4" w:space="0"/>
              <w:right w:val="single" w:color="auto" w:sz="4" w:space="0"/>
            </w:tcBorders>
            <w:vAlign w:val="center"/>
          </w:tcPr>
          <w:p w14:paraId="68BF2109">
            <w:pPr>
              <w:widowControl/>
              <w:jc w:val="center"/>
              <w:rPr>
                <w:rFonts w:ascii="宋体" w:hAnsi="宋体" w:cs="宋体"/>
                <w:sz w:val="18"/>
                <w:szCs w:val="18"/>
              </w:rPr>
            </w:pPr>
            <w:r>
              <w:rPr>
                <w:rFonts w:hint="eastAsia" w:ascii="宋体" w:hAnsi="宋体" w:cs="宋体"/>
                <w:sz w:val="18"/>
                <w:szCs w:val="18"/>
              </w:rPr>
              <w:t>Y＜100</w:t>
            </w:r>
          </w:p>
        </w:tc>
      </w:tr>
      <w:tr w14:paraId="1A47A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120" w:type="pct"/>
            <w:vMerge w:val="restart"/>
            <w:tcBorders>
              <w:top w:val="single" w:color="auto" w:sz="4" w:space="0"/>
              <w:left w:val="single" w:color="auto" w:sz="4" w:space="0"/>
              <w:bottom w:val="single" w:color="auto" w:sz="4" w:space="0"/>
              <w:right w:val="single" w:color="auto" w:sz="4" w:space="0"/>
            </w:tcBorders>
            <w:vAlign w:val="center"/>
          </w:tcPr>
          <w:p w14:paraId="5AFB39C9">
            <w:pPr>
              <w:widowControl/>
              <w:spacing w:line="240" w:lineRule="exact"/>
              <w:jc w:val="left"/>
              <w:rPr>
                <w:rFonts w:ascii="宋体" w:hAnsi="宋体" w:cs="宋体"/>
                <w:sz w:val="18"/>
                <w:szCs w:val="18"/>
              </w:rPr>
            </w:pPr>
            <w:r>
              <w:rPr>
                <w:rFonts w:hint="eastAsia" w:ascii="宋体" w:hAnsi="宋体" w:cs="宋体"/>
                <w:sz w:val="18"/>
                <w:szCs w:val="18"/>
              </w:rPr>
              <w:t>住宿业</w:t>
            </w:r>
          </w:p>
        </w:tc>
        <w:tc>
          <w:tcPr>
            <w:tcW w:w="725" w:type="pct"/>
            <w:tcBorders>
              <w:top w:val="single" w:color="auto" w:sz="4" w:space="0"/>
              <w:left w:val="single" w:color="auto" w:sz="4" w:space="0"/>
              <w:bottom w:val="single" w:color="auto" w:sz="4" w:space="0"/>
              <w:right w:val="single" w:color="auto" w:sz="4" w:space="0"/>
            </w:tcBorders>
            <w:vAlign w:val="center"/>
          </w:tcPr>
          <w:p w14:paraId="5229A90E">
            <w:pPr>
              <w:widowControl/>
              <w:jc w:val="center"/>
              <w:rPr>
                <w:rFonts w:ascii="宋体" w:hAnsi="宋体" w:cs="宋体"/>
                <w:sz w:val="18"/>
                <w:szCs w:val="18"/>
              </w:rPr>
            </w:pPr>
            <w:r>
              <w:rPr>
                <w:rFonts w:hint="eastAsia" w:ascii="宋体" w:hAnsi="宋体" w:cs="宋体"/>
                <w:sz w:val="18"/>
                <w:szCs w:val="18"/>
              </w:rPr>
              <w:t>从业人员(X)</w:t>
            </w:r>
          </w:p>
        </w:tc>
        <w:tc>
          <w:tcPr>
            <w:tcW w:w="376" w:type="pct"/>
            <w:tcBorders>
              <w:top w:val="single" w:color="auto" w:sz="4" w:space="0"/>
              <w:left w:val="single" w:color="auto" w:sz="4" w:space="0"/>
              <w:bottom w:val="single" w:color="auto" w:sz="4" w:space="0"/>
              <w:right w:val="single" w:color="auto" w:sz="4" w:space="0"/>
            </w:tcBorders>
            <w:vAlign w:val="center"/>
          </w:tcPr>
          <w:p w14:paraId="246701B0">
            <w:pPr>
              <w:widowControl/>
              <w:jc w:val="center"/>
              <w:rPr>
                <w:rFonts w:ascii="宋体" w:hAnsi="宋体" w:cs="宋体"/>
                <w:sz w:val="18"/>
                <w:szCs w:val="18"/>
              </w:rPr>
            </w:pPr>
            <w:r>
              <w:rPr>
                <w:rFonts w:hint="eastAsia" w:ascii="宋体" w:hAnsi="宋体" w:cs="宋体"/>
                <w:sz w:val="18"/>
                <w:szCs w:val="18"/>
              </w:rPr>
              <w:t>人</w:t>
            </w:r>
          </w:p>
        </w:tc>
        <w:tc>
          <w:tcPr>
            <w:tcW w:w="596" w:type="pct"/>
            <w:tcBorders>
              <w:top w:val="single" w:color="auto" w:sz="4" w:space="0"/>
              <w:left w:val="single" w:color="auto" w:sz="4" w:space="0"/>
              <w:bottom w:val="single" w:color="auto" w:sz="4" w:space="0"/>
              <w:right w:val="single" w:color="auto" w:sz="4" w:space="0"/>
            </w:tcBorders>
            <w:vAlign w:val="center"/>
          </w:tcPr>
          <w:p w14:paraId="62291FE1">
            <w:pPr>
              <w:widowControl/>
              <w:jc w:val="center"/>
              <w:rPr>
                <w:rFonts w:ascii="宋体" w:hAnsi="宋体" w:cs="宋体"/>
                <w:sz w:val="18"/>
                <w:szCs w:val="18"/>
              </w:rPr>
            </w:pPr>
            <w:r>
              <w:rPr>
                <w:rFonts w:hint="eastAsia" w:ascii="宋体" w:hAnsi="宋体" w:cs="宋体"/>
                <w:sz w:val="18"/>
                <w:szCs w:val="18"/>
              </w:rPr>
              <w:t>X≥300</w:t>
            </w:r>
          </w:p>
        </w:tc>
        <w:tc>
          <w:tcPr>
            <w:tcW w:w="902" w:type="pct"/>
            <w:tcBorders>
              <w:top w:val="single" w:color="auto" w:sz="4" w:space="0"/>
              <w:left w:val="single" w:color="auto" w:sz="4" w:space="0"/>
              <w:bottom w:val="single" w:color="auto" w:sz="4" w:space="0"/>
              <w:right w:val="single" w:color="auto" w:sz="4" w:space="0"/>
            </w:tcBorders>
            <w:vAlign w:val="center"/>
          </w:tcPr>
          <w:p w14:paraId="4B9FB0CB">
            <w:pPr>
              <w:widowControl/>
              <w:ind w:left="1" w:hanging="108"/>
              <w:jc w:val="center"/>
              <w:rPr>
                <w:rFonts w:ascii="宋体" w:hAnsi="宋体" w:cs="宋体"/>
                <w:sz w:val="18"/>
                <w:szCs w:val="18"/>
              </w:rPr>
            </w:pPr>
            <w:r>
              <w:rPr>
                <w:rFonts w:hint="eastAsia" w:ascii="宋体" w:hAnsi="宋体" w:cs="宋体"/>
                <w:sz w:val="18"/>
                <w:szCs w:val="18"/>
              </w:rPr>
              <w:t>100≤X＜300</w:t>
            </w:r>
          </w:p>
        </w:tc>
        <w:tc>
          <w:tcPr>
            <w:tcW w:w="756" w:type="pct"/>
            <w:tcBorders>
              <w:top w:val="single" w:color="auto" w:sz="4" w:space="0"/>
              <w:left w:val="single" w:color="auto" w:sz="4" w:space="0"/>
              <w:bottom w:val="single" w:color="auto" w:sz="4" w:space="0"/>
              <w:right w:val="single" w:color="auto" w:sz="4" w:space="0"/>
            </w:tcBorders>
            <w:vAlign w:val="center"/>
          </w:tcPr>
          <w:p w14:paraId="3DA6B6E6">
            <w:pPr>
              <w:widowControl/>
              <w:jc w:val="center"/>
              <w:rPr>
                <w:rFonts w:ascii="宋体" w:hAnsi="宋体" w:cs="宋体"/>
                <w:sz w:val="18"/>
                <w:szCs w:val="18"/>
              </w:rPr>
            </w:pPr>
            <w:r>
              <w:rPr>
                <w:rFonts w:hint="eastAsia" w:ascii="宋体" w:hAnsi="宋体" w:cs="宋体"/>
                <w:sz w:val="18"/>
                <w:szCs w:val="18"/>
              </w:rPr>
              <w:t>10≤X＜100</w:t>
            </w:r>
          </w:p>
        </w:tc>
        <w:tc>
          <w:tcPr>
            <w:tcW w:w="526" w:type="pct"/>
            <w:tcBorders>
              <w:top w:val="single" w:color="auto" w:sz="4" w:space="0"/>
              <w:left w:val="single" w:color="auto" w:sz="4" w:space="0"/>
              <w:bottom w:val="single" w:color="auto" w:sz="4" w:space="0"/>
              <w:right w:val="single" w:color="auto" w:sz="4" w:space="0"/>
            </w:tcBorders>
            <w:vAlign w:val="center"/>
          </w:tcPr>
          <w:p w14:paraId="29688920">
            <w:pPr>
              <w:widowControl/>
              <w:jc w:val="center"/>
              <w:rPr>
                <w:rFonts w:ascii="宋体" w:hAnsi="宋体" w:cs="宋体"/>
                <w:sz w:val="18"/>
                <w:szCs w:val="18"/>
              </w:rPr>
            </w:pPr>
            <w:r>
              <w:rPr>
                <w:rFonts w:hint="eastAsia" w:ascii="宋体" w:hAnsi="宋体" w:cs="宋体"/>
                <w:sz w:val="18"/>
                <w:szCs w:val="18"/>
              </w:rPr>
              <w:t>X＜10</w:t>
            </w:r>
          </w:p>
        </w:tc>
      </w:tr>
      <w:tr w14:paraId="5C64E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120" w:type="pct"/>
            <w:vMerge w:val="continue"/>
            <w:tcBorders>
              <w:top w:val="single" w:color="auto" w:sz="4" w:space="0"/>
              <w:left w:val="single" w:color="auto" w:sz="4" w:space="0"/>
              <w:bottom w:val="single" w:color="auto" w:sz="4" w:space="0"/>
              <w:right w:val="single" w:color="auto" w:sz="4" w:space="0"/>
            </w:tcBorders>
            <w:vAlign w:val="center"/>
          </w:tcPr>
          <w:p w14:paraId="0C3F8AB7">
            <w:pPr>
              <w:widowControl/>
              <w:jc w:val="left"/>
              <w:rPr>
                <w:rFonts w:ascii="宋体" w:hAnsi="宋体" w:cs="宋体"/>
                <w:sz w:val="18"/>
                <w:szCs w:val="18"/>
              </w:rPr>
            </w:pPr>
          </w:p>
        </w:tc>
        <w:tc>
          <w:tcPr>
            <w:tcW w:w="725" w:type="pct"/>
            <w:tcBorders>
              <w:top w:val="single" w:color="auto" w:sz="4" w:space="0"/>
              <w:left w:val="single" w:color="auto" w:sz="4" w:space="0"/>
              <w:bottom w:val="single" w:color="auto" w:sz="4" w:space="0"/>
              <w:right w:val="single" w:color="auto" w:sz="4" w:space="0"/>
            </w:tcBorders>
            <w:vAlign w:val="center"/>
          </w:tcPr>
          <w:p w14:paraId="058F88BA">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376" w:type="pct"/>
            <w:tcBorders>
              <w:top w:val="single" w:color="auto" w:sz="4" w:space="0"/>
              <w:left w:val="single" w:color="auto" w:sz="4" w:space="0"/>
              <w:bottom w:val="single" w:color="auto" w:sz="4" w:space="0"/>
              <w:right w:val="single" w:color="auto" w:sz="4" w:space="0"/>
            </w:tcBorders>
            <w:vAlign w:val="center"/>
          </w:tcPr>
          <w:p w14:paraId="28DAF622">
            <w:pPr>
              <w:widowControl/>
              <w:jc w:val="center"/>
              <w:rPr>
                <w:rFonts w:ascii="宋体" w:hAnsi="宋体" w:cs="宋体"/>
                <w:sz w:val="18"/>
                <w:szCs w:val="18"/>
              </w:rPr>
            </w:pPr>
            <w:r>
              <w:rPr>
                <w:rFonts w:hint="eastAsia" w:ascii="宋体" w:hAnsi="宋体" w:cs="宋体"/>
                <w:sz w:val="18"/>
                <w:szCs w:val="18"/>
              </w:rPr>
              <w:t>万元</w:t>
            </w:r>
          </w:p>
        </w:tc>
        <w:tc>
          <w:tcPr>
            <w:tcW w:w="596" w:type="pct"/>
            <w:tcBorders>
              <w:top w:val="single" w:color="auto" w:sz="4" w:space="0"/>
              <w:left w:val="single" w:color="auto" w:sz="4" w:space="0"/>
              <w:bottom w:val="single" w:color="auto" w:sz="4" w:space="0"/>
              <w:right w:val="single" w:color="auto" w:sz="4" w:space="0"/>
            </w:tcBorders>
            <w:vAlign w:val="center"/>
          </w:tcPr>
          <w:p w14:paraId="518DDA04">
            <w:pPr>
              <w:widowControl/>
              <w:jc w:val="center"/>
              <w:rPr>
                <w:rFonts w:ascii="宋体" w:hAnsi="宋体" w:cs="宋体"/>
                <w:sz w:val="18"/>
                <w:szCs w:val="18"/>
              </w:rPr>
            </w:pPr>
            <w:r>
              <w:rPr>
                <w:rFonts w:hint="eastAsia" w:ascii="宋体" w:hAnsi="宋体" w:cs="宋体"/>
                <w:sz w:val="18"/>
                <w:szCs w:val="18"/>
              </w:rPr>
              <w:t>Y≥10000</w:t>
            </w:r>
          </w:p>
        </w:tc>
        <w:tc>
          <w:tcPr>
            <w:tcW w:w="902" w:type="pct"/>
            <w:tcBorders>
              <w:top w:val="single" w:color="auto" w:sz="4" w:space="0"/>
              <w:left w:val="single" w:color="auto" w:sz="4" w:space="0"/>
              <w:bottom w:val="single" w:color="auto" w:sz="4" w:space="0"/>
              <w:right w:val="single" w:color="auto" w:sz="4" w:space="0"/>
            </w:tcBorders>
            <w:vAlign w:val="center"/>
          </w:tcPr>
          <w:p w14:paraId="32324299">
            <w:pPr>
              <w:widowControl/>
              <w:jc w:val="center"/>
              <w:rPr>
                <w:rFonts w:ascii="宋体" w:hAnsi="宋体" w:cs="宋体"/>
                <w:sz w:val="18"/>
                <w:szCs w:val="18"/>
              </w:rPr>
            </w:pPr>
            <w:r>
              <w:rPr>
                <w:rFonts w:hint="eastAsia" w:ascii="宋体" w:hAnsi="宋体" w:cs="宋体"/>
                <w:sz w:val="18"/>
                <w:szCs w:val="18"/>
              </w:rPr>
              <w:t>2000≤Y＜10000</w:t>
            </w:r>
          </w:p>
        </w:tc>
        <w:tc>
          <w:tcPr>
            <w:tcW w:w="756" w:type="pct"/>
            <w:tcBorders>
              <w:top w:val="single" w:color="auto" w:sz="4" w:space="0"/>
              <w:left w:val="single" w:color="auto" w:sz="4" w:space="0"/>
              <w:bottom w:val="single" w:color="auto" w:sz="4" w:space="0"/>
              <w:right w:val="single" w:color="auto" w:sz="4" w:space="0"/>
            </w:tcBorders>
            <w:vAlign w:val="center"/>
          </w:tcPr>
          <w:p w14:paraId="595E0C0E">
            <w:pPr>
              <w:widowControl/>
              <w:jc w:val="center"/>
              <w:rPr>
                <w:rFonts w:ascii="宋体" w:hAnsi="宋体" w:cs="宋体"/>
                <w:sz w:val="18"/>
                <w:szCs w:val="18"/>
              </w:rPr>
            </w:pPr>
            <w:r>
              <w:rPr>
                <w:rFonts w:hint="eastAsia" w:ascii="宋体" w:hAnsi="宋体" w:cs="宋体"/>
                <w:sz w:val="18"/>
                <w:szCs w:val="18"/>
              </w:rPr>
              <w:t>100≤Y＜2000</w:t>
            </w:r>
          </w:p>
        </w:tc>
        <w:tc>
          <w:tcPr>
            <w:tcW w:w="526" w:type="pct"/>
            <w:tcBorders>
              <w:top w:val="single" w:color="auto" w:sz="4" w:space="0"/>
              <w:left w:val="single" w:color="auto" w:sz="4" w:space="0"/>
              <w:bottom w:val="single" w:color="auto" w:sz="4" w:space="0"/>
              <w:right w:val="single" w:color="auto" w:sz="4" w:space="0"/>
            </w:tcBorders>
            <w:vAlign w:val="center"/>
          </w:tcPr>
          <w:p w14:paraId="02C142E3">
            <w:pPr>
              <w:widowControl/>
              <w:jc w:val="center"/>
              <w:rPr>
                <w:rFonts w:ascii="宋体" w:hAnsi="宋体" w:cs="宋体"/>
                <w:sz w:val="18"/>
                <w:szCs w:val="18"/>
              </w:rPr>
            </w:pPr>
            <w:r>
              <w:rPr>
                <w:rFonts w:hint="eastAsia" w:ascii="宋体" w:hAnsi="宋体" w:cs="宋体"/>
                <w:sz w:val="18"/>
                <w:szCs w:val="18"/>
              </w:rPr>
              <w:t>Y＜100</w:t>
            </w:r>
          </w:p>
        </w:tc>
      </w:tr>
      <w:tr w14:paraId="47E55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120" w:type="pct"/>
            <w:vMerge w:val="restart"/>
            <w:tcBorders>
              <w:top w:val="single" w:color="auto" w:sz="4" w:space="0"/>
              <w:left w:val="single" w:color="auto" w:sz="4" w:space="0"/>
              <w:bottom w:val="single" w:color="auto" w:sz="4" w:space="0"/>
              <w:right w:val="single" w:color="auto" w:sz="4" w:space="0"/>
            </w:tcBorders>
            <w:vAlign w:val="center"/>
          </w:tcPr>
          <w:p w14:paraId="51A8491B">
            <w:pPr>
              <w:widowControl/>
              <w:spacing w:line="240" w:lineRule="exact"/>
              <w:jc w:val="left"/>
              <w:rPr>
                <w:rFonts w:ascii="宋体" w:hAnsi="宋体" w:cs="宋体"/>
                <w:sz w:val="18"/>
                <w:szCs w:val="18"/>
              </w:rPr>
            </w:pPr>
            <w:r>
              <w:rPr>
                <w:rFonts w:hint="eastAsia" w:ascii="宋体" w:hAnsi="宋体" w:cs="宋体"/>
                <w:sz w:val="18"/>
                <w:szCs w:val="18"/>
              </w:rPr>
              <w:t>餐饮业</w:t>
            </w:r>
          </w:p>
        </w:tc>
        <w:tc>
          <w:tcPr>
            <w:tcW w:w="725" w:type="pct"/>
            <w:tcBorders>
              <w:top w:val="single" w:color="auto" w:sz="4" w:space="0"/>
              <w:left w:val="single" w:color="auto" w:sz="4" w:space="0"/>
              <w:bottom w:val="single" w:color="auto" w:sz="4" w:space="0"/>
              <w:right w:val="single" w:color="auto" w:sz="4" w:space="0"/>
            </w:tcBorders>
            <w:vAlign w:val="center"/>
          </w:tcPr>
          <w:p w14:paraId="157D6A16">
            <w:pPr>
              <w:widowControl/>
              <w:jc w:val="center"/>
              <w:rPr>
                <w:rFonts w:ascii="宋体" w:hAnsi="宋体" w:cs="宋体"/>
                <w:sz w:val="18"/>
                <w:szCs w:val="18"/>
              </w:rPr>
            </w:pPr>
            <w:r>
              <w:rPr>
                <w:rFonts w:hint="eastAsia" w:ascii="宋体" w:hAnsi="宋体" w:cs="宋体"/>
                <w:sz w:val="18"/>
                <w:szCs w:val="18"/>
              </w:rPr>
              <w:t>从业人员(X)</w:t>
            </w:r>
          </w:p>
        </w:tc>
        <w:tc>
          <w:tcPr>
            <w:tcW w:w="376" w:type="pct"/>
            <w:tcBorders>
              <w:top w:val="single" w:color="auto" w:sz="4" w:space="0"/>
              <w:left w:val="single" w:color="auto" w:sz="4" w:space="0"/>
              <w:bottom w:val="single" w:color="auto" w:sz="4" w:space="0"/>
              <w:right w:val="single" w:color="auto" w:sz="4" w:space="0"/>
            </w:tcBorders>
            <w:vAlign w:val="center"/>
          </w:tcPr>
          <w:p w14:paraId="12229605">
            <w:pPr>
              <w:widowControl/>
              <w:jc w:val="center"/>
              <w:rPr>
                <w:rFonts w:ascii="宋体" w:hAnsi="宋体" w:cs="宋体"/>
                <w:sz w:val="18"/>
                <w:szCs w:val="18"/>
              </w:rPr>
            </w:pPr>
            <w:r>
              <w:rPr>
                <w:rFonts w:hint="eastAsia" w:ascii="宋体" w:hAnsi="宋体" w:cs="宋体"/>
                <w:sz w:val="18"/>
                <w:szCs w:val="18"/>
              </w:rPr>
              <w:t>人</w:t>
            </w:r>
          </w:p>
        </w:tc>
        <w:tc>
          <w:tcPr>
            <w:tcW w:w="596" w:type="pct"/>
            <w:tcBorders>
              <w:top w:val="single" w:color="auto" w:sz="4" w:space="0"/>
              <w:left w:val="single" w:color="auto" w:sz="4" w:space="0"/>
              <w:bottom w:val="single" w:color="auto" w:sz="4" w:space="0"/>
              <w:right w:val="single" w:color="auto" w:sz="4" w:space="0"/>
            </w:tcBorders>
            <w:vAlign w:val="center"/>
          </w:tcPr>
          <w:p w14:paraId="0C602D3A">
            <w:pPr>
              <w:widowControl/>
              <w:jc w:val="center"/>
              <w:rPr>
                <w:rFonts w:ascii="宋体" w:hAnsi="宋体" w:cs="宋体"/>
                <w:sz w:val="18"/>
                <w:szCs w:val="18"/>
              </w:rPr>
            </w:pPr>
            <w:r>
              <w:rPr>
                <w:rFonts w:hint="eastAsia" w:ascii="宋体" w:hAnsi="宋体" w:cs="宋体"/>
                <w:sz w:val="18"/>
                <w:szCs w:val="18"/>
              </w:rPr>
              <w:t>X≥300</w:t>
            </w:r>
          </w:p>
        </w:tc>
        <w:tc>
          <w:tcPr>
            <w:tcW w:w="902" w:type="pct"/>
            <w:tcBorders>
              <w:top w:val="single" w:color="auto" w:sz="4" w:space="0"/>
              <w:left w:val="single" w:color="auto" w:sz="4" w:space="0"/>
              <w:bottom w:val="single" w:color="auto" w:sz="4" w:space="0"/>
              <w:right w:val="single" w:color="auto" w:sz="4" w:space="0"/>
            </w:tcBorders>
            <w:vAlign w:val="center"/>
          </w:tcPr>
          <w:p w14:paraId="4D6DE608">
            <w:pPr>
              <w:widowControl/>
              <w:ind w:left="1" w:hanging="108"/>
              <w:jc w:val="center"/>
              <w:rPr>
                <w:rFonts w:ascii="宋体" w:hAnsi="宋体" w:cs="宋体"/>
                <w:sz w:val="18"/>
                <w:szCs w:val="18"/>
              </w:rPr>
            </w:pPr>
            <w:r>
              <w:rPr>
                <w:rFonts w:hint="eastAsia" w:ascii="宋体" w:hAnsi="宋体" w:cs="宋体"/>
                <w:sz w:val="18"/>
                <w:szCs w:val="18"/>
              </w:rPr>
              <w:t xml:space="preserve">100≤X＜300 </w:t>
            </w:r>
          </w:p>
        </w:tc>
        <w:tc>
          <w:tcPr>
            <w:tcW w:w="756" w:type="pct"/>
            <w:tcBorders>
              <w:top w:val="single" w:color="auto" w:sz="4" w:space="0"/>
              <w:left w:val="single" w:color="auto" w:sz="4" w:space="0"/>
              <w:bottom w:val="single" w:color="auto" w:sz="4" w:space="0"/>
              <w:right w:val="single" w:color="auto" w:sz="4" w:space="0"/>
            </w:tcBorders>
            <w:vAlign w:val="center"/>
          </w:tcPr>
          <w:p w14:paraId="5866204C">
            <w:pPr>
              <w:widowControl/>
              <w:jc w:val="center"/>
              <w:rPr>
                <w:rFonts w:ascii="宋体" w:hAnsi="宋体" w:cs="宋体"/>
                <w:sz w:val="18"/>
                <w:szCs w:val="18"/>
              </w:rPr>
            </w:pPr>
            <w:r>
              <w:rPr>
                <w:rFonts w:hint="eastAsia" w:ascii="宋体" w:hAnsi="宋体" w:cs="宋体"/>
                <w:sz w:val="18"/>
                <w:szCs w:val="18"/>
              </w:rPr>
              <w:t>10≤X＜100</w:t>
            </w:r>
          </w:p>
        </w:tc>
        <w:tc>
          <w:tcPr>
            <w:tcW w:w="526" w:type="pct"/>
            <w:tcBorders>
              <w:top w:val="single" w:color="auto" w:sz="4" w:space="0"/>
              <w:left w:val="single" w:color="auto" w:sz="4" w:space="0"/>
              <w:bottom w:val="single" w:color="auto" w:sz="4" w:space="0"/>
              <w:right w:val="single" w:color="auto" w:sz="4" w:space="0"/>
            </w:tcBorders>
            <w:vAlign w:val="center"/>
          </w:tcPr>
          <w:p w14:paraId="716B1ECD">
            <w:pPr>
              <w:widowControl/>
              <w:jc w:val="center"/>
              <w:rPr>
                <w:rFonts w:ascii="宋体" w:hAnsi="宋体" w:cs="宋体"/>
                <w:sz w:val="18"/>
                <w:szCs w:val="18"/>
              </w:rPr>
            </w:pPr>
            <w:r>
              <w:rPr>
                <w:rFonts w:hint="eastAsia" w:ascii="宋体" w:hAnsi="宋体" w:cs="宋体"/>
                <w:sz w:val="18"/>
                <w:szCs w:val="18"/>
              </w:rPr>
              <w:t>X＜10</w:t>
            </w:r>
          </w:p>
        </w:tc>
      </w:tr>
      <w:tr w14:paraId="7F5BD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120" w:type="pct"/>
            <w:vMerge w:val="continue"/>
            <w:tcBorders>
              <w:top w:val="single" w:color="auto" w:sz="4" w:space="0"/>
              <w:left w:val="single" w:color="auto" w:sz="4" w:space="0"/>
              <w:bottom w:val="single" w:color="auto" w:sz="4" w:space="0"/>
              <w:right w:val="single" w:color="auto" w:sz="4" w:space="0"/>
            </w:tcBorders>
            <w:vAlign w:val="center"/>
          </w:tcPr>
          <w:p w14:paraId="6B6E4CE2">
            <w:pPr>
              <w:widowControl/>
              <w:jc w:val="left"/>
              <w:rPr>
                <w:rFonts w:ascii="宋体" w:hAnsi="宋体" w:cs="宋体"/>
                <w:sz w:val="18"/>
                <w:szCs w:val="18"/>
              </w:rPr>
            </w:pPr>
          </w:p>
        </w:tc>
        <w:tc>
          <w:tcPr>
            <w:tcW w:w="725" w:type="pct"/>
            <w:tcBorders>
              <w:top w:val="single" w:color="auto" w:sz="4" w:space="0"/>
              <w:left w:val="single" w:color="auto" w:sz="4" w:space="0"/>
              <w:bottom w:val="single" w:color="auto" w:sz="4" w:space="0"/>
              <w:right w:val="single" w:color="auto" w:sz="4" w:space="0"/>
            </w:tcBorders>
            <w:vAlign w:val="center"/>
          </w:tcPr>
          <w:p w14:paraId="0AAE2AE5">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376" w:type="pct"/>
            <w:tcBorders>
              <w:top w:val="single" w:color="auto" w:sz="4" w:space="0"/>
              <w:left w:val="single" w:color="auto" w:sz="4" w:space="0"/>
              <w:bottom w:val="single" w:color="auto" w:sz="4" w:space="0"/>
              <w:right w:val="single" w:color="auto" w:sz="4" w:space="0"/>
            </w:tcBorders>
            <w:vAlign w:val="center"/>
          </w:tcPr>
          <w:p w14:paraId="0B6865F0">
            <w:pPr>
              <w:widowControl/>
              <w:jc w:val="center"/>
              <w:rPr>
                <w:rFonts w:ascii="宋体" w:hAnsi="宋体" w:cs="宋体"/>
                <w:sz w:val="18"/>
                <w:szCs w:val="18"/>
              </w:rPr>
            </w:pPr>
            <w:r>
              <w:rPr>
                <w:rFonts w:hint="eastAsia" w:ascii="宋体" w:hAnsi="宋体" w:cs="宋体"/>
                <w:sz w:val="18"/>
                <w:szCs w:val="18"/>
              </w:rPr>
              <w:t>万元</w:t>
            </w:r>
          </w:p>
        </w:tc>
        <w:tc>
          <w:tcPr>
            <w:tcW w:w="596" w:type="pct"/>
            <w:tcBorders>
              <w:top w:val="single" w:color="auto" w:sz="4" w:space="0"/>
              <w:left w:val="single" w:color="auto" w:sz="4" w:space="0"/>
              <w:bottom w:val="single" w:color="auto" w:sz="4" w:space="0"/>
              <w:right w:val="single" w:color="auto" w:sz="4" w:space="0"/>
            </w:tcBorders>
            <w:vAlign w:val="center"/>
          </w:tcPr>
          <w:p w14:paraId="70302006">
            <w:pPr>
              <w:widowControl/>
              <w:jc w:val="center"/>
              <w:rPr>
                <w:rFonts w:ascii="宋体" w:hAnsi="宋体" w:cs="宋体"/>
                <w:sz w:val="18"/>
                <w:szCs w:val="18"/>
              </w:rPr>
            </w:pPr>
            <w:r>
              <w:rPr>
                <w:rFonts w:hint="eastAsia" w:ascii="宋体" w:hAnsi="宋体" w:cs="宋体"/>
                <w:sz w:val="18"/>
                <w:szCs w:val="18"/>
              </w:rPr>
              <w:t>Y≥10000</w:t>
            </w:r>
          </w:p>
        </w:tc>
        <w:tc>
          <w:tcPr>
            <w:tcW w:w="902" w:type="pct"/>
            <w:tcBorders>
              <w:top w:val="single" w:color="auto" w:sz="4" w:space="0"/>
              <w:left w:val="single" w:color="auto" w:sz="4" w:space="0"/>
              <w:bottom w:val="single" w:color="auto" w:sz="4" w:space="0"/>
              <w:right w:val="single" w:color="auto" w:sz="4" w:space="0"/>
            </w:tcBorders>
            <w:vAlign w:val="center"/>
          </w:tcPr>
          <w:p w14:paraId="5958902A">
            <w:pPr>
              <w:widowControl/>
              <w:jc w:val="center"/>
              <w:rPr>
                <w:rFonts w:ascii="宋体" w:hAnsi="宋体" w:cs="宋体"/>
                <w:sz w:val="18"/>
                <w:szCs w:val="18"/>
              </w:rPr>
            </w:pPr>
            <w:r>
              <w:rPr>
                <w:rFonts w:hint="eastAsia" w:ascii="宋体" w:hAnsi="宋体" w:cs="宋体"/>
                <w:sz w:val="18"/>
                <w:szCs w:val="18"/>
              </w:rPr>
              <w:t>2000≤Y＜10000</w:t>
            </w:r>
          </w:p>
        </w:tc>
        <w:tc>
          <w:tcPr>
            <w:tcW w:w="756" w:type="pct"/>
            <w:tcBorders>
              <w:top w:val="single" w:color="auto" w:sz="4" w:space="0"/>
              <w:left w:val="single" w:color="auto" w:sz="4" w:space="0"/>
              <w:bottom w:val="single" w:color="auto" w:sz="4" w:space="0"/>
              <w:right w:val="single" w:color="auto" w:sz="4" w:space="0"/>
            </w:tcBorders>
            <w:vAlign w:val="center"/>
          </w:tcPr>
          <w:p w14:paraId="1ACB4C48">
            <w:pPr>
              <w:widowControl/>
              <w:jc w:val="center"/>
              <w:rPr>
                <w:rFonts w:ascii="宋体" w:hAnsi="宋体" w:cs="宋体"/>
                <w:sz w:val="18"/>
                <w:szCs w:val="18"/>
              </w:rPr>
            </w:pPr>
            <w:r>
              <w:rPr>
                <w:rFonts w:hint="eastAsia" w:ascii="宋体" w:hAnsi="宋体" w:cs="宋体"/>
                <w:sz w:val="18"/>
                <w:szCs w:val="18"/>
              </w:rPr>
              <w:t>100≤Y＜2000</w:t>
            </w:r>
          </w:p>
        </w:tc>
        <w:tc>
          <w:tcPr>
            <w:tcW w:w="526" w:type="pct"/>
            <w:tcBorders>
              <w:top w:val="single" w:color="auto" w:sz="4" w:space="0"/>
              <w:left w:val="single" w:color="auto" w:sz="4" w:space="0"/>
              <w:bottom w:val="single" w:color="auto" w:sz="4" w:space="0"/>
              <w:right w:val="single" w:color="auto" w:sz="4" w:space="0"/>
            </w:tcBorders>
            <w:vAlign w:val="center"/>
          </w:tcPr>
          <w:p w14:paraId="194ADAFA">
            <w:pPr>
              <w:widowControl/>
              <w:jc w:val="center"/>
              <w:rPr>
                <w:rFonts w:ascii="宋体" w:hAnsi="宋体" w:cs="宋体"/>
                <w:sz w:val="18"/>
                <w:szCs w:val="18"/>
              </w:rPr>
            </w:pPr>
            <w:r>
              <w:rPr>
                <w:rFonts w:hint="eastAsia" w:ascii="宋体" w:hAnsi="宋体" w:cs="宋体"/>
                <w:sz w:val="18"/>
                <w:szCs w:val="18"/>
              </w:rPr>
              <w:t>Y＜100</w:t>
            </w:r>
          </w:p>
        </w:tc>
      </w:tr>
      <w:tr w14:paraId="3C5A9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120" w:type="pct"/>
            <w:vMerge w:val="restart"/>
            <w:tcBorders>
              <w:top w:val="single" w:color="auto" w:sz="4" w:space="0"/>
              <w:left w:val="single" w:color="auto" w:sz="4" w:space="0"/>
              <w:bottom w:val="single" w:color="auto" w:sz="4" w:space="0"/>
              <w:right w:val="single" w:color="auto" w:sz="4" w:space="0"/>
            </w:tcBorders>
            <w:vAlign w:val="center"/>
          </w:tcPr>
          <w:p w14:paraId="535351F7">
            <w:pPr>
              <w:widowControl/>
              <w:spacing w:line="240" w:lineRule="exact"/>
              <w:jc w:val="left"/>
              <w:rPr>
                <w:rFonts w:ascii="宋体" w:hAnsi="宋体" w:cs="宋体"/>
                <w:sz w:val="18"/>
                <w:szCs w:val="18"/>
              </w:rPr>
            </w:pPr>
            <w:r>
              <w:rPr>
                <w:rFonts w:hint="eastAsia" w:ascii="宋体" w:hAnsi="宋体" w:cs="宋体"/>
                <w:sz w:val="18"/>
                <w:szCs w:val="18"/>
              </w:rPr>
              <w:t>信息传输业※</w:t>
            </w:r>
          </w:p>
        </w:tc>
        <w:tc>
          <w:tcPr>
            <w:tcW w:w="725" w:type="pct"/>
            <w:tcBorders>
              <w:top w:val="single" w:color="auto" w:sz="4" w:space="0"/>
              <w:left w:val="single" w:color="auto" w:sz="4" w:space="0"/>
              <w:bottom w:val="single" w:color="auto" w:sz="4" w:space="0"/>
              <w:right w:val="single" w:color="auto" w:sz="4" w:space="0"/>
            </w:tcBorders>
            <w:vAlign w:val="center"/>
          </w:tcPr>
          <w:p w14:paraId="6898F140">
            <w:pPr>
              <w:widowControl/>
              <w:jc w:val="center"/>
              <w:rPr>
                <w:rFonts w:ascii="宋体" w:hAnsi="宋体" w:cs="宋体"/>
                <w:sz w:val="18"/>
                <w:szCs w:val="18"/>
              </w:rPr>
            </w:pPr>
            <w:r>
              <w:rPr>
                <w:rFonts w:hint="eastAsia" w:ascii="宋体" w:hAnsi="宋体" w:cs="宋体"/>
                <w:sz w:val="18"/>
                <w:szCs w:val="18"/>
              </w:rPr>
              <w:t>从业人员(X)</w:t>
            </w:r>
          </w:p>
        </w:tc>
        <w:tc>
          <w:tcPr>
            <w:tcW w:w="376" w:type="pct"/>
            <w:tcBorders>
              <w:top w:val="single" w:color="auto" w:sz="4" w:space="0"/>
              <w:left w:val="single" w:color="auto" w:sz="4" w:space="0"/>
              <w:bottom w:val="single" w:color="auto" w:sz="4" w:space="0"/>
              <w:right w:val="single" w:color="auto" w:sz="4" w:space="0"/>
            </w:tcBorders>
            <w:vAlign w:val="center"/>
          </w:tcPr>
          <w:p w14:paraId="511531B5">
            <w:pPr>
              <w:widowControl/>
              <w:jc w:val="center"/>
              <w:rPr>
                <w:rFonts w:ascii="宋体" w:hAnsi="宋体" w:cs="宋体"/>
                <w:sz w:val="18"/>
                <w:szCs w:val="18"/>
              </w:rPr>
            </w:pPr>
            <w:r>
              <w:rPr>
                <w:rFonts w:hint="eastAsia" w:ascii="宋体" w:hAnsi="宋体" w:cs="宋体"/>
                <w:sz w:val="18"/>
                <w:szCs w:val="18"/>
              </w:rPr>
              <w:t>人</w:t>
            </w:r>
          </w:p>
        </w:tc>
        <w:tc>
          <w:tcPr>
            <w:tcW w:w="596" w:type="pct"/>
            <w:tcBorders>
              <w:top w:val="single" w:color="auto" w:sz="4" w:space="0"/>
              <w:left w:val="single" w:color="auto" w:sz="4" w:space="0"/>
              <w:bottom w:val="single" w:color="auto" w:sz="4" w:space="0"/>
              <w:right w:val="single" w:color="auto" w:sz="4" w:space="0"/>
            </w:tcBorders>
            <w:vAlign w:val="center"/>
          </w:tcPr>
          <w:p w14:paraId="72F5E9F0">
            <w:pPr>
              <w:widowControl/>
              <w:jc w:val="center"/>
              <w:rPr>
                <w:rFonts w:ascii="宋体" w:hAnsi="宋体" w:cs="宋体"/>
                <w:sz w:val="18"/>
                <w:szCs w:val="18"/>
              </w:rPr>
            </w:pPr>
            <w:r>
              <w:rPr>
                <w:rFonts w:hint="eastAsia" w:ascii="宋体" w:hAnsi="宋体" w:cs="宋体"/>
                <w:sz w:val="18"/>
                <w:szCs w:val="18"/>
              </w:rPr>
              <w:t>X≥2000</w:t>
            </w:r>
          </w:p>
        </w:tc>
        <w:tc>
          <w:tcPr>
            <w:tcW w:w="902" w:type="pct"/>
            <w:tcBorders>
              <w:top w:val="single" w:color="auto" w:sz="4" w:space="0"/>
              <w:left w:val="single" w:color="auto" w:sz="4" w:space="0"/>
              <w:bottom w:val="single" w:color="auto" w:sz="4" w:space="0"/>
              <w:right w:val="single" w:color="auto" w:sz="4" w:space="0"/>
            </w:tcBorders>
            <w:vAlign w:val="center"/>
          </w:tcPr>
          <w:p w14:paraId="5FA7395B">
            <w:pPr>
              <w:widowControl/>
              <w:jc w:val="center"/>
              <w:rPr>
                <w:rFonts w:ascii="宋体" w:hAnsi="宋体" w:cs="宋体"/>
                <w:sz w:val="18"/>
                <w:szCs w:val="18"/>
              </w:rPr>
            </w:pPr>
            <w:r>
              <w:rPr>
                <w:rFonts w:hint="eastAsia" w:ascii="宋体" w:hAnsi="宋体" w:cs="宋体"/>
                <w:sz w:val="18"/>
                <w:szCs w:val="18"/>
              </w:rPr>
              <w:t>100≤X＜2000</w:t>
            </w:r>
          </w:p>
        </w:tc>
        <w:tc>
          <w:tcPr>
            <w:tcW w:w="756" w:type="pct"/>
            <w:tcBorders>
              <w:top w:val="single" w:color="auto" w:sz="4" w:space="0"/>
              <w:left w:val="single" w:color="auto" w:sz="4" w:space="0"/>
              <w:bottom w:val="single" w:color="auto" w:sz="4" w:space="0"/>
              <w:right w:val="single" w:color="auto" w:sz="4" w:space="0"/>
            </w:tcBorders>
            <w:vAlign w:val="center"/>
          </w:tcPr>
          <w:p w14:paraId="1C103AB3">
            <w:pPr>
              <w:widowControl/>
              <w:jc w:val="center"/>
              <w:rPr>
                <w:rFonts w:ascii="宋体" w:hAnsi="宋体" w:cs="宋体"/>
                <w:sz w:val="18"/>
                <w:szCs w:val="18"/>
              </w:rPr>
            </w:pPr>
            <w:r>
              <w:rPr>
                <w:rFonts w:hint="eastAsia" w:ascii="宋体" w:hAnsi="宋体" w:cs="宋体"/>
                <w:sz w:val="18"/>
                <w:szCs w:val="18"/>
              </w:rPr>
              <w:t>10≤X＜100</w:t>
            </w:r>
          </w:p>
        </w:tc>
        <w:tc>
          <w:tcPr>
            <w:tcW w:w="526" w:type="pct"/>
            <w:tcBorders>
              <w:top w:val="single" w:color="auto" w:sz="4" w:space="0"/>
              <w:left w:val="single" w:color="auto" w:sz="4" w:space="0"/>
              <w:bottom w:val="single" w:color="auto" w:sz="4" w:space="0"/>
              <w:right w:val="single" w:color="auto" w:sz="4" w:space="0"/>
            </w:tcBorders>
            <w:vAlign w:val="center"/>
          </w:tcPr>
          <w:p w14:paraId="5CAF8B89">
            <w:pPr>
              <w:widowControl/>
              <w:jc w:val="center"/>
              <w:rPr>
                <w:rFonts w:ascii="宋体" w:hAnsi="宋体" w:cs="宋体"/>
                <w:sz w:val="18"/>
                <w:szCs w:val="18"/>
              </w:rPr>
            </w:pPr>
            <w:r>
              <w:rPr>
                <w:rFonts w:hint="eastAsia" w:ascii="宋体" w:hAnsi="宋体" w:cs="宋体"/>
                <w:sz w:val="18"/>
                <w:szCs w:val="18"/>
              </w:rPr>
              <w:t>X＜10</w:t>
            </w:r>
          </w:p>
        </w:tc>
      </w:tr>
      <w:tr w14:paraId="61863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exact"/>
        </w:trPr>
        <w:tc>
          <w:tcPr>
            <w:tcW w:w="1120" w:type="pct"/>
            <w:vMerge w:val="continue"/>
            <w:tcBorders>
              <w:top w:val="single" w:color="auto" w:sz="4" w:space="0"/>
              <w:left w:val="single" w:color="auto" w:sz="4" w:space="0"/>
              <w:bottom w:val="single" w:color="auto" w:sz="4" w:space="0"/>
              <w:right w:val="single" w:color="auto" w:sz="4" w:space="0"/>
            </w:tcBorders>
            <w:vAlign w:val="center"/>
          </w:tcPr>
          <w:p w14:paraId="0864CB59">
            <w:pPr>
              <w:widowControl/>
              <w:jc w:val="left"/>
              <w:rPr>
                <w:rFonts w:ascii="宋体" w:hAnsi="宋体" w:cs="宋体"/>
                <w:sz w:val="18"/>
                <w:szCs w:val="18"/>
              </w:rPr>
            </w:pPr>
          </w:p>
        </w:tc>
        <w:tc>
          <w:tcPr>
            <w:tcW w:w="725" w:type="pct"/>
            <w:tcBorders>
              <w:top w:val="single" w:color="auto" w:sz="4" w:space="0"/>
              <w:left w:val="single" w:color="auto" w:sz="4" w:space="0"/>
              <w:bottom w:val="single" w:color="auto" w:sz="4" w:space="0"/>
              <w:right w:val="single" w:color="auto" w:sz="4" w:space="0"/>
            </w:tcBorders>
            <w:vAlign w:val="center"/>
          </w:tcPr>
          <w:p w14:paraId="1E7D234D">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376" w:type="pct"/>
            <w:tcBorders>
              <w:top w:val="single" w:color="auto" w:sz="4" w:space="0"/>
              <w:left w:val="single" w:color="auto" w:sz="4" w:space="0"/>
              <w:bottom w:val="single" w:color="auto" w:sz="4" w:space="0"/>
              <w:right w:val="single" w:color="auto" w:sz="4" w:space="0"/>
            </w:tcBorders>
            <w:vAlign w:val="center"/>
          </w:tcPr>
          <w:p w14:paraId="1E64DA96">
            <w:pPr>
              <w:widowControl/>
              <w:jc w:val="center"/>
              <w:rPr>
                <w:rFonts w:ascii="宋体" w:hAnsi="宋体" w:cs="宋体"/>
                <w:sz w:val="18"/>
                <w:szCs w:val="18"/>
              </w:rPr>
            </w:pPr>
            <w:r>
              <w:rPr>
                <w:rFonts w:hint="eastAsia" w:ascii="宋体" w:hAnsi="宋体" w:cs="宋体"/>
                <w:sz w:val="18"/>
                <w:szCs w:val="18"/>
              </w:rPr>
              <w:t>万元</w:t>
            </w:r>
          </w:p>
        </w:tc>
        <w:tc>
          <w:tcPr>
            <w:tcW w:w="596" w:type="pct"/>
            <w:tcBorders>
              <w:top w:val="single" w:color="auto" w:sz="4" w:space="0"/>
              <w:left w:val="single" w:color="auto" w:sz="4" w:space="0"/>
              <w:bottom w:val="single" w:color="auto" w:sz="4" w:space="0"/>
              <w:right w:val="single" w:color="auto" w:sz="4" w:space="0"/>
            </w:tcBorders>
            <w:vAlign w:val="center"/>
          </w:tcPr>
          <w:p w14:paraId="7C38F86C">
            <w:pPr>
              <w:widowControl/>
              <w:jc w:val="center"/>
              <w:rPr>
                <w:rFonts w:ascii="宋体" w:hAnsi="宋体" w:cs="宋体"/>
                <w:sz w:val="18"/>
                <w:szCs w:val="18"/>
              </w:rPr>
            </w:pPr>
            <w:r>
              <w:rPr>
                <w:rFonts w:hint="eastAsia" w:ascii="宋体" w:hAnsi="宋体" w:cs="宋体"/>
                <w:sz w:val="18"/>
                <w:szCs w:val="18"/>
              </w:rPr>
              <w:t>Y≥100000</w:t>
            </w:r>
          </w:p>
        </w:tc>
        <w:tc>
          <w:tcPr>
            <w:tcW w:w="902" w:type="pct"/>
            <w:tcBorders>
              <w:top w:val="single" w:color="auto" w:sz="4" w:space="0"/>
              <w:left w:val="single" w:color="auto" w:sz="4" w:space="0"/>
              <w:bottom w:val="single" w:color="auto" w:sz="4" w:space="0"/>
              <w:right w:val="single" w:color="auto" w:sz="4" w:space="0"/>
            </w:tcBorders>
            <w:vAlign w:val="center"/>
          </w:tcPr>
          <w:p w14:paraId="7D4B767E">
            <w:pPr>
              <w:widowControl/>
              <w:jc w:val="center"/>
              <w:rPr>
                <w:rFonts w:ascii="宋体" w:hAnsi="宋体" w:cs="宋体"/>
                <w:sz w:val="18"/>
                <w:szCs w:val="18"/>
              </w:rPr>
            </w:pPr>
            <w:r>
              <w:rPr>
                <w:rFonts w:hint="eastAsia" w:ascii="宋体" w:hAnsi="宋体" w:cs="宋体"/>
                <w:sz w:val="18"/>
                <w:szCs w:val="18"/>
              </w:rPr>
              <w:t>1000≤Y＜100000</w:t>
            </w:r>
          </w:p>
        </w:tc>
        <w:tc>
          <w:tcPr>
            <w:tcW w:w="756" w:type="pct"/>
            <w:tcBorders>
              <w:top w:val="single" w:color="auto" w:sz="4" w:space="0"/>
              <w:left w:val="single" w:color="auto" w:sz="4" w:space="0"/>
              <w:bottom w:val="single" w:color="auto" w:sz="4" w:space="0"/>
              <w:right w:val="single" w:color="auto" w:sz="4" w:space="0"/>
            </w:tcBorders>
            <w:vAlign w:val="center"/>
          </w:tcPr>
          <w:p w14:paraId="3365C295">
            <w:pPr>
              <w:widowControl/>
              <w:jc w:val="center"/>
              <w:rPr>
                <w:rFonts w:ascii="宋体" w:hAnsi="宋体" w:cs="宋体"/>
                <w:sz w:val="18"/>
                <w:szCs w:val="18"/>
              </w:rPr>
            </w:pPr>
            <w:r>
              <w:rPr>
                <w:rFonts w:hint="eastAsia" w:ascii="宋体" w:hAnsi="宋体" w:cs="宋体"/>
                <w:sz w:val="18"/>
                <w:szCs w:val="18"/>
              </w:rPr>
              <w:t>100≤Y＜1000</w:t>
            </w:r>
          </w:p>
        </w:tc>
        <w:tc>
          <w:tcPr>
            <w:tcW w:w="526" w:type="pct"/>
            <w:tcBorders>
              <w:top w:val="single" w:color="auto" w:sz="4" w:space="0"/>
              <w:left w:val="single" w:color="auto" w:sz="4" w:space="0"/>
              <w:bottom w:val="single" w:color="auto" w:sz="4" w:space="0"/>
              <w:right w:val="single" w:color="auto" w:sz="4" w:space="0"/>
            </w:tcBorders>
            <w:vAlign w:val="center"/>
          </w:tcPr>
          <w:p w14:paraId="25B4C338">
            <w:pPr>
              <w:widowControl/>
              <w:jc w:val="center"/>
              <w:rPr>
                <w:rFonts w:ascii="宋体" w:hAnsi="宋体" w:cs="宋体"/>
                <w:sz w:val="18"/>
                <w:szCs w:val="18"/>
              </w:rPr>
            </w:pPr>
            <w:r>
              <w:rPr>
                <w:rFonts w:hint="eastAsia" w:ascii="宋体" w:hAnsi="宋体" w:cs="宋体"/>
                <w:sz w:val="18"/>
                <w:szCs w:val="18"/>
              </w:rPr>
              <w:t>Y＜100</w:t>
            </w:r>
          </w:p>
        </w:tc>
      </w:tr>
      <w:tr w14:paraId="624ED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120" w:type="pct"/>
            <w:vMerge w:val="restart"/>
            <w:tcBorders>
              <w:top w:val="single" w:color="auto" w:sz="4" w:space="0"/>
              <w:left w:val="single" w:color="auto" w:sz="4" w:space="0"/>
              <w:bottom w:val="single" w:color="auto" w:sz="4" w:space="0"/>
              <w:right w:val="single" w:color="auto" w:sz="4" w:space="0"/>
            </w:tcBorders>
            <w:vAlign w:val="center"/>
          </w:tcPr>
          <w:p w14:paraId="66A44F86">
            <w:pPr>
              <w:widowControl/>
              <w:spacing w:line="240" w:lineRule="exact"/>
              <w:jc w:val="left"/>
              <w:rPr>
                <w:rFonts w:ascii="宋体" w:hAnsi="宋体" w:cs="宋体"/>
                <w:spacing w:val="-12"/>
                <w:sz w:val="18"/>
                <w:szCs w:val="18"/>
              </w:rPr>
            </w:pPr>
            <w:r>
              <w:rPr>
                <w:rFonts w:hint="eastAsia" w:ascii="宋体" w:hAnsi="宋体" w:cs="宋体"/>
                <w:spacing w:val="-12"/>
                <w:sz w:val="18"/>
                <w:szCs w:val="18"/>
              </w:rPr>
              <w:t>软件和信息技术服</w:t>
            </w:r>
            <w:r>
              <w:rPr>
                <w:rFonts w:hint="eastAsia" w:ascii="宋体" w:hAnsi="宋体" w:cs="宋体"/>
                <w:sz w:val="18"/>
                <w:szCs w:val="18"/>
              </w:rPr>
              <w:t>务业</w:t>
            </w:r>
          </w:p>
        </w:tc>
        <w:tc>
          <w:tcPr>
            <w:tcW w:w="725" w:type="pct"/>
            <w:tcBorders>
              <w:top w:val="single" w:color="auto" w:sz="4" w:space="0"/>
              <w:left w:val="single" w:color="auto" w:sz="4" w:space="0"/>
              <w:bottom w:val="single" w:color="auto" w:sz="4" w:space="0"/>
              <w:right w:val="single" w:color="auto" w:sz="4" w:space="0"/>
            </w:tcBorders>
            <w:vAlign w:val="center"/>
          </w:tcPr>
          <w:p w14:paraId="3C1805BC">
            <w:pPr>
              <w:widowControl/>
              <w:jc w:val="center"/>
              <w:rPr>
                <w:rFonts w:ascii="宋体" w:hAnsi="宋体" w:cs="宋体"/>
                <w:sz w:val="18"/>
                <w:szCs w:val="18"/>
              </w:rPr>
            </w:pPr>
            <w:r>
              <w:rPr>
                <w:rFonts w:hint="eastAsia" w:ascii="宋体" w:hAnsi="宋体" w:cs="宋体"/>
                <w:sz w:val="18"/>
                <w:szCs w:val="18"/>
              </w:rPr>
              <w:t>从业人员(X)</w:t>
            </w:r>
          </w:p>
        </w:tc>
        <w:tc>
          <w:tcPr>
            <w:tcW w:w="376" w:type="pct"/>
            <w:tcBorders>
              <w:top w:val="single" w:color="auto" w:sz="4" w:space="0"/>
              <w:left w:val="single" w:color="auto" w:sz="4" w:space="0"/>
              <w:bottom w:val="single" w:color="auto" w:sz="4" w:space="0"/>
              <w:right w:val="single" w:color="auto" w:sz="4" w:space="0"/>
            </w:tcBorders>
            <w:vAlign w:val="center"/>
          </w:tcPr>
          <w:p w14:paraId="643C1817">
            <w:pPr>
              <w:widowControl/>
              <w:jc w:val="center"/>
              <w:rPr>
                <w:rFonts w:ascii="宋体" w:hAnsi="宋体" w:cs="宋体"/>
                <w:sz w:val="18"/>
                <w:szCs w:val="18"/>
              </w:rPr>
            </w:pPr>
            <w:r>
              <w:rPr>
                <w:rFonts w:hint="eastAsia" w:ascii="宋体" w:hAnsi="宋体" w:cs="宋体"/>
                <w:sz w:val="18"/>
                <w:szCs w:val="18"/>
              </w:rPr>
              <w:t>人</w:t>
            </w:r>
          </w:p>
        </w:tc>
        <w:tc>
          <w:tcPr>
            <w:tcW w:w="596" w:type="pct"/>
            <w:tcBorders>
              <w:top w:val="single" w:color="auto" w:sz="4" w:space="0"/>
              <w:left w:val="single" w:color="auto" w:sz="4" w:space="0"/>
              <w:bottom w:val="single" w:color="auto" w:sz="4" w:space="0"/>
              <w:right w:val="single" w:color="auto" w:sz="4" w:space="0"/>
            </w:tcBorders>
            <w:vAlign w:val="center"/>
          </w:tcPr>
          <w:p w14:paraId="0782935A">
            <w:pPr>
              <w:widowControl/>
              <w:jc w:val="center"/>
              <w:rPr>
                <w:rFonts w:ascii="宋体" w:hAnsi="宋体" w:cs="宋体"/>
                <w:sz w:val="18"/>
                <w:szCs w:val="18"/>
              </w:rPr>
            </w:pPr>
            <w:r>
              <w:rPr>
                <w:rFonts w:hint="eastAsia" w:ascii="宋体" w:hAnsi="宋体" w:cs="宋体"/>
                <w:sz w:val="18"/>
                <w:szCs w:val="18"/>
              </w:rPr>
              <w:t>X≥300</w:t>
            </w:r>
          </w:p>
        </w:tc>
        <w:tc>
          <w:tcPr>
            <w:tcW w:w="902" w:type="pct"/>
            <w:tcBorders>
              <w:top w:val="single" w:color="auto" w:sz="4" w:space="0"/>
              <w:left w:val="single" w:color="auto" w:sz="4" w:space="0"/>
              <w:bottom w:val="single" w:color="auto" w:sz="4" w:space="0"/>
              <w:right w:val="single" w:color="auto" w:sz="4" w:space="0"/>
            </w:tcBorders>
            <w:vAlign w:val="center"/>
          </w:tcPr>
          <w:p w14:paraId="108ECECA">
            <w:pPr>
              <w:widowControl/>
              <w:ind w:left="1" w:hanging="108"/>
              <w:jc w:val="center"/>
              <w:rPr>
                <w:rFonts w:ascii="宋体" w:hAnsi="宋体" w:cs="宋体"/>
                <w:sz w:val="18"/>
                <w:szCs w:val="18"/>
              </w:rPr>
            </w:pPr>
            <w:r>
              <w:rPr>
                <w:rFonts w:hint="eastAsia" w:ascii="宋体" w:hAnsi="宋体" w:cs="宋体"/>
                <w:sz w:val="18"/>
                <w:szCs w:val="18"/>
              </w:rPr>
              <w:t xml:space="preserve">100≤X＜300 </w:t>
            </w:r>
          </w:p>
        </w:tc>
        <w:tc>
          <w:tcPr>
            <w:tcW w:w="756" w:type="pct"/>
            <w:tcBorders>
              <w:top w:val="single" w:color="auto" w:sz="4" w:space="0"/>
              <w:left w:val="single" w:color="auto" w:sz="4" w:space="0"/>
              <w:bottom w:val="single" w:color="auto" w:sz="4" w:space="0"/>
              <w:right w:val="single" w:color="auto" w:sz="4" w:space="0"/>
            </w:tcBorders>
            <w:vAlign w:val="center"/>
          </w:tcPr>
          <w:p w14:paraId="0F334C1E">
            <w:pPr>
              <w:widowControl/>
              <w:jc w:val="center"/>
              <w:rPr>
                <w:rFonts w:ascii="宋体" w:hAnsi="宋体" w:cs="宋体"/>
                <w:sz w:val="18"/>
                <w:szCs w:val="18"/>
              </w:rPr>
            </w:pPr>
            <w:r>
              <w:rPr>
                <w:rFonts w:hint="eastAsia" w:ascii="宋体" w:hAnsi="宋体" w:cs="宋体"/>
                <w:sz w:val="18"/>
                <w:szCs w:val="18"/>
              </w:rPr>
              <w:t>10≤X＜100</w:t>
            </w:r>
          </w:p>
        </w:tc>
        <w:tc>
          <w:tcPr>
            <w:tcW w:w="526" w:type="pct"/>
            <w:tcBorders>
              <w:top w:val="single" w:color="auto" w:sz="4" w:space="0"/>
              <w:left w:val="single" w:color="auto" w:sz="4" w:space="0"/>
              <w:bottom w:val="single" w:color="auto" w:sz="4" w:space="0"/>
              <w:right w:val="single" w:color="auto" w:sz="4" w:space="0"/>
            </w:tcBorders>
            <w:vAlign w:val="center"/>
          </w:tcPr>
          <w:p w14:paraId="2F0BEF8F">
            <w:pPr>
              <w:widowControl/>
              <w:jc w:val="center"/>
              <w:rPr>
                <w:rFonts w:ascii="宋体" w:hAnsi="宋体" w:cs="宋体"/>
                <w:sz w:val="18"/>
                <w:szCs w:val="18"/>
              </w:rPr>
            </w:pPr>
            <w:r>
              <w:rPr>
                <w:rFonts w:hint="eastAsia" w:ascii="宋体" w:hAnsi="宋体" w:cs="宋体"/>
                <w:sz w:val="18"/>
                <w:szCs w:val="18"/>
              </w:rPr>
              <w:t>X＜10</w:t>
            </w:r>
          </w:p>
        </w:tc>
      </w:tr>
      <w:tr w14:paraId="3D95F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120" w:type="pct"/>
            <w:vMerge w:val="continue"/>
            <w:tcBorders>
              <w:top w:val="single" w:color="auto" w:sz="4" w:space="0"/>
              <w:left w:val="single" w:color="auto" w:sz="4" w:space="0"/>
              <w:bottom w:val="single" w:color="auto" w:sz="4" w:space="0"/>
              <w:right w:val="single" w:color="auto" w:sz="4" w:space="0"/>
            </w:tcBorders>
            <w:vAlign w:val="center"/>
          </w:tcPr>
          <w:p w14:paraId="175268A1">
            <w:pPr>
              <w:widowControl/>
              <w:jc w:val="left"/>
              <w:rPr>
                <w:rFonts w:ascii="宋体" w:hAnsi="宋体" w:cs="宋体"/>
                <w:spacing w:val="-12"/>
                <w:sz w:val="18"/>
                <w:szCs w:val="18"/>
              </w:rPr>
            </w:pPr>
          </w:p>
        </w:tc>
        <w:tc>
          <w:tcPr>
            <w:tcW w:w="725" w:type="pct"/>
            <w:tcBorders>
              <w:top w:val="single" w:color="auto" w:sz="4" w:space="0"/>
              <w:left w:val="single" w:color="auto" w:sz="4" w:space="0"/>
              <w:bottom w:val="single" w:color="auto" w:sz="4" w:space="0"/>
              <w:right w:val="single" w:color="auto" w:sz="4" w:space="0"/>
            </w:tcBorders>
            <w:vAlign w:val="center"/>
          </w:tcPr>
          <w:p w14:paraId="378A6AF1">
            <w:pPr>
              <w:widowControl/>
              <w:jc w:val="center"/>
              <w:rPr>
                <w:rFonts w:ascii="宋体" w:hAnsi="宋体" w:cs="宋体"/>
                <w:sz w:val="18"/>
                <w:szCs w:val="18"/>
              </w:rPr>
            </w:pPr>
            <w:r>
              <w:rPr>
                <w:rFonts w:hint="eastAsia" w:ascii="宋体" w:hAnsi="宋体" w:cs="宋体"/>
                <w:sz w:val="18"/>
                <w:szCs w:val="18"/>
              </w:rPr>
              <w:t>营业收入(Y)</w:t>
            </w:r>
          </w:p>
        </w:tc>
        <w:tc>
          <w:tcPr>
            <w:tcW w:w="376" w:type="pct"/>
            <w:tcBorders>
              <w:top w:val="single" w:color="auto" w:sz="4" w:space="0"/>
              <w:left w:val="single" w:color="auto" w:sz="4" w:space="0"/>
              <w:bottom w:val="single" w:color="auto" w:sz="4" w:space="0"/>
              <w:right w:val="single" w:color="auto" w:sz="4" w:space="0"/>
            </w:tcBorders>
            <w:vAlign w:val="center"/>
          </w:tcPr>
          <w:p w14:paraId="0F59F85B">
            <w:pPr>
              <w:widowControl/>
              <w:jc w:val="center"/>
              <w:rPr>
                <w:rFonts w:ascii="宋体" w:hAnsi="宋体" w:cs="宋体"/>
                <w:sz w:val="18"/>
                <w:szCs w:val="18"/>
              </w:rPr>
            </w:pPr>
            <w:r>
              <w:rPr>
                <w:rFonts w:hint="eastAsia" w:ascii="宋体" w:hAnsi="宋体" w:cs="宋体"/>
                <w:sz w:val="18"/>
                <w:szCs w:val="18"/>
              </w:rPr>
              <w:t>万元</w:t>
            </w:r>
          </w:p>
        </w:tc>
        <w:tc>
          <w:tcPr>
            <w:tcW w:w="596" w:type="pct"/>
            <w:tcBorders>
              <w:top w:val="single" w:color="auto" w:sz="4" w:space="0"/>
              <w:left w:val="single" w:color="auto" w:sz="4" w:space="0"/>
              <w:bottom w:val="single" w:color="auto" w:sz="4" w:space="0"/>
              <w:right w:val="single" w:color="auto" w:sz="4" w:space="0"/>
            </w:tcBorders>
            <w:vAlign w:val="center"/>
          </w:tcPr>
          <w:p w14:paraId="756B3A1D">
            <w:pPr>
              <w:widowControl/>
              <w:jc w:val="center"/>
              <w:rPr>
                <w:rFonts w:ascii="宋体" w:hAnsi="宋体" w:cs="宋体"/>
                <w:sz w:val="18"/>
                <w:szCs w:val="18"/>
              </w:rPr>
            </w:pPr>
            <w:r>
              <w:rPr>
                <w:rFonts w:hint="eastAsia" w:ascii="宋体" w:hAnsi="宋体" w:cs="宋体"/>
                <w:sz w:val="18"/>
                <w:szCs w:val="18"/>
              </w:rPr>
              <w:t>Y≥10000</w:t>
            </w:r>
          </w:p>
        </w:tc>
        <w:tc>
          <w:tcPr>
            <w:tcW w:w="902" w:type="pct"/>
            <w:tcBorders>
              <w:top w:val="single" w:color="auto" w:sz="4" w:space="0"/>
              <w:left w:val="single" w:color="auto" w:sz="4" w:space="0"/>
              <w:bottom w:val="single" w:color="auto" w:sz="4" w:space="0"/>
              <w:right w:val="single" w:color="auto" w:sz="4" w:space="0"/>
            </w:tcBorders>
            <w:vAlign w:val="center"/>
          </w:tcPr>
          <w:p w14:paraId="4D8DFF25">
            <w:pPr>
              <w:widowControl/>
              <w:jc w:val="center"/>
              <w:rPr>
                <w:rFonts w:ascii="宋体" w:hAnsi="宋体" w:cs="宋体"/>
                <w:sz w:val="18"/>
                <w:szCs w:val="18"/>
              </w:rPr>
            </w:pPr>
            <w:r>
              <w:rPr>
                <w:rFonts w:hint="eastAsia" w:ascii="宋体" w:hAnsi="宋体" w:cs="宋体"/>
                <w:sz w:val="18"/>
                <w:szCs w:val="18"/>
              </w:rPr>
              <w:t>1000≤Y＜10000</w:t>
            </w:r>
          </w:p>
        </w:tc>
        <w:tc>
          <w:tcPr>
            <w:tcW w:w="756" w:type="pct"/>
            <w:tcBorders>
              <w:top w:val="single" w:color="auto" w:sz="4" w:space="0"/>
              <w:left w:val="single" w:color="auto" w:sz="4" w:space="0"/>
              <w:bottom w:val="single" w:color="auto" w:sz="4" w:space="0"/>
              <w:right w:val="single" w:color="auto" w:sz="4" w:space="0"/>
            </w:tcBorders>
            <w:vAlign w:val="center"/>
          </w:tcPr>
          <w:p w14:paraId="0D523EFA">
            <w:pPr>
              <w:widowControl/>
              <w:jc w:val="center"/>
              <w:rPr>
                <w:rFonts w:ascii="宋体" w:hAnsi="宋体" w:cs="宋体"/>
                <w:sz w:val="18"/>
                <w:szCs w:val="18"/>
              </w:rPr>
            </w:pPr>
            <w:r>
              <w:rPr>
                <w:rFonts w:hint="eastAsia" w:ascii="宋体" w:hAnsi="宋体" w:cs="宋体"/>
                <w:sz w:val="18"/>
                <w:szCs w:val="18"/>
              </w:rPr>
              <w:t>50≤Y＜1000</w:t>
            </w:r>
          </w:p>
        </w:tc>
        <w:tc>
          <w:tcPr>
            <w:tcW w:w="526" w:type="pct"/>
            <w:tcBorders>
              <w:top w:val="single" w:color="auto" w:sz="4" w:space="0"/>
              <w:left w:val="single" w:color="auto" w:sz="4" w:space="0"/>
              <w:bottom w:val="single" w:color="auto" w:sz="4" w:space="0"/>
              <w:right w:val="single" w:color="auto" w:sz="4" w:space="0"/>
            </w:tcBorders>
            <w:vAlign w:val="center"/>
          </w:tcPr>
          <w:p w14:paraId="5B4A4101">
            <w:pPr>
              <w:widowControl/>
              <w:jc w:val="center"/>
              <w:rPr>
                <w:rFonts w:ascii="宋体" w:hAnsi="宋体" w:cs="宋体"/>
                <w:sz w:val="18"/>
                <w:szCs w:val="18"/>
              </w:rPr>
            </w:pPr>
            <w:r>
              <w:rPr>
                <w:rFonts w:hint="eastAsia" w:ascii="宋体" w:hAnsi="宋体" w:cs="宋体"/>
                <w:sz w:val="18"/>
                <w:szCs w:val="18"/>
              </w:rPr>
              <w:t>Y＜50</w:t>
            </w:r>
          </w:p>
        </w:tc>
      </w:tr>
      <w:tr w14:paraId="12923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exact"/>
        </w:trPr>
        <w:tc>
          <w:tcPr>
            <w:tcW w:w="1120" w:type="pct"/>
            <w:vMerge w:val="restart"/>
            <w:tcBorders>
              <w:top w:val="single" w:color="auto" w:sz="4" w:space="0"/>
              <w:left w:val="single" w:color="auto" w:sz="4" w:space="0"/>
              <w:bottom w:val="single" w:color="auto" w:sz="4" w:space="0"/>
              <w:right w:val="single" w:color="auto" w:sz="4" w:space="0"/>
            </w:tcBorders>
            <w:vAlign w:val="center"/>
          </w:tcPr>
          <w:p w14:paraId="4DC6517B">
            <w:pPr>
              <w:widowControl/>
              <w:spacing w:line="240" w:lineRule="exact"/>
              <w:jc w:val="left"/>
              <w:rPr>
                <w:rFonts w:ascii="宋体" w:hAnsi="宋体" w:cs="宋体"/>
                <w:sz w:val="18"/>
                <w:szCs w:val="18"/>
              </w:rPr>
            </w:pPr>
            <w:r>
              <w:rPr>
                <w:rFonts w:hint="eastAsia" w:ascii="宋体" w:hAnsi="宋体" w:cs="宋体"/>
                <w:sz w:val="18"/>
                <w:szCs w:val="18"/>
              </w:rPr>
              <w:t>房地产开发经营</w:t>
            </w:r>
          </w:p>
        </w:tc>
        <w:tc>
          <w:tcPr>
            <w:tcW w:w="725" w:type="pct"/>
            <w:tcBorders>
              <w:top w:val="single" w:color="auto" w:sz="4" w:space="0"/>
              <w:left w:val="single" w:color="auto" w:sz="4" w:space="0"/>
              <w:bottom w:val="single" w:color="auto" w:sz="4" w:space="0"/>
              <w:right w:val="single" w:color="auto" w:sz="4" w:space="0"/>
            </w:tcBorders>
            <w:vAlign w:val="center"/>
          </w:tcPr>
          <w:p w14:paraId="641835BE">
            <w:pPr>
              <w:widowControl/>
              <w:jc w:val="center"/>
              <w:rPr>
                <w:rFonts w:ascii="宋体" w:hAnsi="宋体" w:cs="宋体"/>
                <w:sz w:val="18"/>
                <w:szCs w:val="18"/>
              </w:rPr>
            </w:pPr>
            <w:r>
              <w:rPr>
                <w:rFonts w:hint="eastAsia" w:ascii="宋体" w:hAnsi="宋体" w:cs="宋体"/>
                <w:sz w:val="18"/>
                <w:szCs w:val="18"/>
              </w:rPr>
              <w:t>营业收入(Y)</w:t>
            </w:r>
          </w:p>
        </w:tc>
        <w:tc>
          <w:tcPr>
            <w:tcW w:w="376" w:type="pct"/>
            <w:tcBorders>
              <w:top w:val="single" w:color="auto" w:sz="4" w:space="0"/>
              <w:left w:val="single" w:color="auto" w:sz="4" w:space="0"/>
              <w:bottom w:val="single" w:color="auto" w:sz="4" w:space="0"/>
              <w:right w:val="single" w:color="auto" w:sz="4" w:space="0"/>
            </w:tcBorders>
            <w:vAlign w:val="center"/>
          </w:tcPr>
          <w:p w14:paraId="2E2F85DB">
            <w:pPr>
              <w:widowControl/>
              <w:jc w:val="center"/>
              <w:rPr>
                <w:rFonts w:ascii="宋体" w:hAnsi="宋体" w:cs="宋体"/>
                <w:sz w:val="18"/>
                <w:szCs w:val="18"/>
              </w:rPr>
            </w:pPr>
            <w:r>
              <w:rPr>
                <w:rFonts w:hint="eastAsia" w:ascii="宋体" w:hAnsi="宋体" w:cs="宋体"/>
                <w:sz w:val="18"/>
                <w:szCs w:val="18"/>
              </w:rPr>
              <w:t>万元</w:t>
            </w:r>
          </w:p>
        </w:tc>
        <w:tc>
          <w:tcPr>
            <w:tcW w:w="596" w:type="pct"/>
            <w:tcBorders>
              <w:top w:val="single" w:color="auto" w:sz="4" w:space="0"/>
              <w:left w:val="single" w:color="auto" w:sz="4" w:space="0"/>
              <w:bottom w:val="single" w:color="auto" w:sz="4" w:space="0"/>
              <w:right w:val="single" w:color="auto" w:sz="4" w:space="0"/>
            </w:tcBorders>
            <w:vAlign w:val="center"/>
          </w:tcPr>
          <w:p w14:paraId="1ED2A288">
            <w:pPr>
              <w:widowControl/>
              <w:jc w:val="center"/>
              <w:rPr>
                <w:rFonts w:ascii="宋体" w:hAnsi="宋体" w:cs="宋体"/>
                <w:sz w:val="18"/>
                <w:szCs w:val="18"/>
              </w:rPr>
            </w:pPr>
            <w:r>
              <w:rPr>
                <w:rFonts w:hint="eastAsia" w:ascii="宋体" w:hAnsi="宋体" w:cs="宋体"/>
                <w:sz w:val="18"/>
                <w:szCs w:val="18"/>
              </w:rPr>
              <w:t>Y≥200000</w:t>
            </w:r>
          </w:p>
        </w:tc>
        <w:tc>
          <w:tcPr>
            <w:tcW w:w="902" w:type="pct"/>
            <w:tcBorders>
              <w:top w:val="single" w:color="auto" w:sz="4" w:space="0"/>
              <w:left w:val="single" w:color="auto" w:sz="4" w:space="0"/>
              <w:bottom w:val="single" w:color="auto" w:sz="4" w:space="0"/>
              <w:right w:val="single" w:color="auto" w:sz="4" w:space="0"/>
            </w:tcBorders>
            <w:vAlign w:val="center"/>
          </w:tcPr>
          <w:p w14:paraId="2B1ED7B2">
            <w:pPr>
              <w:widowControl/>
              <w:jc w:val="center"/>
              <w:rPr>
                <w:rFonts w:ascii="宋体" w:hAnsi="宋体" w:cs="宋体"/>
                <w:sz w:val="18"/>
                <w:szCs w:val="18"/>
              </w:rPr>
            </w:pPr>
            <w:r>
              <w:rPr>
                <w:rFonts w:hint="eastAsia" w:ascii="宋体" w:hAnsi="宋体" w:cs="宋体"/>
                <w:sz w:val="18"/>
                <w:szCs w:val="18"/>
              </w:rPr>
              <w:t>1000≤Y＜200000</w:t>
            </w:r>
          </w:p>
        </w:tc>
        <w:tc>
          <w:tcPr>
            <w:tcW w:w="756" w:type="pct"/>
            <w:tcBorders>
              <w:top w:val="single" w:color="auto" w:sz="4" w:space="0"/>
              <w:left w:val="single" w:color="auto" w:sz="4" w:space="0"/>
              <w:bottom w:val="single" w:color="auto" w:sz="4" w:space="0"/>
              <w:right w:val="single" w:color="auto" w:sz="4" w:space="0"/>
            </w:tcBorders>
            <w:vAlign w:val="center"/>
          </w:tcPr>
          <w:p w14:paraId="3100FF2F">
            <w:pPr>
              <w:widowControl/>
              <w:jc w:val="center"/>
              <w:rPr>
                <w:rFonts w:ascii="宋体" w:hAnsi="宋体" w:cs="宋体"/>
                <w:sz w:val="18"/>
                <w:szCs w:val="18"/>
              </w:rPr>
            </w:pPr>
            <w:r>
              <w:rPr>
                <w:rFonts w:hint="eastAsia" w:ascii="宋体" w:hAnsi="宋体" w:cs="宋体"/>
                <w:sz w:val="18"/>
                <w:szCs w:val="18"/>
              </w:rPr>
              <w:t>100≤Y＜1000</w:t>
            </w:r>
          </w:p>
        </w:tc>
        <w:tc>
          <w:tcPr>
            <w:tcW w:w="526" w:type="pct"/>
            <w:tcBorders>
              <w:top w:val="single" w:color="auto" w:sz="4" w:space="0"/>
              <w:left w:val="single" w:color="auto" w:sz="4" w:space="0"/>
              <w:bottom w:val="single" w:color="auto" w:sz="4" w:space="0"/>
              <w:right w:val="single" w:color="auto" w:sz="4" w:space="0"/>
            </w:tcBorders>
            <w:vAlign w:val="center"/>
          </w:tcPr>
          <w:p w14:paraId="7060A3F3">
            <w:pPr>
              <w:widowControl/>
              <w:jc w:val="center"/>
              <w:rPr>
                <w:rFonts w:ascii="宋体" w:hAnsi="宋体" w:cs="宋体"/>
                <w:sz w:val="18"/>
                <w:szCs w:val="18"/>
              </w:rPr>
            </w:pPr>
            <w:r>
              <w:rPr>
                <w:rFonts w:hint="eastAsia" w:ascii="宋体" w:hAnsi="宋体" w:cs="宋体"/>
                <w:sz w:val="18"/>
                <w:szCs w:val="18"/>
              </w:rPr>
              <w:t>Y＜100</w:t>
            </w:r>
          </w:p>
        </w:tc>
      </w:tr>
      <w:tr w14:paraId="7771C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120" w:type="pct"/>
            <w:vMerge w:val="continue"/>
            <w:tcBorders>
              <w:top w:val="single" w:color="auto" w:sz="4" w:space="0"/>
              <w:left w:val="single" w:color="auto" w:sz="4" w:space="0"/>
              <w:bottom w:val="single" w:color="auto" w:sz="4" w:space="0"/>
              <w:right w:val="single" w:color="auto" w:sz="4" w:space="0"/>
            </w:tcBorders>
            <w:vAlign w:val="center"/>
          </w:tcPr>
          <w:p w14:paraId="1D7B19AC">
            <w:pPr>
              <w:widowControl/>
              <w:jc w:val="left"/>
              <w:rPr>
                <w:rFonts w:ascii="宋体" w:hAnsi="宋体" w:cs="宋体"/>
                <w:sz w:val="18"/>
                <w:szCs w:val="18"/>
              </w:rPr>
            </w:pPr>
          </w:p>
        </w:tc>
        <w:tc>
          <w:tcPr>
            <w:tcW w:w="725" w:type="pct"/>
            <w:tcBorders>
              <w:top w:val="single" w:color="auto" w:sz="4" w:space="0"/>
              <w:left w:val="single" w:color="auto" w:sz="4" w:space="0"/>
              <w:bottom w:val="single" w:color="auto" w:sz="4" w:space="0"/>
              <w:right w:val="single" w:color="auto" w:sz="4" w:space="0"/>
            </w:tcBorders>
            <w:vAlign w:val="center"/>
          </w:tcPr>
          <w:p w14:paraId="7D411437">
            <w:pPr>
              <w:widowControl/>
              <w:spacing w:line="240" w:lineRule="exact"/>
              <w:jc w:val="center"/>
              <w:rPr>
                <w:rFonts w:ascii="宋体" w:hAnsi="宋体" w:cs="宋体"/>
                <w:sz w:val="18"/>
                <w:szCs w:val="18"/>
              </w:rPr>
            </w:pPr>
            <w:r>
              <w:rPr>
                <w:rFonts w:hint="eastAsia" w:ascii="宋体" w:hAnsi="宋体" w:cs="宋体"/>
                <w:sz w:val="18"/>
                <w:szCs w:val="18"/>
              </w:rPr>
              <w:t>资产总额(Z)</w:t>
            </w:r>
          </w:p>
        </w:tc>
        <w:tc>
          <w:tcPr>
            <w:tcW w:w="376" w:type="pct"/>
            <w:tcBorders>
              <w:top w:val="single" w:color="auto" w:sz="4" w:space="0"/>
              <w:left w:val="single" w:color="auto" w:sz="4" w:space="0"/>
              <w:bottom w:val="single" w:color="auto" w:sz="4" w:space="0"/>
              <w:right w:val="single" w:color="auto" w:sz="4" w:space="0"/>
            </w:tcBorders>
            <w:vAlign w:val="center"/>
          </w:tcPr>
          <w:p w14:paraId="3515F018">
            <w:pPr>
              <w:widowControl/>
              <w:jc w:val="center"/>
              <w:rPr>
                <w:rFonts w:ascii="宋体" w:hAnsi="宋体" w:cs="宋体"/>
                <w:sz w:val="18"/>
                <w:szCs w:val="18"/>
              </w:rPr>
            </w:pPr>
            <w:r>
              <w:rPr>
                <w:rFonts w:hint="eastAsia" w:ascii="宋体" w:hAnsi="宋体" w:cs="宋体"/>
                <w:sz w:val="18"/>
                <w:szCs w:val="18"/>
              </w:rPr>
              <w:t>万元</w:t>
            </w:r>
          </w:p>
        </w:tc>
        <w:tc>
          <w:tcPr>
            <w:tcW w:w="596" w:type="pct"/>
            <w:tcBorders>
              <w:top w:val="single" w:color="auto" w:sz="4" w:space="0"/>
              <w:left w:val="single" w:color="auto" w:sz="4" w:space="0"/>
              <w:bottom w:val="single" w:color="auto" w:sz="4" w:space="0"/>
              <w:right w:val="single" w:color="auto" w:sz="4" w:space="0"/>
            </w:tcBorders>
            <w:vAlign w:val="center"/>
          </w:tcPr>
          <w:p w14:paraId="7F02C4D6">
            <w:pPr>
              <w:widowControl/>
              <w:jc w:val="center"/>
              <w:rPr>
                <w:rFonts w:ascii="宋体" w:hAnsi="宋体" w:cs="宋体"/>
                <w:sz w:val="18"/>
                <w:szCs w:val="18"/>
              </w:rPr>
            </w:pPr>
            <w:r>
              <w:rPr>
                <w:rFonts w:hint="eastAsia" w:ascii="宋体" w:hAnsi="宋体" w:cs="宋体"/>
                <w:sz w:val="18"/>
                <w:szCs w:val="18"/>
              </w:rPr>
              <w:t>Z≥10000</w:t>
            </w:r>
          </w:p>
        </w:tc>
        <w:tc>
          <w:tcPr>
            <w:tcW w:w="902" w:type="pct"/>
            <w:tcBorders>
              <w:top w:val="single" w:color="auto" w:sz="4" w:space="0"/>
              <w:left w:val="single" w:color="auto" w:sz="4" w:space="0"/>
              <w:bottom w:val="single" w:color="auto" w:sz="4" w:space="0"/>
              <w:right w:val="single" w:color="auto" w:sz="4" w:space="0"/>
            </w:tcBorders>
            <w:vAlign w:val="center"/>
          </w:tcPr>
          <w:p w14:paraId="2CBBCA91">
            <w:pPr>
              <w:widowControl/>
              <w:jc w:val="center"/>
              <w:rPr>
                <w:rFonts w:ascii="宋体" w:hAnsi="宋体" w:cs="宋体"/>
                <w:sz w:val="18"/>
                <w:szCs w:val="18"/>
              </w:rPr>
            </w:pPr>
            <w:r>
              <w:rPr>
                <w:rFonts w:hint="eastAsia" w:ascii="宋体" w:hAnsi="宋体" w:cs="宋体"/>
                <w:sz w:val="18"/>
                <w:szCs w:val="18"/>
              </w:rPr>
              <w:t>5000≤Z＜10000</w:t>
            </w:r>
          </w:p>
        </w:tc>
        <w:tc>
          <w:tcPr>
            <w:tcW w:w="756" w:type="pct"/>
            <w:tcBorders>
              <w:top w:val="single" w:color="auto" w:sz="4" w:space="0"/>
              <w:left w:val="single" w:color="auto" w:sz="4" w:space="0"/>
              <w:bottom w:val="single" w:color="auto" w:sz="4" w:space="0"/>
              <w:right w:val="single" w:color="auto" w:sz="4" w:space="0"/>
            </w:tcBorders>
            <w:vAlign w:val="center"/>
          </w:tcPr>
          <w:p w14:paraId="5307FE21">
            <w:pPr>
              <w:widowControl/>
              <w:jc w:val="center"/>
              <w:rPr>
                <w:rFonts w:ascii="宋体" w:hAnsi="宋体" w:cs="宋体"/>
                <w:sz w:val="18"/>
                <w:szCs w:val="18"/>
              </w:rPr>
            </w:pPr>
            <w:r>
              <w:rPr>
                <w:rFonts w:hint="eastAsia" w:ascii="宋体" w:hAnsi="宋体" w:cs="宋体"/>
                <w:sz w:val="18"/>
                <w:szCs w:val="18"/>
              </w:rPr>
              <w:t>2000≤Z＜5000</w:t>
            </w:r>
          </w:p>
        </w:tc>
        <w:tc>
          <w:tcPr>
            <w:tcW w:w="526" w:type="pct"/>
            <w:tcBorders>
              <w:top w:val="single" w:color="auto" w:sz="4" w:space="0"/>
              <w:left w:val="single" w:color="auto" w:sz="4" w:space="0"/>
              <w:bottom w:val="single" w:color="auto" w:sz="4" w:space="0"/>
              <w:right w:val="single" w:color="auto" w:sz="4" w:space="0"/>
            </w:tcBorders>
            <w:vAlign w:val="center"/>
          </w:tcPr>
          <w:p w14:paraId="692BD72B">
            <w:pPr>
              <w:widowControl/>
              <w:jc w:val="center"/>
              <w:rPr>
                <w:rFonts w:ascii="宋体" w:hAnsi="宋体" w:cs="宋体"/>
                <w:sz w:val="18"/>
                <w:szCs w:val="18"/>
              </w:rPr>
            </w:pPr>
            <w:r>
              <w:rPr>
                <w:rFonts w:hint="eastAsia" w:ascii="宋体" w:hAnsi="宋体" w:cs="宋体"/>
                <w:sz w:val="18"/>
                <w:szCs w:val="18"/>
              </w:rPr>
              <w:t>Z＜2000</w:t>
            </w:r>
          </w:p>
        </w:tc>
      </w:tr>
      <w:tr w14:paraId="4AF19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120" w:type="pct"/>
            <w:vMerge w:val="restart"/>
            <w:tcBorders>
              <w:top w:val="single" w:color="auto" w:sz="4" w:space="0"/>
              <w:left w:val="single" w:color="auto" w:sz="4" w:space="0"/>
              <w:bottom w:val="single" w:color="auto" w:sz="4" w:space="0"/>
              <w:right w:val="single" w:color="auto" w:sz="4" w:space="0"/>
            </w:tcBorders>
            <w:vAlign w:val="center"/>
          </w:tcPr>
          <w:p w14:paraId="7CE21F80">
            <w:pPr>
              <w:widowControl/>
              <w:spacing w:line="240" w:lineRule="exact"/>
              <w:jc w:val="left"/>
              <w:rPr>
                <w:rFonts w:ascii="宋体" w:hAnsi="宋体" w:cs="宋体"/>
                <w:sz w:val="18"/>
                <w:szCs w:val="18"/>
              </w:rPr>
            </w:pPr>
            <w:r>
              <w:rPr>
                <w:rFonts w:hint="eastAsia" w:ascii="宋体" w:hAnsi="宋体" w:cs="宋体"/>
                <w:sz w:val="18"/>
                <w:szCs w:val="18"/>
              </w:rPr>
              <w:t>物业管理</w:t>
            </w:r>
          </w:p>
        </w:tc>
        <w:tc>
          <w:tcPr>
            <w:tcW w:w="725" w:type="pct"/>
            <w:tcBorders>
              <w:top w:val="single" w:color="auto" w:sz="4" w:space="0"/>
              <w:left w:val="single" w:color="auto" w:sz="4" w:space="0"/>
              <w:bottom w:val="single" w:color="auto" w:sz="4" w:space="0"/>
              <w:right w:val="single" w:color="auto" w:sz="4" w:space="0"/>
            </w:tcBorders>
            <w:vAlign w:val="center"/>
          </w:tcPr>
          <w:p w14:paraId="54B655B4">
            <w:pPr>
              <w:widowControl/>
              <w:jc w:val="center"/>
              <w:rPr>
                <w:rFonts w:ascii="宋体" w:hAnsi="宋体" w:cs="宋体"/>
                <w:sz w:val="18"/>
                <w:szCs w:val="18"/>
              </w:rPr>
            </w:pPr>
            <w:r>
              <w:rPr>
                <w:rFonts w:hint="eastAsia" w:ascii="宋体" w:hAnsi="宋体" w:cs="宋体"/>
                <w:sz w:val="18"/>
                <w:szCs w:val="18"/>
              </w:rPr>
              <w:t>从业人员(X)</w:t>
            </w:r>
          </w:p>
        </w:tc>
        <w:tc>
          <w:tcPr>
            <w:tcW w:w="376" w:type="pct"/>
            <w:tcBorders>
              <w:top w:val="single" w:color="auto" w:sz="4" w:space="0"/>
              <w:left w:val="single" w:color="auto" w:sz="4" w:space="0"/>
              <w:bottom w:val="single" w:color="auto" w:sz="4" w:space="0"/>
              <w:right w:val="single" w:color="auto" w:sz="4" w:space="0"/>
            </w:tcBorders>
            <w:vAlign w:val="center"/>
          </w:tcPr>
          <w:p w14:paraId="6767FBE4">
            <w:pPr>
              <w:widowControl/>
              <w:jc w:val="center"/>
              <w:rPr>
                <w:rFonts w:ascii="宋体" w:hAnsi="宋体" w:cs="宋体"/>
                <w:sz w:val="18"/>
                <w:szCs w:val="18"/>
              </w:rPr>
            </w:pPr>
            <w:r>
              <w:rPr>
                <w:rFonts w:hint="eastAsia" w:ascii="宋体" w:hAnsi="宋体" w:cs="宋体"/>
                <w:sz w:val="18"/>
                <w:szCs w:val="18"/>
              </w:rPr>
              <w:t>人</w:t>
            </w:r>
          </w:p>
        </w:tc>
        <w:tc>
          <w:tcPr>
            <w:tcW w:w="596" w:type="pct"/>
            <w:tcBorders>
              <w:top w:val="single" w:color="auto" w:sz="4" w:space="0"/>
              <w:left w:val="single" w:color="auto" w:sz="4" w:space="0"/>
              <w:bottom w:val="single" w:color="auto" w:sz="4" w:space="0"/>
              <w:right w:val="single" w:color="auto" w:sz="4" w:space="0"/>
            </w:tcBorders>
            <w:vAlign w:val="center"/>
          </w:tcPr>
          <w:p w14:paraId="4BD3EA8B">
            <w:pPr>
              <w:widowControl/>
              <w:jc w:val="center"/>
              <w:rPr>
                <w:rFonts w:ascii="宋体" w:hAnsi="宋体" w:cs="宋体"/>
                <w:sz w:val="18"/>
                <w:szCs w:val="18"/>
              </w:rPr>
            </w:pPr>
            <w:r>
              <w:rPr>
                <w:rFonts w:hint="eastAsia" w:ascii="宋体" w:hAnsi="宋体" w:cs="宋体"/>
                <w:sz w:val="18"/>
                <w:szCs w:val="18"/>
              </w:rPr>
              <w:t>X≥1000</w:t>
            </w:r>
          </w:p>
        </w:tc>
        <w:tc>
          <w:tcPr>
            <w:tcW w:w="902" w:type="pct"/>
            <w:tcBorders>
              <w:top w:val="single" w:color="auto" w:sz="4" w:space="0"/>
              <w:left w:val="single" w:color="auto" w:sz="4" w:space="0"/>
              <w:bottom w:val="single" w:color="auto" w:sz="4" w:space="0"/>
              <w:right w:val="single" w:color="auto" w:sz="4" w:space="0"/>
            </w:tcBorders>
            <w:vAlign w:val="center"/>
          </w:tcPr>
          <w:p w14:paraId="44AFB020">
            <w:pPr>
              <w:widowControl/>
              <w:jc w:val="center"/>
              <w:rPr>
                <w:rFonts w:ascii="宋体" w:hAnsi="宋体" w:cs="宋体"/>
                <w:sz w:val="18"/>
                <w:szCs w:val="18"/>
              </w:rPr>
            </w:pPr>
            <w:r>
              <w:rPr>
                <w:rFonts w:hint="eastAsia" w:ascii="宋体" w:hAnsi="宋体" w:cs="宋体"/>
                <w:sz w:val="18"/>
                <w:szCs w:val="18"/>
              </w:rPr>
              <w:t>300≤X＜1000</w:t>
            </w:r>
          </w:p>
        </w:tc>
        <w:tc>
          <w:tcPr>
            <w:tcW w:w="756" w:type="pct"/>
            <w:tcBorders>
              <w:top w:val="single" w:color="auto" w:sz="4" w:space="0"/>
              <w:left w:val="single" w:color="auto" w:sz="4" w:space="0"/>
              <w:bottom w:val="single" w:color="auto" w:sz="4" w:space="0"/>
              <w:right w:val="single" w:color="auto" w:sz="4" w:space="0"/>
            </w:tcBorders>
            <w:vAlign w:val="center"/>
          </w:tcPr>
          <w:p w14:paraId="149A5F6E">
            <w:pPr>
              <w:widowControl/>
              <w:jc w:val="center"/>
              <w:rPr>
                <w:rFonts w:ascii="宋体" w:hAnsi="宋体" w:cs="宋体"/>
                <w:sz w:val="18"/>
                <w:szCs w:val="18"/>
              </w:rPr>
            </w:pPr>
            <w:r>
              <w:rPr>
                <w:rFonts w:hint="eastAsia" w:ascii="宋体" w:hAnsi="宋体" w:cs="宋体"/>
                <w:sz w:val="18"/>
                <w:szCs w:val="18"/>
              </w:rPr>
              <w:t>100≤X＜300</w:t>
            </w:r>
          </w:p>
        </w:tc>
        <w:tc>
          <w:tcPr>
            <w:tcW w:w="526" w:type="pct"/>
            <w:tcBorders>
              <w:top w:val="single" w:color="auto" w:sz="4" w:space="0"/>
              <w:left w:val="single" w:color="auto" w:sz="4" w:space="0"/>
              <w:bottom w:val="single" w:color="auto" w:sz="4" w:space="0"/>
              <w:right w:val="single" w:color="auto" w:sz="4" w:space="0"/>
            </w:tcBorders>
            <w:vAlign w:val="center"/>
          </w:tcPr>
          <w:p w14:paraId="4D2D0CCE">
            <w:pPr>
              <w:widowControl/>
              <w:jc w:val="center"/>
              <w:rPr>
                <w:rFonts w:ascii="宋体" w:hAnsi="宋体" w:cs="宋体"/>
                <w:sz w:val="18"/>
                <w:szCs w:val="18"/>
              </w:rPr>
            </w:pPr>
            <w:r>
              <w:rPr>
                <w:rFonts w:hint="eastAsia" w:ascii="宋体" w:hAnsi="宋体" w:cs="宋体"/>
                <w:sz w:val="18"/>
                <w:szCs w:val="18"/>
              </w:rPr>
              <w:t>X＜100</w:t>
            </w:r>
          </w:p>
        </w:tc>
      </w:tr>
      <w:tr w14:paraId="330F4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120" w:type="pct"/>
            <w:vMerge w:val="continue"/>
            <w:tcBorders>
              <w:top w:val="single" w:color="auto" w:sz="4" w:space="0"/>
              <w:left w:val="single" w:color="auto" w:sz="4" w:space="0"/>
              <w:bottom w:val="single" w:color="auto" w:sz="4" w:space="0"/>
              <w:right w:val="single" w:color="auto" w:sz="4" w:space="0"/>
            </w:tcBorders>
            <w:vAlign w:val="center"/>
          </w:tcPr>
          <w:p w14:paraId="6DB908E7">
            <w:pPr>
              <w:widowControl/>
              <w:jc w:val="left"/>
              <w:rPr>
                <w:rFonts w:ascii="宋体" w:hAnsi="宋体" w:cs="宋体"/>
                <w:sz w:val="18"/>
                <w:szCs w:val="18"/>
              </w:rPr>
            </w:pPr>
          </w:p>
        </w:tc>
        <w:tc>
          <w:tcPr>
            <w:tcW w:w="725" w:type="pct"/>
            <w:tcBorders>
              <w:top w:val="single" w:color="auto" w:sz="4" w:space="0"/>
              <w:left w:val="single" w:color="auto" w:sz="4" w:space="0"/>
              <w:bottom w:val="single" w:color="auto" w:sz="4" w:space="0"/>
              <w:right w:val="single" w:color="auto" w:sz="4" w:space="0"/>
            </w:tcBorders>
            <w:vAlign w:val="center"/>
          </w:tcPr>
          <w:p w14:paraId="50AE7599">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376" w:type="pct"/>
            <w:tcBorders>
              <w:top w:val="single" w:color="auto" w:sz="4" w:space="0"/>
              <w:left w:val="single" w:color="auto" w:sz="4" w:space="0"/>
              <w:bottom w:val="single" w:color="auto" w:sz="4" w:space="0"/>
              <w:right w:val="single" w:color="auto" w:sz="4" w:space="0"/>
            </w:tcBorders>
            <w:vAlign w:val="center"/>
          </w:tcPr>
          <w:p w14:paraId="3C646BAD">
            <w:pPr>
              <w:widowControl/>
              <w:jc w:val="center"/>
              <w:rPr>
                <w:rFonts w:ascii="宋体" w:hAnsi="宋体" w:cs="宋体"/>
                <w:sz w:val="18"/>
                <w:szCs w:val="18"/>
              </w:rPr>
            </w:pPr>
            <w:r>
              <w:rPr>
                <w:rFonts w:hint="eastAsia" w:ascii="宋体" w:hAnsi="宋体" w:cs="宋体"/>
                <w:sz w:val="18"/>
                <w:szCs w:val="18"/>
              </w:rPr>
              <w:t>万元</w:t>
            </w:r>
          </w:p>
        </w:tc>
        <w:tc>
          <w:tcPr>
            <w:tcW w:w="596" w:type="pct"/>
            <w:tcBorders>
              <w:top w:val="single" w:color="auto" w:sz="4" w:space="0"/>
              <w:left w:val="single" w:color="auto" w:sz="4" w:space="0"/>
              <w:bottom w:val="single" w:color="auto" w:sz="4" w:space="0"/>
              <w:right w:val="single" w:color="auto" w:sz="4" w:space="0"/>
            </w:tcBorders>
            <w:vAlign w:val="center"/>
          </w:tcPr>
          <w:p w14:paraId="0A3D81E9">
            <w:pPr>
              <w:widowControl/>
              <w:jc w:val="center"/>
              <w:rPr>
                <w:rFonts w:ascii="宋体" w:hAnsi="宋体" w:cs="宋体"/>
                <w:sz w:val="18"/>
                <w:szCs w:val="18"/>
              </w:rPr>
            </w:pPr>
            <w:r>
              <w:rPr>
                <w:rFonts w:hint="eastAsia" w:ascii="宋体" w:hAnsi="宋体" w:cs="宋体"/>
                <w:sz w:val="18"/>
                <w:szCs w:val="18"/>
              </w:rPr>
              <w:t>Y≥5000</w:t>
            </w:r>
          </w:p>
        </w:tc>
        <w:tc>
          <w:tcPr>
            <w:tcW w:w="902" w:type="pct"/>
            <w:tcBorders>
              <w:top w:val="single" w:color="auto" w:sz="4" w:space="0"/>
              <w:left w:val="single" w:color="auto" w:sz="4" w:space="0"/>
              <w:bottom w:val="single" w:color="auto" w:sz="4" w:space="0"/>
              <w:right w:val="single" w:color="auto" w:sz="4" w:space="0"/>
            </w:tcBorders>
            <w:vAlign w:val="center"/>
          </w:tcPr>
          <w:p w14:paraId="005D10BA">
            <w:pPr>
              <w:widowControl/>
              <w:ind w:left="1" w:hanging="108"/>
              <w:jc w:val="center"/>
              <w:rPr>
                <w:rFonts w:ascii="宋体" w:hAnsi="宋体" w:cs="宋体"/>
                <w:sz w:val="18"/>
                <w:szCs w:val="18"/>
              </w:rPr>
            </w:pPr>
            <w:r>
              <w:rPr>
                <w:rFonts w:hint="eastAsia" w:ascii="宋体" w:hAnsi="宋体" w:cs="宋体"/>
                <w:sz w:val="18"/>
                <w:szCs w:val="18"/>
              </w:rPr>
              <w:t>1000≤Y＜5000</w:t>
            </w:r>
          </w:p>
        </w:tc>
        <w:tc>
          <w:tcPr>
            <w:tcW w:w="756" w:type="pct"/>
            <w:tcBorders>
              <w:top w:val="single" w:color="auto" w:sz="4" w:space="0"/>
              <w:left w:val="single" w:color="auto" w:sz="4" w:space="0"/>
              <w:bottom w:val="single" w:color="auto" w:sz="4" w:space="0"/>
              <w:right w:val="single" w:color="auto" w:sz="4" w:space="0"/>
            </w:tcBorders>
            <w:vAlign w:val="center"/>
          </w:tcPr>
          <w:p w14:paraId="4EA1F0A6">
            <w:pPr>
              <w:widowControl/>
              <w:jc w:val="center"/>
              <w:rPr>
                <w:rFonts w:ascii="宋体" w:hAnsi="宋体" w:cs="宋体"/>
                <w:sz w:val="18"/>
                <w:szCs w:val="18"/>
              </w:rPr>
            </w:pPr>
            <w:r>
              <w:rPr>
                <w:rFonts w:hint="eastAsia" w:ascii="宋体" w:hAnsi="宋体" w:cs="宋体"/>
                <w:sz w:val="18"/>
                <w:szCs w:val="18"/>
              </w:rPr>
              <w:t>500≤Y＜1000</w:t>
            </w:r>
          </w:p>
        </w:tc>
        <w:tc>
          <w:tcPr>
            <w:tcW w:w="526" w:type="pct"/>
            <w:tcBorders>
              <w:top w:val="single" w:color="auto" w:sz="4" w:space="0"/>
              <w:left w:val="single" w:color="auto" w:sz="4" w:space="0"/>
              <w:bottom w:val="single" w:color="auto" w:sz="4" w:space="0"/>
              <w:right w:val="single" w:color="auto" w:sz="4" w:space="0"/>
            </w:tcBorders>
            <w:vAlign w:val="center"/>
          </w:tcPr>
          <w:p w14:paraId="31B56999">
            <w:pPr>
              <w:widowControl/>
              <w:jc w:val="center"/>
              <w:rPr>
                <w:rFonts w:ascii="宋体" w:hAnsi="宋体" w:cs="宋体"/>
                <w:sz w:val="18"/>
                <w:szCs w:val="18"/>
              </w:rPr>
            </w:pPr>
            <w:r>
              <w:rPr>
                <w:rFonts w:hint="eastAsia" w:ascii="宋体" w:hAnsi="宋体" w:cs="宋体"/>
                <w:sz w:val="18"/>
                <w:szCs w:val="18"/>
              </w:rPr>
              <w:t>Y＜500</w:t>
            </w:r>
          </w:p>
        </w:tc>
      </w:tr>
      <w:tr w14:paraId="7C300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120" w:type="pct"/>
            <w:vMerge w:val="restart"/>
            <w:tcBorders>
              <w:top w:val="single" w:color="auto" w:sz="4" w:space="0"/>
              <w:left w:val="single" w:color="auto" w:sz="4" w:space="0"/>
              <w:bottom w:val="single" w:color="auto" w:sz="4" w:space="0"/>
              <w:right w:val="single" w:color="auto" w:sz="4" w:space="0"/>
            </w:tcBorders>
            <w:vAlign w:val="center"/>
          </w:tcPr>
          <w:p w14:paraId="0192DB09">
            <w:pPr>
              <w:widowControl/>
              <w:spacing w:line="240" w:lineRule="exact"/>
              <w:jc w:val="left"/>
              <w:rPr>
                <w:rFonts w:ascii="宋体" w:hAnsi="宋体" w:cs="宋体"/>
                <w:sz w:val="18"/>
                <w:szCs w:val="18"/>
              </w:rPr>
            </w:pPr>
            <w:r>
              <w:rPr>
                <w:rFonts w:hint="eastAsia" w:ascii="宋体" w:hAnsi="宋体" w:cs="宋体"/>
                <w:sz w:val="18"/>
                <w:szCs w:val="18"/>
              </w:rPr>
              <w:t>租赁和商务服务业</w:t>
            </w:r>
          </w:p>
        </w:tc>
        <w:tc>
          <w:tcPr>
            <w:tcW w:w="725" w:type="pct"/>
            <w:tcBorders>
              <w:top w:val="single" w:color="auto" w:sz="4" w:space="0"/>
              <w:left w:val="single" w:color="auto" w:sz="4" w:space="0"/>
              <w:bottom w:val="single" w:color="auto" w:sz="4" w:space="0"/>
              <w:right w:val="single" w:color="auto" w:sz="4" w:space="0"/>
            </w:tcBorders>
            <w:vAlign w:val="center"/>
          </w:tcPr>
          <w:p w14:paraId="4429AE6F">
            <w:pPr>
              <w:widowControl/>
              <w:jc w:val="center"/>
              <w:rPr>
                <w:rFonts w:ascii="宋体" w:hAnsi="宋体" w:cs="宋体"/>
                <w:sz w:val="18"/>
                <w:szCs w:val="18"/>
              </w:rPr>
            </w:pPr>
            <w:r>
              <w:rPr>
                <w:rFonts w:hint="eastAsia" w:ascii="宋体" w:hAnsi="宋体" w:cs="宋体"/>
                <w:sz w:val="18"/>
                <w:szCs w:val="18"/>
              </w:rPr>
              <w:t>从业人员(X)</w:t>
            </w:r>
          </w:p>
        </w:tc>
        <w:tc>
          <w:tcPr>
            <w:tcW w:w="376" w:type="pct"/>
            <w:tcBorders>
              <w:top w:val="single" w:color="auto" w:sz="4" w:space="0"/>
              <w:left w:val="single" w:color="auto" w:sz="4" w:space="0"/>
              <w:bottom w:val="single" w:color="auto" w:sz="4" w:space="0"/>
              <w:right w:val="single" w:color="auto" w:sz="4" w:space="0"/>
            </w:tcBorders>
            <w:vAlign w:val="center"/>
          </w:tcPr>
          <w:p w14:paraId="4303DDC0">
            <w:pPr>
              <w:widowControl/>
              <w:jc w:val="center"/>
              <w:rPr>
                <w:rFonts w:ascii="宋体" w:hAnsi="宋体" w:cs="宋体"/>
                <w:sz w:val="18"/>
                <w:szCs w:val="18"/>
              </w:rPr>
            </w:pPr>
            <w:r>
              <w:rPr>
                <w:rFonts w:hint="eastAsia" w:ascii="宋体" w:hAnsi="宋体" w:cs="宋体"/>
                <w:sz w:val="18"/>
                <w:szCs w:val="18"/>
              </w:rPr>
              <w:t>人</w:t>
            </w:r>
          </w:p>
        </w:tc>
        <w:tc>
          <w:tcPr>
            <w:tcW w:w="596" w:type="pct"/>
            <w:tcBorders>
              <w:top w:val="single" w:color="auto" w:sz="4" w:space="0"/>
              <w:left w:val="single" w:color="auto" w:sz="4" w:space="0"/>
              <w:bottom w:val="single" w:color="auto" w:sz="4" w:space="0"/>
              <w:right w:val="single" w:color="auto" w:sz="4" w:space="0"/>
            </w:tcBorders>
            <w:vAlign w:val="center"/>
          </w:tcPr>
          <w:p w14:paraId="72A54DD6">
            <w:pPr>
              <w:widowControl/>
              <w:jc w:val="center"/>
              <w:rPr>
                <w:rFonts w:ascii="宋体" w:hAnsi="宋体" w:cs="宋体"/>
                <w:sz w:val="18"/>
                <w:szCs w:val="18"/>
              </w:rPr>
            </w:pPr>
            <w:r>
              <w:rPr>
                <w:rFonts w:hint="eastAsia" w:ascii="宋体" w:hAnsi="宋体" w:cs="宋体"/>
                <w:sz w:val="18"/>
                <w:szCs w:val="18"/>
              </w:rPr>
              <w:t>X≥300</w:t>
            </w:r>
          </w:p>
        </w:tc>
        <w:tc>
          <w:tcPr>
            <w:tcW w:w="902" w:type="pct"/>
            <w:tcBorders>
              <w:top w:val="single" w:color="auto" w:sz="4" w:space="0"/>
              <w:left w:val="single" w:color="auto" w:sz="4" w:space="0"/>
              <w:bottom w:val="single" w:color="auto" w:sz="4" w:space="0"/>
              <w:right w:val="single" w:color="auto" w:sz="4" w:space="0"/>
            </w:tcBorders>
            <w:vAlign w:val="center"/>
          </w:tcPr>
          <w:p w14:paraId="393AEAAC">
            <w:pPr>
              <w:widowControl/>
              <w:ind w:left="1" w:hanging="108"/>
              <w:jc w:val="center"/>
              <w:rPr>
                <w:rFonts w:ascii="宋体" w:hAnsi="宋体" w:cs="宋体"/>
                <w:sz w:val="18"/>
                <w:szCs w:val="18"/>
              </w:rPr>
            </w:pPr>
            <w:r>
              <w:rPr>
                <w:rFonts w:hint="eastAsia" w:ascii="宋体" w:hAnsi="宋体" w:cs="宋体"/>
                <w:sz w:val="18"/>
                <w:szCs w:val="18"/>
              </w:rPr>
              <w:t>100≤X＜300</w:t>
            </w:r>
          </w:p>
        </w:tc>
        <w:tc>
          <w:tcPr>
            <w:tcW w:w="756" w:type="pct"/>
            <w:tcBorders>
              <w:top w:val="single" w:color="auto" w:sz="4" w:space="0"/>
              <w:left w:val="single" w:color="auto" w:sz="4" w:space="0"/>
              <w:bottom w:val="single" w:color="auto" w:sz="4" w:space="0"/>
              <w:right w:val="single" w:color="auto" w:sz="4" w:space="0"/>
            </w:tcBorders>
            <w:vAlign w:val="center"/>
          </w:tcPr>
          <w:p w14:paraId="7C3D5CF6">
            <w:pPr>
              <w:widowControl/>
              <w:jc w:val="center"/>
              <w:rPr>
                <w:rFonts w:ascii="宋体" w:hAnsi="宋体" w:cs="宋体"/>
                <w:sz w:val="18"/>
                <w:szCs w:val="18"/>
              </w:rPr>
            </w:pPr>
            <w:r>
              <w:rPr>
                <w:rFonts w:hint="eastAsia" w:ascii="宋体" w:hAnsi="宋体" w:cs="宋体"/>
                <w:sz w:val="18"/>
                <w:szCs w:val="18"/>
              </w:rPr>
              <w:t>10≤X＜100</w:t>
            </w:r>
          </w:p>
        </w:tc>
        <w:tc>
          <w:tcPr>
            <w:tcW w:w="526" w:type="pct"/>
            <w:tcBorders>
              <w:top w:val="single" w:color="auto" w:sz="4" w:space="0"/>
              <w:left w:val="single" w:color="auto" w:sz="4" w:space="0"/>
              <w:bottom w:val="single" w:color="auto" w:sz="4" w:space="0"/>
              <w:right w:val="single" w:color="auto" w:sz="4" w:space="0"/>
            </w:tcBorders>
            <w:vAlign w:val="center"/>
          </w:tcPr>
          <w:p w14:paraId="3B0EFC24">
            <w:pPr>
              <w:widowControl/>
              <w:jc w:val="center"/>
              <w:rPr>
                <w:rFonts w:ascii="宋体" w:hAnsi="宋体" w:cs="宋体"/>
                <w:sz w:val="18"/>
                <w:szCs w:val="18"/>
              </w:rPr>
            </w:pPr>
            <w:r>
              <w:rPr>
                <w:rFonts w:hint="eastAsia" w:ascii="宋体" w:hAnsi="宋体" w:cs="宋体"/>
                <w:sz w:val="18"/>
                <w:szCs w:val="18"/>
              </w:rPr>
              <w:t>X＜10</w:t>
            </w:r>
          </w:p>
        </w:tc>
      </w:tr>
      <w:tr w14:paraId="57641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exact"/>
        </w:trPr>
        <w:tc>
          <w:tcPr>
            <w:tcW w:w="1120" w:type="pct"/>
            <w:vMerge w:val="continue"/>
            <w:tcBorders>
              <w:top w:val="single" w:color="auto" w:sz="4" w:space="0"/>
              <w:left w:val="single" w:color="auto" w:sz="4" w:space="0"/>
              <w:bottom w:val="single" w:color="auto" w:sz="4" w:space="0"/>
              <w:right w:val="single" w:color="auto" w:sz="4" w:space="0"/>
            </w:tcBorders>
            <w:vAlign w:val="center"/>
          </w:tcPr>
          <w:p w14:paraId="600BC67D">
            <w:pPr>
              <w:widowControl/>
              <w:jc w:val="left"/>
              <w:rPr>
                <w:rFonts w:ascii="宋体" w:hAnsi="宋体" w:cs="宋体"/>
                <w:sz w:val="18"/>
                <w:szCs w:val="18"/>
              </w:rPr>
            </w:pPr>
          </w:p>
        </w:tc>
        <w:tc>
          <w:tcPr>
            <w:tcW w:w="725" w:type="pct"/>
            <w:tcBorders>
              <w:top w:val="single" w:color="auto" w:sz="4" w:space="0"/>
              <w:left w:val="single" w:color="auto" w:sz="4" w:space="0"/>
              <w:bottom w:val="single" w:color="auto" w:sz="4" w:space="0"/>
              <w:right w:val="single" w:color="auto" w:sz="4" w:space="0"/>
            </w:tcBorders>
            <w:vAlign w:val="center"/>
          </w:tcPr>
          <w:p w14:paraId="2222A67E">
            <w:pPr>
              <w:widowControl/>
              <w:spacing w:line="240" w:lineRule="exact"/>
              <w:jc w:val="center"/>
              <w:rPr>
                <w:rFonts w:ascii="宋体" w:hAnsi="宋体" w:cs="宋体"/>
                <w:sz w:val="18"/>
                <w:szCs w:val="18"/>
              </w:rPr>
            </w:pPr>
            <w:r>
              <w:rPr>
                <w:rFonts w:hint="eastAsia" w:ascii="宋体" w:hAnsi="宋体" w:cs="宋体"/>
                <w:sz w:val="18"/>
                <w:szCs w:val="18"/>
              </w:rPr>
              <w:t>资产总额(Z)</w:t>
            </w:r>
          </w:p>
        </w:tc>
        <w:tc>
          <w:tcPr>
            <w:tcW w:w="376" w:type="pct"/>
            <w:tcBorders>
              <w:top w:val="single" w:color="auto" w:sz="4" w:space="0"/>
              <w:left w:val="single" w:color="auto" w:sz="4" w:space="0"/>
              <w:bottom w:val="single" w:color="auto" w:sz="4" w:space="0"/>
              <w:right w:val="single" w:color="auto" w:sz="4" w:space="0"/>
            </w:tcBorders>
            <w:vAlign w:val="center"/>
          </w:tcPr>
          <w:p w14:paraId="2BC8A434">
            <w:pPr>
              <w:widowControl/>
              <w:jc w:val="center"/>
              <w:rPr>
                <w:rFonts w:ascii="宋体" w:hAnsi="宋体" w:cs="宋体"/>
                <w:sz w:val="18"/>
                <w:szCs w:val="18"/>
              </w:rPr>
            </w:pPr>
            <w:r>
              <w:rPr>
                <w:rFonts w:hint="eastAsia" w:ascii="宋体" w:hAnsi="宋体" w:cs="宋体"/>
                <w:sz w:val="18"/>
                <w:szCs w:val="18"/>
              </w:rPr>
              <w:t>万元</w:t>
            </w:r>
          </w:p>
        </w:tc>
        <w:tc>
          <w:tcPr>
            <w:tcW w:w="596" w:type="pct"/>
            <w:tcBorders>
              <w:top w:val="single" w:color="auto" w:sz="4" w:space="0"/>
              <w:left w:val="single" w:color="auto" w:sz="4" w:space="0"/>
              <w:bottom w:val="single" w:color="auto" w:sz="4" w:space="0"/>
              <w:right w:val="single" w:color="auto" w:sz="4" w:space="0"/>
            </w:tcBorders>
            <w:vAlign w:val="center"/>
          </w:tcPr>
          <w:p w14:paraId="63F473E9">
            <w:pPr>
              <w:widowControl/>
              <w:jc w:val="center"/>
              <w:rPr>
                <w:rFonts w:ascii="宋体" w:hAnsi="宋体" w:cs="宋体"/>
                <w:sz w:val="18"/>
                <w:szCs w:val="18"/>
              </w:rPr>
            </w:pPr>
            <w:r>
              <w:rPr>
                <w:rFonts w:hint="eastAsia" w:ascii="宋体" w:hAnsi="宋体" w:cs="宋体"/>
                <w:sz w:val="18"/>
                <w:szCs w:val="18"/>
              </w:rPr>
              <w:t>Z≥120000</w:t>
            </w:r>
          </w:p>
        </w:tc>
        <w:tc>
          <w:tcPr>
            <w:tcW w:w="902" w:type="pct"/>
            <w:tcBorders>
              <w:top w:val="single" w:color="auto" w:sz="4" w:space="0"/>
              <w:left w:val="single" w:color="auto" w:sz="4" w:space="0"/>
              <w:bottom w:val="single" w:color="auto" w:sz="4" w:space="0"/>
              <w:right w:val="single" w:color="auto" w:sz="4" w:space="0"/>
            </w:tcBorders>
            <w:vAlign w:val="center"/>
          </w:tcPr>
          <w:p w14:paraId="7A3F7F6F">
            <w:pPr>
              <w:widowControl/>
              <w:jc w:val="center"/>
              <w:rPr>
                <w:rFonts w:ascii="宋体" w:hAnsi="宋体" w:cs="宋体"/>
                <w:sz w:val="18"/>
                <w:szCs w:val="18"/>
              </w:rPr>
            </w:pPr>
            <w:r>
              <w:rPr>
                <w:rFonts w:hint="eastAsia" w:ascii="宋体" w:hAnsi="宋体" w:cs="宋体"/>
                <w:sz w:val="18"/>
                <w:szCs w:val="18"/>
              </w:rPr>
              <w:t>8000≤Z＜120000</w:t>
            </w:r>
          </w:p>
        </w:tc>
        <w:tc>
          <w:tcPr>
            <w:tcW w:w="756" w:type="pct"/>
            <w:tcBorders>
              <w:top w:val="single" w:color="auto" w:sz="4" w:space="0"/>
              <w:left w:val="single" w:color="auto" w:sz="4" w:space="0"/>
              <w:bottom w:val="single" w:color="auto" w:sz="4" w:space="0"/>
              <w:right w:val="single" w:color="auto" w:sz="4" w:space="0"/>
            </w:tcBorders>
            <w:vAlign w:val="center"/>
          </w:tcPr>
          <w:p w14:paraId="27C95AC6">
            <w:pPr>
              <w:widowControl/>
              <w:jc w:val="center"/>
              <w:rPr>
                <w:rFonts w:ascii="宋体" w:hAnsi="宋体" w:cs="宋体"/>
                <w:sz w:val="18"/>
                <w:szCs w:val="18"/>
              </w:rPr>
            </w:pPr>
            <w:r>
              <w:rPr>
                <w:rFonts w:hint="eastAsia" w:ascii="宋体" w:hAnsi="宋体" w:cs="宋体"/>
                <w:sz w:val="18"/>
                <w:szCs w:val="18"/>
              </w:rPr>
              <w:t>100≤Z＜8000</w:t>
            </w:r>
          </w:p>
        </w:tc>
        <w:tc>
          <w:tcPr>
            <w:tcW w:w="526" w:type="pct"/>
            <w:tcBorders>
              <w:top w:val="single" w:color="auto" w:sz="4" w:space="0"/>
              <w:left w:val="single" w:color="auto" w:sz="4" w:space="0"/>
              <w:bottom w:val="single" w:color="auto" w:sz="4" w:space="0"/>
              <w:right w:val="single" w:color="auto" w:sz="4" w:space="0"/>
            </w:tcBorders>
            <w:vAlign w:val="center"/>
          </w:tcPr>
          <w:p w14:paraId="2096AA2F">
            <w:pPr>
              <w:widowControl/>
              <w:jc w:val="center"/>
              <w:rPr>
                <w:rFonts w:ascii="宋体" w:hAnsi="宋体" w:cs="宋体"/>
                <w:sz w:val="18"/>
                <w:szCs w:val="18"/>
              </w:rPr>
            </w:pPr>
            <w:r>
              <w:rPr>
                <w:rFonts w:hint="eastAsia" w:ascii="宋体" w:hAnsi="宋体" w:cs="宋体"/>
                <w:sz w:val="18"/>
                <w:szCs w:val="18"/>
              </w:rPr>
              <w:t>Z＜100</w:t>
            </w:r>
          </w:p>
        </w:tc>
      </w:tr>
      <w:tr w14:paraId="02EEB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120" w:type="pct"/>
            <w:tcBorders>
              <w:top w:val="single" w:color="auto" w:sz="4" w:space="0"/>
              <w:left w:val="single" w:color="auto" w:sz="4" w:space="0"/>
              <w:bottom w:val="single" w:color="auto" w:sz="4" w:space="0"/>
              <w:right w:val="single" w:color="auto" w:sz="4" w:space="0"/>
            </w:tcBorders>
            <w:vAlign w:val="center"/>
          </w:tcPr>
          <w:p w14:paraId="142589D8">
            <w:pPr>
              <w:widowControl/>
              <w:spacing w:line="240" w:lineRule="exact"/>
              <w:jc w:val="left"/>
              <w:rPr>
                <w:rFonts w:ascii="宋体" w:hAnsi="宋体" w:cs="宋体"/>
                <w:sz w:val="18"/>
                <w:szCs w:val="18"/>
              </w:rPr>
            </w:pPr>
            <w:r>
              <w:rPr>
                <w:rFonts w:hint="eastAsia" w:ascii="宋体" w:hAnsi="宋体" w:cs="宋体"/>
                <w:sz w:val="18"/>
                <w:szCs w:val="18"/>
              </w:rPr>
              <w:t>其他未列明行业 ※</w:t>
            </w:r>
          </w:p>
        </w:tc>
        <w:tc>
          <w:tcPr>
            <w:tcW w:w="725" w:type="pct"/>
            <w:tcBorders>
              <w:top w:val="single" w:color="auto" w:sz="4" w:space="0"/>
              <w:left w:val="single" w:color="auto" w:sz="4" w:space="0"/>
              <w:bottom w:val="single" w:color="auto" w:sz="4" w:space="0"/>
              <w:right w:val="single" w:color="auto" w:sz="4" w:space="0"/>
            </w:tcBorders>
            <w:vAlign w:val="center"/>
          </w:tcPr>
          <w:p w14:paraId="33E82B72">
            <w:pPr>
              <w:widowControl/>
              <w:jc w:val="center"/>
              <w:rPr>
                <w:rFonts w:ascii="宋体" w:hAnsi="宋体" w:cs="宋体"/>
                <w:sz w:val="18"/>
                <w:szCs w:val="18"/>
              </w:rPr>
            </w:pPr>
            <w:r>
              <w:rPr>
                <w:rFonts w:hint="eastAsia" w:ascii="宋体" w:hAnsi="宋体" w:cs="宋体"/>
                <w:sz w:val="18"/>
                <w:szCs w:val="18"/>
              </w:rPr>
              <w:t>从业人员(X)</w:t>
            </w:r>
          </w:p>
        </w:tc>
        <w:tc>
          <w:tcPr>
            <w:tcW w:w="376" w:type="pct"/>
            <w:tcBorders>
              <w:top w:val="single" w:color="auto" w:sz="4" w:space="0"/>
              <w:left w:val="single" w:color="auto" w:sz="4" w:space="0"/>
              <w:bottom w:val="single" w:color="auto" w:sz="4" w:space="0"/>
              <w:right w:val="single" w:color="auto" w:sz="4" w:space="0"/>
            </w:tcBorders>
            <w:vAlign w:val="center"/>
          </w:tcPr>
          <w:p w14:paraId="07D78F4B">
            <w:pPr>
              <w:widowControl/>
              <w:jc w:val="center"/>
              <w:rPr>
                <w:rFonts w:ascii="宋体" w:hAnsi="宋体" w:cs="宋体"/>
                <w:sz w:val="18"/>
                <w:szCs w:val="18"/>
              </w:rPr>
            </w:pPr>
            <w:r>
              <w:rPr>
                <w:rFonts w:hint="eastAsia" w:ascii="宋体" w:hAnsi="宋体" w:cs="宋体"/>
                <w:sz w:val="18"/>
                <w:szCs w:val="18"/>
              </w:rPr>
              <w:t>人</w:t>
            </w:r>
          </w:p>
        </w:tc>
        <w:tc>
          <w:tcPr>
            <w:tcW w:w="596" w:type="pct"/>
            <w:tcBorders>
              <w:top w:val="single" w:color="auto" w:sz="4" w:space="0"/>
              <w:left w:val="single" w:color="auto" w:sz="4" w:space="0"/>
              <w:bottom w:val="single" w:color="auto" w:sz="4" w:space="0"/>
              <w:right w:val="single" w:color="auto" w:sz="4" w:space="0"/>
            </w:tcBorders>
            <w:vAlign w:val="center"/>
          </w:tcPr>
          <w:p w14:paraId="5CDFB263">
            <w:pPr>
              <w:widowControl/>
              <w:jc w:val="center"/>
              <w:rPr>
                <w:rFonts w:ascii="宋体" w:hAnsi="宋体" w:cs="宋体"/>
                <w:sz w:val="18"/>
                <w:szCs w:val="18"/>
              </w:rPr>
            </w:pPr>
            <w:r>
              <w:rPr>
                <w:rFonts w:hint="eastAsia" w:ascii="宋体" w:hAnsi="宋体" w:cs="宋体"/>
                <w:sz w:val="18"/>
                <w:szCs w:val="18"/>
              </w:rPr>
              <w:t>X≥300</w:t>
            </w:r>
          </w:p>
        </w:tc>
        <w:tc>
          <w:tcPr>
            <w:tcW w:w="902" w:type="pct"/>
            <w:tcBorders>
              <w:top w:val="single" w:color="auto" w:sz="4" w:space="0"/>
              <w:left w:val="single" w:color="auto" w:sz="4" w:space="0"/>
              <w:bottom w:val="single" w:color="auto" w:sz="4" w:space="0"/>
              <w:right w:val="single" w:color="auto" w:sz="4" w:space="0"/>
            </w:tcBorders>
            <w:vAlign w:val="center"/>
          </w:tcPr>
          <w:p w14:paraId="11B2C980">
            <w:pPr>
              <w:widowControl/>
              <w:ind w:left="1" w:hanging="108"/>
              <w:jc w:val="center"/>
              <w:rPr>
                <w:rFonts w:ascii="宋体" w:hAnsi="宋体" w:cs="宋体"/>
                <w:sz w:val="18"/>
                <w:szCs w:val="18"/>
              </w:rPr>
            </w:pPr>
            <w:r>
              <w:rPr>
                <w:rFonts w:hint="eastAsia" w:ascii="宋体" w:hAnsi="宋体" w:cs="宋体"/>
                <w:sz w:val="18"/>
                <w:szCs w:val="18"/>
              </w:rPr>
              <w:t>100≤X＜300</w:t>
            </w:r>
          </w:p>
        </w:tc>
        <w:tc>
          <w:tcPr>
            <w:tcW w:w="756" w:type="pct"/>
            <w:tcBorders>
              <w:top w:val="single" w:color="auto" w:sz="4" w:space="0"/>
              <w:left w:val="single" w:color="auto" w:sz="4" w:space="0"/>
              <w:bottom w:val="single" w:color="auto" w:sz="4" w:space="0"/>
              <w:right w:val="single" w:color="auto" w:sz="4" w:space="0"/>
            </w:tcBorders>
            <w:vAlign w:val="center"/>
          </w:tcPr>
          <w:p w14:paraId="3BEF4EAF">
            <w:pPr>
              <w:widowControl/>
              <w:jc w:val="center"/>
              <w:rPr>
                <w:rFonts w:ascii="宋体" w:hAnsi="宋体" w:cs="宋体"/>
                <w:sz w:val="18"/>
                <w:szCs w:val="18"/>
              </w:rPr>
            </w:pPr>
            <w:r>
              <w:rPr>
                <w:rFonts w:hint="eastAsia" w:ascii="宋体" w:hAnsi="宋体" w:cs="宋体"/>
                <w:sz w:val="18"/>
                <w:szCs w:val="18"/>
              </w:rPr>
              <w:t>10≤X＜100</w:t>
            </w:r>
          </w:p>
        </w:tc>
        <w:tc>
          <w:tcPr>
            <w:tcW w:w="526" w:type="pct"/>
            <w:tcBorders>
              <w:top w:val="single" w:color="auto" w:sz="4" w:space="0"/>
              <w:left w:val="single" w:color="auto" w:sz="4" w:space="0"/>
              <w:bottom w:val="single" w:color="auto" w:sz="4" w:space="0"/>
              <w:right w:val="single" w:color="auto" w:sz="4" w:space="0"/>
            </w:tcBorders>
            <w:vAlign w:val="center"/>
          </w:tcPr>
          <w:p w14:paraId="43B54570">
            <w:pPr>
              <w:widowControl/>
              <w:jc w:val="center"/>
              <w:rPr>
                <w:rFonts w:ascii="宋体" w:hAnsi="宋体" w:cs="宋体"/>
                <w:sz w:val="18"/>
                <w:szCs w:val="18"/>
              </w:rPr>
            </w:pPr>
            <w:r>
              <w:rPr>
                <w:rFonts w:hint="eastAsia" w:ascii="宋体" w:hAnsi="宋体" w:cs="宋体"/>
                <w:sz w:val="18"/>
                <w:szCs w:val="18"/>
              </w:rPr>
              <w:t>X＜10</w:t>
            </w:r>
          </w:p>
        </w:tc>
      </w:tr>
    </w:tbl>
    <w:p w14:paraId="492C782B">
      <w:pPr>
        <w:widowControl/>
        <w:spacing w:line="540" w:lineRule="exact"/>
        <w:rPr>
          <w:rFonts w:ascii="宋体" w:hAnsi="宋体" w:cs="宋体"/>
          <w:spacing w:val="8"/>
          <w:sz w:val="24"/>
        </w:rPr>
      </w:pPr>
      <w:r>
        <w:rPr>
          <w:rFonts w:hint="eastAsia" w:ascii="宋体" w:hAnsi="宋体" w:cs="宋体"/>
          <w:spacing w:val="8"/>
          <w:sz w:val="24"/>
        </w:rPr>
        <w:t>说明：</w:t>
      </w:r>
    </w:p>
    <w:p w14:paraId="7B7DF0F6">
      <w:pPr>
        <w:pStyle w:val="220"/>
        <w:spacing w:line="380" w:lineRule="exact"/>
        <w:ind w:firstLine="512"/>
        <w:contextualSpacing/>
        <w:rPr>
          <w:rFonts w:hAnsi="宋体" w:cs="宋体"/>
          <w:spacing w:val="8"/>
          <w:sz w:val="24"/>
          <w:szCs w:val="24"/>
        </w:rPr>
      </w:pPr>
      <w:r>
        <w:rPr>
          <w:rFonts w:hint="eastAsia" w:hAnsi="宋体" w:cs="宋体"/>
          <w:spacing w:val="8"/>
          <w:sz w:val="24"/>
          <w:szCs w:val="24"/>
        </w:rPr>
        <w:t>1.大型、中型和小型企业须同时满足所列指标的下限，否则下划一档；微型企业只须满足所列指标中的一项即可。</w:t>
      </w:r>
    </w:p>
    <w:p w14:paraId="616B0553">
      <w:pPr>
        <w:pStyle w:val="220"/>
        <w:spacing w:line="380" w:lineRule="exact"/>
        <w:ind w:firstLine="512"/>
        <w:contextualSpacing/>
        <w:rPr>
          <w:rFonts w:hAnsi="宋体" w:cs="宋体"/>
          <w:spacing w:val="8"/>
          <w:sz w:val="24"/>
          <w:szCs w:val="24"/>
        </w:rPr>
      </w:pPr>
      <w:r>
        <w:rPr>
          <w:rFonts w:hint="eastAsia" w:hAnsi="宋体" w:cs="宋体"/>
          <w:spacing w:val="8"/>
          <w:sz w:val="24"/>
          <w:szCs w:val="24"/>
        </w:rPr>
        <w:t>2.附表中各行业的范围以《国民经济行业分类》（GB/T 4754-2017）为准。带</w:t>
      </w:r>
      <w:r>
        <w:rPr>
          <w:rFonts w:hint="eastAsia" w:hAnsi="宋体" w:cs="宋体"/>
          <w:sz w:val="18"/>
          <w:szCs w:val="18"/>
        </w:rPr>
        <w:t>※</w:t>
      </w:r>
      <w:r>
        <w:rPr>
          <w:rFonts w:hint="eastAsia" w:hAnsi="宋体" w:cs="宋体"/>
          <w:spacing w:val="8"/>
          <w:sz w:val="24"/>
          <w:szCs w:val="24"/>
        </w:rPr>
        <w:t>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79A2A22F">
      <w:pPr>
        <w:pStyle w:val="220"/>
        <w:spacing w:line="380" w:lineRule="exact"/>
        <w:ind w:firstLine="512"/>
        <w:contextualSpacing/>
        <w:rPr>
          <w:rFonts w:hAnsi="宋体" w:cs="宋体"/>
          <w:bCs/>
        </w:rPr>
      </w:pPr>
      <w:r>
        <w:rPr>
          <w:rFonts w:hint="eastAsia" w:hAnsi="宋体" w:cs="宋体"/>
          <w:spacing w:val="8"/>
          <w:sz w:val="24"/>
          <w:szCs w:val="24"/>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6F15C5E3">
      <w:pPr>
        <w:pStyle w:val="216"/>
        <w:ind w:left="-31"/>
        <w:rPr>
          <w:rFonts w:ascii="宋体" w:hAnsi="宋体" w:cs="宋体"/>
          <w:b/>
          <w:bCs/>
          <w:sz w:val="32"/>
          <w:szCs w:val="32"/>
        </w:rPr>
      </w:pPr>
    </w:p>
    <w:p w14:paraId="300D0B27">
      <w:pPr>
        <w:widowControl/>
        <w:jc w:val="left"/>
        <w:rPr>
          <w:rFonts w:ascii="宋体" w:hAnsi="宋体" w:cs="宋体"/>
          <w:b/>
          <w:bCs/>
          <w:sz w:val="32"/>
          <w:szCs w:val="32"/>
        </w:rPr>
      </w:pPr>
      <w:r>
        <w:rPr>
          <w:rFonts w:ascii="宋体" w:hAnsi="宋体" w:cs="宋体"/>
          <w:b/>
          <w:bCs/>
          <w:sz w:val="32"/>
          <w:szCs w:val="32"/>
        </w:rPr>
        <w:br w:type="page"/>
      </w:r>
    </w:p>
    <w:p w14:paraId="23D0BD64">
      <w:pPr>
        <w:rPr>
          <w:rFonts w:ascii="宋体" w:hAnsi="宋体"/>
          <w:b/>
          <w:kern w:val="2"/>
          <w:sz w:val="32"/>
          <w:szCs w:val="32"/>
        </w:rPr>
      </w:pPr>
      <w:r>
        <w:rPr>
          <w:rFonts w:hint="eastAsia" w:ascii="宋体" w:hAnsi="宋体"/>
          <w:b/>
          <w:kern w:val="2"/>
          <w:sz w:val="32"/>
          <w:szCs w:val="32"/>
        </w:rPr>
        <w:t>附件1：</w:t>
      </w:r>
    </w:p>
    <w:p w14:paraId="31D98002">
      <w:pPr>
        <w:jc w:val="center"/>
        <w:rPr>
          <w:rFonts w:ascii="宋体" w:hAnsi="宋体" w:cs="仿宋"/>
          <w:b/>
          <w:bCs/>
          <w:kern w:val="2"/>
          <w:sz w:val="24"/>
        </w:rPr>
      </w:pPr>
    </w:p>
    <w:p w14:paraId="79666F18">
      <w:pPr>
        <w:jc w:val="center"/>
        <w:rPr>
          <w:rFonts w:ascii="宋体" w:hAnsi="宋体" w:cs="仿宋"/>
          <w:b/>
          <w:bCs/>
          <w:kern w:val="2"/>
          <w:sz w:val="32"/>
          <w:szCs w:val="32"/>
        </w:rPr>
      </w:pPr>
      <w:r>
        <w:rPr>
          <w:rFonts w:hint="eastAsia" w:ascii="宋体" w:hAnsi="宋体" w:cs="仿宋"/>
          <w:b/>
          <w:bCs/>
          <w:kern w:val="2"/>
          <w:sz w:val="32"/>
          <w:szCs w:val="32"/>
        </w:rPr>
        <w:t>质疑函范本</w:t>
      </w:r>
    </w:p>
    <w:p w14:paraId="7E5BA125">
      <w:pPr>
        <w:adjustRightInd w:val="0"/>
        <w:snapToGrid w:val="0"/>
        <w:spacing w:beforeLines="100" w:line="360" w:lineRule="auto"/>
        <w:rPr>
          <w:rFonts w:ascii="宋体" w:hAnsi="宋体" w:cs="仿宋"/>
          <w:bCs/>
          <w:kern w:val="2"/>
          <w:sz w:val="24"/>
        </w:rPr>
      </w:pPr>
      <w:r>
        <w:rPr>
          <w:rFonts w:hint="eastAsia" w:ascii="宋体" w:hAnsi="宋体" w:cs="仿宋"/>
          <w:bCs/>
          <w:kern w:val="2"/>
          <w:sz w:val="24"/>
        </w:rPr>
        <w:t>一、质疑供应商基本信息</w:t>
      </w:r>
    </w:p>
    <w:p w14:paraId="5F01C0D2">
      <w:pPr>
        <w:adjustRightInd w:val="0"/>
        <w:snapToGrid w:val="0"/>
        <w:spacing w:line="360" w:lineRule="auto"/>
        <w:rPr>
          <w:rFonts w:ascii="宋体" w:hAnsi="宋体" w:cs="仿宋"/>
          <w:kern w:val="2"/>
          <w:sz w:val="24"/>
          <w:u w:val="dotted"/>
        </w:rPr>
      </w:pPr>
      <w:r>
        <w:rPr>
          <w:rFonts w:hint="eastAsia" w:ascii="宋体" w:hAnsi="宋体" w:cs="仿宋"/>
          <w:kern w:val="2"/>
          <w:sz w:val="24"/>
        </w:rPr>
        <w:t>质疑供应商：</w:t>
      </w:r>
      <w:r>
        <w:rPr>
          <w:rFonts w:hint="eastAsia" w:ascii="宋体" w:hAnsi="宋体" w:cs="仿宋"/>
          <w:kern w:val="2"/>
          <w:sz w:val="24"/>
          <w:u w:val="dotted"/>
        </w:rPr>
        <w:t xml:space="preserve">                                        </w:t>
      </w:r>
    </w:p>
    <w:p w14:paraId="24DE032D">
      <w:pPr>
        <w:adjustRightInd w:val="0"/>
        <w:snapToGrid w:val="0"/>
        <w:spacing w:line="360" w:lineRule="auto"/>
        <w:rPr>
          <w:rFonts w:ascii="宋体" w:hAnsi="宋体" w:cs="仿宋"/>
          <w:kern w:val="2"/>
          <w:sz w:val="24"/>
        </w:rPr>
      </w:pPr>
      <w:r>
        <w:rPr>
          <w:rFonts w:hint="eastAsia" w:ascii="宋体" w:hAnsi="宋体" w:cs="仿宋"/>
          <w:kern w:val="2"/>
          <w:sz w:val="24"/>
        </w:rPr>
        <w:t>地址：</w:t>
      </w:r>
      <w:r>
        <w:rPr>
          <w:rFonts w:hint="eastAsia" w:ascii="宋体" w:hAnsi="宋体" w:cs="仿宋"/>
          <w:kern w:val="2"/>
          <w:sz w:val="24"/>
          <w:u w:val="dotted"/>
        </w:rPr>
        <w:t xml:space="preserve">                          </w:t>
      </w:r>
      <w:r>
        <w:rPr>
          <w:rFonts w:hint="eastAsia" w:ascii="宋体" w:hAnsi="宋体" w:cs="仿宋"/>
          <w:kern w:val="2"/>
          <w:sz w:val="24"/>
        </w:rPr>
        <w:t>邮编：</w:t>
      </w:r>
      <w:r>
        <w:rPr>
          <w:rFonts w:hint="eastAsia" w:ascii="宋体" w:hAnsi="宋体" w:cs="仿宋"/>
          <w:kern w:val="2"/>
          <w:sz w:val="24"/>
          <w:u w:val="dotted"/>
        </w:rPr>
        <w:t xml:space="preserve">                                   </w:t>
      </w:r>
    </w:p>
    <w:p w14:paraId="0B38A786">
      <w:pPr>
        <w:adjustRightInd w:val="0"/>
        <w:snapToGrid w:val="0"/>
        <w:spacing w:line="360" w:lineRule="auto"/>
        <w:rPr>
          <w:rFonts w:ascii="宋体" w:hAnsi="宋体" w:cs="仿宋"/>
          <w:kern w:val="2"/>
          <w:sz w:val="24"/>
        </w:rPr>
      </w:pPr>
      <w:r>
        <w:rPr>
          <w:rFonts w:hint="eastAsia" w:ascii="宋体" w:hAnsi="宋体" w:cs="仿宋"/>
          <w:kern w:val="2"/>
          <w:sz w:val="24"/>
        </w:rPr>
        <w:t>联系人：</w:t>
      </w:r>
      <w:r>
        <w:rPr>
          <w:rFonts w:hint="eastAsia" w:ascii="宋体" w:hAnsi="宋体" w:cs="仿宋"/>
          <w:kern w:val="2"/>
          <w:sz w:val="24"/>
          <w:u w:val="dotted"/>
        </w:rPr>
        <w:t xml:space="preserve">                      </w:t>
      </w:r>
      <w:r>
        <w:rPr>
          <w:rFonts w:hint="eastAsia" w:ascii="宋体" w:hAnsi="宋体" w:cs="仿宋"/>
          <w:kern w:val="2"/>
          <w:sz w:val="24"/>
        </w:rPr>
        <w:t>联系电话：</w:t>
      </w:r>
      <w:r>
        <w:rPr>
          <w:rFonts w:hint="eastAsia" w:ascii="宋体" w:hAnsi="宋体" w:cs="仿宋"/>
          <w:kern w:val="2"/>
          <w:sz w:val="24"/>
          <w:u w:val="dotted"/>
        </w:rPr>
        <w:t xml:space="preserve">                              </w:t>
      </w:r>
    </w:p>
    <w:p w14:paraId="0DE772B6">
      <w:pPr>
        <w:adjustRightInd w:val="0"/>
        <w:snapToGrid w:val="0"/>
        <w:spacing w:line="360" w:lineRule="auto"/>
        <w:rPr>
          <w:rFonts w:ascii="宋体" w:hAnsi="宋体" w:cs="仿宋"/>
          <w:kern w:val="2"/>
          <w:sz w:val="24"/>
          <w:u w:val="dotted"/>
        </w:rPr>
      </w:pPr>
      <w:r>
        <w:rPr>
          <w:rFonts w:hint="eastAsia" w:ascii="宋体" w:hAnsi="宋体" w:cs="仿宋"/>
          <w:kern w:val="2"/>
          <w:sz w:val="24"/>
        </w:rPr>
        <w:t>授权代表：</w:t>
      </w:r>
      <w:r>
        <w:rPr>
          <w:rFonts w:hint="eastAsia" w:ascii="宋体" w:hAnsi="宋体" w:cs="仿宋"/>
          <w:kern w:val="2"/>
          <w:sz w:val="24"/>
          <w:u w:val="dotted"/>
        </w:rPr>
        <w:t xml:space="preserve">                                          </w:t>
      </w:r>
    </w:p>
    <w:p w14:paraId="2EF5549D">
      <w:pPr>
        <w:adjustRightInd w:val="0"/>
        <w:snapToGrid w:val="0"/>
        <w:spacing w:line="360" w:lineRule="auto"/>
        <w:rPr>
          <w:rFonts w:ascii="宋体" w:hAnsi="宋体" w:cs="仿宋"/>
          <w:kern w:val="2"/>
          <w:sz w:val="24"/>
        </w:rPr>
      </w:pPr>
      <w:r>
        <w:rPr>
          <w:rFonts w:hint="eastAsia" w:ascii="宋体" w:hAnsi="宋体" w:cs="仿宋"/>
          <w:kern w:val="2"/>
          <w:sz w:val="24"/>
        </w:rPr>
        <w:t>联系电话：</w:t>
      </w:r>
      <w:r>
        <w:rPr>
          <w:rFonts w:hint="eastAsia" w:ascii="宋体" w:hAnsi="宋体" w:cs="仿宋"/>
          <w:kern w:val="2"/>
          <w:sz w:val="24"/>
          <w:u w:val="dotted"/>
        </w:rPr>
        <w:t xml:space="preserve">                                           </w:t>
      </w:r>
      <w:r>
        <w:rPr>
          <w:rFonts w:ascii="宋体" w:hAnsi="宋体" w:cs="仿宋"/>
          <w:kern w:val="2"/>
          <w:sz w:val="24"/>
        </w:rPr>
        <w:t xml:space="preserve"> </w:t>
      </w:r>
    </w:p>
    <w:p w14:paraId="2BD1DD5A">
      <w:pPr>
        <w:adjustRightInd w:val="0"/>
        <w:snapToGrid w:val="0"/>
        <w:spacing w:line="360" w:lineRule="auto"/>
        <w:rPr>
          <w:rFonts w:ascii="宋体" w:hAnsi="宋体" w:cs="仿宋"/>
          <w:kern w:val="2"/>
          <w:sz w:val="24"/>
        </w:rPr>
      </w:pPr>
      <w:r>
        <w:rPr>
          <w:rFonts w:hint="eastAsia" w:ascii="宋体" w:hAnsi="宋体" w:cs="仿宋"/>
          <w:kern w:val="2"/>
          <w:sz w:val="24"/>
        </w:rPr>
        <w:t>地址：</w:t>
      </w:r>
      <w:r>
        <w:rPr>
          <w:rFonts w:ascii="宋体" w:hAnsi="宋体" w:cs="仿宋"/>
          <w:kern w:val="2"/>
          <w:sz w:val="24"/>
        </w:rPr>
        <w:t xml:space="preserve"> </w:t>
      </w:r>
      <w:r>
        <w:rPr>
          <w:rFonts w:hint="eastAsia" w:ascii="宋体" w:hAnsi="宋体" w:cs="仿宋"/>
          <w:kern w:val="2"/>
          <w:sz w:val="24"/>
          <w:u w:val="dotted"/>
        </w:rPr>
        <w:t xml:space="preserve">                        </w:t>
      </w:r>
      <w:r>
        <w:rPr>
          <w:rFonts w:hint="eastAsia" w:ascii="宋体" w:hAnsi="宋体" w:cs="仿宋"/>
          <w:kern w:val="2"/>
          <w:sz w:val="24"/>
        </w:rPr>
        <w:t>邮编：</w:t>
      </w:r>
      <w:r>
        <w:rPr>
          <w:rFonts w:hint="eastAsia" w:ascii="宋体" w:hAnsi="宋体" w:cs="仿宋"/>
          <w:kern w:val="2"/>
          <w:sz w:val="24"/>
          <w:u w:val="dotted"/>
        </w:rPr>
        <w:t xml:space="preserve">                                     </w:t>
      </w:r>
    </w:p>
    <w:p w14:paraId="62927D73">
      <w:pPr>
        <w:adjustRightInd w:val="0"/>
        <w:snapToGrid w:val="0"/>
        <w:spacing w:line="360" w:lineRule="auto"/>
        <w:rPr>
          <w:rFonts w:ascii="宋体" w:hAnsi="宋体" w:cs="仿宋"/>
          <w:bCs/>
          <w:kern w:val="2"/>
          <w:sz w:val="24"/>
        </w:rPr>
      </w:pPr>
      <w:r>
        <w:rPr>
          <w:rFonts w:hint="eastAsia" w:ascii="宋体" w:hAnsi="宋体" w:cs="仿宋"/>
          <w:bCs/>
          <w:kern w:val="2"/>
          <w:sz w:val="24"/>
        </w:rPr>
        <w:t>二、质疑项目基本情况</w:t>
      </w:r>
    </w:p>
    <w:p w14:paraId="27A34D22">
      <w:pPr>
        <w:adjustRightInd w:val="0"/>
        <w:snapToGrid w:val="0"/>
        <w:spacing w:line="360" w:lineRule="auto"/>
        <w:rPr>
          <w:rFonts w:ascii="宋体" w:hAnsi="宋体" w:cs="仿宋"/>
          <w:kern w:val="2"/>
          <w:sz w:val="24"/>
        </w:rPr>
      </w:pPr>
      <w:r>
        <w:rPr>
          <w:rFonts w:hint="eastAsia" w:ascii="宋体" w:hAnsi="宋体" w:cs="仿宋"/>
          <w:kern w:val="2"/>
          <w:sz w:val="24"/>
        </w:rPr>
        <w:t>质疑项目的名称：</w:t>
      </w:r>
      <w:r>
        <w:rPr>
          <w:rFonts w:hint="eastAsia" w:ascii="宋体" w:hAnsi="宋体" w:cs="仿宋"/>
          <w:kern w:val="2"/>
          <w:sz w:val="24"/>
          <w:u w:val="dotted"/>
        </w:rPr>
        <w:t xml:space="preserve">                                      </w:t>
      </w:r>
    </w:p>
    <w:p w14:paraId="5FC25AA6">
      <w:pPr>
        <w:adjustRightInd w:val="0"/>
        <w:snapToGrid w:val="0"/>
        <w:spacing w:line="360" w:lineRule="auto"/>
        <w:rPr>
          <w:rFonts w:ascii="宋体" w:hAnsi="宋体" w:cs="仿宋"/>
          <w:kern w:val="2"/>
          <w:sz w:val="24"/>
        </w:rPr>
      </w:pPr>
      <w:r>
        <w:rPr>
          <w:rFonts w:hint="eastAsia" w:ascii="宋体" w:hAnsi="宋体" w:cs="仿宋"/>
          <w:kern w:val="2"/>
          <w:sz w:val="24"/>
        </w:rPr>
        <w:t>质疑项目的编号：</w:t>
      </w:r>
      <w:r>
        <w:rPr>
          <w:rFonts w:hint="eastAsia" w:ascii="宋体" w:hAnsi="宋体" w:cs="仿宋"/>
          <w:kern w:val="2"/>
          <w:sz w:val="24"/>
          <w:u w:val="dotted"/>
        </w:rPr>
        <w:t xml:space="preserve">               </w:t>
      </w:r>
      <w:r>
        <w:rPr>
          <w:rFonts w:hint="eastAsia" w:ascii="宋体" w:hAnsi="宋体" w:cs="仿宋"/>
          <w:kern w:val="2"/>
          <w:sz w:val="24"/>
        </w:rPr>
        <w:t>包号：</w:t>
      </w:r>
      <w:r>
        <w:rPr>
          <w:rFonts w:hint="eastAsia" w:ascii="宋体" w:hAnsi="宋体" w:cs="仿宋"/>
          <w:kern w:val="2"/>
          <w:sz w:val="24"/>
          <w:u w:val="dotted"/>
        </w:rPr>
        <w:t xml:space="preserve">                 </w:t>
      </w:r>
    </w:p>
    <w:p w14:paraId="2EBC13A8">
      <w:pPr>
        <w:adjustRightInd w:val="0"/>
        <w:snapToGrid w:val="0"/>
        <w:spacing w:line="360" w:lineRule="auto"/>
        <w:rPr>
          <w:rFonts w:ascii="宋体" w:hAnsi="宋体" w:cs="仿宋"/>
          <w:kern w:val="2"/>
          <w:sz w:val="24"/>
          <w:u w:val="dotted"/>
        </w:rPr>
      </w:pPr>
      <w:r>
        <w:rPr>
          <w:rFonts w:hint="eastAsia" w:ascii="宋体" w:hAnsi="宋体" w:cs="仿宋"/>
          <w:kern w:val="2"/>
          <w:sz w:val="24"/>
        </w:rPr>
        <w:t>采购人名称：</w:t>
      </w:r>
      <w:r>
        <w:rPr>
          <w:rFonts w:hint="eastAsia" w:ascii="宋体" w:hAnsi="宋体" w:cs="仿宋"/>
          <w:kern w:val="2"/>
          <w:sz w:val="24"/>
          <w:u w:val="dotted"/>
        </w:rPr>
        <w:t xml:space="preserve">                                         </w:t>
      </w:r>
    </w:p>
    <w:p w14:paraId="2C9DF36B">
      <w:pPr>
        <w:adjustRightInd w:val="0"/>
        <w:snapToGrid w:val="0"/>
        <w:spacing w:line="360" w:lineRule="auto"/>
        <w:rPr>
          <w:rFonts w:ascii="宋体" w:hAnsi="宋体" w:cs="仿宋"/>
          <w:kern w:val="2"/>
          <w:sz w:val="24"/>
        </w:rPr>
      </w:pPr>
      <w:r>
        <w:rPr>
          <w:rFonts w:hint="eastAsia" w:ascii="宋体" w:hAnsi="宋体" w:cs="仿宋"/>
          <w:kern w:val="2"/>
          <w:sz w:val="24"/>
        </w:rPr>
        <w:t>采购文件获取日期：</w:t>
      </w:r>
      <w:r>
        <w:rPr>
          <w:rFonts w:hint="eastAsia" w:ascii="宋体" w:hAnsi="宋体" w:cs="仿宋"/>
          <w:kern w:val="2"/>
          <w:sz w:val="24"/>
          <w:u w:val="dotted"/>
        </w:rPr>
        <w:t xml:space="preserve">                                           </w:t>
      </w:r>
    </w:p>
    <w:p w14:paraId="5977D36E">
      <w:pPr>
        <w:adjustRightInd w:val="0"/>
        <w:snapToGrid w:val="0"/>
        <w:spacing w:line="360" w:lineRule="auto"/>
        <w:rPr>
          <w:rFonts w:ascii="宋体" w:hAnsi="宋体" w:cs="仿宋"/>
          <w:bCs/>
          <w:kern w:val="2"/>
          <w:sz w:val="24"/>
        </w:rPr>
      </w:pPr>
      <w:r>
        <w:rPr>
          <w:rFonts w:hint="eastAsia" w:ascii="宋体" w:hAnsi="宋体" w:cs="仿宋"/>
          <w:bCs/>
          <w:kern w:val="2"/>
          <w:sz w:val="24"/>
        </w:rPr>
        <w:t>三、质疑事项具体内容</w:t>
      </w:r>
    </w:p>
    <w:p w14:paraId="26C788B0">
      <w:pPr>
        <w:adjustRightInd w:val="0"/>
        <w:snapToGrid w:val="0"/>
        <w:spacing w:line="360" w:lineRule="auto"/>
        <w:rPr>
          <w:rFonts w:ascii="宋体" w:hAnsi="宋体" w:cs="仿宋"/>
          <w:kern w:val="2"/>
          <w:sz w:val="24"/>
          <w:u w:val="dotted"/>
        </w:rPr>
      </w:pPr>
      <w:r>
        <w:rPr>
          <w:rFonts w:hint="eastAsia" w:ascii="宋体" w:hAnsi="宋体" w:cs="仿宋"/>
          <w:kern w:val="2"/>
          <w:sz w:val="24"/>
        </w:rPr>
        <w:t>质疑事项1：</w:t>
      </w:r>
      <w:r>
        <w:rPr>
          <w:rFonts w:hint="eastAsia" w:ascii="宋体" w:hAnsi="宋体" w:cs="仿宋"/>
          <w:kern w:val="2"/>
          <w:sz w:val="24"/>
          <w:u w:val="dotted"/>
        </w:rPr>
        <w:t xml:space="preserve">                                         </w:t>
      </w:r>
    </w:p>
    <w:p w14:paraId="6A40EE3F">
      <w:pPr>
        <w:adjustRightInd w:val="0"/>
        <w:snapToGrid w:val="0"/>
        <w:spacing w:line="360" w:lineRule="auto"/>
        <w:rPr>
          <w:rFonts w:ascii="宋体" w:hAnsi="宋体" w:cs="仿宋"/>
          <w:kern w:val="2"/>
          <w:sz w:val="24"/>
          <w:u w:val="dotted"/>
        </w:rPr>
      </w:pPr>
      <w:r>
        <w:rPr>
          <w:rFonts w:hint="eastAsia" w:ascii="宋体" w:hAnsi="宋体" w:cs="仿宋"/>
          <w:kern w:val="2"/>
          <w:sz w:val="24"/>
        </w:rPr>
        <w:t>事实依据：</w:t>
      </w:r>
      <w:r>
        <w:rPr>
          <w:rFonts w:hint="eastAsia" w:ascii="宋体" w:hAnsi="宋体" w:cs="仿宋"/>
          <w:kern w:val="2"/>
          <w:sz w:val="24"/>
          <w:u w:val="dotted"/>
        </w:rPr>
        <w:t xml:space="preserve">                                          </w:t>
      </w:r>
    </w:p>
    <w:p w14:paraId="3DFAEE0F">
      <w:pPr>
        <w:adjustRightInd w:val="0"/>
        <w:snapToGrid w:val="0"/>
        <w:spacing w:line="360" w:lineRule="auto"/>
        <w:rPr>
          <w:rFonts w:ascii="宋体" w:hAnsi="宋体" w:cs="仿宋"/>
          <w:kern w:val="2"/>
          <w:sz w:val="24"/>
        </w:rPr>
      </w:pPr>
      <w:r>
        <w:rPr>
          <w:rFonts w:hint="eastAsia" w:ascii="宋体" w:hAnsi="宋体" w:cs="仿宋"/>
          <w:kern w:val="2"/>
          <w:sz w:val="24"/>
          <w:u w:val="dotted"/>
        </w:rPr>
        <w:t xml:space="preserve">                                                       </w:t>
      </w:r>
    </w:p>
    <w:p w14:paraId="74129444">
      <w:pPr>
        <w:adjustRightInd w:val="0"/>
        <w:snapToGrid w:val="0"/>
        <w:spacing w:line="360" w:lineRule="auto"/>
        <w:rPr>
          <w:rFonts w:ascii="宋体" w:hAnsi="宋体" w:cs="仿宋"/>
          <w:kern w:val="2"/>
          <w:sz w:val="24"/>
          <w:u w:val="dotted"/>
        </w:rPr>
      </w:pPr>
      <w:r>
        <w:rPr>
          <w:rFonts w:hint="eastAsia" w:ascii="宋体" w:hAnsi="宋体" w:cs="仿宋"/>
          <w:kern w:val="2"/>
          <w:sz w:val="24"/>
        </w:rPr>
        <w:t>法律依据：</w:t>
      </w:r>
      <w:r>
        <w:rPr>
          <w:rFonts w:hint="eastAsia" w:ascii="宋体" w:hAnsi="宋体" w:cs="仿宋"/>
          <w:kern w:val="2"/>
          <w:sz w:val="24"/>
          <w:u w:val="dotted"/>
        </w:rPr>
        <w:t xml:space="preserve">                                          </w:t>
      </w:r>
    </w:p>
    <w:p w14:paraId="290E35F9">
      <w:pPr>
        <w:adjustRightInd w:val="0"/>
        <w:snapToGrid w:val="0"/>
        <w:spacing w:line="360" w:lineRule="auto"/>
        <w:rPr>
          <w:rFonts w:ascii="宋体" w:hAnsi="宋体" w:cs="仿宋"/>
          <w:kern w:val="2"/>
          <w:sz w:val="24"/>
          <w:u w:val="dotted"/>
        </w:rPr>
      </w:pPr>
      <w:r>
        <w:rPr>
          <w:rFonts w:hint="eastAsia" w:ascii="宋体" w:hAnsi="宋体" w:cs="仿宋"/>
          <w:kern w:val="2"/>
          <w:sz w:val="24"/>
          <w:u w:val="dotted"/>
        </w:rPr>
        <w:t xml:space="preserve">                                                     </w:t>
      </w:r>
    </w:p>
    <w:p w14:paraId="7C3C9505">
      <w:pPr>
        <w:adjustRightInd w:val="0"/>
        <w:snapToGrid w:val="0"/>
        <w:spacing w:line="360" w:lineRule="auto"/>
        <w:rPr>
          <w:rFonts w:ascii="宋体" w:hAnsi="宋体" w:cs="仿宋"/>
          <w:kern w:val="2"/>
          <w:sz w:val="24"/>
          <w:u w:val="dotted"/>
        </w:rPr>
      </w:pPr>
      <w:r>
        <w:rPr>
          <w:rFonts w:hint="eastAsia" w:ascii="宋体" w:hAnsi="宋体" w:cs="仿宋"/>
          <w:kern w:val="2"/>
          <w:sz w:val="24"/>
        </w:rPr>
        <w:t>质疑事项2</w:t>
      </w:r>
    </w:p>
    <w:p w14:paraId="6E0802B1">
      <w:pPr>
        <w:adjustRightInd w:val="0"/>
        <w:snapToGrid w:val="0"/>
        <w:spacing w:line="360" w:lineRule="auto"/>
        <w:rPr>
          <w:rFonts w:ascii="宋体" w:hAnsi="宋体" w:cs="仿宋"/>
          <w:kern w:val="2"/>
          <w:sz w:val="24"/>
        </w:rPr>
      </w:pPr>
      <w:r>
        <w:rPr>
          <w:rFonts w:hint="eastAsia" w:ascii="宋体" w:hAnsi="宋体" w:cs="仿宋"/>
          <w:kern w:val="2"/>
          <w:sz w:val="24"/>
        </w:rPr>
        <w:t>……</w:t>
      </w:r>
    </w:p>
    <w:p w14:paraId="3C236E20">
      <w:pPr>
        <w:adjustRightInd w:val="0"/>
        <w:snapToGrid w:val="0"/>
        <w:spacing w:line="360" w:lineRule="auto"/>
        <w:rPr>
          <w:rFonts w:ascii="宋体" w:hAnsi="宋体" w:cs="仿宋"/>
          <w:bCs/>
          <w:kern w:val="2"/>
          <w:sz w:val="24"/>
        </w:rPr>
      </w:pPr>
      <w:r>
        <w:rPr>
          <w:rFonts w:hint="eastAsia" w:ascii="宋体" w:hAnsi="宋体" w:cs="仿宋"/>
          <w:bCs/>
          <w:kern w:val="2"/>
          <w:sz w:val="24"/>
        </w:rPr>
        <w:t>四、与质疑事项相关的质疑请求</w:t>
      </w:r>
    </w:p>
    <w:p w14:paraId="4526896C">
      <w:pPr>
        <w:adjustRightInd w:val="0"/>
        <w:snapToGrid w:val="0"/>
        <w:spacing w:line="360" w:lineRule="auto"/>
        <w:rPr>
          <w:rFonts w:ascii="宋体" w:hAnsi="宋体" w:cs="仿宋"/>
          <w:kern w:val="2"/>
          <w:sz w:val="24"/>
          <w:u w:val="dotted"/>
        </w:rPr>
      </w:pPr>
      <w:r>
        <w:rPr>
          <w:rFonts w:hint="eastAsia" w:ascii="宋体" w:hAnsi="宋体" w:cs="仿宋"/>
          <w:kern w:val="2"/>
          <w:sz w:val="24"/>
        </w:rPr>
        <w:t>请求：</w:t>
      </w:r>
      <w:r>
        <w:rPr>
          <w:rFonts w:hint="eastAsia" w:ascii="宋体" w:hAnsi="宋体" w:cs="仿宋"/>
          <w:kern w:val="2"/>
          <w:sz w:val="24"/>
          <w:u w:val="dotted"/>
        </w:rPr>
        <w:t xml:space="preserve">                                               </w:t>
      </w:r>
    </w:p>
    <w:p w14:paraId="0D43938D">
      <w:pPr>
        <w:rPr>
          <w:rFonts w:ascii="宋体" w:hAnsi="宋体"/>
          <w:kern w:val="2"/>
          <w:sz w:val="24"/>
        </w:rPr>
      </w:pPr>
      <w:r>
        <w:rPr>
          <w:rFonts w:hint="eastAsia" w:ascii="宋体" w:hAnsi="宋体"/>
          <w:kern w:val="2"/>
          <w:sz w:val="24"/>
        </w:rPr>
        <w:t xml:space="preserve">签字（签章）：                   公章：                      </w:t>
      </w:r>
    </w:p>
    <w:p w14:paraId="3AE50372">
      <w:pPr>
        <w:rPr>
          <w:rFonts w:ascii="宋体" w:hAnsi="宋体"/>
          <w:kern w:val="2"/>
          <w:sz w:val="24"/>
        </w:rPr>
      </w:pPr>
      <w:r>
        <w:rPr>
          <w:rFonts w:hint="eastAsia" w:ascii="宋体" w:hAnsi="宋体"/>
          <w:kern w:val="2"/>
          <w:sz w:val="24"/>
        </w:rPr>
        <w:t xml:space="preserve">日期：    </w:t>
      </w:r>
    </w:p>
    <w:p w14:paraId="3D7F3737">
      <w:pPr>
        <w:adjustRightInd w:val="0"/>
        <w:snapToGrid w:val="0"/>
        <w:spacing w:line="360" w:lineRule="auto"/>
        <w:rPr>
          <w:rFonts w:ascii="宋体" w:hAnsi="宋体" w:cs="仿宋"/>
          <w:kern w:val="2"/>
          <w:sz w:val="24"/>
        </w:rPr>
      </w:pPr>
    </w:p>
    <w:p w14:paraId="30651435">
      <w:pPr>
        <w:adjustRightInd w:val="0"/>
        <w:snapToGrid w:val="0"/>
        <w:spacing w:line="360" w:lineRule="auto"/>
        <w:rPr>
          <w:rFonts w:ascii="宋体" w:hAnsi="宋体" w:cs="仿宋"/>
          <w:kern w:val="2"/>
          <w:sz w:val="32"/>
          <w:szCs w:val="32"/>
        </w:rPr>
      </w:pPr>
    </w:p>
    <w:p w14:paraId="3139FD03">
      <w:pPr>
        <w:jc w:val="center"/>
        <w:rPr>
          <w:rFonts w:ascii="宋体" w:hAnsi="宋体" w:cs="仿宋"/>
          <w:b/>
          <w:bCs/>
          <w:kern w:val="2"/>
          <w:sz w:val="32"/>
          <w:szCs w:val="32"/>
        </w:rPr>
      </w:pPr>
    </w:p>
    <w:p w14:paraId="04A290A4">
      <w:pPr>
        <w:rPr>
          <w:rFonts w:ascii="宋体" w:hAnsi="宋体"/>
          <w:b/>
          <w:kern w:val="2"/>
          <w:sz w:val="32"/>
          <w:szCs w:val="32"/>
        </w:rPr>
      </w:pPr>
    </w:p>
    <w:p w14:paraId="7FBD5B83">
      <w:pPr>
        <w:rPr>
          <w:rFonts w:ascii="宋体" w:hAnsi="宋体"/>
          <w:kern w:val="2"/>
          <w:sz w:val="32"/>
          <w:szCs w:val="32"/>
        </w:rPr>
      </w:pPr>
      <w:r>
        <w:rPr>
          <w:rFonts w:hint="eastAsia" w:ascii="宋体" w:hAnsi="宋体"/>
          <w:kern w:val="2"/>
          <w:sz w:val="32"/>
          <w:szCs w:val="32"/>
        </w:rPr>
        <w:t>质疑函制作说明：</w:t>
      </w:r>
    </w:p>
    <w:p w14:paraId="567E8DE6">
      <w:pPr>
        <w:widowControl/>
        <w:spacing w:line="500" w:lineRule="exact"/>
        <w:ind w:firstLine="640" w:firstLineChars="200"/>
        <w:jc w:val="left"/>
        <w:rPr>
          <w:rFonts w:ascii="宋体" w:hAnsi="宋体"/>
          <w:kern w:val="2"/>
          <w:sz w:val="32"/>
          <w:szCs w:val="32"/>
        </w:rPr>
      </w:pPr>
      <w:r>
        <w:rPr>
          <w:rFonts w:hint="eastAsia" w:ascii="宋体" w:hAnsi="宋体"/>
          <w:kern w:val="2"/>
          <w:sz w:val="32"/>
          <w:szCs w:val="32"/>
        </w:rPr>
        <w:t>1.供应商提出质疑时，应提交质疑函和必要的证明材料。</w:t>
      </w:r>
    </w:p>
    <w:p w14:paraId="2C3F7676">
      <w:pPr>
        <w:widowControl/>
        <w:spacing w:line="500" w:lineRule="exact"/>
        <w:ind w:firstLine="640" w:firstLineChars="200"/>
        <w:jc w:val="left"/>
        <w:rPr>
          <w:rFonts w:ascii="宋体" w:hAnsi="宋体"/>
          <w:kern w:val="2"/>
          <w:sz w:val="32"/>
          <w:szCs w:val="32"/>
        </w:rPr>
      </w:pPr>
      <w:r>
        <w:rPr>
          <w:rFonts w:hint="eastAsia" w:ascii="宋体" w:hAnsi="宋体"/>
          <w:kern w:val="2"/>
          <w:sz w:val="32"/>
          <w:szCs w:val="32"/>
        </w:rPr>
        <w:t>2.质疑供应商若委托代理人进行质疑的，质疑函应按要求列明“授权代表”的有关内容，并在附件中提交由质疑</w:t>
      </w:r>
      <w:r>
        <w:rPr>
          <w:rFonts w:hint="eastAsia" w:ascii="宋体" w:hAnsi="宋体" w:cs="宋体"/>
          <w:sz w:val="32"/>
          <w:szCs w:val="32"/>
        </w:rPr>
        <w:t>供应商签署的授权委托书。授权委托书应载明代理人的姓名或者名称、代理事项、具体权限、期限和相关事项。</w:t>
      </w:r>
    </w:p>
    <w:p w14:paraId="0B40BC99">
      <w:pPr>
        <w:widowControl/>
        <w:spacing w:line="500" w:lineRule="exact"/>
        <w:ind w:firstLine="640" w:firstLineChars="200"/>
        <w:jc w:val="left"/>
        <w:rPr>
          <w:rFonts w:ascii="宋体" w:hAnsi="宋体"/>
          <w:kern w:val="2"/>
          <w:sz w:val="32"/>
          <w:szCs w:val="32"/>
        </w:rPr>
      </w:pPr>
      <w:r>
        <w:rPr>
          <w:rFonts w:hint="eastAsia" w:ascii="宋体" w:hAnsi="宋体"/>
          <w:kern w:val="2"/>
          <w:sz w:val="32"/>
          <w:szCs w:val="32"/>
        </w:rPr>
        <w:t>3.质疑供应商若对项目的某一分包进行质疑，质疑函中应列明具体分包号。</w:t>
      </w:r>
    </w:p>
    <w:p w14:paraId="22BEC4D3">
      <w:pPr>
        <w:widowControl/>
        <w:spacing w:line="500" w:lineRule="exact"/>
        <w:ind w:firstLine="640" w:firstLineChars="200"/>
        <w:jc w:val="left"/>
        <w:rPr>
          <w:rFonts w:ascii="宋体" w:hAnsi="宋体"/>
          <w:kern w:val="2"/>
          <w:sz w:val="32"/>
          <w:szCs w:val="32"/>
        </w:rPr>
      </w:pPr>
      <w:r>
        <w:rPr>
          <w:rFonts w:hint="eastAsia" w:ascii="宋体" w:hAnsi="宋体"/>
          <w:kern w:val="2"/>
          <w:sz w:val="32"/>
          <w:szCs w:val="32"/>
        </w:rPr>
        <w:t>4.质疑函的质疑事项应具体、明确，并有必要的事实依据和法律依据。</w:t>
      </w:r>
    </w:p>
    <w:p w14:paraId="14FCB94B">
      <w:pPr>
        <w:widowControl/>
        <w:spacing w:line="500" w:lineRule="exact"/>
        <w:ind w:firstLine="640" w:firstLineChars="200"/>
        <w:jc w:val="left"/>
        <w:rPr>
          <w:rFonts w:ascii="宋体" w:hAnsi="宋体"/>
          <w:kern w:val="2"/>
          <w:sz w:val="32"/>
          <w:szCs w:val="32"/>
        </w:rPr>
      </w:pPr>
      <w:r>
        <w:rPr>
          <w:rFonts w:hint="eastAsia" w:ascii="宋体" w:hAnsi="宋体"/>
          <w:kern w:val="2"/>
          <w:sz w:val="32"/>
          <w:szCs w:val="32"/>
        </w:rPr>
        <w:t>5.质疑函的质疑请求应与质疑事项相关。</w:t>
      </w:r>
    </w:p>
    <w:p w14:paraId="79ECB90E">
      <w:pPr>
        <w:spacing w:line="500" w:lineRule="exact"/>
        <w:ind w:firstLine="640" w:firstLineChars="200"/>
        <w:rPr>
          <w:rFonts w:ascii="宋体" w:hAnsi="宋体"/>
          <w:kern w:val="2"/>
          <w:sz w:val="32"/>
          <w:szCs w:val="32"/>
        </w:rPr>
      </w:pPr>
      <w:r>
        <w:rPr>
          <w:rFonts w:hint="eastAsia" w:ascii="宋体" w:hAnsi="宋体"/>
          <w:kern w:val="2"/>
          <w:sz w:val="32"/>
          <w:szCs w:val="32"/>
        </w:rPr>
        <w:t>6.质疑供应商为自然人的，质疑函应由本人签字；质疑供应商为法人或者其他组织的，质疑函应由法定代表人、主要负责人，或者其授权代表签字或者盖章，并加盖公章。</w:t>
      </w:r>
    </w:p>
    <w:p w14:paraId="3DEEE1C6">
      <w:pPr>
        <w:pStyle w:val="258"/>
        <w:rPr>
          <w:rFonts w:ascii="宋体" w:hAnsi="宋体" w:eastAsia="宋体" w:cs="宋体"/>
          <w:color w:val="auto"/>
        </w:rPr>
      </w:pPr>
    </w:p>
    <w:sectPr>
      <w:footerReference r:id="rId5" w:type="default"/>
      <w:pgSz w:w="11906" w:h="16838"/>
      <w:pgMar w:top="1417" w:right="1361" w:bottom="1417" w:left="1417" w:header="851" w:footer="992" w:gutter="0"/>
      <w:cols w:space="0" w:num="1"/>
      <w:rtlGutter w:val="0"/>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0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Ђˎ̥">
    <w:altName w:val="Segoe Print"/>
    <w:panose1 w:val="00000000000000000000"/>
    <w:charset w:val="00"/>
    <w:family w:val="auto"/>
    <w:pitch w:val="default"/>
    <w:sig w:usb0="00000000" w:usb1="00000000" w:usb2="00000000" w:usb3="00000000" w:csb0="00000000" w:csb1="00000000"/>
  </w:font>
  <w:font w:name="Verdana">
    <w:panose1 w:val="020B0604030504040204"/>
    <w:charset w:val="00"/>
    <w:family w:val="swiss"/>
    <w:pitch w:val="default"/>
    <w:sig w:usb0="A00006FF" w:usb1="4000205B" w:usb2="00000010" w:usb3="00000000" w:csb0="2000019F" w:csb1="00000000"/>
  </w:font>
  <w:font w:name="Calibri Light">
    <w:panose1 w:val="020F0302020204030204"/>
    <w:charset w:val="00"/>
    <w:family w:val="swiss"/>
    <w:pitch w:val="default"/>
    <w:sig w:usb0="E4002EFF" w:usb1="C200247B" w:usb2="00000009" w:usb3="00000000" w:csb0="200001FF" w:csb1="00000000"/>
  </w:font>
  <w:font w:name="Sim Sun">
    <w:altName w:val="Verdana"/>
    <w:panose1 w:val="00000000000000000000"/>
    <w:charset w:val="00"/>
    <w:family w:val="auto"/>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思源黑体">
    <w:altName w:val="宋体"/>
    <w:panose1 w:val="00000000000000000000"/>
    <w:charset w:val="86"/>
    <w:family w:val="roman"/>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8C821"/>
  <w:p w14:paraId="6674508D">
    <w:pPr>
      <w:pStyle w:val="22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F8B4C">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880EAAC">
                          <w:pPr>
                            <w:pStyle w:val="24"/>
                          </w:pPr>
                          <w:r>
                            <w:fldChar w:fldCharType="begin"/>
                          </w:r>
                          <w:r>
                            <w:instrText xml:space="preserve"> PAGE  \* MERGEFORMAT </w:instrText>
                          </w:r>
                          <w:r>
                            <w:fldChar w:fldCharType="separate"/>
                          </w:r>
                          <w:r>
                            <w:t>46</w:t>
                          </w:r>
                          <w: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v2vVWyQEAAJkDAAAOAAAAAAAAAAEAIAAAAB4BAABkcnMvZTJvRG9j&#10;LnhtbFBLBQYAAAAABgAGAFkBAABZBQAAAAA=&#10;">
              <v:fill on="f" focussize="0,0"/>
              <v:stroke on="f"/>
              <v:imagedata o:title=""/>
              <o:lock v:ext="edit" aspectratio="f"/>
              <v:textbox inset="0mm,0mm,0mm,0mm" style="mso-fit-shape-to-text:t;">
                <w:txbxContent>
                  <w:p w14:paraId="5880EAAC">
                    <w:pPr>
                      <w:pStyle w:val="24"/>
                    </w:pPr>
                    <w:r>
                      <w:fldChar w:fldCharType="begin"/>
                    </w:r>
                    <w:r>
                      <w:instrText xml:space="preserve"> PAGE  \* MERGEFORMAT </w:instrText>
                    </w:r>
                    <w:r>
                      <w:fldChar w:fldCharType="separate"/>
                    </w:r>
                    <w:r>
                      <w:t>46</w:t>
                    </w:r>
                    <w:r>
                      <w:fldChar w:fldCharType="end"/>
                    </w:r>
                  </w:p>
                </w:txbxContent>
              </v:textbox>
            </v:shape>
          </w:pict>
        </mc:Fallback>
      </mc:AlternateContent>
    </w:r>
  </w:p>
  <w:p w14:paraId="7AE3D2B4">
    <w:pPr>
      <w:pStyle w:val="22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39CD1">
    <w:pPr>
      <w:pStyle w:val="24"/>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sdt>
                          <w:sdtPr>
                            <w:id w:val="147483324"/>
                          </w:sdtPr>
                          <w:sdtContent>
                            <w:p w14:paraId="1C369026">
                              <w:pPr>
                                <w:pStyle w:val="24"/>
                                <w:jc w:val="center"/>
                              </w:pPr>
                              <w:r>
                                <w:fldChar w:fldCharType="begin"/>
                              </w:r>
                              <w:r>
                                <w:instrText xml:space="preserve"> PAGE   \* MERGEFORMAT </w:instrText>
                              </w:r>
                              <w:r>
                                <w:fldChar w:fldCharType="separate"/>
                              </w:r>
                              <w:r>
                                <w:rPr>
                                  <w:lang w:val="zh-CN"/>
                                </w:rPr>
                                <w:t>61</w:t>
                              </w:r>
                              <w:r>
                                <w:rPr>
                                  <w:lang w:val="zh-CN"/>
                                </w:rPr>
                                <w:fldChar w:fldCharType="end"/>
                              </w:r>
                            </w:p>
                          </w:sdtContent>
                        </w:sdt>
                        <w:p w14:paraId="7E69A9D6"/>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dNuRXyQEAAJkDAAAOAAAAAAAAAAEAIAAAAB4BAABkcnMvZTJvRG9j&#10;LnhtbFBLBQYAAAAABgAGAFkBAABZBQAAAAA=&#10;">
              <v:fill on="f" focussize="0,0"/>
              <v:stroke on="f"/>
              <v:imagedata o:title=""/>
              <o:lock v:ext="edit" aspectratio="f"/>
              <v:textbox inset="0mm,0mm,0mm,0mm" style="mso-fit-shape-to-text:t;">
                <w:txbxContent>
                  <w:sdt>
                    <w:sdtPr>
                      <w:id w:val="147483324"/>
                    </w:sdtPr>
                    <w:sdtContent>
                      <w:p w14:paraId="1C369026">
                        <w:pPr>
                          <w:pStyle w:val="24"/>
                          <w:jc w:val="center"/>
                        </w:pPr>
                        <w:r>
                          <w:fldChar w:fldCharType="begin"/>
                        </w:r>
                        <w:r>
                          <w:instrText xml:space="preserve"> PAGE   \* MERGEFORMAT </w:instrText>
                        </w:r>
                        <w:r>
                          <w:fldChar w:fldCharType="separate"/>
                        </w:r>
                        <w:r>
                          <w:rPr>
                            <w:lang w:val="zh-CN"/>
                          </w:rPr>
                          <w:t>61</w:t>
                        </w:r>
                        <w:r>
                          <w:rPr>
                            <w:lang w:val="zh-CN"/>
                          </w:rPr>
                          <w:fldChar w:fldCharType="end"/>
                        </w:r>
                      </w:p>
                    </w:sdtContent>
                  </w:sdt>
                  <w:p w14:paraId="7E69A9D6"/>
                </w:txbxContent>
              </v:textbox>
            </v:shape>
          </w:pict>
        </mc:Fallback>
      </mc:AlternateContent>
    </w:r>
  </w:p>
  <w:p w14:paraId="33F15DA4">
    <w:pPr>
      <w:pStyle w:val="2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29807E"/>
    <w:multiLevelType w:val="singleLevel"/>
    <w:tmpl w:val="8129807E"/>
    <w:lvl w:ilvl="0" w:tentative="0">
      <w:start w:val="1"/>
      <w:numFmt w:val="chineseCounting"/>
      <w:suff w:val="nothing"/>
      <w:lvlText w:val="（%1）"/>
      <w:lvlJc w:val="left"/>
      <w:rPr>
        <w:rFonts w:hint="eastAsia"/>
      </w:rPr>
    </w:lvl>
  </w:abstractNum>
  <w:abstractNum w:abstractNumId="1">
    <w:nsid w:val="A539230B"/>
    <w:multiLevelType w:val="singleLevel"/>
    <w:tmpl w:val="A539230B"/>
    <w:lvl w:ilvl="0" w:tentative="0">
      <w:start w:val="1"/>
      <w:numFmt w:val="chineseCounting"/>
      <w:suff w:val="nothing"/>
      <w:lvlText w:val="%1、"/>
      <w:lvlJc w:val="left"/>
      <w:rPr>
        <w:rFonts w:hint="eastAsia"/>
      </w:rPr>
    </w:lvl>
  </w:abstractNum>
  <w:abstractNum w:abstractNumId="2">
    <w:nsid w:val="AE8EBBE8"/>
    <w:multiLevelType w:val="multilevel"/>
    <w:tmpl w:val="AE8EBBE8"/>
    <w:lvl w:ilvl="0" w:tentative="0">
      <w:start w:val="15"/>
      <w:numFmt w:val="decimal"/>
      <w:suff w:val="space"/>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3">
    <w:nsid w:val="26B2358E"/>
    <w:multiLevelType w:val="singleLevel"/>
    <w:tmpl w:val="26B2358E"/>
    <w:lvl w:ilvl="0" w:tentative="0">
      <w:start w:val="2"/>
      <w:numFmt w:val="decimal"/>
      <w:suff w:val="nothing"/>
      <w:lvlText w:val="%1、"/>
      <w:lvlJc w:val="left"/>
      <w:pPr>
        <w:ind w:left="210"/>
      </w:pPr>
    </w:lvl>
  </w:abstractNum>
  <w:abstractNum w:abstractNumId="4">
    <w:nsid w:val="30C02995"/>
    <w:multiLevelType w:val="singleLevel"/>
    <w:tmpl w:val="30C02995"/>
    <w:lvl w:ilvl="0" w:tentative="0">
      <w:start w:val="1"/>
      <w:numFmt w:val="chineseCounting"/>
      <w:suff w:val="nothing"/>
      <w:lvlText w:val="（%1）"/>
      <w:lvlJc w:val="left"/>
      <w:rPr>
        <w:rFonts w:hint="eastAsia"/>
      </w:rPr>
    </w:lvl>
  </w:abstractNum>
  <w:abstractNum w:abstractNumId="5">
    <w:nsid w:val="3C7339B6"/>
    <w:multiLevelType w:val="multilevel"/>
    <w:tmpl w:val="3C7339B6"/>
    <w:lvl w:ilvl="0" w:tentative="0">
      <w:start w:val="1"/>
      <w:numFmt w:val="japaneseCounting"/>
      <w:lvlText w:val="第%1条"/>
      <w:lvlJc w:val="left"/>
      <w:pPr>
        <w:tabs>
          <w:tab w:val="left" w:pos="1253"/>
        </w:tabs>
        <w:ind w:left="1253" w:hanging="840"/>
      </w:pPr>
      <w:rPr>
        <w:rFonts w:hint="default"/>
      </w:rPr>
    </w:lvl>
    <w:lvl w:ilvl="1" w:tentative="0">
      <w:start w:val="1"/>
      <w:numFmt w:val="lowerLetter"/>
      <w:lvlText w:val="%2)"/>
      <w:lvlJc w:val="left"/>
      <w:pPr>
        <w:tabs>
          <w:tab w:val="left" w:pos="1253"/>
        </w:tabs>
        <w:ind w:left="1253" w:hanging="420"/>
      </w:pPr>
    </w:lvl>
    <w:lvl w:ilvl="2" w:tentative="0">
      <w:start w:val="1"/>
      <w:numFmt w:val="lowerRoman"/>
      <w:lvlText w:val="%3."/>
      <w:lvlJc w:val="right"/>
      <w:pPr>
        <w:tabs>
          <w:tab w:val="left" w:pos="1673"/>
        </w:tabs>
        <w:ind w:left="1673" w:hanging="420"/>
      </w:pPr>
    </w:lvl>
    <w:lvl w:ilvl="3" w:tentative="0">
      <w:start w:val="1"/>
      <w:numFmt w:val="decimal"/>
      <w:lvlText w:val="%4."/>
      <w:lvlJc w:val="left"/>
      <w:pPr>
        <w:tabs>
          <w:tab w:val="left" w:pos="2093"/>
        </w:tabs>
        <w:ind w:left="2093" w:hanging="420"/>
      </w:pPr>
    </w:lvl>
    <w:lvl w:ilvl="4" w:tentative="0">
      <w:start w:val="1"/>
      <w:numFmt w:val="lowerLetter"/>
      <w:lvlText w:val="%5)"/>
      <w:lvlJc w:val="left"/>
      <w:pPr>
        <w:tabs>
          <w:tab w:val="left" w:pos="2513"/>
        </w:tabs>
        <w:ind w:left="2513" w:hanging="420"/>
      </w:pPr>
    </w:lvl>
    <w:lvl w:ilvl="5" w:tentative="0">
      <w:start w:val="1"/>
      <w:numFmt w:val="lowerRoman"/>
      <w:lvlText w:val="%6."/>
      <w:lvlJc w:val="right"/>
      <w:pPr>
        <w:tabs>
          <w:tab w:val="left" w:pos="2933"/>
        </w:tabs>
        <w:ind w:left="2933" w:hanging="420"/>
      </w:pPr>
    </w:lvl>
    <w:lvl w:ilvl="6" w:tentative="0">
      <w:start w:val="1"/>
      <w:numFmt w:val="decimal"/>
      <w:lvlText w:val="%7."/>
      <w:lvlJc w:val="left"/>
      <w:pPr>
        <w:tabs>
          <w:tab w:val="left" w:pos="3353"/>
        </w:tabs>
        <w:ind w:left="3353" w:hanging="420"/>
      </w:pPr>
    </w:lvl>
    <w:lvl w:ilvl="7" w:tentative="0">
      <w:start w:val="1"/>
      <w:numFmt w:val="lowerLetter"/>
      <w:lvlText w:val="%8)"/>
      <w:lvlJc w:val="left"/>
      <w:pPr>
        <w:tabs>
          <w:tab w:val="left" w:pos="3773"/>
        </w:tabs>
        <w:ind w:left="3773" w:hanging="420"/>
      </w:pPr>
    </w:lvl>
    <w:lvl w:ilvl="8" w:tentative="0">
      <w:start w:val="1"/>
      <w:numFmt w:val="lowerRoman"/>
      <w:lvlText w:val="%9."/>
      <w:lvlJc w:val="right"/>
      <w:pPr>
        <w:tabs>
          <w:tab w:val="left" w:pos="4193"/>
        </w:tabs>
        <w:ind w:left="4193" w:hanging="420"/>
      </w:pPr>
    </w:lvl>
  </w:abstractNum>
  <w:abstractNum w:abstractNumId="6">
    <w:nsid w:val="4603DC6E"/>
    <w:multiLevelType w:val="singleLevel"/>
    <w:tmpl w:val="4603DC6E"/>
    <w:lvl w:ilvl="0" w:tentative="0">
      <w:start w:val="2"/>
      <w:numFmt w:val="decimal"/>
      <w:suff w:val="nothing"/>
      <w:lvlText w:val="（%1）"/>
      <w:lvlJc w:val="left"/>
    </w:lvl>
  </w:abstractNum>
  <w:abstractNum w:abstractNumId="7">
    <w:nsid w:val="5DA01FDF"/>
    <w:multiLevelType w:val="multilevel"/>
    <w:tmpl w:val="5DA01FDF"/>
    <w:lvl w:ilvl="0" w:tentative="0">
      <w:start w:val="3"/>
      <w:numFmt w:val="japaneseCounting"/>
      <w:lvlText w:val="%1、"/>
      <w:lvlJc w:val="left"/>
      <w:pPr>
        <w:ind w:left="660" w:hanging="450"/>
      </w:pPr>
      <w:rPr>
        <w:rFonts w:hint="default"/>
      </w:rPr>
    </w:lvl>
    <w:lvl w:ilvl="1" w:tentative="0">
      <w:start w:val="1"/>
      <w:numFmt w:val="lowerLetter"/>
      <w:lvlText w:val="%2)"/>
      <w:lvlJc w:val="left"/>
      <w:pPr>
        <w:ind w:left="1090" w:hanging="440"/>
      </w:pPr>
    </w:lvl>
    <w:lvl w:ilvl="2" w:tentative="0">
      <w:start w:val="1"/>
      <w:numFmt w:val="lowerRoman"/>
      <w:lvlText w:val="%3."/>
      <w:lvlJc w:val="right"/>
      <w:pPr>
        <w:ind w:left="1530" w:hanging="440"/>
      </w:pPr>
    </w:lvl>
    <w:lvl w:ilvl="3" w:tentative="0">
      <w:start w:val="1"/>
      <w:numFmt w:val="decimal"/>
      <w:lvlText w:val="%4."/>
      <w:lvlJc w:val="left"/>
      <w:pPr>
        <w:ind w:left="1970" w:hanging="440"/>
      </w:pPr>
    </w:lvl>
    <w:lvl w:ilvl="4" w:tentative="0">
      <w:start w:val="1"/>
      <w:numFmt w:val="lowerLetter"/>
      <w:lvlText w:val="%5)"/>
      <w:lvlJc w:val="left"/>
      <w:pPr>
        <w:ind w:left="2410" w:hanging="440"/>
      </w:pPr>
    </w:lvl>
    <w:lvl w:ilvl="5" w:tentative="0">
      <w:start w:val="1"/>
      <w:numFmt w:val="lowerRoman"/>
      <w:lvlText w:val="%6."/>
      <w:lvlJc w:val="right"/>
      <w:pPr>
        <w:ind w:left="2850" w:hanging="440"/>
      </w:pPr>
    </w:lvl>
    <w:lvl w:ilvl="6" w:tentative="0">
      <w:start w:val="1"/>
      <w:numFmt w:val="decimal"/>
      <w:lvlText w:val="%7."/>
      <w:lvlJc w:val="left"/>
      <w:pPr>
        <w:ind w:left="3290" w:hanging="440"/>
      </w:pPr>
    </w:lvl>
    <w:lvl w:ilvl="7" w:tentative="0">
      <w:start w:val="1"/>
      <w:numFmt w:val="lowerLetter"/>
      <w:lvlText w:val="%8)"/>
      <w:lvlJc w:val="left"/>
      <w:pPr>
        <w:ind w:left="3730" w:hanging="440"/>
      </w:pPr>
    </w:lvl>
    <w:lvl w:ilvl="8" w:tentative="0">
      <w:start w:val="1"/>
      <w:numFmt w:val="lowerRoman"/>
      <w:lvlText w:val="%9."/>
      <w:lvlJc w:val="right"/>
      <w:pPr>
        <w:ind w:left="4170" w:hanging="440"/>
      </w:pPr>
    </w:lvl>
  </w:abstractNum>
  <w:num w:numId="1">
    <w:abstractNumId w:val="2"/>
  </w:num>
  <w:num w:numId="2">
    <w:abstractNumId w:val="1"/>
  </w:num>
  <w:num w:numId="3">
    <w:abstractNumId w:val="7"/>
  </w:num>
  <w:num w:numId="4">
    <w:abstractNumId w:val="0"/>
  </w:num>
  <w:num w:numId="5">
    <w:abstractNumId w:val="4"/>
  </w:num>
  <w:num w:numId="6">
    <w:abstractNumId w:val="6"/>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documentProtection w:enforcement="0"/>
  <w:defaultTabStop w:val="419"/>
  <w:drawingGridHorizontalSpacing w:val="210"/>
  <w:drawingGridVerticalSpacing w:val="99999990"/>
  <w:displayHorizontalDrawingGridEvery w:val="1"/>
  <w:displayVerticalDrawingGridEvery w:val="1"/>
  <w:noPunctuationKerning w:val="1"/>
  <w:characterSpacingControl w:val="doNotCompress"/>
  <w:hdrShapeDefaults>
    <o:shapelayout v:ext="edit">
      <o:idmap v:ext="edit" data="3"/>
    </o:shapelayout>
  </w:hdrShapeDefaults>
  <w:compat>
    <w:balanceSingleByteDoubleByteWidth/>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FDD"/>
    <w:rsid w:val="000015A1"/>
    <w:rsid w:val="00033F40"/>
    <w:rsid w:val="000557AA"/>
    <w:rsid w:val="00070420"/>
    <w:rsid w:val="000B5101"/>
    <w:rsid w:val="000B624E"/>
    <w:rsid w:val="000F6CDE"/>
    <w:rsid w:val="000F6E00"/>
    <w:rsid w:val="00125888"/>
    <w:rsid w:val="00130299"/>
    <w:rsid w:val="001573BE"/>
    <w:rsid w:val="00171079"/>
    <w:rsid w:val="001712A6"/>
    <w:rsid w:val="00172BC2"/>
    <w:rsid w:val="001840DC"/>
    <w:rsid w:val="00186433"/>
    <w:rsid w:val="001A2B61"/>
    <w:rsid w:val="001B54A8"/>
    <w:rsid w:val="001C3E8F"/>
    <w:rsid w:val="001E67E5"/>
    <w:rsid w:val="00220E34"/>
    <w:rsid w:val="00226DEF"/>
    <w:rsid w:val="00240564"/>
    <w:rsid w:val="0024368C"/>
    <w:rsid w:val="00270F8D"/>
    <w:rsid w:val="00287E33"/>
    <w:rsid w:val="002A288F"/>
    <w:rsid w:val="002B2CB0"/>
    <w:rsid w:val="002B3A32"/>
    <w:rsid w:val="002B3E1D"/>
    <w:rsid w:val="002E2408"/>
    <w:rsid w:val="002F0917"/>
    <w:rsid w:val="00300616"/>
    <w:rsid w:val="00314A90"/>
    <w:rsid w:val="00315708"/>
    <w:rsid w:val="003167BA"/>
    <w:rsid w:val="00322AE9"/>
    <w:rsid w:val="00343A06"/>
    <w:rsid w:val="003525CD"/>
    <w:rsid w:val="00374F8C"/>
    <w:rsid w:val="003E70BA"/>
    <w:rsid w:val="0042709F"/>
    <w:rsid w:val="00431196"/>
    <w:rsid w:val="00431A7E"/>
    <w:rsid w:val="004331C5"/>
    <w:rsid w:val="00437D31"/>
    <w:rsid w:val="004525AE"/>
    <w:rsid w:val="00463809"/>
    <w:rsid w:val="00485958"/>
    <w:rsid w:val="00495080"/>
    <w:rsid w:val="004A5B87"/>
    <w:rsid w:val="004C0282"/>
    <w:rsid w:val="004C19F4"/>
    <w:rsid w:val="004C5C81"/>
    <w:rsid w:val="005022AD"/>
    <w:rsid w:val="00530F77"/>
    <w:rsid w:val="005570A3"/>
    <w:rsid w:val="00582FA6"/>
    <w:rsid w:val="0059236F"/>
    <w:rsid w:val="00595CA4"/>
    <w:rsid w:val="005B7463"/>
    <w:rsid w:val="005C1F43"/>
    <w:rsid w:val="0060574E"/>
    <w:rsid w:val="00624AFF"/>
    <w:rsid w:val="00643F9F"/>
    <w:rsid w:val="0068323C"/>
    <w:rsid w:val="00687FED"/>
    <w:rsid w:val="00697B51"/>
    <w:rsid w:val="006B736C"/>
    <w:rsid w:val="00733ECE"/>
    <w:rsid w:val="00735DE0"/>
    <w:rsid w:val="00746093"/>
    <w:rsid w:val="00756B38"/>
    <w:rsid w:val="007662F9"/>
    <w:rsid w:val="00770FA6"/>
    <w:rsid w:val="007743A6"/>
    <w:rsid w:val="00786E54"/>
    <w:rsid w:val="007A04ED"/>
    <w:rsid w:val="007A26CA"/>
    <w:rsid w:val="007A75CE"/>
    <w:rsid w:val="007B2CCF"/>
    <w:rsid w:val="007B42FE"/>
    <w:rsid w:val="007C4397"/>
    <w:rsid w:val="008114A8"/>
    <w:rsid w:val="00832897"/>
    <w:rsid w:val="00835E8D"/>
    <w:rsid w:val="00873C57"/>
    <w:rsid w:val="008B71A5"/>
    <w:rsid w:val="008C22C0"/>
    <w:rsid w:val="008F57D8"/>
    <w:rsid w:val="009211BC"/>
    <w:rsid w:val="00927699"/>
    <w:rsid w:val="009732D1"/>
    <w:rsid w:val="009771D2"/>
    <w:rsid w:val="00987AFF"/>
    <w:rsid w:val="009A069E"/>
    <w:rsid w:val="009B25CF"/>
    <w:rsid w:val="009D67BF"/>
    <w:rsid w:val="009D754E"/>
    <w:rsid w:val="009E3DA9"/>
    <w:rsid w:val="00A67612"/>
    <w:rsid w:val="00A70E7C"/>
    <w:rsid w:val="00A763BE"/>
    <w:rsid w:val="00A850D7"/>
    <w:rsid w:val="00AC1D5D"/>
    <w:rsid w:val="00AF1046"/>
    <w:rsid w:val="00AF772C"/>
    <w:rsid w:val="00B1218E"/>
    <w:rsid w:val="00B15E16"/>
    <w:rsid w:val="00B40903"/>
    <w:rsid w:val="00B75517"/>
    <w:rsid w:val="00B77B63"/>
    <w:rsid w:val="00B87EAB"/>
    <w:rsid w:val="00B96E29"/>
    <w:rsid w:val="00BA3F3F"/>
    <w:rsid w:val="00BB0F2B"/>
    <w:rsid w:val="00BC72DD"/>
    <w:rsid w:val="00BF0AEB"/>
    <w:rsid w:val="00BF1EF5"/>
    <w:rsid w:val="00C36C68"/>
    <w:rsid w:val="00C42C28"/>
    <w:rsid w:val="00C57544"/>
    <w:rsid w:val="00C5781A"/>
    <w:rsid w:val="00C67085"/>
    <w:rsid w:val="00C70E22"/>
    <w:rsid w:val="00C872CA"/>
    <w:rsid w:val="00C95820"/>
    <w:rsid w:val="00C97D23"/>
    <w:rsid w:val="00CA0DF9"/>
    <w:rsid w:val="00CA10E5"/>
    <w:rsid w:val="00CC7688"/>
    <w:rsid w:val="00CE2494"/>
    <w:rsid w:val="00D06C83"/>
    <w:rsid w:val="00D07AB9"/>
    <w:rsid w:val="00D148F7"/>
    <w:rsid w:val="00D27F73"/>
    <w:rsid w:val="00D40C02"/>
    <w:rsid w:val="00D44CFA"/>
    <w:rsid w:val="00D4590F"/>
    <w:rsid w:val="00D60A30"/>
    <w:rsid w:val="00D6394A"/>
    <w:rsid w:val="00D72FDD"/>
    <w:rsid w:val="00D85BEE"/>
    <w:rsid w:val="00D9761C"/>
    <w:rsid w:val="00D97D38"/>
    <w:rsid w:val="00DA4EA2"/>
    <w:rsid w:val="00DC226A"/>
    <w:rsid w:val="00DD1C55"/>
    <w:rsid w:val="00DD7C1E"/>
    <w:rsid w:val="00DF3D99"/>
    <w:rsid w:val="00E14B90"/>
    <w:rsid w:val="00E173CE"/>
    <w:rsid w:val="00E26E73"/>
    <w:rsid w:val="00E57F8F"/>
    <w:rsid w:val="00EA23FE"/>
    <w:rsid w:val="00EB7334"/>
    <w:rsid w:val="00ED5C21"/>
    <w:rsid w:val="00F03387"/>
    <w:rsid w:val="00F0487C"/>
    <w:rsid w:val="00F15FE3"/>
    <w:rsid w:val="00F17AF2"/>
    <w:rsid w:val="00F27EB1"/>
    <w:rsid w:val="00F3684C"/>
    <w:rsid w:val="00F42FC0"/>
    <w:rsid w:val="00F4385E"/>
    <w:rsid w:val="00F65D01"/>
    <w:rsid w:val="00F71024"/>
    <w:rsid w:val="00F871A2"/>
    <w:rsid w:val="00FA15BF"/>
    <w:rsid w:val="00FC4083"/>
    <w:rsid w:val="00FF7A9B"/>
    <w:rsid w:val="01BB7833"/>
    <w:rsid w:val="02227F6F"/>
    <w:rsid w:val="02AA6829"/>
    <w:rsid w:val="02C53F75"/>
    <w:rsid w:val="032940DF"/>
    <w:rsid w:val="03F015A1"/>
    <w:rsid w:val="042F4230"/>
    <w:rsid w:val="04515E97"/>
    <w:rsid w:val="04D27F09"/>
    <w:rsid w:val="0560706F"/>
    <w:rsid w:val="076A6D07"/>
    <w:rsid w:val="090231F1"/>
    <w:rsid w:val="099A0675"/>
    <w:rsid w:val="0A1755E4"/>
    <w:rsid w:val="0A8C3FFF"/>
    <w:rsid w:val="0A971D30"/>
    <w:rsid w:val="0A9C66C5"/>
    <w:rsid w:val="0B3A5C6C"/>
    <w:rsid w:val="0B7E325C"/>
    <w:rsid w:val="0BA61553"/>
    <w:rsid w:val="0BB93035"/>
    <w:rsid w:val="0C1D03A2"/>
    <w:rsid w:val="0D0B3146"/>
    <w:rsid w:val="0D2345FB"/>
    <w:rsid w:val="0DA25572"/>
    <w:rsid w:val="0DBF1C98"/>
    <w:rsid w:val="0F136F00"/>
    <w:rsid w:val="0F345297"/>
    <w:rsid w:val="0F36499C"/>
    <w:rsid w:val="100C5285"/>
    <w:rsid w:val="1090675B"/>
    <w:rsid w:val="10C11A40"/>
    <w:rsid w:val="125E7BB8"/>
    <w:rsid w:val="126B729C"/>
    <w:rsid w:val="127A0072"/>
    <w:rsid w:val="12CD62EF"/>
    <w:rsid w:val="14005579"/>
    <w:rsid w:val="14250B1D"/>
    <w:rsid w:val="14424448"/>
    <w:rsid w:val="14891DA1"/>
    <w:rsid w:val="15766AF7"/>
    <w:rsid w:val="158A2EB1"/>
    <w:rsid w:val="159F22DA"/>
    <w:rsid w:val="18756535"/>
    <w:rsid w:val="1A0922BE"/>
    <w:rsid w:val="1A572213"/>
    <w:rsid w:val="1A7F0F92"/>
    <w:rsid w:val="1C1425F4"/>
    <w:rsid w:val="1C430FB0"/>
    <w:rsid w:val="1C857A23"/>
    <w:rsid w:val="1D29743E"/>
    <w:rsid w:val="1D835251"/>
    <w:rsid w:val="1E2A610A"/>
    <w:rsid w:val="1EFB70B4"/>
    <w:rsid w:val="202D3B9A"/>
    <w:rsid w:val="224D77A9"/>
    <w:rsid w:val="22A2261D"/>
    <w:rsid w:val="23FC7EDB"/>
    <w:rsid w:val="25757B75"/>
    <w:rsid w:val="272A188F"/>
    <w:rsid w:val="278861C2"/>
    <w:rsid w:val="27914E01"/>
    <w:rsid w:val="284A55F3"/>
    <w:rsid w:val="28642123"/>
    <w:rsid w:val="28EF7F2F"/>
    <w:rsid w:val="29015BC3"/>
    <w:rsid w:val="29212839"/>
    <w:rsid w:val="299A5F00"/>
    <w:rsid w:val="2B62123C"/>
    <w:rsid w:val="2C435976"/>
    <w:rsid w:val="2D8B3CEE"/>
    <w:rsid w:val="2DCC67A0"/>
    <w:rsid w:val="2E9C633B"/>
    <w:rsid w:val="2F1321AD"/>
    <w:rsid w:val="2F6A2714"/>
    <w:rsid w:val="2FF365A0"/>
    <w:rsid w:val="2FF440A1"/>
    <w:rsid w:val="31491F0A"/>
    <w:rsid w:val="3167240D"/>
    <w:rsid w:val="32566F80"/>
    <w:rsid w:val="3270309A"/>
    <w:rsid w:val="32744435"/>
    <w:rsid w:val="32E900D7"/>
    <w:rsid w:val="337C17FB"/>
    <w:rsid w:val="3469140E"/>
    <w:rsid w:val="35E40711"/>
    <w:rsid w:val="37AA36DF"/>
    <w:rsid w:val="37ED05C3"/>
    <w:rsid w:val="38022F87"/>
    <w:rsid w:val="38244A09"/>
    <w:rsid w:val="387362BD"/>
    <w:rsid w:val="39253208"/>
    <w:rsid w:val="3B5129C9"/>
    <w:rsid w:val="3B9C3074"/>
    <w:rsid w:val="3BAC597A"/>
    <w:rsid w:val="3BFA4E20"/>
    <w:rsid w:val="3C4B567C"/>
    <w:rsid w:val="3CBA17A7"/>
    <w:rsid w:val="3CE60F00"/>
    <w:rsid w:val="3D281519"/>
    <w:rsid w:val="3D4E4013"/>
    <w:rsid w:val="3DC254CA"/>
    <w:rsid w:val="3DFF3C2D"/>
    <w:rsid w:val="3E7B6A78"/>
    <w:rsid w:val="3EC7548D"/>
    <w:rsid w:val="3F1151BB"/>
    <w:rsid w:val="3F3F68EA"/>
    <w:rsid w:val="3F7B257C"/>
    <w:rsid w:val="3FF83425"/>
    <w:rsid w:val="400423A1"/>
    <w:rsid w:val="426E1D50"/>
    <w:rsid w:val="42E3660E"/>
    <w:rsid w:val="43364990"/>
    <w:rsid w:val="441476D9"/>
    <w:rsid w:val="45156533"/>
    <w:rsid w:val="458D1008"/>
    <w:rsid w:val="463A1783"/>
    <w:rsid w:val="468F4333"/>
    <w:rsid w:val="480A63EB"/>
    <w:rsid w:val="481E59AE"/>
    <w:rsid w:val="48955A0E"/>
    <w:rsid w:val="4A36507D"/>
    <w:rsid w:val="4A595572"/>
    <w:rsid w:val="4BF62C59"/>
    <w:rsid w:val="4C5C353F"/>
    <w:rsid w:val="4CA50490"/>
    <w:rsid w:val="4D135161"/>
    <w:rsid w:val="4D863B64"/>
    <w:rsid w:val="4D9E1AAF"/>
    <w:rsid w:val="4ECF7A46"/>
    <w:rsid w:val="4F2A1F82"/>
    <w:rsid w:val="4F766114"/>
    <w:rsid w:val="4FD44D84"/>
    <w:rsid w:val="504C2670"/>
    <w:rsid w:val="50502E09"/>
    <w:rsid w:val="514F2512"/>
    <w:rsid w:val="51F065BA"/>
    <w:rsid w:val="521E103E"/>
    <w:rsid w:val="523234D6"/>
    <w:rsid w:val="526E1F3C"/>
    <w:rsid w:val="52817871"/>
    <w:rsid w:val="52A872C7"/>
    <w:rsid w:val="53113641"/>
    <w:rsid w:val="53422595"/>
    <w:rsid w:val="53EA15CE"/>
    <w:rsid w:val="545A4256"/>
    <w:rsid w:val="54976716"/>
    <w:rsid w:val="54CD2C7A"/>
    <w:rsid w:val="558F279C"/>
    <w:rsid w:val="564B20A8"/>
    <w:rsid w:val="564D246A"/>
    <w:rsid w:val="57E015DC"/>
    <w:rsid w:val="596040BD"/>
    <w:rsid w:val="59FF38D6"/>
    <w:rsid w:val="5A7A19CC"/>
    <w:rsid w:val="5A81253D"/>
    <w:rsid w:val="5B5F5FA7"/>
    <w:rsid w:val="5BD32D6E"/>
    <w:rsid w:val="5C89392A"/>
    <w:rsid w:val="5D2C42B6"/>
    <w:rsid w:val="5E3A4318"/>
    <w:rsid w:val="5E415067"/>
    <w:rsid w:val="5E60419B"/>
    <w:rsid w:val="5E94632E"/>
    <w:rsid w:val="5EA031AD"/>
    <w:rsid w:val="5F5B78AA"/>
    <w:rsid w:val="600532C8"/>
    <w:rsid w:val="60AF244A"/>
    <w:rsid w:val="60C018E5"/>
    <w:rsid w:val="60EF4F85"/>
    <w:rsid w:val="610E08A2"/>
    <w:rsid w:val="6159789F"/>
    <w:rsid w:val="615C0C4D"/>
    <w:rsid w:val="61BC3E5A"/>
    <w:rsid w:val="61DD1CFB"/>
    <w:rsid w:val="628801E0"/>
    <w:rsid w:val="62DD7F22"/>
    <w:rsid w:val="633B5CE0"/>
    <w:rsid w:val="635A0734"/>
    <w:rsid w:val="63B75BF5"/>
    <w:rsid w:val="63F21DB5"/>
    <w:rsid w:val="642A43FF"/>
    <w:rsid w:val="6591768A"/>
    <w:rsid w:val="659565C1"/>
    <w:rsid w:val="679C2ADC"/>
    <w:rsid w:val="67BA708E"/>
    <w:rsid w:val="67F73E3E"/>
    <w:rsid w:val="6A084656"/>
    <w:rsid w:val="6A4E7B7E"/>
    <w:rsid w:val="6A6D736A"/>
    <w:rsid w:val="6B197831"/>
    <w:rsid w:val="6C816BBB"/>
    <w:rsid w:val="6DD15131"/>
    <w:rsid w:val="6DF9479C"/>
    <w:rsid w:val="6EC125DD"/>
    <w:rsid w:val="6F457B85"/>
    <w:rsid w:val="6F664345"/>
    <w:rsid w:val="6F745D74"/>
    <w:rsid w:val="70381498"/>
    <w:rsid w:val="70877D29"/>
    <w:rsid w:val="70AE1182"/>
    <w:rsid w:val="70C30911"/>
    <w:rsid w:val="71AD3E5F"/>
    <w:rsid w:val="725453F3"/>
    <w:rsid w:val="733C4DFB"/>
    <w:rsid w:val="73B159E8"/>
    <w:rsid w:val="73E57241"/>
    <w:rsid w:val="741E3287"/>
    <w:rsid w:val="759F35A3"/>
    <w:rsid w:val="763C03F0"/>
    <w:rsid w:val="76B63A44"/>
    <w:rsid w:val="77A85155"/>
    <w:rsid w:val="77E335D5"/>
    <w:rsid w:val="784A756D"/>
    <w:rsid w:val="78D54427"/>
    <w:rsid w:val="79157851"/>
    <w:rsid w:val="79EE2BC7"/>
    <w:rsid w:val="7AEE2835"/>
    <w:rsid w:val="7C146B7E"/>
    <w:rsid w:val="7DD93294"/>
    <w:rsid w:val="7EA2013D"/>
    <w:rsid w:val="7EA651C0"/>
    <w:rsid w:val="7F5D5D6E"/>
    <w:rsid w:val="7F615661"/>
    <w:rsid w:val="7FE726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qFormat="1" w:uiPriority="99"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99" w:semiHidden="0"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4"/>
      <w:lang w:val="en-US" w:eastAsia="zh-CN" w:bidi="ar-SA"/>
    </w:rPr>
  </w:style>
  <w:style w:type="paragraph" w:styleId="2">
    <w:name w:val="heading 1"/>
    <w:basedOn w:val="1"/>
    <w:next w:val="1"/>
    <w:link w:val="170"/>
    <w:qFormat/>
    <w:uiPriority w:val="9"/>
    <w:pPr>
      <w:keepNext/>
      <w:keepLines/>
      <w:spacing w:before="360" w:after="80"/>
      <w:outlineLvl w:val="0"/>
    </w:pPr>
    <w:rPr>
      <w:rFonts w:ascii="Arial" w:hAnsi="Arial" w:eastAsia="Arial" w:cs="Arial"/>
      <w:color w:val="376092" w:themeColor="accent1" w:themeShade="BF"/>
      <w:sz w:val="40"/>
      <w:szCs w:val="40"/>
    </w:rPr>
  </w:style>
  <w:style w:type="paragraph" w:styleId="3">
    <w:name w:val="heading 2"/>
    <w:basedOn w:val="1"/>
    <w:next w:val="1"/>
    <w:link w:val="171"/>
    <w:unhideWhenUsed/>
    <w:qFormat/>
    <w:uiPriority w:val="9"/>
    <w:pPr>
      <w:keepNext/>
      <w:keepLines/>
      <w:spacing w:before="160" w:after="80"/>
      <w:outlineLvl w:val="1"/>
    </w:pPr>
    <w:rPr>
      <w:rFonts w:ascii="Arial" w:hAnsi="Arial" w:eastAsia="Arial" w:cs="Arial"/>
      <w:color w:val="376092" w:themeColor="accent1" w:themeShade="BF"/>
      <w:sz w:val="32"/>
      <w:szCs w:val="32"/>
    </w:rPr>
  </w:style>
  <w:style w:type="paragraph" w:styleId="4">
    <w:name w:val="heading 3"/>
    <w:basedOn w:val="1"/>
    <w:next w:val="1"/>
    <w:link w:val="172"/>
    <w:unhideWhenUsed/>
    <w:qFormat/>
    <w:uiPriority w:val="9"/>
    <w:pPr>
      <w:keepNext/>
      <w:keepLines/>
      <w:spacing w:before="160" w:after="80"/>
      <w:outlineLvl w:val="2"/>
    </w:pPr>
    <w:rPr>
      <w:rFonts w:ascii="Arial" w:hAnsi="Arial" w:eastAsia="Arial" w:cs="Arial"/>
      <w:color w:val="376092" w:themeColor="accent1" w:themeShade="BF"/>
      <w:sz w:val="28"/>
      <w:szCs w:val="28"/>
    </w:rPr>
  </w:style>
  <w:style w:type="paragraph" w:styleId="5">
    <w:name w:val="heading 4"/>
    <w:basedOn w:val="1"/>
    <w:next w:val="1"/>
    <w:link w:val="173"/>
    <w:unhideWhenUsed/>
    <w:qFormat/>
    <w:uiPriority w:val="9"/>
    <w:pPr>
      <w:keepNext/>
      <w:keepLines/>
      <w:spacing w:before="80" w:after="40"/>
      <w:outlineLvl w:val="3"/>
    </w:pPr>
    <w:rPr>
      <w:rFonts w:ascii="Arial" w:hAnsi="Arial" w:eastAsia="Arial" w:cs="Arial"/>
      <w:i/>
      <w:iCs/>
      <w:color w:val="376092" w:themeColor="accent1" w:themeShade="BF"/>
    </w:rPr>
  </w:style>
  <w:style w:type="paragraph" w:styleId="6">
    <w:name w:val="heading 5"/>
    <w:basedOn w:val="1"/>
    <w:next w:val="1"/>
    <w:link w:val="174"/>
    <w:unhideWhenUsed/>
    <w:qFormat/>
    <w:uiPriority w:val="9"/>
    <w:pPr>
      <w:keepNext/>
      <w:keepLines/>
      <w:spacing w:before="80" w:after="40"/>
      <w:outlineLvl w:val="4"/>
    </w:pPr>
    <w:rPr>
      <w:rFonts w:ascii="Arial" w:hAnsi="Arial" w:eastAsia="Arial" w:cs="Arial"/>
      <w:color w:val="376092" w:themeColor="accent1" w:themeShade="BF"/>
    </w:rPr>
  </w:style>
  <w:style w:type="paragraph" w:styleId="7">
    <w:name w:val="heading 6"/>
    <w:basedOn w:val="1"/>
    <w:next w:val="1"/>
    <w:link w:val="175"/>
    <w:unhideWhenUsed/>
    <w:qFormat/>
    <w:uiPriority w:val="9"/>
    <w:pPr>
      <w:keepNext/>
      <w:keepLines/>
      <w:spacing w:before="4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176"/>
    <w:unhideWhenUsed/>
    <w:qFormat/>
    <w:uiPriority w:val="9"/>
    <w:pPr>
      <w:keepNext/>
      <w:keepLines/>
      <w:spacing w:before="4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177"/>
    <w:unhideWhenUsed/>
    <w:qFormat/>
    <w:uiPriority w:val="9"/>
    <w:pPr>
      <w:keepNext/>
      <w:keepLines/>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178"/>
    <w:unhideWhenUsed/>
    <w:qFormat/>
    <w:uiPriority w:val="9"/>
    <w:pPr>
      <w:keepNext/>
      <w:keepLines/>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37">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100"/>
      <w:ind w:left="1320"/>
    </w:pPr>
  </w:style>
  <w:style w:type="paragraph" w:styleId="12">
    <w:name w:val="index 8"/>
    <w:basedOn w:val="1"/>
    <w:next w:val="1"/>
    <w:semiHidden/>
    <w:unhideWhenUsed/>
    <w:qFormat/>
    <w:uiPriority w:val="99"/>
    <w:pPr>
      <w:ind w:left="1400" w:leftChars="1400"/>
    </w:pPr>
  </w:style>
  <w:style w:type="paragraph" w:styleId="13">
    <w:name w:val="Normal Indent"/>
    <w:basedOn w:val="1"/>
    <w:qFormat/>
    <w:uiPriority w:val="0"/>
    <w:pPr>
      <w:ind w:firstLine="420"/>
    </w:pPr>
    <w:rPr>
      <w:szCs w:val="20"/>
    </w:rPr>
  </w:style>
  <w:style w:type="paragraph" w:styleId="14">
    <w:name w:val="caption"/>
    <w:basedOn w:val="1"/>
    <w:next w:val="1"/>
    <w:unhideWhenUsed/>
    <w:qFormat/>
    <w:uiPriority w:val="35"/>
    <w:pPr>
      <w:spacing w:after="200"/>
    </w:pPr>
    <w:rPr>
      <w:i/>
      <w:iCs/>
      <w:color w:val="1F497D" w:themeColor="text2"/>
      <w:sz w:val="18"/>
      <w:szCs w:val="18"/>
      <w14:textFill>
        <w14:solidFill>
          <w14:schemeClr w14:val="tx2"/>
        </w14:solidFill>
      </w14:textFill>
    </w:rPr>
  </w:style>
  <w:style w:type="paragraph" w:styleId="15">
    <w:name w:val="annotation text"/>
    <w:basedOn w:val="1"/>
    <w:semiHidden/>
    <w:unhideWhenUsed/>
    <w:qFormat/>
    <w:uiPriority w:val="99"/>
    <w:pPr>
      <w:jc w:val="left"/>
    </w:pPr>
  </w:style>
  <w:style w:type="paragraph" w:styleId="16">
    <w:name w:val="Body Text"/>
    <w:basedOn w:val="1"/>
    <w:next w:val="17"/>
    <w:qFormat/>
    <w:uiPriority w:val="0"/>
    <w:pPr>
      <w:spacing w:line="380" w:lineRule="exact"/>
    </w:pPr>
    <w:rPr>
      <w:sz w:val="24"/>
    </w:rPr>
  </w:style>
  <w:style w:type="paragraph" w:styleId="17">
    <w:name w:val="Block Text"/>
    <w:basedOn w:val="1"/>
    <w:qFormat/>
    <w:uiPriority w:val="99"/>
    <w:pPr>
      <w:adjustRightInd w:val="0"/>
      <w:ind w:left="420" w:right="33"/>
      <w:jc w:val="left"/>
      <w:textAlignment w:val="baseline"/>
    </w:pPr>
    <w:rPr>
      <w:kern w:val="0"/>
      <w:sz w:val="24"/>
      <w:szCs w:val="20"/>
    </w:rPr>
  </w:style>
  <w:style w:type="paragraph" w:styleId="18">
    <w:name w:val="toc 5"/>
    <w:basedOn w:val="1"/>
    <w:next w:val="1"/>
    <w:unhideWhenUsed/>
    <w:qFormat/>
    <w:uiPriority w:val="39"/>
    <w:pPr>
      <w:spacing w:after="100"/>
      <w:ind w:left="880"/>
    </w:pPr>
  </w:style>
  <w:style w:type="paragraph" w:styleId="19">
    <w:name w:val="toc 3"/>
    <w:basedOn w:val="1"/>
    <w:next w:val="1"/>
    <w:unhideWhenUsed/>
    <w:qFormat/>
    <w:uiPriority w:val="39"/>
    <w:pPr>
      <w:spacing w:after="100"/>
      <w:ind w:left="440"/>
    </w:pPr>
  </w:style>
  <w:style w:type="paragraph" w:styleId="20">
    <w:name w:val="Plain Text"/>
    <w:basedOn w:val="1"/>
    <w:next w:val="1"/>
    <w:link w:val="351"/>
    <w:unhideWhenUsed/>
    <w:qFormat/>
    <w:uiPriority w:val="0"/>
    <w:rPr>
      <w:rFonts w:ascii="宋体" w:hAnsi="Courier New"/>
      <w:sz w:val="20"/>
      <w:szCs w:val="20"/>
    </w:rPr>
  </w:style>
  <w:style w:type="paragraph" w:styleId="21">
    <w:name w:val="toc 8"/>
    <w:basedOn w:val="1"/>
    <w:next w:val="1"/>
    <w:unhideWhenUsed/>
    <w:qFormat/>
    <w:uiPriority w:val="39"/>
    <w:pPr>
      <w:spacing w:after="100"/>
      <w:ind w:left="1540"/>
    </w:pPr>
  </w:style>
  <w:style w:type="paragraph" w:styleId="22">
    <w:name w:val="endnote text"/>
    <w:basedOn w:val="1"/>
    <w:link w:val="194"/>
    <w:unhideWhenUsed/>
    <w:qFormat/>
    <w:uiPriority w:val="99"/>
    <w:rPr>
      <w:sz w:val="20"/>
      <w:szCs w:val="20"/>
    </w:rPr>
  </w:style>
  <w:style w:type="paragraph" w:styleId="23">
    <w:name w:val="Balloon Text"/>
    <w:basedOn w:val="1"/>
    <w:link w:val="349"/>
    <w:semiHidden/>
    <w:unhideWhenUsed/>
    <w:qFormat/>
    <w:uiPriority w:val="99"/>
    <w:rPr>
      <w:sz w:val="18"/>
      <w:szCs w:val="18"/>
    </w:rPr>
  </w:style>
  <w:style w:type="paragraph" w:styleId="24">
    <w:name w:val="footer"/>
    <w:basedOn w:val="1"/>
    <w:next w:val="1"/>
    <w:link w:val="192"/>
    <w:unhideWhenUsed/>
    <w:qFormat/>
    <w:uiPriority w:val="99"/>
    <w:pPr>
      <w:tabs>
        <w:tab w:val="center" w:pos="4844"/>
        <w:tab w:val="right" w:pos="9689"/>
      </w:tabs>
    </w:pPr>
  </w:style>
  <w:style w:type="paragraph" w:styleId="25">
    <w:name w:val="header"/>
    <w:basedOn w:val="1"/>
    <w:link w:val="191"/>
    <w:unhideWhenUsed/>
    <w:qFormat/>
    <w:uiPriority w:val="99"/>
    <w:pPr>
      <w:tabs>
        <w:tab w:val="center" w:pos="4844"/>
        <w:tab w:val="right" w:pos="9689"/>
      </w:tabs>
    </w:pPr>
  </w:style>
  <w:style w:type="paragraph" w:styleId="26">
    <w:name w:val="toc 1"/>
    <w:basedOn w:val="1"/>
    <w:next w:val="1"/>
    <w:unhideWhenUsed/>
    <w:qFormat/>
    <w:uiPriority w:val="39"/>
    <w:pPr>
      <w:spacing w:after="100"/>
    </w:pPr>
  </w:style>
  <w:style w:type="paragraph" w:styleId="27">
    <w:name w:val="toc 4"/>
    <w:basedOn w:val="1"/>
    <w:next w:val="1"/>
    <w:unhideWhenUsed/>
    <w:qFormat/>
    <w:uiPriority w:val="39"/>
    <w:pPr>
      <w:spacing w:after="100"/>
      <w:ind w:left="660"/>
    </w:pPr>
  </w:style>
  <w:style w:type="paragraph" w:styleId="28">
    <w:name w:val="Subtitle"/>
    <w:basedOn w:val="1"/>
    <w:next w:val="1"/>
    <w:link w:val="180"/>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9">
    <w:name w:val="footnote text"/>
    <w:basedOn w:val="1"/>
    <w:link w:val="193"/>
    <w:semiHidden/>
    <w:unhideWhenUsed/>
    <w:qFormat/>
    <w:uiPriority w:val="99"/>
    <w:rPr>
      <w:sz w:val="20"/>
      <w:szCs w:val="20"/>
    </w:rPr>
  </w:style>
  <w:style w:type="paragraph" w:styleId="30">
    <w:name w:val="toc 6"/>
    <w:basedOn w:val="1"/>
    <w:next w:val="1"/>
    <w:unhideWhenUsed/>
    <w:qFormat/>
    <w:uiPriority w:val="39"/>
    <w:pPr>
      <w:spacing w:after="100"/>
      <w:ind w:left="1100"/>
    </w:pPr>
  </w:style>
  <w:style w:type="paragraph" w:styleId="31">
    <w:name w:val="table of figures"/>
    <w:basedOn w:val="1"/>
    <w:next w:val="1"/>
    <w:unhideWhenUsed/>
    <w:qFormat/>
    <w:uiPriority w:val="99"/>
  </w:style>
  <w:style w:type="paragraph" w:styleId="32">
    <w:name w:val="toc 2"/>
    <w:basedOn w:val="1"/>
    <w:next w:val="1"/>
    <w:unhideWhenUsed/>
    <w:qFormat/>
    <w:uiPriority w:val="39"/>
    <w:pPr>
      <w:spacing w:after="100"/>
      <w:ind w:left="220"/>
    </w:pPr>
  </w:style>
  <w:style w:type="paragraph" w:styleId="33">
    <w:name w:val="toc 9"/>
    <w:basedOn w:val="1"/>
    <w:next w:val="1"/>
    <w:unhideWhenUsed/>
    <w:qFormat/>
    <w:uiPriority w:val="39"/>
    <w:pPr>
      <w:spacing w:after="100"/>
      <w:ind w:left="1760"/>
    </w:pPr>
  </w:style>
  <w:style w:type="paragraph" w:styleId="34">
    <w:name w:val="Title"/>
    <w:basedOn w:val="1"/>
    <w:next w:val="1"/>
    <w:link w:val="179"/>
    <w:qFormat/>
    <w:uiPriority w:val="10"/>
    <w:pPr>
      <w:spacing w:after="80"/>
      <w:contextualSpacing/>
    </w:pPr>
    <w:rPr>
      <w:rFonts w:ascii="Arial" w:hAnsi="Arial" w:eastAsia="Arial" w:cs="Arial"/>
      <w:spacing w:val="-10"/>
      <w:sz w:val="56"/>
      <w:szCs w:val="56"/>
    </w:rPr>
  </w:style>
  <w:style w:type="table" w:styleId="36">
    <w:name w:val="Table Grid"/>
    <w:basedOn w:val="35"/>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8">
    <w:name w:val="Strong"/>
    <w:basedOn w:val="37"/>
    <w:qFormat/>
    <w:uiPriority w:val="22"/>
    <w:rPr>
      <w:b/>
      <w:bCs/>
    </w:rPr>
  </w:style>
  <w:style w:type="character" w:styleId="39">
    <w:name w:val="endnote reference"/>
    <w:basedOn w:val="37"/>
    <w:semiHidden/>
    <w:unhideWhenUsed/>
    <w:qFormat/>
    <w:uiPriority w:val="99"/>
    <w:rPr>
      <w:vertAlign w:val="superscript"/>
    </w:rPr>
  </w:style>
  <w:style w:type="character" w:styleId="40">
    <w:name w:val="FollowedHyperlink"/>
    <w:basedOn w:val="37"/>
    <w:semiHidden/>
    <w:unhideWhenUsed/>
    <w:qFormat/>
    <w:uiPriority w:val="99"/>
    <w:rPr>
      <w:color w:val="800080" w:themeColor="followedHyperlink"/>
      <w:u w:val="single"/>
      <w14:textFill>
        <w14:solidFill>
          <w14:schemeClr w14:val="folHlink"/>
        </w14:solidFill>
      </w14:textFill>
    </w:rPr>
  </w:style>
  <w:style w:type="character" w:styleId="41">
    <w:name w:val="Emphasis"/>
    <w:basedOn w:val="37"/>
    <w:qFormat/>
    <w:uiPriority w:val="20"/>
    <w:rPr>
      <w:i/>
      <w:iCs/>
    </w:rPr>
  </w:style>
  <w:style w:type="character" w:styleId="42">
    <w:name w:val="Hyperlink"/>
    <w:basedOn w:val="37"/>
    <w:unhideWhenUsed/>
    <w:qFormat/>
    <w:uiPriority w:val="99"/>
    <w:rPr>
      <w:color w:val="0000FF" w:themeColor="hyperlink"/>
      <w:u w:val="single"/>
      <w14:textFill>
        <w14:solidFill>
          <w14:schemeClr w14:val="hlink"/>
        </w14:solidFill>
      </w14:textFill>
    </w:rPr>
  </w:style>
  <w:style w:type="character" w:styleId="43">
    <w:name w:val="annotation reference"/>
    <w:semiHidden/>
    <w:unhideWhenUsed/>
    <w:qFormat/>
    <w:uiPriority w:val="99"/>
    <w:rPr>
      <w:sz w:val="21"/>
      <w:szCs w:val="21"/>
    </w:rPr>
  </w:style>
  <w:style w:type="character" w:styleId="44">
    <w:name w:val="footnote reference"/>
    <w:basedOn w:val="37"/>
    <w:semiHidden/>
    <w:unhideWhenUsed/>
    <w:qFormat/>
    <w:uiPriority w:val="99"/>
    <w:rPr>
      <w:vertAlign w:val="superscript"/>
    </w:rPr>
  </w:style>
  <w:style w:type="table" w:customStyle="1" w:styleId="45">
    <w:name w:val="Table Grid Light"/>
    <w:basedOn w:val="35"/>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46">
    <w:name w:val="Plain Table 1"/>
    <w:basedOn w:val="35"/>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47">
    <w:name w:val="Plain Table 2"/>
    <w:basedOn w:val="35"/>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48">
    <w:name w:val="Plain Table 3"/>
    <w:basedOn w:val="35"/>
    <w:qFormat/>
    <w:uiPriority w:val="99"/>
    <w:tblPr>
      <w:tblCellMar>
        <w:top w:w="0" w:type="dxa"/>
        <w:left w:w="108" w:type="dxa"/>
        <w:bottom w:w="0" w:type="dxa"/>
        <w:right w:w="108"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49">
    <w:name w:val="Plain Table 4"/>
    <w:basedOn w:val="35"/>
    <w:qFormat/>
    <w:uiPriority w:val="99"/>
    <w:tblPr>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0">
    <w:name w:val="Plain Table 5"/>
    <w:basedOn w:val="35"/>
    <w:qFormat/>
    <w:uiPriority w:val="99"/>
    <w:tblPr>
      <w:tblCellMar>
        <w:top w:w="0" w:type="dxa"/>
        <w:left w:w="108" w:type="dxa"/>
        <w:bottom w:w="0" w:type="dxa"/>
        <w:right w:w="108"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1">
    <w:name w:val="Grid Table 1 Light"/>
    <w:basedOn w:val="35"/>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CellMar>
        <w:top w:w="0" w:type="dxa"/>
        <w:left w:w="108" w:type="dxa"/>
        <w:bottom w:w="0" w:type="dxa"/>
        <w:right w:w="108" w:type="dxa"/>
      </w:tblCellMar>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52">
    <w:name w:val="Grid Table 1 Light - Accent 1"/>
    <w:basedOn w:val="35"/>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108" w:type="dxa"/>
        <w:bottom w:w="0" w:type="dxa"/>
        <w:right w:w="108" w:type="dxa"/>
      </w:tblCellMar>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53">
    <w:name w:val="Grid Table 1 Light - Accent 2"/>
    <w:basedOn w:val="35"/>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108" w:type="dxa"/>
        <w:bottom w:w="0" w:type="dxa"/>
        <w:right w:w="108" w:type="dxa"/>
      </w:tblCellMar>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54">
    <w:name w:val="Grid Table 1 Light - Accent 3"/>
    <w:basedOn w:val="35"/>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108" w:type="dxa"/>
        <w:bottom w:w="0" w:type="dxa"/>
        <w:right w:w="108" w:type="dxa"/>
      </w:tblCellMar>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55">
    <w:name w:val="Grid Table 1 Light - Accent 4"/>
    <w:basedOn w:val="35"/>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108" w:type="dxa"/>
        <w:bottom w:w="0" w:type="dxa"/>
        <w:right w:w="108" w:type="dxa"/>
      </w:tblCellMar>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56">
    <w:name w:val="Grid Table 1 Light - Accent 5"/>
    <w:basedOn w:val="3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108" w:type="dxa"/>
        <w:bottom w:w="0" w:type="dxa"/>
        <w:right w:w="108" w:type="dxa"/>
      </w:tblCellMar>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57">
    <w:name w:val="Grid Table 1 Light - Accent 6"/>
    <w:basedOn w:val="35"/>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108" w:type="dxa"/>
        <w:bottom w:w="0" w:type="dxa"/>
        <w:right w:w="108" w:type="dxa"/>
      </w:tblCellMar>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58">
    <w:name w:val="Grid Table 2"/>
    <w:basedOn w:val="35"/>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108" w:type="dxa"/>
        <w:bottom w:w="0" w:type="dxa"/>
        <w:right w:w="108" w:type="dxa"/>
      </w:tblCellMar>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59">
    <w:name w:val="Grid Table 2 - Accent 1"/>
    <w:basedOn w:val="35"/>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108" w:type="dxa"/>
        <w:bottom w:w="0" w:type="dxa"/>
        <w:right w:w="108" w:type="dxa"/>
      </w:tblCellMar>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60">
    <w:name w:val="Grid Table 2 - Accent 2"/>
    <w:basedOn w:val="35"/>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108" w:type="dxa"/>
        <w:bottom w:w="0" w:type="dxa"/>
        <w:right w:w="108" w:type="dxa"/>
      </w:tblCellMar>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61">
    <w:name w:val="Grid Table 2 - Accent 3"/>
    <w:basedOn w:val="35"/>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108" w:type="dxa"/>
        <w:bottom w:w="0" w:type="dxa"/>
        <w:right w:w="108" w:type="dxa"/>
      </w:tblCellMar>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62">
    <w:name w:val="Grid Table 2 - Accent 4"/>
    <w:basedOn w:val="35"/>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63">
    <w:name w:val="Grid Table 2 - Accent 5"/>
    <w:basedOn w:val="35"/>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64">
    <w:name w:val="Grid Table 2 - Accent 6"/>
    <w:basedOn w:val="35"/>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65">
    <w:name w:val="Grid Table 3"/>
    <w:basedOn w:val="35"/>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66">
    <w:name w:val="Grid Table 3 - Accent 1"/>
    <w:basedOn w:val="35"/>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67">
    <w:name w:val="Grid Table 3 - Accent 2"/>
    <w:basedOn w:val="35"/>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68">
    <w:name w:val="Grid Table 3 - Accent 3"/>
    <w:basedOn w:val="35"/>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69">
    <w:name w:val="Grid Table 3 - Accent 4"/>
    <w:basedOn w:val="35"/>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70">
    <w:name w:val="Grid Table 3 - Accent 5"/>
    <w:basedOn w:val="35"/>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71">
    <w:name w:val="Grid Table 3 - Accent 6"/>
    <w:basedOn w:val="35"/>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72">
    <w:name w:val="Grid Table 4"/>
    <w:basedOn w:val="35"/>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3">
    <w:name w:val="Grid Table 4 - Accent 1"/>
    <w:basedOn w:val="35"/>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74">
    <w:name w:val="Grid Table 4 - Accent 2"/>
    <w:basedOn w:val="35"/>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5">
    <w:name w:val="Grid Table 4 - Accent 3"/>
    <w:basedOn w:val="35"/>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6">
    <w:name w:val="Grid Table 4 - Accent 4"/>
    <w:basedOn w:val="35"/>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77">
    <w:name w:val="Grid Table 4 - Accent 5"/>
    <w:basedOn w:val="35"/>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78">
    <w:name w:val="Grid Table 4 - Accent 6"/>
    <w:basedOn w:val="35"/>
    <w:qFormat/>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79">
    <w:name w:val="Grid Table 5 Dark"/>
    <w:basedOn w:val="3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80">
    <w:name w:val="Grid Table 5 Dark- Accent 1"/>
    <w:basedOn w:val="3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81">
    <w:name w:val="Grid Table 5 Dark - Accent 2"/>
    <w:basedOn w:val="3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82">
    <w:name w:val="Grid Table 5 Dark - Accent 3"/>
    <w:basedOn w:val="3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83">
    <w:name w:val="Grid Table 5 Dark- Accent 4"/>
    <w:basedOn w:val="3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84">
    <w:name w:val="Grid Table 5 Dark - Accent 5"/>
    <w:basedOn w:val="3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85">
    <w:name w:val="Grid Table 5 Dark - Accent 6"/>
    <w:basedOn w:val="3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86">
    <w:name w:val="Grid Table 6 Colorful"/>
    <w:basedOn w:val="35"/>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87">
    <w:name w:val="Grid Table 6 Colorful - Accent 1"/>
    <w:basedOn w:val="35"/>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108" w:type="dxa"/>
        <w:bottom w:w="0" w:type="dxa"/>
        <w:right w:w="108" w:type="dxa"/>
      </w:tblCellMar>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88">
    <w:name w:val="Grid Table 6 Colorful - Accent 2"/>
    <w:basedOn w:val="35"/>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108" w:type="dxa"/>
        <w:bottom w:w="0" w:type="dxa"/>
        <w:right w:w="108"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89">
    <w:name w:val="Grid Table 6 Colorful - Accent 3"/>
    <w:basedOn w:val="35"/>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108" w:type="dxa"/>
        <w:bottom w:w="0" w:type="dxa"/>
        <w:right w:w="108" w:type="dxa"/>
      </w:tblCellMar>
    </w:tblPr>
    <w:tblStylePr w:type="firstRow">
      <w:rPr>
        <w:b/>
        <w:color w:val="9BBB59" w:themeColor="accent3"/>
        <w14:textFill>
          <w14:solidFill>
            <w14:schemeClr w14:val="accent3"/>
          </w14:solidFill>
        </w14:textFill>
      </w:rPr>
      <w:tcPr>
        <w:tcBorders>
          <w:bottom w:val="single" w:color="9BBB59" w:themeColor="accent3" w:themeTint="FE" w:sz="12" w:space="0"/>
        </w:tcBorders>
      </w:tcPr>
    </w:tblStylePr>
    <w:tblStylePr w:type="lastRow">
      <w:rPr>
        <w:b/>
        <w:color w:val="9BBB59" w:themeColor="accent3"/>
        <w14:textFill>
          <w14:solidFill>
            <w14:schemeClr w14:val="accent3"/>
          </w14:solidFill>
        </w14:textFill>
      </w:rPr>
    </w:tblStylePr>
    <w:tblStylePr w:type="firstCol">
      <w:rPr>
        <w:b/>
        <w:color w:val="9BBB59" w:themeColor="accent3"/>
        <w14:textFill>
          <w14:solidFill>
            <w14:schemeClr w14:val="accent3"/>
          </w14:solidFill>
        </w14:textFill>
      </w:rPr>
    </w:tblStylePr>
    <w:tblStylePr w:type="lastCol">
      <w:rPr>
        <w:b/>
        <w:color w:val="9BBB59" w:themeColor="accent3"/>
        <w14:textFill>
          <w14:solidFill>
            <w14:schemeClr w14:val="accent3"/>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90">
    <w:name w:val="Grid Table 6 Colorful - Accent 4"/>
    <w:basedOn w:val="35"/>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91">
    <w:name w:val="Grid Table 6 Colorful - Accent 5"/>
    <w:basedOn w:val="35"/>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92">
    <w:name w:val="Grid Table 6 Colorful - Accent 6"/>
    <w:basedOn w:val="35"/>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93">
    <w:name w:val="Grid Table 7 Colorful"/>
    <w:basedOn w:val="35"/>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4">
    <w:name w:val="Grid Table 7 Colorful - Accent 1"/>
    <w:basedOn w:val="35"/>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108" w:type="dxa"/>
        <w:bottom w:w="0" w:type="dxa"/>
        <w:right w:w="108" w:type="dxa"/>
      </w:tblCellMar>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95">
    <w:name w:val="Grid Table 7 Colorful - Accent 2"/>
    <w:basedOn w:val="35"/>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108" w:type="dxa"/>
        <w:bottom w:w="0" w:type="dxa"/>
        <w:right w:w="108" w:type="dxa"/>
      </w:tblCellMar>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96">
    <w:name w:val="Grid Table 7 Colorful - Accent 3"/>
    <w:basedOn w:val="35"/>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108" w:type="dxa"/>
        <w:bottom w:w="0" w:type="dxa"/>
        <w:right w:w="108" w:type="dxa"/>
      </w:tblCellMar>
    </w:tblPr>
    <w:tblStylePr w:type="firstRow">
      <w:rPr>
        <w:rFonts w:ascii="Arial" w:hAnsi="Arial"/>
        <w:b/>
        <w:color w:val="9BBB59" w:themeColor="accent3"/>
        <w:sz w:val="22"/>
        <w14:textFill>
          <w14:solidFill>
            <w14:schemeClr w14:val="accent3"/>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sz w:val="22"/>
        <w14:textFill>
          <w14:solidFill>
            <w14:schemeClr w14:val="accent3"/>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14:textFill>
          <w14:solidFill>
            <w14:schemeClr w14:val="accent3"/>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sz w:val="22"/>
        <w14:textFill>
          <w14:solidFill>
            <w14:schemeClr w14:val="accent3"/>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97">
    <w:name w:val="Grid Table 7 Colorful - Accent 4"/>
    <w:basedOn w:val="35"/>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98">
    <w:name w:val="Grid Table 7 Colorful - Accent 5"/>
    <w:basedOn w:val="35"/>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108" w:type="dxa"/>
        <w:bottom w:w="0" w:type="dxa"/>
        <w:right w:w="108" w:type="dxa"/>
      </w:tblCellMar>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99">
    <w:name w:val="Grid Table 7 Colorful - Accent 6"/>
    <w:basedOn w:val="35"/>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108" w:type="dxa"/>
        <w:bottom w:w="0" w:type="dxa"/>
        <w:right w:w="108" w:type="dxa"/>
      </w:tblCellMar>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00">
    <w:name w:val="List Table 1 Light"/>
    <w:basedOn w:val="35"/>
    <w:qFormat/>
    <w:uiPriority w:val="99"/>
    <w:tblPr>
      <w:tblCellMar>
        <w:top w:w="0" w:type="dxa"/>
        <w:left w:w="108" w:type="dxa"/>
        <w:bottom w:w="0" w:type="dxa"/>
        <w:right w:w="108" w:type="dxa"/>
      </w:tblCellMa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01">
    <w:name w:val="List Table 1 Light - Accent 1"/>
    <w:basedOn w:val="35"/>
    <w:qFormat/>
    <w:uiPriority w:val="99"/>
    <w:tblPr>
      <w:tblCellMar>
        <w:top w:w="0" w:type="dxa"/>
        <w:left w:w="108" w:type="dxa"/>
        <w:bottom w:w="0" w:type="dxa"/>
        <w:right w:w="108" w:type="dxa"/>
      </w:tblCellMar>
    </w:tbl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02">
    <w:name w:val="List Table 1 Light - Accent 2"/>
    <w:basedOn w:val="35"/>
    <w:qFormat/>
    <w:uiPriority w:val="99"/>
    <w:tblPr>
      <w:tblCellMar>
        <w:top w:w="0" w:type="dxa"/>
        <w:left w:w="108" w:type="dxa"/>
        <w:bottom w:w="0" w:type="dxa"/>
        <w:right w:w="108" w:type="dxa"/>
      </w:tblCellMar>
    </w:tbl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03">
    <w:name w:val="List Table 1 Light - Accent 3"/>
    <w:basedOn w:val="35"/>
    <w:qFormat/>
    <w:uiPriority w:val="99"/>
    <w:tblPr>
      <w:tblCellMar>
        <w:top w:w="0" w:type="dxa"/>
        <w:left w:w="108" w:type="dxa"/>
        <w:bottom w:w="0" w:type="dxa"/>
        <w:right w:w="108" w:type="dxa"/>
      </w:tblCellMar>
    </w:tbl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04">
    <w:name w:val="List Table 1 Light - Accent 4"/>
    <w:basedOn w:val="35"/>
    <w:qFormat/>
    <w:uiPriority w:val="99"/>
    <w:tblPr>
      <w:tblCellMar>
        <w:top w:w="0" w:type="dxa"/>
        <w:left w:w="108" w:type="dxa"/>
        <w:bottom w:w="0" w:type="dxa"/>
        <w:right w:w="108" w:type="dxa"/>
      </w:tblCellMar>
    </w:tbl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05">
    <w:name w:val="List Table 1 Light - Accent 5"/>
    <w:basedOn w:val="35"/>
    <w:qFormat/>
    <w:uiPriority w:val="99"/>
    <w:tblPr>
      <w:tblCellMar>
        <w:top w:w="0" w:type="dxa"/>
        <w:left w:w="108" w:type="dxa"/>
        <w:bottom w:w="0" w:type="dxa"/>
        <w:right w:w="108" w:type="dxa"/>
      </w:tblCellMar>
    </w:tbl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06">
    <w:name w:val="List Table 1 Light - Accent 6"/>
    <w:basedOn w:val="35"/>
    <w:qFormat/>
    <w:uiPriority w:val="99"/>
    <w:tblPr>
      <w:tblCellMar>
        <w:top w:w="0" w:type="dxa"/>
        <w:left w:w="108" w:type="dxa"/>
        <w:bottom w:w="0" w:type="dxa"/>
        <w:right w:w="108" w:type="dxa"/>
      </w:tblCellMar>
    </w:tbl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07">
    <w:name w:val="List Table 2"/>
    <w:basedOn w:val="35"/>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08">
    <w:name w:val="List Table 2 - Accent 1"/>
    <w:basedOn w:val="35"/>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09">
    <w:name w:val="List Table 2 - Accent 2"/>
    <w:basedOn w:val="35"/>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10">
    <w:name w:val="List Table 2 - Accent 3"/>
    <w:basedOn w:val="35"/>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11">
    <w:name w:val="List Table 2 - Accent 4"/>
    <w:basedOn w:val="35"/>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12">
    <w:name w:val="List Table 2 - Accent 5"/>
    <w:basedOn w:val="35"/>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13">
    <w:name w:val="List Table 2 - Accent 6"/>
    <w:basedOn w:val="35"/>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14">
    <w:name w:val="List Table 3"/>
    <w:basedOn w:val="35"/>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15">
    <w:name w:val="List Table 3 - Accent 1"/>
    <w:basedOn w:val="35"/>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top w:w="0" w:type="dxa"/>
        <w:left w:w="108" w:type="dxa"/>
        <w:bottom w:w="0" w:type="dxa"/>
        <w:right w:w="108"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16">
    <w:name w:val="List Table 3 - Accent 2"/>
    <w:basedOn w:val="35"/>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CellMar>
        <w:top w:w="0" w:type="dxa"/>
        <w:left w:w="108" w:type="dxa"/>
        <w:bottom w:w="0" w:type="dxa"/>
        <w:right w:w="108" w:type="dxa"/>
      </w:tblCellMar>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17">
    <w:name w:val="List Table 3 - Accent 3"/>
    <w:basedOn w:val="35"/>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CellMar>
        <w:top w:w="0" w:type="dxa"/>
        <w:left w:w="108" w:type="dxa"/>
        <w:bottom w:w="0" w:type="dxa"/>
        <w:right w:w="108" w:type="dxa"/>
      </w:tblCellMar>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18">
    <w:name w:val="List Table 3 - Accent 4"/>
    <w:basedOn w:val="35"/>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top w:w="0" w:type="dxa"/>
        <w:left w:w="108" w:type="dxa"/>
        <w:bottom w:w="0" w:type="dxa"/>
        <w:right w:w="108" w:type="dxa"/>
      </w:tblCellMar>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19">
    <w:name w:val="List Table 3 - Accent 5"/>
    <w:basedOn w:val="35"/>
    <w:qFormat/>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top w:w="0" w:type="dxa"/>
        <w:left w:w="108" w:type="dxa"/>
        <w:bottom w:w="0" w:type="dxa"/>
        <w:right w:w="108" w:type="dxa"/>
      </w:tblCellMar>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20">
    <w:name w:val="List Table 3 - Accent 6"/>
    <w:basedOn w:val="35"/>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top w:w="0" w:type="dxa"/>
        <w:left w:w="108" w:type="dxa"/>
        <w:bottom w:w="0" w:type="dxa"/>
        <w:right w:w="108" w:type="dxa"/>
      </w:tblCellMar>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21">
    <w:name w:val="List Table 4"/>
    <w:basedOn w:val="35"/>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2">
    <w:name w:val="List Table 4 - Accent 1"/>
    <w:basedOn w:val="35"/>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top w:w="0" w:type="dxa"/>
        <w:left w:w="108" w:type="dxa"/>
        <w:bottom w:w="0" w:type="dxa"/>
        <w:right w:w="108"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23">
    <w:name w:val="List Table 4 - Accent 2"/>
    <w:basedOn w:val="35"/>
    <w:qFormat/>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CellMar>
        <w:top w:w="0" w:type="dxa"/>
        <w:left w:w="108" w:type="dxa"/>
        <w:bottom w:w="0" w:type="dxa"/>
        <w:right w:w="108" w:type="dxa"/>
      </w:tblCellMar>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24">
    <w:name w:val="List Table 4 - Accent 3"/>
    <w:basedOn w:val="35"/>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top w:w="0" w:type="dxa"/>
        <w:left w:w="108" w:type="dxa"/>
        <w:bottom w:w="0" w:type="dxa"/>
        <w:right w:w="108" w:type="dxa"/>
      </w:tblCellMar>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25">
    <w:name w:val="List Table 4 - Accent 4"/>
    <w:basedOn w:val="35"/>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top w:w="0" w:type="dxa"/>
        <w:left w:w="108" w:type="dxa"/>
        <w:bottom w:w="0" w:type="dxa"/>
        <w:right w:w="108" w:type="dxa"/>
      </w:tblCellMar>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26">
    <w:name w:val="List Table 4 - Accent 5"/>
    <w:basedOn w:val="35"/>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top w:w="0" w:type="dxa"/>
        <w:left w:w="108" w:type="dxa"/>
        <w:bottom w:w="0" w:type="dxa"/>
        <w:right w:w="108" w:type="dxa"/>
      </w:tblCellMar>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27">
    <w:name w:val="List Table 4 - Accent 6"/>
    <w:basedOn w:val="35"/>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top w:w="0" w:type="dxa"/>
        <w:left w:w="108" w:type="dxa"/>
        <w:bottom w:w="0" w:type="dxa"/>
        <w:right w:w="108" w:type="dxa"/>
      </w:tblCellMar>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28">
    <w:name w:val="List Table 5 Dark"/>
    <w:basedOn w:val="35"/>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29">
    <w:name w:val="List Table 5 Dark - Accent 1"/>
    <w:basedOn w:val="35"/>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30">
    <w:name w:val="List Table 5 Dark - Accent 2"/>
    <w:basedOn w:val="35"/>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31">
    <w:name w:val="List Table 5 Dark - Accent 3"/>
    <w:basedOn w:val="35"/>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32">
    <w:name w:val="List Table 5 Dark - Accent 4"/>
    <w:basedOn w:val="35"/>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33">
    <w:name w:val="List Table 5 Dark - Accent 5"/>
    <w:basedOn w:val="35"/>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34">
    <w:name w:val="List Table 5 Dark - Accent 6"/>
    <w:basedOn w:val="35"/>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35">
    <w:name w:val="List Table 6 Colorful"/>
    <w:basedOn w:val="35"/>
    <w:qFormat/>
    <w:uiPriority w:val="99"/>
    <w:tblPr>
      <w:tblBorders>
        <w:top w:val="single" w:color="7E7E7E" w:themeColor="text1" w:themeTint="80" w:sz="4" w:space="0"/>
        <w:bottom w:val="single" w:color="7E7E7E" w:themeColor="text1" w:themeTint="80" w:sz="4" w:space="0"/>
      </w:tblBorders>
      <w:tblCellMar>
        <w:top w:w="0" w:type="dxa"/>
        <w:left w:w="108" w:type="dxa"/>
        <w:bottom w:w="0" w:type="dxa"/>
        <w:right w:w="108" w:type="dxa"/>
      </w:tblCellMar>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36">
    <w:name w:val="List Table 6 Colorful - Accent 1"/>
    <w:basedOn w:val="35"/>
    <w:qFormat/>
    <w:uiPriority w:val="99"/>
    <w:tblPr>
      <w:tblBorders>
        <w:top w:val="single" w:color="4F81BD" w:themeColor="accent1" w:sz="4" w:space="0"/>
        <w:bottom w:val="single" w:color="4F81BD" w:themeColor="accent1" w:sz="4" w:space="0"/>
      </w:tblBorders>
      <w:tblCellMar>
        <w:top w:w="0" w:type="dxa"/>
        <w:left w:w="108" w:type="dxa"/>
        <w:bottom w:w="0" w:type="dxa"/>
        <w:right w:w="108" w:type="dxa"/>
      </w:tblCellMar>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37">
    <w:name w:val="List Table 6 Colorful - Accent 2"/>
    <w:basedOn w:val="35"/>
    <w:qFormat/>
    <w:uiPriority w:val="99"/>
    <w:tblPr>
      <w:tblBorders>
        <w:top w:val="single" w:color="D99795" w:themeColor="accent2" w:themeTint="97" w:sz="4" w:space="0"/>
        <w:bottom w:val="single" w:color="D99795" w:themeColor="accent2" w:themeTint="97" w:sz="4" w:space="0"/>
      </w:tblBorders>
      <w:tblCellMar>
        <w:top w:w="0" w:type="dxa"/>
        <w:left w:w="108" w:type="dxa"/>
        <w:bottom w:w="0" w:type="dxa"/>
        <w:right w:w="108"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38">
    <w:name w:val="List Table 6 Colorful - Accent 3"/>
    <w:basedOn w:val="35"/>
    <w:qFormat/>
    <w:uiPriority w:val="99"/>
    <w:tblPr>
      <w:tblBorders>
        <w:top w:val="single" w:color="C3D69C" w:themeColor="accent3" w:themeTint="98" w:sz="4" w:space="0"/>
        <w:bottom w:val="single" w:color="C3D69C" w:themeColor="accent3" w:themeTint="98" w:sz="4" w:space="0"/>
      </w:tblBorders>
      <w:tblCellMar>
        <w:top w:w="0" w:type="dxa"/>
        <w:left w:w="108" w:type="dxa"/>
        <w:bottom w:w="0" w:type="dxa"/>
        <w:right w:w="108" w:type="dxa"/>
      </w:tblCellMar>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39">
    <w:name w:val="List Table 6 Colorful - Accent 4"/>
    <w:basedOn w:val="35"/>
    <w:qFormat/>
    <w:uiPriority w:val="99"/>
    <w:tblPr>
      <w:tblBorders>
        <w:top w:val="single" w:color="B2A1C6" w:themeColor="accent4" w:themeTint="9A" w:sz="4" w:space="0"/>
        <w:bottom w:val="single" w:color="B2A1C6" w:themeColor="accent4" w:themeTint="9A" w:sz="4" w:space="0"/>
      </w:tblBorders>
      <w:tblCellMar>
        <w:top w:w="0" w:type="dxa"/>
        <w:left w:w="108" w:type="dxa"/>
        <w:bottom w:w="0" w:type="dxa"/>
        <w:right w:w="108"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40">
    <w:name w:val="List Table 6 Colorful - Accent 5"/>
    <w:basedOn w:val="35"/>
    <w:qFormat/>
    <w:uiPriority w:val="99"/>
    <w:tblPr>
      <w:tblBorders>
        <w:top w:val="single" w:color="92CCDC" w:themeColor="accent5" w:themeTint="9A" w:sz="4" w:space="0"/>
        <w:bottom w:val="single" w:color="92CCDC" w:themeColor="accent5" w:themeTint="9A" w:sz="4" w:space="0"/>
      </w:tblBorders>
      <w:tblCellMar>
        <w:top w:w="0" w:type="dxa"/>
        <w:left w:w="108" w:type="dxa"/>
        <w:bottom w:w="0" w:type="dxa"/>
        <w:right w:w="108" w:type="dxa"/>
      </w:tblCellMar>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41">
    <w:name w:val="List Table 6 Colorful - Accent 6"/>
    <w:basedOn w:val="35"/>
    <w:qFormat/>
    <w:uiPriority w:val="99"/>
    <w:tblPr>
      <w:tblBorders>
        <w:top w:val="single" w:color="FAC090" w:themeColor="accent6" w:themeTint="98" w:sz="4" w:space="0"/>
        <w:bottom w:val="single" w:color="FAC090" w:themeColor="accent6" w:themeTint="98" w:sz="4" w:space="0"/>
      </w:tblBorders>
      <w:tblCellMar>
        <w:top w:w="0" w:type="dxa"/>
        <w:left w:w="108" w:type="dxa"/>
        <w:bottom w:w="0" w:type="dxa"/>
        <w:right w:w="108" w:type="dxa"/>
      </w:tblCellMar>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42">
    <w:name w:val="List Table 7 Colorful"/>
    <w:basedOn w:val="35"/>
    <w:qFormat/>
    <w:uiPriority w:val="99"/>
    <w:tblPr>
      <w:tblBorders>
        <w:right w:val="single" w:color="7E7E7E" w:themeColor="text1" w:themeTint="80" w:sz="4" w:space="0"/>
      </w:tblBorders>
      <w:tblCellMar>
        <w:top w:w="0" w:type="dxa"/>
        <w:left w:w="108" w:type="dxa"/>
        <w:bottom w:w="0" w:type="dxa"/>
        <w:right w:w="108" w:type="dxa"/>
      </w:tblCellMar>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43">
    <w:name w:val="List Table 7 Colorful - Accent 1"/>
    <w:basedOn w:val="35"/>
    <w:qFormat/>
    <w:uiPriority w:val="99"/>
    <w:tblPr>
      <w:tblBorders>
        <w:right w:val="single" w:color="4F81BD" w:themeColor="accent1" w:sz="4" w:space="0"/>
      </w:tblBorders>
      <w:tblCellMar>
        <w:top w:w="0" w:type="dxa"/>
        <w:left w:w="108" w:type="dxa"/>
        <w:bottom w:w="0" w:type="dxa"/>
        <w:right w:w="108" w:type="dxa"/>
      </w:tblCellMar>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44">
    <w:name w:val="List Table 7 Colorful - Accent 2"/>
    <w:basedOn w:val="35"/>
    <w:qFormat/>
    <w:uiPriority w:val="99"/>
    <w:tblPr>
      <w:tblBorders>
        <w:right w:val="single" w:color="D99795" w:themeColor="accent2" w:themeTint="97" w:sz="4" w:space="0"/>
      </w:tblBorders>
      <w:tblCellMar>
        <w:top w:w="0" w:type="dxa"/>
        <w:left w:w="108" w:type="dxa"/>
        <w:bottom w:w="0" w:type="dxa"/>
        <w:right w:w="108" w:type="dxa"/>
      </w:tblCellMar>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45">
    <w:name w:val="List Table 7 Colorful - Accent 3"/>
    <w:basedOn w:val="35"/>
    <w:qFormat/>
    <w:uiPriority w:val="99"/>
    <w:tblPr>
      <w:tblBorders>
        <w:right w:val="single" w:color="C3D69C" w:themeColor="accent3" w:themeTint="98" w:sz="4" w:space="0"/>
      </w:tblBorders>
      <w:tblCellMar>
        <w:top w:w="0" w:type="dxa"/>
        <w:left w:w="108" w:type="dxa"/>
        <w:bottom w:w="0" w:type="dxa"/>
        <w:right w:w="108" w:type="dxa"/>
      </w:tblCellMar>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46">
    <w:name w:val="List Table 7 Colorful - Accent 4"/>
    <w:basedOn w:val="35"/>
    <w:qFormat/>
    <w:uiPriority w:val="99"/>
    <w:tblPr>
      <w:tblBorders>
        <w:right w:val="single" w:color="B2A1C6" w:themeColor="accent4" w:themeTint="9A" w:sz="4" w:space="0"/>
      </w:tblBorders>
      <w:tblCellMar>
        <w:top w:w="0" w:type="dxa"/>
        <w:left w:w="108" w:type="dxa"/>
        <w:bottom w:w="0" w:type="dxa"/>
        <w:right w:w="108" w:type="dxa"/>
      </w:tblCellMar>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47">
    <w:name w:val="List Table 7 Colorful - Accent 5"/>
    <w:basedOn w:val="35"/>
    <w:qFormat/>
    <w:uiPriority w:val="99"/>
    <w:tblPr>
      <w:tblBorders>
        <w:right w:val="single" w:color="92CCDC" w:themeColor="accent5" w:themeTint="9A" w:sz="4" w:space="0"/>
      </w:tblBorders>
      <w:tblCellMar>
        <w:top w:w="0" w:type="dxa"/>
        <w:left w:w="108" w:type="dxa"/>
        <w:bottom w:w="0" w:type="dxa"/>
        <w:right w:w="108" w:type="dxa"/>
      </w:tblCellMar>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48">
    <w:name w:val="List Table 7 Colorful - Accent 6"/>
    <w:basedOn w:val="35"/>
    <w:qFormat/>
    <w:uiPriority w:val="99"/>
    <w:tblPr>
      <w:tblBorders>
        <w:right w:val="single" w:color="FAC090" w:themeColor="accent6" w:themeTint="98" w:sz="4" w:space="0"/>
      </w:tblBorders>
      <w:tblCellMar>
        <w:top w:w="0" w:type="dxa"/>
        <w:left w:w="108" w:type="dxa"/>
        <w:bottom w:w="0" w:type="dxa"/>
        <w:right w:w="108" w:type="dxa"/>
      </w:tblCellMar>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49">
    <w:name w:val="Lined - Accent"/>
    <w:basedOn w:val="35"/>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50">
    <w:name w:val="Lined - Accent 1"/>
    <w:basedOn w:val="35"/>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51">
    <w:name w:val="Lined - Accent 2"/>
    <w:basedOn w:val="35"/>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52">
    <w:name w:val="Lined - Accent 3"/>
    <w:basedOn w:val="35"/>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53">
    <w:name w:val="Lined - Accent 4"/>
    <w:basedOn w:val="35"/>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54">
    <w:name w:val="Lined - Accent 5"/>
    <w:basedOn w:val="35"/>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55">
    <w:name w:val="Lined - Accent 6"/>
    <w:basedOn w:val="35"/>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56">
    <w:name w:val="Bordered &amp; Lined - Accent"/>
    <w:basedOn w:val="35"/>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CellMar>
        <w:top w:w="0" w:type="dxa"/>
        <w:left w:w="108" w:type="dxa"/>
        <w:bottom w:w="0" w:type="dxa"/>
        <w:right w:w="108"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57">
    <w:name w:val="Bordered &amp; Lined - Accent 1"/>
    <w:basedOn w:val="35"/>
    <w:qFormat/>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CellMar>
        <w:top w:w="0" w:type="dxa"/>
        <w:left w:w="108" w:type="dxa"/>
        <w:bottom w:w="0" w:type="dxa"/>
        <w:right w:w="108"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58">
    <w:name w:val="Bordered &amp; Lined - Accent 2"/>
    <w:basedOn w:val="35"/>
    <w:qFormat/>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CellMar>
        <w:top w:w="0" w:type="dxa"/>
        <w:left w:w="108" w:type="dxa"/>
        <w:bottom w:w="0" w:type="dxa"/>
        <w:right w:w="108"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59">
    <w:name w:val="Bordered &amp; Lined - Accent 3"/>
    <w:basedOn w:val="35"/>
    <w:qFormat/>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CellMar>
        <w:top w:w="0" w:type="dxa"/>
        <w:left w:w="108" w:type="dxa"/>
        <w:bottom w:w="0" w:type="dxa"/>
        <w:right w:w="108"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60">
    <w:name w:val="Bordered &amp; Lined - Accent 4"/>
    <w:basedOn w:val="35"/>
    <w:qFormat/>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CellMar>
        <w:top w:w="0" w:type="dxa"/>
        <w:left w:w="108" w:type="dxa"/>
        <w:bottom w:w="0" w:type="dxa"/>
        <w:right w:w="108"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61">
    <w:name w:val="Bordered &amp; Lined - Accent 5"/>
    <w:basedOn w:val="35"/>
    <w:qFormat/>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CellMar>
        <w:top w:w="0" w:type="dxa"/>
        <w:left w:w="108" w:type="dxa"/>
        <w:bottom w:w="0" w:type="dxa"/>
        <w:right w:w="108"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62">
    <w:name w:val="Bordered &amp; Lined - Accent 6"/>
    <w:basedOn w:val="35"/>
    <w:qFormat/>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CellMar>
        <w:top w:w="0" w:type="dxa"/>
        <w:left w:w="108" w:type="dxa"/>
        <w:bottom w:w="0" w:type="dxa"/>
        <w:right w:w="108"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63">
    <w:name w:val="Bordered"/>
    <w:basedOn w:val="35"/>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CellMar>
        <w:top w:w="0" w:type="dxa"/>
        <w:left w:w="108" w:type="dxa"/>
        <w:bottom w:w="0" w:type="dxa"/>
        <w:right w:w="108" w:type="dxa"/>
      </w:tblCellMar>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64">
    <w:name w:val="Bordered - Accent 1"/>
    <w:basedOn w:val="35"/>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65">
    <w:name w:val="Bordered - Accent 2"/>
    <w:basedOn w:val="35"/>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66">
    <w:name w:val="Bordered - Accent 3"/>
    <w:basedOn w:val="35"/>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67">
    <w:name w:val="Bordered - Accent 4"/>
    <w:basedOn w:val="35"/>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68">
    <w:name w:val="Bordered - Accent 5"/>
    <w:basedOn w:val="3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69">
    <w:name w:val="Bordered - Accent 6"/>
    <w:basedOn w:val="35"/>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70">
    <w:name w:val="标题 1 Char1"/>
    <w:basedOn w:val="37"/>
    <w:link w:val="2"/>
    <w:qFormat/>
    <w:uiPriority w:val="9"/>
    <w:rPr>
      <w:rFonts w:ascii="Arial" w:hAnsi="Arial" w:eastAsia="Arial" w:cs="Arial"/>
      <w:color w:val="376092" w:themeColor="accent1" w:themeShade="BF"/>
      <w:sz w:val="40"/>
      <w:szCs w:val="40"/>
    </w:rPr>
  </w:style>
  <w:style w:type="character" w:customStyle="1" w:styleId="171">
    <w:name w:val="标题 2 Char"/>
    <w:basedOn w:val="37"/>
    <w:link w:val="3"/>
    <w:qFormat/>
    <w:uiPriority w:val="9"/>
    <w:rPr>
      <w:rFonts w:ascii="Arial" w:hAnsi="Arial" w:eastAsia="Arial" w:cs="Arial"/>
      <w:color w:val="376092" w:themeColor="accent1" w:themeShade="BF"/>
      <w:sz w:val="32"/>
      <w:szCs w:val="32"/>
    </w:rPr>
  </w:style>
  <w:style w:type="character" w:customStyle="1" w:styleId="172">
    <w:name w:val="标题 3 Char"/>
    <w:basedOn w:val="37"/>
    <w:link w:val="4"/>
    <w:qFormat/>
    <w:uiPriority w:val="9"/>
    <w:rPr>
      <w:rFonts w:ascii="Arial" w:hAnsi="Arial" w:eastAsia="Arial" w:cs="Arial"/>
      <w:color w:val="376092" w:themeColor="accent1" w:themeShade="BF"/>
      <w:sz w:val="28"/>
      <w:szCs w:val="28"/>
    </w:rPr>
  </w:style>
  <w:style w:type="character" w:customStyle="1" w:styleId="173">
    <w:name w:val="标题 4 Char"/>
    <w:basedOn w:val="37"/>
    <w:link w:val="5"/>
    <w:qFormat/>
    <w:uiPriority w:val="9"/>
    <w:rPr>
      <w:rFonts w:ascii="Arial" w:hAnsi="Arial" w:eastAsia="Arial" w:cs="Arial"/>
      <w:i/>
      <w:iCs/>
      <w:color w:val="376092" w:themeColor="accent1" w:themeShade="BF"/>
    </w:rPr>
  </w:style>
  <w:style w:type="character" w:customStyle="1" w:styleId="174">
    <w:name w:val="标题 5 Char"/>
    <w:basedOn w:val="37"/>
    <w:link w:val="6"/>
    <w:qFormat/>
    <w:uiPriority w:val="9"/>
    <w:rPr>
      <w:rFonts w:ascii="Arial" w:hAnsi="Arial" w:eastAsia="Arial" w:cs="Arial"/>
      <w:color w:val="376092" w:themeColor="accent1" w:themeShade="BF"/>
    </w:rPr>
  </w:style>
  <w:style w:type="character" w:customStyle="1" w:styleId="175">
    <w:name w:val="标题 6 Char"/>
    <w:basedOn w:val="37"/>
    <w:link w:val="7"/>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76">
    <w:name w:val="标题 7 Char"/>
    <w:basedOn w:val="37"/>
    <w:link w:val="8"/>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77">
    <w:name w:val="标题 8 Char"/>
    <w:basedOn w:val="37"/>
    <w:link w:val="9"/>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8">
    <w:name w:val="标题 9 Char"/>
    <w:basedOn w:val="37"/>
    <w:link w:val="10"/>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9">
    <w:name w:val="标题 Char1"/>
    <w:basedOn w:val="37"/>
    <w:link w:val="34"/>
    <w:qFormat/>
    <w:uiPriority w:val="10"/>
    <w:rPr>
      <w:rFonts w:ascii="Arial" w:hAnsi="Arial" w:eastAsia="Arial" w:cs="Arial"/>
      <w:spacing w:val="-10"/>
      <w:sz w:val="56"/>
      <w:szCs w:val="56"/>
    </w:rPr>
  </w:style>
  <w:style w:type="character" w:customStyle="1" w:styleId="180">
    <w:name w:val="副标题 Char"/>
    <w:basedOn w:val="37"/>
    <w:link w:val="28"/>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81">
    <w:name w:val="Quote"/>
    <w:basedOn w:val="1"/>
    <w:next w:val="1"/>
    <w:link w:val="182"/>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82">
    <w:name w:val="引用 Char"/>
    <w:basedOn w:val="37"/>
    <w:link w:val="181"/>
    <w:qFormat/>
    <w:uiPriority w:val="29"/>
    <w:rPr>
      <w:i/>
      <w:iCs/>
      <w:color w:val="404040" w:themeColor="text1" w:themeTint="BF"/>
      <w14:textFill>
        <w14:solidFill>
          <w14:schemeClr w14:val="tx1">
            <w14:lumMod w14:val="75000"/>
            <w14:lumOff w14:val="25000"/>
          </w14:schemeClr>
        </w14:solidFill>
      </w14:textFill>
    </w:rPr>
  </w:style>
  <w:style w:type="character" w:customStyle="1" w:styleId="183">
    <w:name w:val="明显强调1"/>
    <w:basedOn w:val="37"/>
    <w:qFormat/>
    <w:uiPriority w:val="21"/>
    <w:rPr>
      <w:i/>
      <w:iCs/>
      <w:color w:val="376092" w:themeColor="accent1" w:themeShade="BF"/>
    </w:rPr>
  </w:style>
  <w:style w:type="paragraph" w:styleId="184">
    <w:name w:val="Intense Quote"/>
    <w:basedOn w:val="1"/>
    <w:next w:val="1"/>
    <w:link w:val="185"/>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185">
    <w:name w:val="明显引用 Char"/>
    <w:basedOn w:val="37"/>
    <w:link w:val="184"/>
    <w:qFormat/>
    <w:uiPriority w:val="30"/>
    <w:rPr>
      <w:i/>
      <w:iCs/>
      <w:color w:val="376092" w:themeColor="accent1" w:themeShade="BF"/>
    </w:rPr>
  </w:style>
  <w:style w:type="character" w:customStyle="1" w:styleId="186">
    <w:name w:val="明显参考1"/>
    <w:basedOn w:val="37"/>
    <w:qFormat/>
    <w:uiPriority w:val="32"/>
    <w:rPr>
      <w:b/>
      <w:bCs/>
      <w:smallCaps/>
      <w:color w:val="376092" w:themeColor="accent1" w:themeShade="BF"/>
      <w:spacing w:val="5"/>
    </w:rPr>
  </w:style>
  <w:style w:type="paragraph" w:styleId="187">
    <w:name w:val="No Spacing"/>
    <w:basedOn w:val="1"/>
    <w:qFormat/>
    <w:uiPriority w:val="1"/>
  </w:style>
  <w:style w:type="character" w:customStyle="1" w:styleId="188">
    <w:name w:val="不明显强调1"/>
    <w:basedOn w:val="37"/>
    <w:qFormat/>
    <w:uiPriority w:val="19"/>
    <w:rPr>
      <w:i/>
      <w:iCs/>
      <w:color w:val="404040" w:themeColor="text1" w:themeTint="BF"/>
      <w14:textFill>
        <w14:solidFill>
          <w14:schemeClr w14:val="tx1">
            <w14:lumMod w14:val="75000"/>
            <w14:lumOff w14:val="25000"/>
          </w14:schemeClr>
        </w14:solidFill>
      </w14:textFill>
    </w:rPr>
  </w:style>
  <w:style w:type="character" w:customStyle="1" w:styleId="189">
    <w:name w:val="不明显参考1"/>
    <w:basedOn w:val="37"/>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90">
    <w:name w:val="书籍标题1"/>
    <w:basedOn w:val="37"/>
    <w:qFormat/>
    <w:uiPriority w:val="33"/>
    <w:rPr>
      <w:b/>
      <w:bCs/>
      <w:i/>
      <w:iCs/>
      <w:spacing w:val="5"/>
    </w:rPr>
  </w:style>
  <w:style w:type="character" w:customStyle="1" w:styleId="191">
    <w:name w:val="页眉 Char"/>
    <w:basedOn w:val="37"/>
    <w:link w:val="25"/>
    <w:qFormat/>
    <w:uiPriority w:val="99"/>
  </w:style>
  <w:style w:type="character" w:customStyle="1" w:styleId="192">
    <w:name w:val="页脚 Char"/>
    <w:basedOn w:val="37"/>
    <w:link w:val="24"/>
    <w:qFormat/>
    <w:uiPriority w:val="99"/>
  </w:style>
  <w:style w:type="character" w:customStyle="1" w:styleId="193">
    <w:name w:val="脚注文本 Char"/>
    <w:basedOn w:val="37"/>
    <w:link w:val="29"/>
    <w:semiHidden/>
    <w:qFormat/>
    <w:uiPriority w:val="99"/>
    <w:rPr>
      <w:sz w:val="20"/>
      <w:szCs w:val="20"/>
    </w:rPr>
  </w:style>
  <w:style w:type="character" w:customStyle="1" w:styleId="194">
    <w:name w:val="尾注文本 Char"/>
    <w:basedOn w:val="37"/>
    <w:link w:val="22"/>
    <w:semiHidden/>
    <w:qFormat/>
    <w:uiPriority w:val="99"/>
    <w:rPr>
      <w:sz w:val="20"/>
      <w:szCs w:val="20"/>
    </w:rPr>
  </w:style>
  <w:style w:type="character" w:styleId="195">
    <w:name w:val="Placeholder Text"/>
    <w:basedOn w:val="37"/>
    <w:semiHidden/>
    <w:qFormat/>
    <w:uiPriority w:val="99"/>
    <w:rPr>
      <w:color w:val="666666"/>
    </w:rPr>
  </w:style>
  <w:style w:type="paragraph" w:customStyle="1" w:styleId="196">
    <w:name w:val="TOC 标题1"/>
    <w:unhideWhenUsed/>
    <w:qFormat/>
    <w:uiPriority w:val="39"/>
    <w:rPr>
      <w:rFonts w:ascii="Times New Roman" w:hAnsi="Times New Roman" w:eastAsia="宋体" w:cs="Times New Roman"/>
      <w:lang w:val="en-US" w:eastAsia="zh-CN" w:bidi="ar-SA"/>
    </w:rPr>
  </w:style>
  <w:style w:type="paragraph" w:customStyle="1" w:styleId="197">
    <w:name w:val="标题 11"/>
    <w:basedOn w:val="1"/>
    <w:next w:val="1"/>
    <w:link w:val="256"/>
    <w:qFormat/>
    <w:uiPriority w:val="0"/>
    <w:pPr>
      <w:keepNext/>
      <w:keepLines/>
      <w:spacing w:before="340" w:after="330" w:line="578" w:lineRule="auto"/>
      <w:outlineLvl w:val="0"/>
    </w:pPr>
    <w:rPr>
      <w:rFonts w:ascii="Tahoma" w:hAnsi="Tahoma"/>
      <w:b/>
      <w:bCs/>
      <w:sz w:val="44"/>
      <w:szCs w:val="44"/>
    </w:rPr>
  </w:style>
  <w:style w:type="paragraph" w:customStyle="1" w:styleId="198">
    <w:name w:val="标题 21"/>
    <w:basedOn w:val="1"/>
    <w:next w:val="1"/>
    <w:link w:val="205"/>
    <w:qFormat/>
    <w:uiPriority w:val="0"/>
    <w:pPr>
      <w:keepNext/>
      <w:keepLines/>
      <w:spacing w:before="260" w:after="260" w:line="416" w:lineRule="auto"/>
      <w:outlineLvl w:val="1"/>
    </w:pPr>
    <w:rPr>
      <w:rFonts w:ascii="Cambria" w:hAnsi="Cambria"/>
      <w:b/>
      <w:bCs/>
      <w:sz w:val="32"/>
      <w:szCs w:val="32"/>
    </w:rPr>
  </w:style>
  <w:style w:type="paragraph" w:customStyle="1" w:styleId="199">
    <w:name w:val="标题 31"/>
    <w:basedOn w:val="1"/>
    <w:next w:val="1"/>
    <w:qFormat/>
    <w:uiPriority w:val="0"/>
    <w:pPr>
      <w:keepNext/>
      <w:keepLines/>
      <w:spacing w:before="260" w:after="260" w:line="416" w:lineRule="auto"/>
      <w:outlineLvl w:val="2"/>
    </w:pPr>
    <w:rPr>
      <w:b/>
      <w:bCs/>
      <w:sz w:val="32"/>
      <w:szCs w:val="32"/>
    </w:rPr>
  </w:style>
  <w:style w:type="paragraph" w:customStyle="1" w:styleId="200">
    <w:name w:val="标题 41"/>
    <w:basedOn w:val="1"/>
    <w:next w:val="1"/>
    <w:qFormat/>
    <w:uiPriority w:val="0"/>
    <w:pPr>
      <w:keepNext/>
      <w:spacing w:before="240" w:after="60"/>
      <w:outlineLvl w:val="3"/>
    </w:pPr>
    <w:rPr>
      <w:b/>
      <w:bCs/>
      <w:sz w:val="28"/>
      <w:szCs w:val="28"/>
    </w:rPr>
  </w:style>
  <w:style w:type="paragraph" w:customStyle="1" w:styleId="201">
    <w:name w:val="标题 61"/>
    <w:basedOn w:val="1"/>
    <w:next w:val="1"/>
    <w:link w:val="206"/>
    <w:qFormat/>
    <w:uiPriority w:val="0"/>
    <w:pPr>
      <w:keepNext/>
      <w:keepLines/>
      <w:spacing w:before="240" w:after="64" w:line="320" w:lineRule="auto"/>
      <w:outlineLvl w:val="5"/>
    </w:pPr>
    <w:rPr>
      <w:rFonts w:ascii="Arial" w:hAnsi="Arial" w:eastAsia="黑体"/>
      <w:b/>
      <w:bCs/>
      <w:sz w:val="24"/>
    </w:rPr>
  </w:style>
  <w:style w:type="character" w:customStyle="1" w:styleId="202">
    <w:name w:val="默认段落字体1"/>
    <w:unhideWhenUsed/>
    <w:qFormat/>
    <w:uiPriority w:val="1"/>
  </w:style>
  <w:style w:type="table" w:customStyle="1" w:styleId="203">
    <w:name w:val="普通表格1"/>
    <w:unhideWhenUsed/>
    <w:qFormat/>
    <w:uiPriority w:val="99"/>
    <w:tblPr>
      <w:tblCellMar>
        <w:top w:w="0" w:type="dxa"/>
        <w:left w:w="108" w:type="dxa"/>
        <w:bottom w:w="0" w:type="dxa"/>
        <w:right w:w="108" w:type="dxa"/>
      </w:tblCellMar>
    </w:tblPr>
  </w:style>
  <w:style w:type="character" w:customStyle="1" w:styleId="204">
    <w:name w:val="标题 1 Char"/>
    <w:link w:val="197"/>
    <w:qFormat/>
    <w:uiPriority w:val="0"/>
    <w:rPr>
      <w:rFonts w:ascii="Times New Roman" w:hAnsi="Times New Roman" w:eastAsia="宋体"/>
      <w:b/>
      <w:sz w:val="32"/>
    </w:rPr>
  </w:style>
  <w:style w:type="character" w:customStyle="1" w:styleId="205">
    <w:name w:val="标题 2 字符"/>
    <w:link w:val="198"/>
    <w:semiHidden/>
    <w:qFormat/>
    <w:uiPriority w:val="0"/>
    <w:rPr>
      <w:rFonts w:ascii="Cambria" w:hAnsi="Cambria" w:eastAsia="宋体" w:cs="Times New Roman"/>
      <w:b/>
      <w:bCs/>
      <w:sz w:val="32"/>
      <w:szCs w:val="32"/>
    </w:rPr>
  </w:style>
  <w:style w:type="character" w:customStyle="1" w:styleId="206">
    <w:name w:val="标题 6 字符"/>
    <w:link w:val="201"/>
    <w:qFormat/>
    <w:uiPriority w:val="0"/>
    <w:rPr>
      <w:rFonts w:ascii="Arial" w:hAnsi="Arial" w:eastAsia="黑体"/>
      <w:b/>
      <w:bCs/>
      <w:sz w:val="24"/>
      <w:szCs w:val="24"/>
      <w:lang w:val="en-US" w:eastAsia="zh-CN" w:bidi="ar-SA"/>
    </w:rPr>
  </w:style>
  <w:style w:type="paragraph" w:customStyle="1" w:styleId="207">
    <w:name w:val="索引 81"/>
    <w:basedOn w:val="1"/>
    <w:next w:val="1"/>
    <w:qFormat/>
    <w:uiPriority w:val="0"/>
    <w:pPr>
      <w:ind w:left="2940"/>
    </w:pPr>
  </w:style>
  <w:style w:type="paragraph" w:customStyle="1" w:styleId="208">
    <w:name w:val="列表编号1"/>
    <w:basedOn w:val="1"/>
    <w:qFormat/>
    <w:uiPriority w:val="0"/>
    <w:pPr>
      <w:widowControl/>
      <w:tabs>
        <w:tab w:val="left" w:pos="454"/>
        <w:tab w:val="left" w:pos="720"/>
        <w:tab w:val="left" w:pos="840"/>
      </w:tabs>
      <w:ind w:left="454" w:hanging="284"/>
      <w:jc w:val="left"/>
    </w:pPr>
    <w:rPr>
      <w:sz w:val="24"/>
      <w:szCs w:val="20"/>
    </w:rPr>
  </w:style>
  <w:style w:type="paragraph" w:customStyle="1" w:styleId="209">
    <w:name w:val="正文缩进1"/>
    <w:basedOn w:val="1"/>
    <w:link w:val="210"/>
    <w:qFormat/>
    <w:uiPriority w:val="0"/>
    <w:pPr>
      <w:ind w:firstLine="420"/>
    </w:pPr>
    <w:rPr>
      <w:szCs w:val="20"/>
    </w:rPr>
  </w:style>
  <w:style w:type="character" w:customStyle="1" w:styleId="210">
    <w:name w:val="正文缩进 字符"/>
    <w:link w:val="209"/>
    <w:qFormat/>
    <w:uiPriority w:val="0"/>
    <w:rPr>
      <w:rFonts w:eastAsia="宋体"/>
      <w:sz w:val="21"/>
      <w:lang w:val="en-US" w:eastAsia="zh-CN" w:bidi="ar-SA"/>
    </w:rPr>
  </w:style>
  <w:style w:type="paragraph" w:customStyle="1" w:styleId="211">
    <w:name w:val="文档结构图1"/>
    <w:basedOn w:val="1"/>
    <w:link w:val="212"/>
    <w:qFormat/>
    <w:uiPriority w:val="0"/>
    <w:rPr>
      <w:rFonts w:ascii="宋体" w:hAnsi="Tahoma"/>
      <w:sz w:val="18"/>
      <w:szCs w:val="18"/>
    </w:rPr>
  </w:style>
  <w:style w:type="character" w:customStyle="1" w:styleId="212">
    <w:name w:val="文档结构图 字符"/>
    <w:link w:val="211"/>
    <w:qFormat/>
    <w:uiPriority w:val="0"/>
    <w:rPr>
      <w:rFonts w:ascii="宋体" w:hAnsi="Tahoma"/>
      <w:sz w:val="18"/>
      <w:szCs w:val="18"/>
    </w:rPr>
  </w:style>
  <w:style w:type="paragraph" w:customStyle="1" w:styleId="213">
    <w:name w:val="批注文字1"/>
    <w:basedOn w:val="1"/>
    <w:link w:val="214"/>
    <w:semiHidden/>
    <w:qFormat/>
    <w:uiPriority w:val="0"/>
    <w:pPr>
      <w:jc w:val="left"/>
    </w:pPr>
  </w:style>
  <w:style w:type="character" w:customStyle="1" w:styleId="214">
    <w:name w:val="批注文字 字符"/>
    <w:link w:val="213"/>
    <w:qFormat/>
    <w:uiPriority w:val="0"/>
    <w:rPr>
      <w:rFonts w:eastAsia="宋体"/>
      <w:sz w:val="21"/>
      <w:szCs w:val="24"/>
      <w:lang w:val="en-US" w:eastAsia="zh-CN" w:bidi="ar-SA"/>
    </w:rPr>
  </w:style>
  <w:style w:type="paragraph" w:customStyle="1" w:styleId="215">
    <w:name w:val="正文文本 31"/>
    <w:basedOn w:val="1"/>
    <w:qFormat/>
    <w:uiPriority w:val="0"/>
    <w:pPr>
      <w:spacing w:line="240" w:lineRule="exact"/>
    </w:pPr>
    <w:rPr>
      <w:rFonts w:ascii="宋体" w:hAnsi="宋体"/>
      <w:color w:val="000000"/>
      <w:szCs w:val="21"/>
    </w:rPr>
  </w:style>
  <w:style w:type="paragraph" w:customStyle="1" w:styleId="216">
    <w:name w:val="正文文本1"/>
    <w:basedOn w:val="1"/>
    <w:qFormat/>
    <w:uiPriority w:val="0"/>
    <w:pPr>
      <w:spacing w:line="380" w:lineRule="exact"/>
    </w:pPr>
    <w:rPr>
      <w:sz w:val="24"/>
    </w:rPr>
  </w:style>
  <w:style w:type="paragraph" w:customStyle="1" w:styleId="217">
    <w:name w:val="正文文本缩进1"/>
    <w:basedOn w:val="1"/>
    <w:link w:val="218"/>
    <w:qFormat/>
    <w:uiPriority w:val="0"/>
    <w:pPr>
      <w:spacing w:after="120"/>
      <w:ind w:left="420"/>
    </w:pPr>
    <w:rPr>
      <w:rFonts w:ascii="Tahoma" w:hAnsi="Tahoma"/>
    </w:rPr>
  </w:style>
  <w:style w:type="character" w:customStyle="1" w:styleId="218">
    <w:name w:val="正文文本缩进 字符"/>
    <w:link w:val="217"/>
    <w:qFormat/>
    <w:uiPriority w:val="0"/>
    <w:rPr>
      <w:rFonts w:ascii="Tahoma" w:hAnsi="Tahoma"/>
      <w:sz w:val="21"/>
      <w:szCs w:val="24"/>
    </w:rPr>
  </w:style>
  <w:style w:type="paragraph" w:customStyle="1" w:styleId="219">
    <w:name w:val="目录 31"/>
    <w:basedOn w:val="1"/>
    <w:next w:val="1"/>
    <w:qFormat/>
    <w:uiPriority w:val="39"/>
    <w:pPr>
      <w:ind w:left="840"/>
    </w:pPr>
  </w:style>
  <w:style w:type="paragraph" w:customStyle="1" w:styleId="220">
    <w:name w:val="纯文本1"/>
    <w:basedOn w:val="1"/>
    <w:link w:val="221"/>
    <w:qFormat/>
    <w:uiPriority w:val="0"/>
    <w:rPr>
      <w:rFonts w:ascii="宋体" w:hAnsi="Courier New"/>
      <w:szCs w:val="20"/>
    </w:rPr>
  </w:style>
  <w:style w:type="character" w:customStyle="1" w:styleId="221">
    <w:name w:val="纯文本 字符3"/>
    <w:link w:val="220"/>
    <w:qFormat/>
    <w:uiPriority w:val="0"/>
    <w:rPr>
      <w:rFonts w:ascii="宋体" w:hAnsi="Courier New" w:eastAsia="宋体"/>
      <w:sz w:val="21"/>
      <w:szCs w:val="20"/>
      <w:lang w:val="en-US" w:eastAsia="zh-CN" w:bidi="ar-SA"/>
    </w:rPr>
  </w:style>
  <w:style w:type="paragraph" w:customStyle="1" w:styleId="222">
    <w:name w:val="日期1"/>
    <w:basedOn w:val="1"/>
    <w:next w:val="1"/>
    <w:qFormat/>
    <w:uiPriority w:val="0"/>
    <w:pPr>
      <w:ind w:left="100"/>
    </w:pPr>
  </w:style>
  <w:style w:type="paragraph" w:customStyle="1" w:styleId="223">
    <w:name w:val="正文文本缩进 21"/>
    <w:basedOn w:val="1"/>
    <w:qFormat/>
    <w:uiPriority w:val="0"/>
    <w:pPr>
      <w:ind w:firstLine="630"/>
    </w:pPr>
    <w:rPr>
      <w:sz w:val="32"/>
      <w:szCs w:val="20"/>
    </w:rPr>
  </w:style>
  <w:style w:type="paragraph" w:customStyle="1" w:styleId="224">
    <w:name w:val="批注框文本1"/>
    <w:basedOn w:val="1"/>
    <w:semiHidden/>
    <w:qFormat/>
    <w:uiPriority w:val="0"/>
    <w:rPr>
      <w:sz w:val="18"/>
      <w:szCs w:val="18"/>
    </w:rPr>
  </w:style>
  <w:style w:type="paragraph" w:customStyle="1" w:styleId="225">
    <w:name w:val="页脚1"/>
    <w:basedOn w:val="1"/>
    <w:link w:val="226"/>
    <w:qFormat/>
    <w:uiPriority w:val="99"/>
    <w:pPr>
      <w:tabs>
        <w:tab w:val="center" w:pos="4153"/>
        <w:tab w:val="right" w:pos="8306"/>
      </w:tabs>
      <w:jc w:val="left"/>
    </w:pPr>
    <w:rPr>
      <w:rFonts w:ascii="Tahoma" w:hAnsi="Tahoma"/>
      <w:sz w:val="18"/>
      <w:szCs w:val="18"/>
    </w:rPr>
  </w:style>
  <w:style w:type="character" w:customStyle="1" w:styleId="226">
    <w:name w:val="页脚 字符1"/>
    <w:link w:val="225"/>
    <w:qFormat/>
    <w:uiPriority w:val="99"/>
    <w:rPr>
      <w:rFonts w:ascii="Tahoma" w:hAnsi="Tahoma"/>
      <w:sz w:val="18"/>
      <w:szCs w:val="18"/>
    </w:rPr>
  </w:style>
  <w:style w:type="paragraph" w:customStyle="1" w:styleId="227">
    <w:name w:val="寄信人地址1"/>
    <w:basedOn w:val="1"/>
    <w:qFormat/>
    <w:uiPriority w:val="0"/>
    <w:rPr>
      <w:rFonts w:ascii="Arial" w:hAnsi="Arial"/>
    </w:rPr>
  </w:style>
  <w:style w:type="paragraph" w:customStyle="1" w:styleId="228">
    <w:name w:val="页眉1"/>
    <w:basedOn w:val="1"/>
    <w:link w:val="229"/>
    <w:qFormat/>
    <w:uiPriority w:val="99"/>
    <w:pPr>
      <w:pBdr>
        <w:bottom w:val="single" w:color="000000" w:sz="6" w:space="1"/>
      </w:pBdr>
      <w:tabs>
        <w:tab w:val="center" w:pos="4153"/>
        <w:tab w:val="right" w:pos="8306"/>
      </w:tabs>
      <w:jc w:val="center"/>
    </w:pPr>
    <w:rPr>
      <w:rFonts w:ascii="Tahoma" w:hAnsi="Tahoma"/>
      <w:sz w:val="18"/>
      <w:szCs w:val="18"/>
    </w:rPr>
  </w:style>
  <w:style w:type="character" w:customStyle="1" w:styleId="229">
    <w:name w:val="页眉 字符"/>
    <w:link w:val="228"/>
    <w:qFormat/>
    <w:uiPriority w:val="99"/>
    <w:rPr>
      <w:rFonts w:ascii="Tahoma" w:hAnsi="Tahoma"/>
      <w:sz w:val="18"/>
      <w:szCs w:val="18"/>
    </w:rPr>
  </w:style>
  <w:style w:type="paragraph" w:customStyle="1" w:styleId="230">
    <w:name w:val="目录 11"/>
    <w:basedOn w:val="1"/>
    <w:next w:val="1"/>
    <w:qFormat/>
    <w:uiPriority w:val="39"/>
  </w:style>
  <w:style w:type="paragraph" w:customStyle="1" w:styleId="231">
    <w:name w:val="脚注文本1"/>
    <w:basedOn w:val="1"/>
    <w:qFormat/>
    <w:uiPriority w:val="0"/>
    <w:pPr>
      <w:jc w:val="left"/>
    </w:pPr>
    <w:rPr>
      <w:sz w:val="18"/>
    </w:rPr>
  </w:style>
  <w:style w:type="paragraph" w:customStyle="1" w:styleId="232">
    <w:name w:val="目录 21"/>
    <w:basedOn w:val="1"/>
    <w:next w:val="1"/>
    <w:qFormat/>
    <w:uiPriority w:val="39"/>
    <w:pPr>
      <w:ind w:left="420"/>
    </w:pPr>
  </w:style>
  <w:style w:type="paragraph" w:customStyle="1" w:styleId="233">
    <w:name w:val="目录 91"/>
    <w:basedOn w:val="1"/>
    <w:next w:val="1"/>
    <w:qFormat/>
    <w:uiPriority w:val="39"/>
    <w:pPr>
      <w:ind w:left="1680"/>
      <w:jc w:val="left"/>
    </w:pPr>
    <w:rPr>
      <w:sz w:val="18"/>
      <w:szCs w:val="18"/>
    </w:rPr>
  </w:style>
  <w:style w:type="paragraph" w:customStyle="1" w:styleId="234">
    <w:name w:val="正文文本 21"/>
    <w:basedOn w:val="1"/>
    <w:qFormat/>
    <w:uiPriority w:val="0"/>
    <w:pPr>
      <w:spacing w:after="120" w:line="480" w:lineRule="auto"/>
    </w:pPr>
  </w:style>
  <w:style w:type="paragraph" w:customStyle="1" w:styleId="235">
    <w:name w:val="列表 41"/>
    <w:basedOn w:val="1"/>
    <w:unhideWhenUsed/>
    <w:qFormat/>
    <w:uiPriority w:val="99"/>
    <w:pPr>
      <w:ind w:left="100" w:hanging="200"/>
      <w:contextualSpacing/>
    </w:pPr>
  </w:style>
  <w:style w:type="paragraph" w:customStyle="1" w:styleId="236">
    <w:name w:val="普通(网站)11"/>
    <w:basedOn w:val="1"/>
    <w:qFormat/>
    <w:uiPriority w:val="0"/>
    <w:pPr>
      <w:widowControl/>
      <w:spacing w:before="100" w:beforeAutospacing="1" w:after="100" w:afterAutospacing="1"/>
      <w:jc w:val="left"/>
    </w:pPr>
    <w:rPr>
      <w:rFonts w:ascii="宋体" w:hAnsi="宋体" w:cs="宋体"/>
      <w:sz w:val="24"/>
    </w:rPr>
  </w:style>
  <w:style w:type="paragraph" w:customStyle="1" w:styleId="237">
    <w:name w:val="标题1"/>
    <w:basedOn w:val="1"/>
    <w:next w:val="1"/>
    <w:qFormat/>
    <w:uiPriority w:val="10"/>
    <w:pPr>
      <w:spacing w:before="240" w:after="60"/>
      <w:jc w:val="center"/>
      <w:outlineLvl w:val="0"/>
    </w:pPr>
    <w:rPr>
      <w:rFonts w:ascii="等线 Light" w:hAnsi="等线 Light"/>
      <w:b/>
      <w:bCs/>
      <w:sz w:val="32"/>
      <w:szCs w:val="32"/>
    </w:rPr>
  </w:style>
  <w:style w:type="paragraph" w:customStyle="1" w:styleId="238">
    <w:name w:val="批注主题1"/>
    <w:basedOn w:val="213"/>
    <w:next w:val="213"/>
    <w:semiHidden/>
    <w:qFormat/>
    <w:uiPriority w:val="0"/>
    <w:rPr>
      <w:b/>
      <w:bCs/>
    </w:rPr>
  </w:style>
  <w:style w:type="paragraph" w:customStyle="1" w:styleId="239">
    <w:name w:val="正文首行缩进 21"/>
    <w:basedOn w:val="217"/>
    <w:unhideWhenUsed/>
    <w:qFormat/>
    <w:uiPriority w:val="0"/>
    <w:pPr>
      <w:ind w:firstLine="420"/>
    </w:pPr>
  </w:style>
  <w:style w:type="table" w:customStyle="1" w:styleId="240">
    <w:name w:val="网格型1"/>
    <w:basedOn w:val="203"/>
    <w:qFormat/>
    <w:uiPriority w:val="0"/>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241">
    <w:name w:val="要点1"/>
    <w:qFormat/>
    <w:uiPriority w:val="0"/>
    <w:rPr>
      <w:rFonts w:ascii="Tahoma" w:hAnsi="Tahoma"/>
      <w:b/>
      <w:bCs/>
      <w:sz w:val="24"/>
      <w:szCs w:val="20"/>
    </w:rPr>
  </w:style>
  <w:style w:type="character" w:customStyle="1" w:styleId="242">
    <w:name w:val="页码1"/>
    <w:basedOn w:val="202"/>
    <w:qFormat/>
    <w:uiPriority w:val="0"/>
  </w:style>
  <w:style w:type="character" w:customStyle="1" w:styleId="243">
    <w:name w:val="已访问的超链接1"/>
    <w:unhideWhenUsed/>
    <w:qFormat/>
    <w:uiPriority w:val="99"/>
    <w:rPr>
      <w:color w:val="954F72"/>
      <w:u w:val="single"/>
    </w:rPr>
  </w:style>
  <w:style w:type="character" w:customStyle="1" w:styleId="244">
    <w:name w:val="强调1"/>
    <w:qFormat/>
    <w:uiPriority w:val="0"/>
  </w:style>
  <w:style w:type="character" w:customStyle="1" w:styleId="245">
    <w:name w:val="HTML 定义1"/>
    <w:qFormat/>
    <w:uiPriority w:val="0"/>
  </w:style>
  <w:style w:type="character" w:customStyle="1" w:styleId="246">
    <w:name w:val="HTML 打字机1"/>
    <w:qFormat/>
    <w:uiPriority w:val="0"/>
    <w:rPr>
      <w:rFonts w:ascii="monospace" w:hAnsi="monospace" w:eastAsia="monospace" w:cs="monospace"/>
      <w:sz w:val="20"/>
    </w:rPr>
  </w:style>
  <w:style w:type="character" w:customStyle="1" w:styleId="247">
    <w:name w:val="HTML 缩写1"/>
    <w:basedOn w:val="202"/>
    <w:qFormat/>
    <w:uiPriority w:val="0"/>
  </w:style>
  <w:style w:type="character" w:customStyle="1" w:styleId="248">
    <w:name w:val="HTML 变量1"/>
    <w:qFormat/>
    <w:uiPriority w:val="0"/>
    <w:rPr>
      <w:rFonts w:ascii="Tahoma" w:hAnsi="Tahoma"/>
      <w:sz w:val="24"/>
      <w:szCs w:val="20"/>
    </w:rPr>
  </w:style>
  <w:style w:type="character" w:customStyle="1" w:styleId="249">
    <w:name w:val="超链接1"/>
    <w:qFormat/>
    <w:uiPriority w:val="99"/>
    <w:rPr>
      <w:rFonts w:ascii="Tahoma" w:hAnsi="Tahoma"/>
      <w:color w:val="0000FF"/>
      <w:sz w:val="24"/>
      <w:szCs w:val="20"/>
      <w:u w:val="single"/>
    </w:rPr>
  </w:style>
  <w:style w:type="character" w:customStyle="1" w:styleId="250">
    <w:name w:val="HTML 代码1"/>
    <w:qFormat/>
    <w:uiPriority w:val="0"/>
    <w:rPr>
      <w:rFonts w:ascii="monospace" w:hAnsi="monospace" w:eastAsia="monospace" w:cs="monospace"/>
      <w:sz w:val="20"/>
    </w:rPr>
  </w:style>
  <w:style w:type="character" w:customStyle="1" w:styleId="251">
    <w:name w:val="批注引用1"/>
    <w:basedOn w:val="202"/>
    <w:semiHidden/>
    <w:qFormat/>
    <w:uiPriority w:val="0"/>
    <w:rPr>
      <w:rFonts w:ascii="Tahoma" w:hAnsi="Tahoma"/>
      <w:sz w:val="21"/>
      <w:szCs w:val="21"/>
    </w:rPr>
  </w:style>
  <w:style w:type="character" w:customStyle="1" w:styleId="252">
    <w:name w:val="HTML 引文1"/>
    <w:qFormat/>
    <w:uiPriority w:val="0"/>
  </w:style>
  <w:style w:type="character" w:customStyle="1" w:styleId="253">
    <w:name w:val="脚注引用1"/>
    <w:basedOn w:val="202"/>
    <w:qFormat/>
    <w:uiPriority w:val="0"/>
    <w:rPr>
      <w:vertAlign w:val="superscript"/>
    </w:rPr>
  </w:style>
  <w:style w:type="character" w:customStyle="1" w:styleId="254">
    <w:name w:val="HTML 键盘1"/>
    <w:qFormat/>
    <w:uiPriority w:val="0"/>
    <w:rPr>
      <w:rFonts w:ascii="monospace" w:hAnsi="monospace" w:eastAsia="monospace" w:cs="monospace"/>
      <w:sz w:val="20"/>
    </w:rPr>
  </w:style>
  <w:style w:type="character" w:customStyle="1" w:styleId="255">
    <w:name w:val="HTML 样本1"/>
    <w:qFormat/>
    <w:uiPriority w:val="0"/>
    <w:rPr>
      <w:rFonts w:ascii="monospace" w:hAnsi="monospace" w:eastAsia="monospace" w:cs="monospace"/>
    </w:rPr>
  </w:style>
  <w:style w:type="character" w:customStyle="1" w:styleId="256">
    <w:name w:val="标题 1 字符"/>
    <w:link w:val="197"/>
    <w:qFormat/>
    <w:uiPriority w:val="0"/>
    <w:rPr>
      <w:rFonts w:ascii="Tahoma" w:hAnsi="Tahoma"/>
      <w:b/>
      <w:bCs/>
      <w:sz w:val="44"/>
      <w:szCs w:val="44"/>
    </w:rPr>
  </w:style>
  <w:style w:type="paragraph" w:customStyle="1" w:styleId="257">
    <w:name w:val="首行缩进"/>
    <w:basedOn w:val="1"/>
    <w:qFormat/>
    <w:uiPriority w:val="0"/>
    <w:pPr>
      <w:ind w:firstLine="480"/>
    </w:pPr>
  </w:style>
  <w:style w:type="paragraph" w:customStyle="1" w:styleId="258">
    <w:name w:val="Default"/>
    <w:qFormat/>
    <w:uiPriority w:val="0"/>
    <w:pPr>
      <w:widowControl w:val="0"/>
    </w:pPr>
    <w:rPr>
      <w:rFonts w:ascii="黑体" w:hAnsi="Times New Roman" w:eastAsia="黑体" w:cs="黑体"/>
      <w:color w:val="000000"/>
      <w:sz w:val="24"/>
      <w:szCs w:val="24"/>
      <w:lang w:val="en-US" w:eastAsia="zh-CN" w:bidi="ar-SA"/>
    </w:rPr>
  </w:style>
  <w:style w:type="character" w:customStyle="1" w:styleId="259">
    <w:name w:val="普通文字 Char Char5"/>
    <w:qFormat/>
    <w:uiPriority w:val="0"/>
    <w:rPr>
      <w:rFonts w:ascii="宋体" w:hAnsi="Courier New" w:eastAsia="宋体"/>
      <w:szCs w:val="21"/>
      <w:lang w:bidi="ar-SA"/>
    </w:rPr>
  </w:style>
  <w:style w:type="character" w:customStyle="1" w:styleId="260">
    <w:name w:val="displayarti"/>
    <w:qFormat/>
    <w:uiPriority w:val="0"/>
    <w:rPr>
      <w:color w:val="FFFFFF"/>
      <w:shd w:val="clear" w:color="auto" w:fill="A00000"/>
    </w:rPr>
  </w:style>
  <w:style w:type="character" w:customStyle="1" w:styleId="261">
    <w:name w:val="纯文本 字符1"/>
    <w:qFormat/>
    <w:uiPriority w:val="0"/>
    <w:rPr>
      <w:rFonts w:ascii="Ђˎ̥" w:hAnsi="Verdana" w:eastAsia="Ђˎ̥" w:cs="Verdana"/>
      <w:szCs w:val="21"/>
    </w:rPr>
  </w:style>
  <w:style w:type="character" w:customStyle="1" w:styleId="262">
    <w:name w:val="页脚 字符"/>
    <w:qFormat/>
    <w:uiPriority w:val="99"/>
  </w:style>
  <w:style w:type="character" w:customStyle="1" w:styleId="263">
    <w:name w:val="未处理的提及1"/>
    <w:unhideWhenUsed/>
    <w:qFormat/>
    <w:uiPriority w:val="99"/>
    <w:rPr>
      <w:rFonts w:ascii="Tahoma" w:hAnsi="Tahoma"/>
      <w:color w:val="808080"/>
      <w:sz w:val="24"/>
      <w:szCs w:val="20"/>
      <w:shd w:val="clear" w:color="auto" w:fill="E6E6E6"/>
    </w:rPr>
  </w:style>
  <w:style w:type="character" w:customStyle="1" w:styleId="264">
    <w:name w:val="列表段落 字符"/>
    <w:link w:val="265"/>
    <w:qFormat/>
    <w:uiPriority w:val="0"/>
    <w:rPr>
      <w:sz w:val="21"/>
      <w:szCs w:val="24"/>
    </w:rPr>
  </w:style>
  <w:style w:type="paragraph" w:customStyle="1" w:styleId="265">
    <w:name w:val="列表段落"/>
    <w:basedOn w:val="1"/>
    <w:link w:val="264"/>
    <w:qFormat/>
    <w:uiPriority w:val="0"/>
    <w:pPr>
      <w:ind w:firstLine="420"/>
    </w:pPr>
  </w:style>
  <w:style w:type="character" w:customStyle="1" w:styleId="266">
    <w:name w:val="纯文本 字符"/>
    <w:qFormat/>
    <w:uiPriority w:val="0"/>
    <w:rPr>
      <w:rFonts w:ascii="宋体" w:hAnsi="Courier New" w:eastAsia="宋体" w:cs="Courier New"/>
      <w:szCs w:val="21"/>
    </w:rPr>
  </w:style>
  <w:style w:type="character" w:customStyle="1" w:styleId="267">
    <w:name w:val="Char Char10"/>
    <w:qFormat/>
    <w:uiPriority w:val="0"/>
    <w:rPr>
      <w:rFonts w:ascii="宋体" w:hAnsi="宋体" w:eastAsia="宋体"/>
      <w:sz w:val="21"/>
      <w:szCs w:val="24"/>
      <w:lang w:val="en-US" w:eastAsia="zh-CN" w:bidi="ar-SA"/>
    </w:rPr>
  </w:style>
  <w:style w:type="character" w:customStyle="1" w:styleId="268">
    <w:name w:val="gjfg"/>
    <w:basedOn w:val="202"/>
    <w:qFormat/>
    <w:uiPriority w:val="0"/>
  </w:style>
  <w:style w:type="character" w:customStyle="1" w:styleId="269">
    <w:name w:val="font121"/>
    <w:qFormat/>
    <w:uiPriority w:val="0"/>
    <w:rPr>
      <w:rFonts w:hint="eastAsia" w:ascii="宋体" w:hAnsi="宋体" w:eastAsia="宋体" w:cs="宋体"/>
      <w:b/>
      <w:color w:val="000000"/>
      <w:sz w:val="22"/>
      <w:szCs w:val="22"/>
      <w:u w:val="none"/>
    </w:rPr>
  </w:style>
  <w:style w:type="character" w:customStyle="1" w:styleId="270">
    <w:name w:val="qxdate"/>
    <w:qFormat/>
    <w:uiPriority w:val="0"/>
    <w:rPr>
      <w:color w:val="333333"/>
      <w:sz w:val="18"/>
      <w:szCs w:val="18"/>
    </w:rPr>
  </w:style>
  <w:style w:type="character" w:customStyle="1" w:styleId="271">
    <w:name w:val="font31"/>
    <w:qFormat/>
    <w:uiPriority w:val="0"/>
    <w:rPr>
      <w:rFonts w:hint="eastAsia" w:ascii="宋体" w:hAnsi="宋体" w:eastAsia="宋体" w:cs="宋体"/>
      <w:color w:val="000000"/>
      <w:sz w:val="24"/>
      <w:szCs w:val="24"/>
      <w:u w:val="none"/>
    </w:rPr>
  </w:style>
  <w:style w:type="character" w:customStyle="1" w:styleId="272">
    <w:name w:val="Char Char1"/>
    <w:qFormat/>
    <w:uiPriority w:val="0"/>
    <w:rPr>
      <w:rFonts w:eastAsia="宋体"/>
      <w:sz w:val="21"/>
      <w:szCs w:val="24"/>
      <w:lang w:val="en-US" w:eastAsia="zh-CN" w:bidi="ar-SA"/>
    </w:rPr>
  </w:style>
  <w:style w:type="character" w:customStyle="1" w:styleId="273">
    <w:name w:val="font41"/>
    <w:qFormat/>
    <w:uiPriority w:val="0"/>
    <w:rPr>
      <w:rFonts w:hint="eastAsia" w:ascii="宋体" w:hAnsi="宋体" w:eastAsia="宋体" w:cs="宋体"/>
      <w:color w:val="000000"/>
      <w:sz w:val="22"/>
      <w:szCs w:val="22"/>
      <w:u w:val="none"/>
    </w:rPr>
  </w:style>
  <w:style w:type="character" w:customStyle="1" w:styleId="274">
    <w:name w:val="纯文本 Char"/>
    <w:link w:val="20"/>
    <w:qFormat/>
    <w:uiPriority w:val="0"/>
    <w:rPr>
      <w:rFonts w:ascii="宋体" w:hAnsi="Courier New" w:eastAsia="宋体"/>
    </w:rPr>
  </w:style>
  <w:style w:type="character" w:customStyle="1" w:styleId="275">
    <w:name w:val="标题 Char"/>
    <w:qFormat/>
    <w:uiPriority w:val="10"/>
    <w:rPr>
      <w:rFonts w:ascii="Calibri Light" w:hAnsi="Calibri Light" w:cs="Times New Roman"/>
      <w:b/>
      <w:bCs/>
      <w:sz w:val="32"/>
      <w:szCs w:val="32"/>
    </w:rPr>
  </w:style>
  <w:style w:type="character" w:customStyle="1" w:styleId="276">
    <w:name w:val="cfdate"/>
    <w:qFormat/>
    <w:uiPriority w:val="0"/>
    <w:rPr>
      <w:color w:val="333333"/>
      <w:sz w:val="18"/>
      <w:szCs w:val="18"/>
    </w:rPr>
  </w:style>
  <w:style w:type="character" w:customStyle="1" w:styleId="277">
    <w:name w:val="正文缩进 Char1"/>
    <w:qFormat/>
    <w:uiPriority w:val="0"/>
    <w:rPr>
      <w:rFonts w:eastAsia="宋体"/>
      <w:sz w:val="21"/>
      <w:lang w:val="en-US" w:eastAsia="zh-CN" w:bidi="ar-SA"/>
    </w:rPr>
  </w:style>
  <w:style w:type="character" w:customStyle="1" w:styleId="278">
    <w:name w:val="无"/>
    <w:qFormat/>
    <w:uiPriority w:val="0"/>
  </w:style>
  <w:style w:type="character" w:customStyle="1" w:styleId="279">
    <w:name w:val="font01"/>
    <w:qFormat/>
    <w:uiPriority w:val="0"/>
    <w:rPr>
      <w:rFonts w:hint="eastAsia" w:ascii="宋体" w:hAnsi="宋体" w:eastAsia="宋体" w:cs="宋体"/>
      <w:color w:val="000000"/>
      <w:sz w:val="22"/>
      <w:szCs w:val="22"/>
      <w:u w:val="none"/>
    </w:rPr>
  </w:style>
  <w:style w:type="character" w:customStyle="1" w:styleId="280">
    <w:name w:val="main12"/>
    <w:qFormat/>
    <w:uiPriority w:val="0"/>
    <w:rPr>
      <w:rFonts w:ascii="Arial" w:hAnsi="Arial" w:cs="Arial"/>
      <w:color w:val="000000"/>
      <w:sz w:val="18"/>
      <w:szCs w:val="18"/>
    </w:rPr>
  </w:style>
  <w:style w:type="character" w:customStyle="1" w:styleId="281">
    <w:name w:val="font61"/>
    <w:qFormat/>
    <w:uiPriority w:val="0"/>
    <w:rPr>
      <w:rFonts w:hint="eastAsia" w:ascii="宋体" w:hAnsi="宋体" w:eastAsia="宋体" w:cs="宋体"/>
      <w:color w:val="000000"/>
      <w:sz w:val="21"/>
      <w:szCs w:val="21"/>
      <w:u w:val="none"/>
    </w:rPr>
  </w:style>
  <w:style w:type="character" w:customStyle="1" w:styleId="282">
    <w:name w:val="redfilenumber"/>
    <w:qFormat/>
    <w:uiPriority w:val="0"/>
    <w:rPr>
      <w:color w:val="BA2636"/>
      <w:sz w:val="18"/>
      <w:szCs w:val="18"/>
    </w:rPr>
  </w:style>
  <w:style w:type="character" w:customStyle="1" w:styleId="283">
    <w:name w:val="纯文本 字符2"/>
    <w:qFormat/>
    <w:uiPriority w:val="0"/>
    <w:rPr>
      <w:rFonts w:ascii="宋体" w:hAnsi="Courier New" w:eastAsia="宋体"/>
      <w:sz w:val="21"/>
      <w:lang w:val="en-US" w:eastAsia="zh-CN" w:bidi="ar-SA"/>
    </w:rPr>
  </w:style>
  <w:style w:type="character" w:customStyle="1" w:styleId="284">
    <w:name w:val="font71"/>
    <w:qFormat/>
    <w:uiPriority w:val="0"/>
    <w:rPr>
      <w:rFonts w:ascii="Times New Roman" w:hAnsi="Times New Roman" w:cs="Times New Roman"/>
      <w:color w:val="000000"/>
      <w:sz w:val="24"/>
      <w:szCs w:val="24"/>
      <w:u w:val="none"/>
    </w:rPr>
  </w:style>
  <w:style w:type="character" w:customStyle="1" w:styleId="285">
    <w:name w:val="font21"/>
    <w:qFormat/>
    <w:uiPriority w:val="0"/>
    <w:rPr>
      <w:rFonts w:hint="eastAsia" w:ascii="宋体" w:hAnsi="宋体" w:eastAsia="宋体" w:cs="宋体"/>
      <w:color w:val="000000"/>
      <w:sz w:val="22"/>
      <w:szCs w:val="22"/>
      <w:u w:val="none"/>
    </w:rPr>
  </w:style>
  <w:style w:type="character" w:customStyle="1" w:styleId="286">
    <w:name w:val="font122"/>
    <w:qFormat/>
    <w:uiPriority w:val="0"/>
    <w:rPr>
      <w:rFonts w:hint="eastAsia" w:ascii="宋体" w:hAnsi="宋体" w:eastAsia="宋体" w:cs="宋体"/>
      <w:color w:val="FF0000"/>
      <w:sz w:val="20"/>
      <w:szCs w:val="20"/>
      <w:u w:val="none"/>
    </w:rPr>
  </w:style>
  <w:style w:type="character" w:customStyle="1" w:styleId="287">
    <w:name w:val="正文文本缩进 Char"/>
    <w:qFormat/>
    <w:uiPriority w:val="0"/>
    <w:rPr>
      <w:rFonts w:ascii="Times New Roman" w:hAnsi="Times New Roman" w:eastAsia="宋体" w:cs="Times New Roman"/>
      <w:sz w:val="21"/>
      <w:szCs w:val="24"/>
    </w:rPr>
  </w:style>
  <w:style w:type="character" w:customStyle="1" w:styleId="288">
    <w:name w:val="列出段落 Char"/>
    <w:qFormat/>
    <w:uiPriority w:val="34"/>
    <w:rPr>
      <w:rFonts w:ascii="Times New Roman" w:hAnsi="Times New Roman" w:eastAsia="宋体" w:cs="Times New Roman"/>
      <w:sz w:val="24"/>
      <w:szCs w:val="20"/>
    </w:rPr>
  </w:style>
  <w:style w:type="character" w:customStyle="1" w:styleId="289">
    <w:name w:val="redfilefwwh"/>
    <w:qFormat/>
    <w:uiPriority w:val="0"/>
    <w:rPr>
      <w:color w:val="BA2636"/>
      <w:sz w:val="18"/>
      <w:szCs w:val="18"/>
    </w:rPr>
  </w:style>
  <w:style w:type="character" w:customStyle="1" w:styleId="290">
    <w:name w:val="font131"/>
    <w:qFormat/>
    <w:uiPriority w:val="0"/>
    <w:rPr>
      <w:rFonts w:hint="eastAsia" w:ascii="宋体" w:hAnsi="宋体" w:eastAsia="宋体" w:cs="宋体"/>
      <w:b/>
      <w:bCs/>
      <w:color w:val="FF0000"/>
      <w:sz w:val="18"/>
      <w:szCs w:val="18"/>
      <w:u w:val="none"/>
    </w:rPr>
  </w:style>
  <w:style w:type="character" w:customStyle="1" w:styleId="291">
    <w:name w:val="fontstyle01"/>
    <w:qFormat/>
    <w:uiPriority w:val="0"/>
    <w:rPr>
      <w:rFonts w:hint="eastAsia" w:ascii="宋体" w:hAnsi="宋体" w:eastAsia="宋体"/>
      <w:color w:val="000000"/>
      <w:sz w:val="22"/>
      <w:szCs w:val="22"/>
    </w:rPr>
  </w:style>
  <w:style w:type="character" w:customStyle="1" w:styleId="292">
    <w:name w:val="apple-converted-space"/>
    <w:basedOn w:val="202"/>
    <w:qFormat/>
    <w:uiPriority w:val="0"/>
  </w:style>
  <w:style w:type="paragraph" w:customStyle="1" w:styleId="293">
    <w:name w:val="1"/>
    <w:basedOn w:val="1"/>
    <w:next w:val="220"/>
    <w:qFormat/>
    <w:uiPriority w:val="0"/>
    <w:rPr>
      <w:rFonts w:ascii="宋体" w:hAnsi="Courier New"/>
      <w:szCs w:val="20"/>
    </w:rPr>
  </w:style>
  <w:style w:type="paragraph" w:customStyle="1" w:styleId="294">
    <w:name w:val="正文_0_0"/>
    <w:qFormat/>
    <w:uiPriority w:val="0"/>
    <w:pPr>
      <w:widowControl w:val="0"/>
      <w:spacing w:line="360" w:lineRule="auto"/>
      <w:ind w:firstLine="480"/>
      <w:jc w:val="both"/>
    </w:pPr>
    <w:rPr>
      <w:rFonts w:ascii="宋体" w:hAnsi="宋体" w:eastAsia="宋体" w:cs="Times New Roman"/>
      <w:color w:val="000000"/>
      <w:sz w:val="24"/>
      <w:szCs w:val="24"/>
      <w:lang w:val="en-US" w:eastAsia="zh-CN" w:bidi="ar-SA"/>
    </w:rPr>
  </w:style>
  <w:style w:type="paragraph" w:customStyle="1" w:styleId="295">
    <w:name w:val="Body text|1"/>
    <w:basedOn w:val="1"/>
    <w:qFormat/>
    <w:uiPriority w:val="0"/>
    <w:pPr>
      <w:spacing w:line="350" w:lineRule="auto"/>
      <w:ind w:firstLine="400"/>
      <w:jc w:val="left"/>
    </w:pPr>
    <w:rPr>
      <w:rFonts w:ascii="宋体" w:hAnsi="宋体" w:cs="宋体"/>
      <w:sz w:val="30"/>
      <w:szCs w:val="30"/>
    </w:rPr>
  </w:style>
  <w:style w:type="paragraph" w:customStyle="1" w:styleId="296">
    <w:name w:val="xl77"/>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sz w:val="20"/>
      <w:szCs w:val="20"/>
    </w:rPr>
  </w:style>
  <w:style w:type="paragraph" w:customStyle="1" w:styleId="297">
    <w:name w:val="xl85"/>
    <w:basedOn w:val="1"/>
    <w:qFormat/>
    <w:uiPriority w:val="0"/>
    <w:pPr>
      <w:widowControl/>
      <w:pBdr>
        <w:top w:val="single" w:color="000000" w:sz="4" w:space="0"/>
        <w:bottom w:val="single" w:color="000000" w:sz="4" w:space="0"/>
      </w:pBdr>
      <w:shd w:val="clear" w:color="000000" w:fill="FFFFFF"/>
      <w:spacing w:before="100" w:beforeAutospacing="1" w:after="100" w:afterAutospacing="1"/>
      <w:jc w:val="left"/>
    </w:pPr>
    <w:rPr>
      <w:rFonts w:ascii="宋体" w:hAnsi="宋体" w:cs="宋体"/>
      <w:b/>
      <w:bCs/>
      <w:color w:val="000000"/>
      <w:sz w:val="20"/>
      <w:szCs w:val="20"/>
    </w:rPr>
  </w:style>
  <w:style w:type="paragraph" w:customStyle="1" w:styleId="298">
    <w:name w:val="p0"/>
    <w:basedOn w:val="1"/>
    <w:qFormat/>
    <w:uiPriority w:val="0"/>
    <w:pPr>
      <w:widowControl/>
    </w:pPr>
    <w:rPr>
      <w:szCs w:val="20"/>
    </w:rPr>
  </w:style>
  <w:style w:type="paragraph" w:customStyle="1" w:styleId="299">
    <w:name w:val="修订1"/>
    <w:unhideWhenUsed/>
    <w:qFormat/>
    <w:uiPriority w:val="99"/>
    <w:rPr>
      <w:rFonts w:ascii="Times New Roman" w:hAnsi="Times New Roman" w:eastAsia="宋体" w:cs="Times New Roman"/>
      <w:sz w:val="21"/>
      <w:szCs w:val="24"/>
      <w:lang w:val="en-US" w:eastAsia="zh-CN" w:bidi="ar-SA"/>
    </w:rPr>
  </w:style>
  <w:style w:type="paragraph" w:customStyle="1" w:styleId="300">
    <w:name w:val="Char Char8"/>
    <w:basedOn w:val="1"/>
    <w:qFormat/>
    <w:uiPriority w:val="0"/>
    <w:rPr>
      <w:rFonts w:ascii="Tahoma" w:hAnsi="Tahoma" w:eastAsia="Times New Roman"/>
      <w:sz w:val="24"/>
      <w:szCs w:val="20"/>
    </w:rPr>
  </w:style>
  <w:style w:type="paragraph" w:customStyle="1" w:styleId="301">
    <w:name w:val="xl80"/>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sz w:val="20"/>
      <w:szCs w:val="20"/>
    </w:rPr>
  </w:style>
  <w:style w:type="paragraph" w:customStyle="1" w:styleId="302">
    <w:name w:val="Table Paragraph"/>
    <w:basedOn w:val="1"/>
    <w:qFormat/>
    <w:uiPriority w:val="1"/>
  </w:style>
  <w:style w:type="paragraph" w:customStyle="1" w:styleId="303">
    <w:name w:val="xl86"/>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b/>
      <w:bCs/>
      <w:color w:val="000000"/>
      <w:sz w:val="20"/>
      <w:szCs w:val="20"/>
    </w:rPr>
  </w:style>
  <w:style w:type="paragraph" w:customStyle="1" w:styleId="304">
    <w:name w:val="xl75"/>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sz w:val="20"/>
      <w:szCs w:val="20"/>
    </w:rPr>
  </w:style>
  <w:style w:type="paragraph" w:customStyle="1" w:styleId="305">
    <w:name w:val="正文格式"/>
    <w:basedOn w:val="1"/>
    <w:qFormat/>
    <w:uiPriority w:val="0"/>
    <w:pPr>
      <w:widowControl/>
      <w:spacing w:line="400" w:lineRule="atLeast"/>
      <w:ind w:firstLine="482"/>
    </w:pPr>
    <w:rPr>
      <w:sz w:val="24"/>
    </w:rPr>
  </w:style>
  <w:style w:type="paragraph" w:customStyle="1" w:styleId="306">
    <w:name w:val="xl67"/>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color w:val="000000"/>
      <w:sz w:val="20"/>
      <w:szCs w:val="20"/>
    </w:rPr>
  </w:style>
  <w:style w:type="paragraph" w:customStyle="1" w:styleId="307">
    <w:name w:val="_Style 36"/>
    <w:basedOn w:val="1"/>
    <w:qFormat/>
    <w:uiPriority w:val="0"/>
    <w:rPr>
      <w:rFonts w:ascii="Tahoma" w:hAnsi="Tahoma"/>
      <w:sz w:val="24"/>
      <w:szCs w:val="20"/>
    </w:rPr>
  </w:style>
  <w:style w:type="paragraph" w:customStyle="1" w:styleId="308">
    <w:name w:val="xl87"/>
    <w:basedOn w:val="1"/>
    <w:qFormat/>
    <w:uiPriority w:val="0"/>
    <w:pPr>
      <w:widowControl/>
      <w:pBdr>
        <w:top w:val="single" w:color="000000" w:sz="4" w:space="0"/>
        <w:left w:val="single" w:color="000000" w:sz="4" w:space="0"/>
        <w:bottom w:val="single" w:color="000000" w:sz="4" w:space="0"/>
      </w:pBdr>
      <w:shd w:val="clear" w:color="000000" w:fill="FFFFFF"/>
      <w:spacing w:before="100" w:beforeAutospacing="1" w:after="100" w:afterAutospacing="1"/>
      <w:jc w:val="left"/>
    </w:pPr>
    <w:rPr>
      <w:rFonts w:ascii="宋体" w:hAnsi="宋体" w:cs="宋体"/>
      <w:color w:val="000000"/>
      <w:sz w:val="20"/>
      <w:szCs w:val="20"/>
    </w:rPr>
  </w:style>
  <w:style w:type="paragraph" w:customStyle="1" w:styleId="309">
    <w:name w:val="xl78"/>
    <w:basedOn w:val="1"/>
    <w:qFormat/>
    <w:uiPriority w:val="0"/>
    <w:pPr>
      <w:widowControl/>
      <w:pBdr>
        <w:top w:val="single" w:color="000000" w:sz="4" w:space="0"/>
        <w:left w:val="single" w:color="000000" w:sz="4" w:space="0"/>
        <w:bottom w:val="single" w:color="000000" w:sz="4" w:space="0"/>
      </w:pBdr>
      <w:shd w:val="clear" w:color="000000" w:fill="FFFFFF"/>
      <w:spacing w:before="100" w:beforeAutospacing="1" w:after="100" w:afterAutospacing="1"/>
      <w:jc w:val="center"/>
    </w:pPr>
    <w:rPr>
      <w:rFonts w:ascii="宋体" w:hAnsi="宋体" w:cs="宋体"/>
      <w:color w:val="000000"/>
      <w:sz w:val="20"/>
      <w:szCs w:val="20"/>
    </w:rPr>
  </w:style>
  <w:style w:type="paragraph" w:customStyle="1" w:styleId="310">
    <w:name w:val="xl72"/>
    <w:basedOn w:val="1"/>
    <w:qFormat/>
    <w:uiPriority w:val="0"/>
    <w:pPr>
      <w:widowControl/>
      <w:shd w:val="clear" w:color="000000" w:fill="FFFFFF"/>
      <w:spacing w:before="100" w:beforeAutospacing="1" w:after="100" w:afterAutospacing="1"/>
      <w:jc w:val="left"/>
    </w:pPr>
    <w:rPr>
      <w:rFonts w:ascii="宋体" w:hAnsi="宋体" w:cs="宋体"/>
      <w:sz w:val="24"/>
    </w:rPr>
  </w:style>
  <w:style w:type="paragraph" w:customStyle="1" w:styleId="311">
    <w:name w:val="xl73"/>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b/>
      <w:bCs/>
      <w:color w:val="000000"/>
      <w:sz w:val="20"/>
      <w:szCs w:val="20"/>
    </w:rPr>
  </w:style>
  <w:style w:type="paragraph" w:customStyle="1" w:styleId="312">
    <w:name w:val="xl81"/>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sz w:val="20"/>
      <w:szCs w:val="20"/>
    </w:rPr>
  </w:style>
  <w:style w:type="paragraph" w:customStyle="1" w:styleId="313">
    <w:name w:val="CM14"/>
    <w:basedOn w:val="258"/>
    <w:next w:val="258"/>
    <w:qFormat/>
    <w:uiPriority w:val="0"/>
    <w:pPr>
      <w:spacing w:line="468" w:lineRule="atLeast"/>
    </w:pPr>
    <w:rPr>
      <w:rFonts w:ascii="Sim Sun" w:eastAsia="Sim Sun" w:cs="Times New Roman"/>
    </w:rPr>
  </w:style>
  <w:style w:type="paragraph" w:customStyle="1" w:styleId="314">
    <w:name w:val="p17"/>
    <w:basedOn w:val="1"/>
    <w:qFormat/>
    <w:uiPriority w:val="0"/>
    <w:pPr>
      <w:widowControl/>
    </w:pPr>
    <w:rPr>
      <w:rFonts w:ascii="宋体" w:hAnsi="宋体" w:cs="宋体"/>
      <w:szCs w:val="21"/>
    </w:rPr>
  </w:style>
  <w:style w:type="paragraph" w:customStyle="1" w:styleId="315">
    <w:name w:val="xl89"/>
    <w:basedOn w:val="1"/>
    <w:qFormat/>
    <w:uiPriority w:val="0"/>
    <w:pPr>
      <w:widowControl/>
      <w:pBdr>
        <w:top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color w:val="000000"/>
      <w:sz w:val="20"/>
      <w:szCs w:val="20"/>
    </w:rPr>
  </w:style>
  <w:style w:type="paragraph" w:customStyle="1" w:styleId="316">
    <w:name w:val="xl68"/>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color w:val="000000"/>
      <w:sz w:val="20"/>
      <w:szCs w:val="20"/>
    </w:rPr>
  </w:style>
  <w:style w:type="paragraph" w:customStyle="1" w:styleId="317">
    <w:name w:val="样式1"/>
    <w:basedOn w:val="1"/>
    <w:qFormat/>
    <w:uiPriority w:val="0"/>
    <w:pPr>
      <w:widowControl/>
      <w:jc w:val="left"/>
    </w:pPr>
    <w:rPr>
      <w:rFonts w:ascii="宋体" w:hAnsi="宋体"/>
      <w:szCs w:val="21"/>
    </w:rPr>
  </w:style>
  <w:style w:type="paragraph" w:customStyle="1" w:styleId="318">
    <w:name w:val="font6"/>
    <w:basedOn w:val="1"/>
    <w:qFormat/>
    <w:uiPriority w:val="0"/>
    <w:pPr>
      <w:widowControl/>
      <w:spacing w:before="100" w:beforeAutospacing="1" w:after="100" w:afterAutospacing="1"/>
      <w:jc w:val="left"/>
    </w:pPr>
    <w:rPr>
      <w:rFonts w:ascii="等线" w:hAnsi="等线" w:eastAsia="等线" w:cs="宋体"/>
      <w:sz w:val="18"/>
      <w:szCs w:val="18"/>
    </w:rPr>
  </w:style>
  <w:style w:type="paragraph" w:customStyle="1" w:styleId="319">
    <w:name w:val="xl70"/>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color w:val="000000"/>
      <w:sz w:val="20"/>
      <w:szCs w:val="20"/>
    </w:rPr>
  </w:style>
  <w:style w:type="paragraph" w:customStyle="1" w:styleId="320">
    <w:name w:val="Heading21"/>
    <w:basedOn w:val="1"/>
    <w:next w:val="1"/>
    <w:qFormat/>
    <w:uiPriority w:val="0"/>
    <w:pPr>
      <w:keepNext/>
      <w:keepLines/>
      <w:spacing w:before="260" w:after="260" w:line="416" w:lineRule="auto"/>
    </w:pPr>
    <w:rPr>
      <w:rFonts w:ascii="Arial" w:hAnsi="Arial" w:eastAsia="黑体"/>
      <w:b/>
      <w:bCs/>
      <w:sz w:val="32"/>
      <w:szCs w:val="32"/>
    </w:rPr>
  </w:style>
  <w:style w:type="paragraph" w:customStyle="1" w:styleId="321">
    <w:name w:val="Body text|3"/>
    <w:basedOn w:val="1"/>
    <w:qFormat/>
    <w:uiPriority w:val="0"/>
    <w:pPr>
      <w:spacing w:after="460"/>
      <w:jc w:val="center"/>
    </w:pPr>
    <w:rPr>
      <w:rFonts w:ascii="宋体" w:hAnsi="宋体" w:cs="宋体"/>
      <w:sz w:val="34"/>
      <w:szCs w:val="34"/>
    </w:rPr>
  </w:style>
  <w:style w:type="paragraph" w:customStyle="1" w:styleId="322">
    <w:name w:val="xl76"/>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sz w:val="20"/>
      <w:szCs w:val="20"/>
    </w:rPr>
  </w:style>
  <w:style w:type="paragraph" w:customStyle="1" w:styleId="323">
    <w:name w:val="xl71"/>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color w:val="000000"/>
      <w:sz w:val="20"/>
      <w:szCs w:val="20"/>
    </w:rPr>
  </w:style>
  <w:style w:type="paragraph" w:customStyle="1" w:styleId="324">
    <w:name w:val="正文_0"/>
    <w:qFormat/>
    <w:uiPriority w:val="0"/>
    <w:pPr>
      <w:widowControl w:val="0"/>
      <w:tabs>
        <w:tab w:val="left" w:pos="480"/>
      </w:tabs>
      <w:spacing w:line="360" w:lineRule="auto"/>
      <w:jc w:val="both"/>
    </w:pPr>
    <w:rPr>
      <w:rFonts w:ascii="Times New Roman" w:hAnsi="Times New Roman" w:eastAsia="宋体" w:cs="Times New Roman"/>
      <w:sz w:val="24"/>
      <w:szCs w:val="22"/>
      <w:lang w:val="en-US" w:eastAsia="zh-CN" w:bidi="ar-SA"/>
    </w:rPr>
  </w:style>
  <w:style w:type="paragraph" w:customStyle="1" w:styleId="325">
    <w:name w:val="Char Char2 Char Char"/>
    <w:basedOn w:val="1"/>
    <w:qFormat/>
    <w:uiPriority w:val="0"/>
    <w:rPr>
      <w:rFonts w:ascii="Tahoma" w:hAnsi="Tahoma"/>
      <w:sz w:val="24"/>
      <w:szCs w:val="20"/>
    </w:rPr>
  </w:style>
  <w:style w:type="paragraph" w:customStyle="1" w:styleId="326">
    <w:name w:val="xl83"/>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sz w:val="24"/>
    </w:rPr>
  </w:style>
  <w:style w:type="paragraph" w:customStyle="1" w:styleId="327">
    <w:name w:val="正文_1"/>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328">
    <w:name w:val="xl79"/>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sz w:val="20"/>
      <w:szCs w:val="20"/>
    </w:rPr>
  </w:style>
  <w:style w:type="paragraph" w:customStyle="1" w:styleId="329">
    <w:name w:val="xl82"/>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color w:val="000000"/>
      <w:sz w:val="20"/>
      <w:szCs w:val="20"/>
    </w:rPr>
  </w:style>
  <w:style w:type="paragraph" w:customStyle="1" w:styleId="330">
    <w:name w:val="列表段落1"/>
    <w:basedOn w:val="1"/>
    <w:qFormat/>
    <w:uiPriority w:val="0"/>
    <w:pPr>
      <w:ind w:firstLine="420"/>
    </w:pPr>
  </w:style>
  <w:style w:type="paragraph" w:customStyle="1" w:styleId="331">
    <w:name w:val="font5"/>
    <w:basedOn w:val="1"/>
    <w:qFormat/>
    <w:uiPriority w:val="0"/>
    <w:pPr>
      <w:widowControl/>
      <w:spacing w:before="100" w:beforeAutospacing="1" w:after="100" w:afterAutospacing="1"/>
      <w:jc w:val="left"/>
    </w:pPr>
    <w:rPr>
      <w:rFonts w:ascii="等线" w:hAnsi="等线" w:eastAsia="等线" w:cs="宋体"/>
      <w:sz w:val="18"/>
      <w:szCs w:val="18"/>
    </w:rPr>
  </w:style>
  <w:style w:type="paragraph" w:customStyle="1" w:styleId="332">
    <w:name w:val="段"/>
    <w:next w:val="1"/>
    <w:qFormat/>
    <w:uiPriority w:val="99"/>
    <w:pPr>
      <w:ind w:firstLine="200"/>
      <w:jc w:val="both"/>
    </w:pPr>
    <w:rPr>
      <w:rFonts w:ascii="宋体" w:hAnsi="宋体" w:eastAsia="宋体" w:cs="Times New Roman"/>
      <w:sz w:val="21"/>
      <w:szCs w:val="21"/>
      <w:lang w:val="en-US" w:eastAsia="zh-CN" w:bidi="ar-SA"/>
    </w:rPr>
  </w:style>
  <w:style w:type="paragraph" w:customStyle="1" w:styleId="333">
    <w:name w:val="TOC 标题11"/>
    <w:basedOn w:val="197"/>
    <w:next w:val="1"/>
    <w:qFormat/>
    <w:uiPriority w:val="39"/>
    <w:pPr>
      <w:widowControl/>
      <w:spacing w:before="240" w:after="0" w:line="259" w:lineRule="auto"/>
      <w:jc w:val="left"/>
      <w:outlineLvl w:val="9"/>
    </w:pPr>
    <w:rPr>
      <w:rFonts w:ascii="等线 Light" w:hAnsi="等线 Light" w:eastAsia="等线 Light"/>
      <w:b w:val="0"/>
      <w:bCs w:val="0"/>
      <w:color w:val="2F5496"/>
      <w:sz w:val="32"/>
      <w:szCs w:val="32"/>
    </w:rPr>
  </w:style>
  <w:style w:type="paragraph" w:customStyle="1" w:styleId="334">
    <w:name w:val="xl69"/>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color w:val="000000"/>
      <w:sz w:val="20"/>
      <w:szCs w:val="20"/>
    </w:rPr>
  </w:style>
  <w:style w:type="paragraph" w:customStyle="1" w:styleId="335">
    <w:name w:val="msonormal"/>
    <w:basedOn w:val="1"/>
    <w:qFormat/>
    <w:uiPriority w:val="0"/>
    <w:pPr>
      <w:widowControl/>
      <w:spacing w:before="100" w:beforeAutospacing="1" w:after="100" w:afterAutospacing="1"/>
      <w:jc w:val="left"/>
    </w:pPr>
    <w:rPr>
      <w:rFonts w:ascii="宋体" w:hAnsi="宋体" w:cs="宋体"/>
      <w:sz w:val="24"/>
    </w:rPr>
  </w:style>
  <w:style w:type="paragraph" w:customStyle="1" w:styleId="336">
    <w:name w:val="xl84"/>
    <w:basedOn w:val="1"/>
    <w:qFormat/>
    <w:uiPriority w:val="0"/>
    <w:pPr>
      <w:widowControl/>
      <w:pBdr>
        <w:top w:val="single" w:color="000000" w:sz="4" w:space="0"/>
        <w:left w:val="single" w:color="000000" w:sz="4" w:space="0"/>
        <w:bottom w:val="single" w:color="000000" w:sz="4" w:space="0"/>
      </w:pBdr>
      <w:shd w:val="clear" w:color="000000" w:fill="FFFFFF"/>
      <w:spacing w:before="100" w:beforeAutospacing="1" w:after="100" w:afterAutospacing="1"/>
      <w:jc w:val="left"/>
    </w:pPr>
    <w:rPr>
      <w:rFonts w:ascii="宋体" w:hAnsi="宋体" w:cs="宋体"/>
      <w:b/>
      <w:bCs/>
      <w:color w:val="000000"/>
      <w:sz w:val="20"/>
      <w:szCs w:val="20"/>
    </w:rPr>
  </w:style>
  <w:style w:type="paragraph" w:customStyle="1" w:styleId="337">
    <w:name w:val="正文 New New New New"/>
    <w:qFormat/>
    <w:uiPriority w:val="0"/>
    <w:pPr>
      <w:widowControl w:val="0"/>
      <w:jc w:val="both"/>
    </w:pPr>
    <w:rPr>
      <w:rFonts w:ascii="Times New Roman" w:hAnsi="Times New Roman" w:eastAsia="宋体" w:cs="Times New Roman"/>
      <w:sz w:val="21"/>
      <w:szCs w:val="24"/>
      <w:lang w:val="en-US" w:eastAsia="zh-CN" w:bidi="ar-SA"/>
    </w:rPr>
  </w:style>
  <w:style w:type="paragraph" w:customStyle="1" w:styleId="338">
    <w:name w:val="列出段落1"/>
    <w:basedOn w:val="1"/>
    <w:qFormat/>
    <w:uiPriority w:val="0"/>
    <w:pPr>
      <w:ind w:firstLine="420"/>
    </w:pPr>
    <w:rPr>
      <w:rFonts w:ascii="仿宋_GB2312" w:eastAsia="仿宋_GB2312"/>
      <w:sz w:val="32"/>
    </w:rPr>
  </w:style>
  <w:style w:type="paragraph" w:customStyle="1" w:styleId="339">
    <w:name w:val="普通(网站)1"/>
    <w:basedOn w:val="1"/>
    <w:qFormat/>
    <w:uiPriority w:val="0"/>
    <w:pPr>
      <w:jc w:val="left"/>
    </w:pPr>
    <w:rPr>
      <w:sz w:val="24"/>
    </w:rPr>
  </w:style>
  <w:style w:type="paragraph" w:styleId="340">
    <w:name w:val="List Paragraph"/>
    <w:basedOn w:val="1"/>
    <w:qFormat/>
    <w:uiPriority w:val="99"/>
    <w:pPr>
      <w:ind w:firstLine="420"/>
    </w:pPr>
  </w:style>
  <w:style w:type="paragraph" w:customStyle="1" w:styleId="341">
    <w:name w:val="_Style 1"/>
    <w:qFormat/>
    <w:uiPriority w:val="1"/>
    <w:pPr>
      <w:widowControl w:val="0"/>
      <w:jc w:val="both"/>
    </w:pPr>
    <w:rPr>
      <w:rFonts w:ascii="Times New Roman" w:hAnsi="Times New Roman" w:eastAsia="宋体" w:cs="Times New Roman"/>
      <w:sz w:val="21"/>
      <w:szCs w:val="24"/>
      <w:lang w:val="en-US" w:eastAsia="zh-CN" w:bidi="ar-SA"/>
    </w:rPr>
  </w:style>
  <w:style w:type="paragraph" w:customStyle="1" w:styleId="342">
    <w:name w:val="xl88"/>
    <w:basedOn w:val="1"/>
    <w:qFormat/>
    <w:uiPriority w:val="0"/>
    <w:pPr>
      <w:widowControl/>
      <w:pBdr>
        <w:top w:val="single" w:color="000000" w:sz="4" w:space="0"/>
        <w:bottom w:val="single" w:color="000000" w:sz="4" w:space="0"/>
      </w:pBdr>
      <w:shd w:val="clear" w:color="000000" w:fill="FFFFFF"/>
      <w:spacing w:before="100" w:beforeAutospacing="1" w:after="100" w:afterAutospacing="1"/>
      <w:jc w:val="left"/>
    </w:pPr>
    <w:rPr>
      <w:rFonts w:ascii="宋体" w:hAnsi="宋体" w:cs="宋体"/>
      <w:color w:val="000000"/>
      <w:sz w:val="20"/>
      <w:szCs w:val="20"/>
    </w:rPr>
  </w:style>
  <w:style w:type="paragraph" w:customStyle="1" w:styleId="343">
    <w:name w:val="xl74"/>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color w:val="000000"/>
      <w:sz w:val="20"/>
      <w:szCs w:val="20"/>
    </w:rPr>
  </w:style>
  <w:style w:type="paragraph" w:customStyle="1" w:styleId="344">
    <w:name w:val="CM15"/>
    <w:basedOn w:val="258"/>
    <w:next w:val="258"/>
    <w:qFormat/>
    <w:uiPriority w:val="0"/>
    <w:pPr>
      <w:spacing w:line="468" w:lineRule="atLeast"/>
    </w:pPr>
    <w:rPr>
      <w:rFonts w:ascii="Sim Sun" w:eastAsia="Sim Sun" w:cs="Times New Roman"/>
    </w:rPr>
  </w:style>
  <w:style w:type="paragraph" w:customStyle="1" w:styleId="345">
    <w:name w:val="p15"/>
    <w:basedOn w:val="1"/>
    <w:qFormat/>
    <w:uiPriority w:val="0"/>
    <w:pPr>
      <w:widowControl/>
    </w:pPr>
    <w:rPr>
      <w:rFonts w:ascii="宋体" w:hAnsi="宋体" w:cs="宋体"/>
      <w:szCs w:val="21"/>
    </w:rPr>
  </w:style>
  <w:style w:type="character" w:customStyle="1" w:styleId="346">
    <w:name w:val="NormalCharacter1"/>
    <w:semiHidden/>
    <w:qFormat/>
    <w:uiPriority w:val="0"/>
  </w:style>
  <w:style w:type="paragraph" w:customStyle="1" w:styleId="347">
    <w:name w:val="PlainText1"/>
    <w:basedOn w:val="1"/>
    <w:qFormat/>
    <w:uiPriority w:val="0"/>
    <w:pPr>
      <w:widowControl/>
    </w:pPr>
    <w:rPr>
      <w:rFonts w:ascii="宋体" w:hAnsi="Courier New" w:eastAsia="Times New Roman"/>
      <w:b/>
      <w:szCs w:val="20"/>
    </w:rPr>
  </w:style>
  <w:style w:type="paragraph" w:customStyle="1" w:styleId="348">
    <w:name w:val="表格文字"/>
    <w:basedOn w:val="1"/>
    <w:qFormat/>
    <w:uiPriority w:val="0"/>
    <w:pPr>
      <w:jc w:val="left"/>
    </w:pPr>
    <w:rPr>
      <w:bCs/>
      <w:spacing w:val="10"/>
    </w:rPr>
  </w:style>
  <w:style w:type="character" w:customStyle="1" w:styleId="349">
    <w:name w:val="批注框文本 Char"/>
    <w:basedOn w:val="37"/>
    <w:link w:val="23"/>
    <w:semiHidden/>
    <w:qFormat/>
    <w:uiPriority w:val="99"/>
    <w:rPr>
      <w:sz w:val="18"/>
      <w:szCs w:val="18"/>
    </w:rPr>
  </w:style>
  <w:style w:type="paragraph" w:customStyle="1" w:styleId="350">
    <w:name w:val="Heading 1"/>
    <w:qFormat/>
    <w:uiPriority w:val="0"/>
    <w:pPr>
      <w:spacing w:before="280" w:after="160"/>
      <w:outlineLvl w:val="0"/>
    </w:pPr>
    <w:rPr>
      <w:rFonts w:ascii="Times New Roman" w:hAnsi="Times New Roman" w:eastAsia="思源黑体" w:cs="Times New Roman"/>
      <w:b/>
      <w:bCs/>
      <w:sz w:val="28"/>
      <w:szCs w:val="28"/>
      <w:lang w:val="en-US" w:eastAsia="zh-CN" w:bidi="ar-SA"/>
    </w:rPr>
  </w:style>
  <w:style w:type="character" w:customStyle="1" w:styleId="351">
    <w:name w:val="纯文本 Char1"/>
    <w:basedOn w:val="37"/>
    <w:link w:val="20"/>
    <w:semiHidden/>
    <w:qFormat/>
    <w:uiPriority w:val="99"/>
    <w:rPr>
      <w:rFonts w:ascii="宋体" w:hAnsi="Courier New" w:cs="Courier New"/>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QB</Company>
  <Pages>50</Pages>
  <Words>9600</Words>
  <Characters>10474</Characters>
  <Lines>365</Lines>
  <Paragraphs>102</Paragraphs>
  <TotalTime>0</TotalTime>
  <ScaleCrop>false</ScaleCrop>
  <LinksUpToDate>false</LinksUpToDate>
  <CharactersWithSpaces>10558</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2020-10-09T07:10:00Z</dcterms:created>
  <dc:creator>微软</dc:creator>
  <cp:lastModifiedBy>MG</cp:lastModifiedBy>
  <cp:lastPrinted>2026-11-03T01:06:54Z</cp:lastPrinted>
  <dcterms:modified xsi:type="dcterms:W3CDTF">2026-11-03T01:14:08Z</dcterms:modified>
  <dc:title>医疗设</dc:title>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eyJoZGlkIjoiNWQ4YzA0OTBhNTIxMjA5YmE5MjRiMmQ4Y2EzZDUxZDMiLCJ1c2VySWQiOiI3MDkyNzg1NzUifQ==</vt:lpwstr>
  </property>
  <property fmtid="{D5CDD505-2E9C-101B-9397-08002B2CF9AE}" pid="3" name="KSOProductBuildVer">
    <vt:lpwstr>2052-12.1.0.19302</vt:lpwstr>
  </property>
  <property fmtid="{D5CDD505-2E9C-101B-9397-08002B2CF9AE}" pid="4" name="ICV">
    <vt:lpwstr>358A62A368F04411B5CFD9A712C85D34</vt:lpwstr>
  </property>
</Properties>
</file>