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7D2D6">
      <w:pPr>
        <w:keepNext w:val="0"/>
        <w:keepLines w:val="0"/>
        <w:pageBreakBefore w:val="0"/>
        <w:widowControl w:val="0"/>
        <w:wordWrap/>
        <w:topLinePunct w:val="0"/>
        <w:bidi w:val="0"/>
        <w:spacing w:line="1000" w:lineRule="exact"/>
        <w:jc w:val="center"/>
        <w:rPr>
          <w:rFonts w:hint="eastAsia" w:ascii="宋体" w:hAnsi="宋体" w:cs="宋体"/>
          <w:b/>
          <w:bCs/>
          <w:color w:val="auto"/>
          <w:sz w:val="56"/>
          <w:szCs w:val="22"/>
          <w:highlight w:val="none"/>
          <w:lang w:eastAsia="zh-CN"/>
        </w:rPr>
      </w:pPr>
    </w:p>
    <w:p w14:paraId="18B886F9">
      <w:pPr>
        <w:keepNext w:val="0"/>
        <w:keepLines w:val="0"/>
        <w:pageBreakBefore w:val="0"/>
        <w:widowControl w:val="0"/>
        <w:wordWrap/>
        <w:topLinePunct w:val="0"/>
        <w:bidi w:val="0"/>
        <w:spacing w:line="1000" w:lineRule="exact"/>
        <w:jc w:val="center"/>
        <w:rPr>
          <w:rFonts w:hint="eastAsia" w:ascii="宋体" w:hAnsi="宋体" w:eastAsia="宋体" w:cs="宋体"/>
          <w:b/>
          <w:bCs/>
          <w:color w:val="auto"/>
          <w:sz w:val="72"/>
          <w:highlight w:val="none"/>
        </w:rPr>
      </w:pPr>
      <w:r>
        <w:rPr>
          <w:rFonts w:hint="eastAsia" w:ascii="宋体" w:hAnsi="宋体" w:cs="宋体"/>
          <w:b/>
          <w:bCs/>
          <w:color w:val="auto"/>
          <w:sz w:val="56"/>
          <w:szCs w:val="22"/>
          <w:highlight w:val="none"/>
          <w:u w:val="thick"/>
          <w:lang w:eastAsia="zh-CN"/>
        </w:rPr>
        <w:t>广西北部湾宏亚建设管理有限公司</w:t>
      </w:r>
      <w:r>
        <w:rPr>
          <w:rFonts w:hint="eastAsia" w:ascii="宋体" w:hAnsi="宋体" w:eastAsia="宋体" w:cs="宋体"/>
          <w:b/>
          <w:bCs/>
          <w:color w:val="auto"/>
          <w:sz w:val="72"/>
          <w:highlight w:val="none"/>
        </w:rPr>
        <w:cr/>
      </w:r>
    </w:p>
    <w:p w14:paraId="5FFE3ACA">
      <w:pPr>
        <w:keepNext w:val="0"/>
        <w:keepLines w:val="0"/>
        <w:pageBreakBefore w:val="0"/>
        <w:widowControl w:val="0"/>
        <w:wordWrap/>
        <w:topLinePunct w:val="0"/>
        <w:bidi w:val="0"/>
        <w:spacing w:line="1000" w:lineRule="exact"/>
        <w:jc w:val="center"/>
        <w:rPr>
          <w:rFonts w:hint="eastAsia" w:ascii="宋体" w:hAnsi="宋体" w:eastAsia="宋体" w:cs="宋体"/>
          <w:b/>
          <w:bCs/>
          <w:color w:val="auto"/>
          <w:sz w:val="72"/>
          <w:highlight w:val="none"/>
        </w:rPr>
      </w:pPr>
    </w:p>
    <w:p w14:paraId="616A3651">
      <w:pPr>
        <w:keepNext w:val="0"/>
        <w:keepLines w:val="0"/>
        <w:pageBreakBefore w:val="0"/>
        <w:widowControl w:val="0"/>
        <w:wordWrap/>
        <w:topLinePunct w:val="0"/>
        <w:bidi w:val="0"/>
        <w:spacing w:line="1000" w:lineRule="exact"/>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竞争性磋商文件</w:t>
      </w:r>
      <w:r>
        <w:rPr>
          <w:rFonts w:hint="eastAsia" w:ascii="宋体" w:hAnsi="宋体" w:eastAsia="宋体" w:cs="宋体"/>
          <w:b/>
          <w:color w:val="auto"/>
          <w:sz w:val="84"/>
          <w:szCs w:val="84"/>
          <w:highlight w:val="none"/>
        </w:rPr>
        <w:cr/>
      </w:r>
      <w:r>
        <w:rPr>
          <w:rFonts w:hint="eastAsia" w:ascii="宋体" w:hAnsi="宋体" w:eastAsia="宋体" w:cs="宋体"/>
          <w:b/>
          <w:color w:val="auto"/>
          <w:sz w:val="84"/>
          <w:szCs w:val="84"/>
          <w:highlight w:val="none"/>
        </w:rPr>
        <w:cr/>
      </w:r>
    </w:p>
    <w:p w14:paraId="32667819">
      <w:pPr>
        <w:pStyle w:val="12"/>
        <w:keepNext w:val="0"/>
        <w:keepLines w:val="0"/>
        <w:pageBreakBefore w:val="0"/>
        <w:widowControl w:val="0"/>
        <w:wordWrap/>
        <w:topLinePunct w:val="0"/>
        <w:bidi w:val="0"/>
        <w:ind w:firstLine="3990" w:firstLineChars="1900"/>
        <w:rPr>
          <w:rFonts w:hint="eastAsia" w:ascii="宋体" w:hAnsi="宋体" w:eastAsia="宋体" w:cs="宋体"/>
          <w:color w:val="auto"/>
          <w:highlight w:val="none"/>
        </w:rPr>
      </w:pPr>
    </w:p>
    <w:p w14:paraId="3C67622F">
      <w:pPr>
        <w:keepNext w:val="0"/>
        <w:keepLines w:val="0"/>
        <w:pageBreakBefore w:val="0"/>
        <w:widowControl w:val="0"/>
        <w:wordWrap/>
        <w:topLinePunct w:val="0"/>
        <w:bidi w:val="0"/>
        <w:ind w:left="2080" w:leftChars="504" w:hanging="1022" w:hangingChars="283"/>
        <w:rPr>
          <w:rFonts w:hint="eastAsia" w:ascii="宋体" w:hAnsi="宋体" w:eastAsia="宋体" w:cs="宋体"/>
          <w:b/>
          <w:bCs/>
          <w:color w:val="auto"/>
          <w:spacing w:val="40"/>
          <w:sz w:val="28"/>
          <w:szCs w:val="22"/>
          <w:highlight w:val="none"/>
          <w:lang w:eastAsia="zh-CN"/>
        </w:rPr>
      </w:pPr>
      <w:r>
        <w:rPr>
          <w:rFonts w:hint="eastAsia" w:ascii="宋体" w:hAnsi="宋体" w:eastAsia="宋体" w:cs="宋体"/>
          <w:b/>
          <w:bCs/>
          <w:color w:val="auto"/>
          <w:spacing w:val="40"/>
          <w:sz w:val="28"/>
          <w:szCs w:val="22"/>
          <w:highlight w:val="none"/>
        </w:rPr>
        <w:t>项目名称：</w:t>
      </w:r>
      <w:r>
        <w:rPr>
          <w:rFonts w:hint="eastAsia" w:ascii="宋体" w:hAnsi="宋体" w:cs="宋体"/>
          <w:b/>
          <w:bCs/>
          <w:color w:val="auto"/>
          <w:spacing w:val="40"/>
          <w:sz w:val="28"/>
          <w:szCs w:val="22"/>
          <w:highlight w:val="none"/>
          <w:lang w:eastAsia="zh-CN"/>
        </w:rPr>
        <w:t>灌阳县公安局西山派出所改造提升项目</w:t>
      </w:r>
    </w:p>
    <w:p w14:paraId="2C26D234">
      <w:pPr>
        <w:keepNext w:val="0"/>
        <w:keepLines w:val="0"/>
        <w:pageBreakBefore w:val="0"/>
        <w:widowControl w:val="0"/>
        <w:wordWrap/>
        <w:topLinePunct w:val="0"/>
        <w:bidi w:val="0"/>
        <w:ind w:left="2080" w:leftChars="504" w:hanging="1022" w:hangingChars="283"/>
        <w:rPr>
          <w:rFonts w:hint="eastAsia" w:ascii="宋体" w:hAnsi="宋体" w:eastAsia="宋体" w:cs="宋体"/>
          <w:b/>
          <w:bCs/>
          <w:color w:val="auto"/>
          <w:spacing w:val="40"/>
          <w:sz w:val="28"/>
          <w:szCs w:val="22"/>
          <w:highlight w:val="none"/>
        </w:rPr>
      </w:pPr>
    </w:p>
    <w:p w14:paraId="1DE3F8ED">
      <w:pPr>
        <w:keepNext w:val="0"/>
        <w:keepLines w:val="0"/>
        <w:pageBreakBefore w:val="0"/>
        <w:widowControl w:val="0"/>
        <w:wordWrap/>
        <w:topLinePunct w:val="0"/>
        <w:bidi w:val="0"/>
        <w:ind w:left="2080" w:leftChars="504" w:hanging="1022" w:hangingChars="283"/>
        <w:rPr>
          <w:rFonts w:hint="eastAsia" w:ascii="宋体" w:hAnsi="宋体" w:eastAsia="宋体" w:cs="宋体"/>
          <w:color w:val="auto"/>
          <w:highlight w:val="none"/>
        </w:rPr>
      </w:pPr>
      <w:r>
        <w:rPr>
          <w:rFonts w:hint="eastAsia" w:ascii="宋体" w:hAnsi="宋体" w:eastAsia="宋体" w:cs="宋体"/>
          <w:b/>
          <w:bCs/>
          <w:color w:val="auto"/>
          <w:spacing w:val="40"/>
          <w:sz w:val="28"/>
          <w:szCs w:val="22"/>
          <w:highlight w:val="none"/>
        </w:rPr>
        <w:t>项目编号</w:t>
      </w:r>
      <w:r>
        <w:rPr>
          <w:rFonts w:hint="eastAsia" w:ascii="宋体" w:hAnsi="宋体" w:eastAsia="宋体" w:cs="宋体"/>
          <w:b/>
          <w:bCs/>
          <w:color w:val="auto"/>
          <w:spacing w:val="40"/>
          <w:sz w:val="28"/>
          <w:szCs w:val="22"/>
          <w:highlight w:val="none"/>
          <w:lang w:eastAsia="zh-CN"/>
        </w:rPr>
        <w:t>：</w:t>
      </w:r>
      <w:r>
        <w:rPr>
          <w:rFonts w:hint="eastAsia" w:ascii="宋体" w:hAnsi="宋体" w:cs="宋体"/>
          <w:b/>
          <w:bCs/>
          <w:color w:val="auto"/>
          <w:spacing w:val="40"/>
          <w:sz w:val="28"/>
          <w:szCs w:val="22"/>
          <w:highlight w:val="none"/>
          <w:lang w:eastAsia="zh-CN"/>
        </w:rPr>
        <w:t>GLZC2026-C2-270030-BBWH</w:t>
      </w:r>
    </w:p>
    <w:p w14:paraId="68CCBB5D">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3B203BF3">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02201316">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03383562">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0ACE8A90">
      <w:pPr>
        <w:keepNext w:val="0"/>
        <w:keepLines w:val="0"/>
        <w:pageBreakBefore w:val="0"/>
        <w:widowControl w:val="0"/>
        <w:wordWrap/>
        <w:topLinePunct w:val="0"/>
        <w:bidi w:val="0"/>
        <w:ind w:firstLine="643" w:firstLineChars="200"/>
        <w:jc w:val="center"/>
        <w:rPr>
          <w:rFonts w:hint="eastAsia" w:ascii="宋体" w:hAnsi="宋体" w:cs="宋体"/>
          <w:b/>
          <w:bCs/>
          <w:color w:val="auto"/>
          <w:sz w:val="32"/>
          <w:highlight w:val="none"/>
          <w:lang w:eastAsia="zh-CN"/>
        </w:rPr>
      </w:pPr>
      <w:r>
        <w:rPr>
          <w:rFonts w:hint="eastAsia" w:ascii="宋体" w:hAnsi="宋体" w:eastAsia="宋体" w:cs="宋体"/>
          <w:b/>
          <w:bCs/>
          <w:color w:val="auto"/>
          <w:sz w:val="32"/>
          <w:highlight w:val="none"/>
        </w:rPr>
        <w:t>采购代理机构：</w:t>
      </w:r>
      <w:r>
        <w:rPr>
          <w:rFonts w:hint="eastAsia" w:ascii="宋体" w:hAnsi="宋体" w:cs="宋体"/>
          <w:b/>
          <w:bCs/>
          <w:color w:val="auto"/>
          <w:sz w:val="32"/>
          <w:highlight w:val="none"/>
          <w:lang w:eastAsia="zh-CN"/>
        </w:rPr>
        <w:t>广西北部湾宏亚建设管理有限公司</w:t>
      </w:r>
    </w:p>
    <w:p w14:paraId="6A3394BF">
      <w:pPr>
        <w:keepNext w:val="0"/>
        <w:keepLines w:val="0"/>
        <w:pageBreakBefore w:val="0"/>
        <w:widowControl w:val="0"/>
        <w:wordWrap/>
        <w:topLinePunct w:val="0"/>
        <w:bidi w:val="0"/>
        <w:ind w:firstLine="3694" w:firstLineChars="1150"/>
        <w:rPr>
          <w:rFonts w:hint="eastAsia" w:ascii="宋体" w:hAnsi="宋体" w:eastAsia="宋体" w:cs="宋体"/>
          <w:color w:val="auto"/>
          <w:sz w:val="32"/>
          <w:highlight w:val="none"/>
        </w:rPr>
      </w:pPr>
      <w:r>
        <w:rPr>
          <w:rFonts w:hint="eastAsia" w:ascii="宋体" w:hAnsi="宋体" w:cs="宋体"/>
          <w:b/>
          <w:bCs/>
          <w:color w:val="auto"/>
          <w:sz w:val="32"/>
          <w:highlight w:val="none"/>
          <w:lang w:val="en-US" w:eastAsia="zh-CN"/>
        </w:rPr>
        <w:t>2026年8月</w:t>
      </w:r>
    </w:p>
    <w:p w14:paraId="7B0AC085">
      <w:pPr>
        <w:pStyle w:val="15"/>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pacing w:val="-6"/>
          <w:kern w:val="0"/>
          <w:sz w:val="30"/>
          <w:szCs w:val="30"/>
          <w:highlight w:val="none"/>
          <w:lang w:eastAsia="zh-CN"/>
        </w:rPr>
      </w:pPr>
    </w:p>
    <w:p w14:paraId="35620FAA">
      <w:pPr>
        <w:pStyle w:val="15"/>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color w:val="auto"/>
          <w:spacing w:val="-6"/>
          <w:kern w:val="0"/>
          <w:sz w:val="30"/>
          <w:szCs w:val="30"/>
          <w:highlight w:val="none"/>
          <w:lang w:eastAsia="zh-CN"/>
        </w:rPr>
        <w:sectPr>
          <w:pgSz w:w="11906" w:h="16838"/>
          <w:pgMar w:top="1418" w:right="1191" w:bottom="1304" w:left="1304" w:header="851" w:footer="992" w:gutter="0"/>
          <w:pgNumType w:fmt="decimal" w:start="1"/>
          <w:cols w:space="720" w:num="1"/>
          <w:titlePg/>
          <w:docGrid w:type="lines" w:linePitch="312" w:charSpace="0"/>
        </w:sectPr>
      </w:pPr>
    </w:p>
    <w:p w14:paraId="589AC3CA">
      <w:pPr>
        <w:keepNext w:val="0"/>
        <w:keepLines w:val="0"/>
        <w:pageBreakBefore w:val="0"/>
        <w:widowControl w:val="0"/>
        <w:wordWrap/>
        <w:topLinePunct w:val="0"/>
        <w:bidi w:val="0"/>
        <w:rPr>
          <w:rFonts w:hint="eastAsia"/>
          <w:color w:val="auto"/>
          <w:highlight w:val="none"/>
          <w:lang w:eastAsia="zh-CN"/>
        </w:rPr>
      </w:pPr>
    </w:p>
    <w:p w14:paraId="7511FAFD">
      <w:pPr>
        <w:pStyle w:val="15"/>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pacing w:val="-6"/>
          <w:kern w:val="0"/>
          <w:sz w:val="48"/>
          <w:szCs w:val="48"/>
          <w:highlight w:val="none"/>
          <w:lang w:eastAsia="zh-CN"/>
        </w:rPr>
      </w:pPr>
      <w:bookmarkStart w:id="0" w:name="_Toc22866"/>
      <w:r>
        <w:rPr>
          <w:rFonts w:hint="eastAsia" w:ascii="宋体" w:hAnsi="宋体" w:eastAsia="宋体" w:cs="宋体"/>
          <w:b/>
          <w:color w:val="auto"/>
          <w:spacing w:val="-6"/>
          <w:kern w:val="0"/>
          <w:sz w:val="48"/>
          <w:szCs w:val="48"/>
          <w:highlight w:val="none"/>
          <w:lang w:eastAsia="zh-CN"/>
        </w:rPr>
        <w:t>目</w:t>
      </w:r>
      <w:r>
        <w:rPr>
          <w:rFonts w:hint="eastAsia" w:ascii="宋体" w:hAnsi="宋体" w:eastAsia="宋体" w:cs="宋体"/>
          <w:b/>
          <w:color w:val="auto"/>
          <w:spacing w:val="-6"/>
          <w:kern w:val="0"/>
          <w:sz w:val="48"/>
          <w:szCs w:val="48"/>
          <w:highlight w:val="none"/>
          <w:lang w:val="en-US" w:eastAsia="zh-CN"/>
        </w:rPr>
        <w:t xml:space="preserve">  </w:t>
      </w:r>
      <w:r>
        <w:rPr>
          <w:rFonts w:hint="eastAsia" w:ascii="宋体" w:hAnsi="宋体" w:eastAsia="宋体" w:cs="宋体"/>
          <w:b/>
          <w:color w:val="auto"/>
          <w:spacing w:val="-6"/>
          <w:kern w:val="0"/>
          <w:sz w:val="48"/>
          <w:szCs w:val="48"/>
          <w:highlight w:val="none"/>
          <w:lang w:eastAsia="zh-CN"/>
        </w:rPr>
        <w:t>录</w:t>
      </w:r>
      <w:bookmarkEnd w:id="0"/>
    </w:p>
    <w:p w14:paraId="4182647D">
      <w:pPr>
        <w:keepNext w:val="0"/>
        <w:keepLines w:val="0"/>
        <w:pageBreakBefore w:val="0"/>
        <w:widowControl w:val="0"/>
        <w:wordWrap/>
        <w:topLinePunct w:val="0"/>
        <w:bidi w:val="0"/>
        <w:rPr>
          <w:rFonts w:hint="eastAsia"/>
          <w:color w:val="auto"/>
          <w:highlight w:val="none"/>
          <w:lang w:eastAsia="zh-CN"/>
        </w:rPr>
      </w:pPr>
    </w:p>
    <w:p w14:paraId="41428466">
      <w:pPr>
        <w:pStyle w:val="15"/>
        <w:tabs>
          <w:tab w:val="right" w:leader="dot" w:pos="9072"/>
        </w:tabs>
        <w:rPr>
          <w:color w:val="auto"/>
        </w:rPr>
      </w:pPr>
      <w:r>
        <w:rPr>
          <w:rFonts w:hint="eastAsia" w:ascii="宋体" w:hAnsi="宋体" w:eastAsia="宋体" w:cs="宋体"/>
          <w:b/>
          <w:color w:val="auto"/>
          <w:spacing w:val="-6"/>
          <w:kern w:val="0"/>
          <w:sz w:val="36"/>
          <w:szCs w:val="36"/>
          <w:highlight w:val="none"/>
        </w:rPr>
        <w:fldChar w:fldCharType="begin"/>
      </w:r>
      <w:r>
        <w:rPr>
          <w:rFonts w:hint="eastAsia" w:ascii="宋体" w:hAnsi="宋体" w:eastAsia="宋体" w:cs="宋体"/>
          <w:b/>
          <w:color w:val="auto"/>
          <w:spacing w:val="-6"/>
          <w:kern w:val="0"/>
          <w:sz w:val="36"/>
          <w:szCs w:val="36"/>
          <w:highlight w:val="none"/>
        </w:rPr>
        <w:instrText xml:space="preserve">TOC \o "1-2" \h \u </w:instrText>
      </w:r>
      <w:r>
        <w:rPr>
          <w:rFonts w:hint="eastAsia" w:ascii="宋体" w:hAnsi="宋体" w:eastAsia="宋体" w:cs="宋体"/>
          <w:b/>
          <w:color w:val="auto"/>
          <w:spacing w:val="-6"/>
          <w:kern w:val="0"/>
          <w:sz w:val="36"/>
          <w:szCs w:val="36"/>
          <w:highlight w:val="none"/>
        </w:rPr>
        <w:fldChar w:fldCharType="separate"/>
      </w:r>
    </w:p>
    <w:p w14:paraId="1257A2B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_Toc17218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第一章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color w:val="auto"/>
          <w:sz w:val="28"/>
          <w:szCs w:val="28"/>
        </w:rPr>
        <w:tab/>
      </w:r>
      <w:r>
        <w:rPr>
          <w:color w:val="auto"/>
          <w:sz w:val="28"/>
          <w:szCs w:val="28"/>
        </w:rPr>
        <w:fldChar w:fldCharType="begin"/>
      </w:r>
      <w:r>
        <w:rPr>
          <w:color w:val="auto"/>
          <w:sz w:val="28"/>
          <w:szCs w:val="28"/>
        </w:rPr>
        <w:instrText xml:space="preserve"> PAGEREF _Toc17218 \h </w:instrText>
      </w:r>
      <w:r>
        <w:rPr>
          <w:color w:val="auto"/>
          <w:sz w:val="28"/>
          <w:szCs w:val="28"/>
        </w:rPr>
        <w:fldChar w:fldCharType="separate"/>
      </w:r>
      <w:r>
        <w:rPr>
          <w:color w:val="auto"/>
          <w:sz w:val="28"/>
          <w:szCs w:val="28"/>
        </w:rPr>
        <w:t>2</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570BA967">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_Toc30987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第二章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供应商须知</w:t>
      </w:r>
      <w:r>
        <w:rPr>
          <w:color w:val="auto"/>
          <w:sz w:val="28"/>
          <w:szCs w:val="28"/>
        </w:rPr>
        <w:tab/>
      </w:r>
      <w:r>
        <w:rPr>
          <w:color w:val="auto"/>
          <w:sz w:val="28"/>
          <w:szCs w:val="28"/>
        </w:rPr>
        <w:fldChar w:fldCharType="begin"/>
      </w:r>
      <w:r>
        <w:rPr>
          <w:color w:val="auto"/>
          <w:sz w:val="28"/>
          <w:szCs w:val="28"/>
        </w:rPr>
        <w:instrText xml:space="preserve"> PAGEREF _Toc30987 \h </w:instrText>
      </w:r>
      <w:r>
        <w:rPr>
          <w:color w:val="auto"/>
          <w:sz w:val="28"/>
          <w:szCs w:val="28"/>
        </w:rPr>
        <w:fldChar w:fldCharType="separate"/>
      </w:r>
      <w:r>
        <w:rPr>
          <w:color w:val="auto"/>
          <w:sz w:val="28"/>
          <w:szCs w:val="28"/>
        </w:rPr>
        <w:t>5</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193EEB17">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_Toc5924 </w:instrText>
      </w:r>
      <w:r>
        <w:rPr>
          <w:rFonts w:hint="eastAsia" w:ascii="宋体" w:hAnsi="宋体" w:eastAsia="宋体" w:cs="宋体"/>
          <w:color w:val="auto"/>
          <w:spacing w:val="-6"/>
          <w:kern w:val="0"/>
          <w:sz w:val="28"/>
          <w:szCs w:val="28"/>
          <w:highlight w:val="none"/>
        </w:rPr>
        <w:fldChar w:fldCharType="separate"/>
      </w:r>
      <w:r>
        <w:rPr>
          <w:rFonts w:hint="eastAsia"/>
          <w:color w:val="auto"/>
          <w:sz w:val="28"/>
          <w:szCs w:val="28"/>
          <w:highlight w:val="none"/>
        </w:rPr>
        <w:t xml:space="preserve">第三章 </w:t>
      </w:r>
      <w:r>
        <w:rPr>
          <w:rFonts w:hint="eastAsia"/>
          <w:color w:val="auto"/>
          <w:sz w:val="28"/>
          <w:szCs w:val="28"/>
          <w:highlight w:val="none"/>
          <w:lang w:eastAsia="zh-CN"/>
        </w:rPr>
        <w:t>工程量清单</w:t>
      </w:r>
      <w:r>
        <w:rPr>
          <w:color w:val="auto"/>
          <w:sz w:val="28"/>
          <w:szCs w:val="28"/>
        </w:rPr>
        <w:tab/>
      </w:r>
      <w:r>
        <w:rPr>
          <w:color w:val="auto"/>
          <w:sz w:val="28"/>
          <w:szCs w:val="28"/>
        </w:rPr>
        <w:fldChar w:fldCharType="begin"/>
      </w:r>
      <w:r>
        <w:rPr>
          <w:color w:val="auto"/>
          <w:sz w:val="28"/>
          <w:szCs w:val="28"/>
        </w:rPr>
        <w:instrText xml:space="preserve"> PAGEREF _Toc5924 \h </w:instrText>
      </w:r>
      <w:r>
        <w:rPr>
          <w:color w:val="auto"/>
          <w:sz w:val="28"/>
          <w:szCs w:val="28"/>
        </w:rPr>
        <w:fldChar w:fldCharType="separate"/>
      </w:r>
      <w:r>
        <w:rPr>
          <w:color w:val="auto"/>
          <w:sz w:val="28"/>
          <w:szCs w:val="28"/>
        </w:rPr>
        <w:t>28</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2AB9AD1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_Toc3036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第四章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评审办法</w:t>
      </w:r>
      <w:r>
        <w:rPr>
          <w:color w:val="auto"/>
          <w:sz w:val="28"/>
          <w:szCs w:val="28"/>
        </w:rPr>
        <w:tab/>
      </w:r>
      <w:r>
        <w:rPr>
          <w:color w:val="auto"/>
          <w:sz w:val="28"/>
          <w:szCs w:val="28"/>
        </w:rPr>
        <w:fldChar w:fldCharType="begin"/>
      </w:r>
      <w:r>
        <w:rPr>
          <w:color w:val="auto"/>
          <w:sz w:val="28"/>
          <w:szCs w:val="28"/>
        </w:rPr>
        <w:instrText xml:space="preserve"> PAGEREF _Toc3036 \h </w:instrText>
      </w:r>
      <w:r>
        <w:rPr>
          <w:color w:val="auto"/>
          <w:sz w:val="28"/>
          <w:szCs w:val="28"/>
        </w:rPr>
        <w:fldChar w:fldCharType="separate"/>
      </w:r>
      <w:r>
        <w:rPr>
          <w:color w:val="auto"/>
          <w:sz w:val="28"/>
          <w:szCs w:val="28"/>
        </w:rPr>
        <w:t>30</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3B8581A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_Toc31422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第五章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采购合同（合同主要条款及格式）</w:t>
      </w:r>
      <w:r>
        <w:rPr>
          <w:color w:val="auto"/>
          <w:sz w:val="28"/>
          <w:szCs w:val="28"/>
        </w:rPr>
        <w:tab/>
      </w:r>
      <w:r>
        <w:rPr>
          <w:color w:val="auto"/>
          <w:sz w:val="28"/>
          <w:szCs w:val="28"/>
        </w:rPr>
        <w:fldChar w:fldCharType="begin"/>
      </w:r>
      <w:r>
        <w:rPr>
          <w:color w:val="auto"/>
          <w:sz w:val="28"/>
          <w:szCs w:val="28"/>
        </w:rPr>
        <w:instrText xml:space="preserve"> PAGEREF _Toc31422 \h </w:instrText>
      </w:r>
      <w:r>
        <w:rPr>
          <w:color w:val="auto"/>
          <w:sz w:val="28"/>
          <w:szCs w:val="28"/>
        </w:rPr>
        <w:fldChar w:fldCharType="separate"/>
      </w:r>
      <w:r>
        <w:rPr>
          <w:color w:val="auto"/>
          <w:sz w:val="28"/>
          <w:szCs w:val="28"/>
        </w:rPr>
        <w:t>34</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39D3517D">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_Toc24304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bCs/>
          <w:color w:val="auto"/>
          <w:kern w:val="44"/>
          <w:sz w:val="28"/>
          <w:szCs w:val="28"/>
          <w:highlight w:val="none"/>
        </w:rPr>
        <w:t xml:space="preserve">第六章 </w:t>
      </w:r>
      <w:r>
        <w:rPr>
          <w:rFonts w:hint="eastAsia" w:ascii="宋体" w:hAnsi="宋体" w:eastAsia="宋体" w:cs="宋体"/>
          <w:bCs/>
          <w:color w:val="auto"/>
          <w:sz w:val="28"/>
          <w:szCs w:val="28"/>
          <w:highlight w:val="none"/>
        </w:rPr>
        <w:t>响应文件（格式）</w:t>
      </w:r>
      <w:r>
        <w:rPr>
          <w:color w:val="auto"/>
          <w:sz w:val="28"/>
          <w:szCs w:val="28"/>
        </w:rPr>
        <w:tab/>
      </w:r>
      <w:r>
        <w:rPr>
          <w:color w:val="auto"/>
          <w:sz w:val="28"/>
          <w:szCs w:val="28"/>
        </w:rPr>
        <w:fldChar w:fldCharType="begin"/>
      </w:r>
      <w:r>
        <w:rPr>
          <w:color w:val="auto"/>
          <w:sz w:val="28"/>
          <w:szCs w:val="28"/>
        </w:rPr>
        <w:instrText xml:space="preserve"> PAGEREF _Toc24304 \h </w:instrText>
      </w:r>
      <w:r>
        <w:rPr>
          <w:color w:val="auto"/>
          <w:sz w:val="28"/>
          <w:szCs w:val="28"/>
        </w:rPr>
        <w:fldChar w:fldCharType="separate"/>
      </w:r>
      <w:r>
        <w:rPr>
          <w:color w:val="auto"/>
          <w:sz w:val="28"/>
          <w:szCs w:val="28"/>
        </w:rPr>
        <w:t>75</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3B9B6C6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_Toc25736 </w:instrText>
      </w:r>
      <w:r>
        <w:rPr>
          <w:rFonts w:hint="eastAsia" w:ascii="宋体" w:hAnsi="宋体" w:eastAsia="宋体" w:cs="宋体"/>
          <w:color w:val="auto"/>
          <w:spacing w:val="-6"/>
          <w:kern w:val="0"/>
          <w:sz w:val="28"/>
          <w:szCs w:val="28"/>
          <w:highlight w:val="none"/>
        </w:rPr>
        <w:fldChar w:fldCharType="separate"/>
      </w:r>
      <w:r>
        <w:rPr>
          <w:rFonts w:hint="eastAsia"/>
          <w:color w:val="auto"/>
          <w:sz w:val="28"/>
          <w:szCs w:val="28"/>
          <w:highlight w:val="none"/>
        </w:rPr>
        <w:t>第七章</w:t>
      </w:r>
      <w:r>
        <w:rPr>
          <w:rFonts w:hint="eastAsia"/>
          <w:color w:val="auto"/>
          <w:sz w:val="28"/>
          <w:szCs w:val="28"/>
          <w:highlight w:val="none"/>
          <w:lang w:val="en-US" w:eastAsia="zh-CN"/>
        </w:rPr>
        <w:t xml:space="preserve"> </w:t>
      </w:r>
      <w:r>
        <w:rPr>
          <w:rFonts w:hint="eastAsia"/>
          <w:color w:val="auto"/>
          <w:sz w:val="28"/>
          <w:szCs w:val="28"/>
          <w:highlight w:val="none"/>
        </w:rPr>
        <w:t>图纸</w:t>
      </w:r>
      <w:r>
        <w:rPr>
          <w:color w:val="auto"/>
          <w:sz w:val="28"/>
          <w:szCs w:val="28"/>
        </w:rPr>
        <w:tab/>
      </w:r>
      <w:r>
        <w:rPr>
          <w:color w:val="auto"/>
          <w:sz w:val="28"/>
          <w:szCs w:val="28"/>
        </w:rPr>
        <w:fldChar w:fldCharType="begin"/>
      </w:r>
      <w:r>
        <w:rPr>
          <w:color w:val="auto"/>
          <w:sz w:val="28"/>
          <w:szCs w:val="28"/>
        </w:rPr>
        <w:instrText xml:space="preserve"> PAGEREF _Toc25736 \h </w:instrText>
      </w:r>
      <w:r>
        <w:rPr>
          <w:color w:val="auto"/>
          <w:sz w:val="28"/>
          <w:szCs w:val="28"/>
        </w:rPr>
        <w:fldChar w:fldCharType="separate"/>
      </w:r>
      <w:r>
        <w:rPr>
          <w:color w:val="auto"/>
          <w:sz w:val="28"/>
          <w:szCs w:val="28"/>
        </w:rPr>
        <w:t>96</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6D485830">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color w:val="auto"/>
          <w:spacing w:val="-6"/>
          <w:kern w:val="0"/>
          <w:sz w:val="36"/>
          <w:szCs w:val="36"/>
          <w:highlight w:val="none"/>
        </w:rPr>
      </w:pPr>
      <w:r>
        <w:rPr>
          <w:rFonts w:hint="eastAsia" w:ascii="宋体" w:hAnsi="宋体" w:eastAsia="宋体" w:cs="宋体"/>
          <w:color w:val="auto"/>
          <w:spacing w:val="-6"/>
          <w:kern w:val="0"/>
          <w:szCs w:val="36"/>
          <w:highlight w:val="none"/>
        </w:rPr>
        <w:fldChar w:fldCharType="end"/>
      </w:r>
    </w:p>
    <w:p w14:paraId="6D22AD3F">
      <w:pPr>
        <w:keepNext w:val="0"/>
        <w:keepLines w:val="0"/>
        <w:pageBreakBefore w:val="0"/>
        <w:widowControl w:val="0"/>
        <w:wordWrap/>
        <w:topLinePunct w:val="0"/>
        <w:bidi w:val="0"/>
        <w:outlineLvl w:val="9"/>
        <w:rPr>
          <w:rFonts w:hint="eastAsia" w:ascii="宋体" w:hAnsi="宋体" w:eastAsia="宋体" w:cs="宋体"/>
          <w:color w:val="auto"/>
          <w:spacing w:val="-6"/>
          <w:kern w:val="0"/>
          <w:sz w:val="24"/>
          <w:szCs w:val="24"/>
          <w:highlight w:val="none"/>
        </w:rPr>
      </w:pPr>
    </w:p>
    <w:p w14:paraId="039F91AA">
      <w:pPr>
        <w:keepNext w:val="0"/>
        <w:keepLines w:val="0"/>
        <w:pageBreakBefore w:val="0"/>
        <w:widowControl w:val="0"/>
        <w:wordWrap/>
        <w:topLinePunct w:val="0"/>
        <w:bidi w:val="0"/>
        <w:rPr>
          <w:color w:val="auto"/>
          <w:highlight w:val="none"/>
        </w:rPr>
      </w:pPr>
    </w:p>
    <w:p w14:paraId="01A7594E">
      <w:pPr>
        <w:pStyle w:val="2"/>
        <w:keepNext w:val="0"/>
        <w:keepLines w:val="0"/>
        <w:pageBreakBefore w:val="0"/>
        <w:widowControl w:val="0"/>
        <w:numPr>
          <w:ilvl w:val="0"/>
          <w:numId w:val="1"/>
        </w:numPr>
        <w:tabs>
          <w:tab w:val="left" w:pos="0"/>
        </w:tabs>
        <w:wordWrap/>
        <w:topLinePunct w:val="0"/>
        <w:autoSpaceDE w:val="0"/>
        <w:autoSpaceDN w:val="0"/>
        <w:bidi w:val="0"/>
        <w:adjustRightInd w:val="0"/>
        <w:spacing w:before="0" w:after="0" w:line="360" w:lineRule="auto"/>
        <w:ind w:firstLine="425"/>
        <w:jc w:val="center"/>
        <w:rPr>
          <w:rFonts w:hint="eastAsia" w:ascii="宋体" w:hAnsi="宋体" w:eastAsia="宋体" w:cs="宋体"/>
          <w:color w:val="auto"/>
          <w:sz w:val="32"/>
          <w:szCs w:val="32"/>
          <w:highlight w:val="none"/>
        </w:rPr>
        <w:sectPr>
          <w:footerReference r:id="rId4" w:type="first"/>
          <w:footerReference r:id="rId3" w:type="default"/>
          <w:pgSz w:w="11906" w:h="16838"/>
          <w:pgMar w:top="1418" w:right="1417" w:bottom="1418" w:left="1417" w:header="851" w:footer="992" w:gutter="0"/>
          <w:pgNumType w:fmt="decimal" w:start="1"/>
          <w:cols w:space="720" w:num="1"/>
          <w:titlePg/>
          <w:docGrid w:type="lines" w:linePitch="312" w:charSpace="0"/>
        </w:sectPr>
      </w:pPr>
      <w:bookmarkStart w:id="1" w:name="_Toc26809"/>
      <w:bookmarkStart w:id="2" w:name="_Toc35393797"/>
      <w:bookmarkStart w:id="3" w:name="_Toc28359011"/>
      <w:bookmarkStart w:id="4" w:name="_Toc21930"/>
      <w:bookmarkStart w:id="5" w:name="_Toc30170"/>
    </w:p>
    <w:p w14:paraId="5A5FBDE9">
      <w:pPr>
        <w:pStyle w:val="2"/>
        <w:keepNext w:val="0"/>
        <w:keepLines w:val="0"/>
        <w:pageBreakBefore w:val="0"/>
        <w:widowControl w:val="0"/>
        <w:numPr>
          <w:ilvl w:val="0"/>
          <w:numId w:val="0"/>
        </w:numPr>
        <w:tabs>
          <w:tab w:val="left" w:pos="0"/>
        </w:tabs>
        <w:wordWrap/>
        <w:topLinePunct w:val="0"/>
        <w:autoSpaceDE w:val="0"/>
        <w:autoSpaceDN w:val="0"/>
        <w:bidi w:val="0"/>
        <w:adjustRightInd w:val="0"/>
        <w:spacing w:before="0" w:after="0" w:line="360" w:lineRule="auto"/>
        <w:ind w:left="425" w:leftChars="0"/>
        <w:jc w:val="center"/>
        <w:rPr>
          <w:rFonts w:hint="eastAsia" w:ascii="宋体" w:hAnsi="宋体" w:eastAsia="宋体" w:cs="宋体"/>
          <w:color w:val="auto"/>
          <w:sz w:val="32"/>
          <w:szCs w:val="32"/>
          <w:highlight w:val="none"/>
        </w:rPr>
      </w:pPr>
      <w:bookmarkStart w:id="6" w:name="_Toc17218"/>
      <w:r>
        <w:rPr>
          <w:rFonts w:hint="eastAsia" w:ascii="宋体" w:hAnsi="宋体" w:eastAsia="宋体" w:cs="宋体"/>
          <w:color w:val="auto"/>
          <w:sz w:val="32"/>
          <w:szCs w:val="32"/>
          <w:highlight w:val="none"/>
          <w:lang w:eastAsia="zh-CN"/>
        </w:rPr>
        <w:t>第一章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竞争性磋商公告</w:t>
      </w:r>
      <w:bookmarkEnd w:id="1"/>
      <w:bookmarkEnd w:id="2"/>
      <w:bookmarkEnd w:id="3"/>
      <w:bookmarkEnd w:id="4"/>
      <w:bookmarkEnd w:id="5"/>
      <w:bookmarkEnd w:id="6"/>
    </w:p>
    <w:tbl>
      <w:tblPr>
        <w:tblStyle w:val="28"/>
        <w:tblpPr w:leftFromText="180" w:rightFromText="180" w:vertAnchor="text" w:tblpX="38" w:tblpY="134"/>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7C4E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9320" w:type="dxa"/>
            <w:noWrap w:val="0"/>
            <w:vAlign w:val="top"/>
          </w:tcPr>
          <w:p w14:paraId="75D55C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078AD9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灌阳县公安局西山派出所改造提升项目的潜在供应商应在广西政府采购云平台（https：//www.gcy.zfcg.gxzf.gov.cn/）线上获取。获取采购文件，并于2026年08月31日 09:30（北京时间）前提交响应文件。 </w:t>
            </w:r>
          </w:p>
        </w:tc>
      </w:tr>
    </w:tbl>
    <w:p w14:paraId="054AD54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color w:val="auto"/>
          <w:sz w:val="21"/>
          <w:szCs w:val="21"/>
          <w:highlight w:val="none"/>
        </w:rPr>
      </w:pPr>
      <w:bookmarkStart w:id="7" w:name="_Toc28359089"/>
      <w:bookmarkStart w:id="8" w:name="_Toc35393629"/>
      <w:bookmarkStart w:id="9" w:name="_Toc35393798"/>
      <w:bookmarkStart w:id="10" w:name="_Toc28359012"/>
      <w:r>
        <w:rPr>
          <w:rFonts w:hint="eastAsia" w:ascii="宋体" w:hAnsi="宋体" w:eastAsia="宋体" w:cs="宋体"/>
          <w:b/>
          <w:bCs/>
          <w:color w:val="auto"/>
          <w:sz w:val="21"/>
          <w:szCs w:val="21"/>
          <w:highlight w:val="none"/>
        </w:rPr>
        <w:t>一、项目基本情况</w:t>
      </w:r>
      <w:bookmarkEnd w:id="7"/>
      <w:bookmarkEnd w:id="8"/>
      <w:bookmarkEnd w:id="9"/>
      <w:bookmarkEnd w:id="10"/>
    </w:p>
    <w:p w14:paraId="0C183AEB">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bookmarkStart w:id="11" w:name="_Toc35393630"/>
      <w:bookmarkStart w:id="12" w:name="_Toc28359090"/>
      <w:bookmarkStart w:id="13" w:name="_Toc35393799"/>
      <w:bookmarkStart w:id="14" w:name="_Toc28359013"/>
      <w:r>
        <w:rPr>
          <w:rFonts w:hint="eastAsia" w:ascii="宋体" w:hAnsi="宋体" w:eastAsia="宋体" w:cs="宋体"/>
          <w:bCs/>
          <w:color w:val="auto"/>
          <w:sz w:val="21"/>
          <w:szCs w:val="21"/>
          <w:highlight w:val="none"/>
          <w:lang w:val="en-US" w:eastAsia="zh-CN"/>
        </w:rPr>
        <w:t>项目编号：</w:t>
      </w:r>
      <w:r>
        <w:rPr>
          <w:rFonts w:hint="eastAsia" w:ascii="宋体" w:hAnsi="宋体" w:cs="宋体"/>
          <w:bCs/>
          <w:color w:val="auto"/>
          <w:sz w:val="21"/>
          <w:szCs w:val="21"/>
          <w:highlight w:val="none"/>
          <w:lang w:val="en-US" w:eastAsia="zh-CN"/>
        </w:rPr>
        <w:t>GLZC2026-C2-270030-BBWH</w:t>
      </w:r>
    </w:p>
    <w:p w14:paraId="6E81707C">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项目名称：</w:t>
      </w:r>
      <w:r>
        <w:rPr>
          <w:rFonts w:hint="eastAsia" w:ascii="宋体" w:hAnsi="宋体" w:cs="宋体"/>
          <w:bCs/>
          <w:color w:val="auto"/>
          <w:sz w:val="21"/>
          <w:szCs w:val="21"/>
          <w:highlight w:val="none"/>
          <w:lang w:val="en-US" w:eastAsia="zh-CN"/>
        </w:rPr>
        <w:t>灌阳县公安局西山派出所改造提升项目</w:t>
      </w:r>
    </w:p>
    <w:p w14:paraId="1AC22EB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采购方式：竞争性磋商</w:t>
      </w:r>
    </w:p>
    <w:p w14:paraId="332B11E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预算总金额（元）：</w:t>
      </w:r>
      <w:r>
        <w:rPr>
          <w:rFonts w:hint="eastAsia" w:ascii="宋体" w:hAnsi="宋体" w:cs="宋体"/>
          <w:bCs/>
          <w:color w:val="auto"/>
          <w:sz w:val="21"/>
          <w:szCs w:val="21"/>
          <w:highlight w:val="none"/>
          <w:lang w:val="en-US" w:eastAsia="zh-CN"/>
        </w:rPr>
        <w:t>1242231.01</w:t>
      </w:r>
    </w:p>
    <w:p w14:paraId="27761075">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采购需求：</w:t>
      </w:r>
    </w:p>
    <w:p w14:paraId="589488A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标项名称：</w:t>
      </w:r>
      <w:r>
        <w:rPr>
          <w:rFonts w:hint="eastAsia" w:ascii="宋体" w:hAnsi="宋体" w:cs="宋体"/>
          <w:bCs/>
          <w:color w:val="auto"/>
          <w:sz w:val="21"/>
          <w:szCs w:val="21"/>
          <w:highlight w:val="none"/>
          <w:lang w:val="en-US" w:eastAsia="zh-CN"/>
        </w:rPr>
        <w:t>灌阳县公安局西山派出所改造提升项目</w:t>
      </w:r>
    </w:p>
    <w:p w14:paraId="18BF8D41">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数量</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不限</w:t>
      </w:r>
    </w:p>
    <w:p w14:paraId="55671AF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预算金额（元）：</w:t>
      </w:r>
      <w:r>
        <w:rPr>
          <w:rFonts w:hint="eastAsia" w:ascii="宋体" w:hAnsi="宋体" w:cs="宋体"/>
          <w:bCs/>
          <w:color w:val="auto"/>
          <w:sz w:val="21"/>
          <w:szCs w:val="21"/>
          <w:highlight w:val="none"/>
          <w:lang w:val="en-US" w:eastAsia="zh-CN"/>
        </w:rPr>
        <w:t>1242231.01</w:t>
      </w:r>
    </w:p>
    <w:p w14:paraId="16C3DFBB">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简要规格描述或项目基本概况介绍、用途：</w:t>
      </w:r>
      <w:r>
        <w:rPr>
          <w:rFonts w:hint="eastAsia" w:ascii="宋体" w:hAnsi="宋体" w:cs="宋体"/>
          <w:bCs/>
          <w:color w:val="auto"/>
          <w:sz w:val="21"/>
          <w:szCs w:val="21"/>
          <w:highlight w:val="none"/>
          <w:lang w:val="en-US" w:eastAsia="zh-CN"/>
        </w:rPr>
        <w:t>项目位于广西桂林市灌阳县，其中备勤楼改造提升总面积为468.26平方米（其中扩建面积为251.87平方米）；业务用房改造提升总面积为362.34平方米（其中扩建面积为120.78平方米）；</w:t>
      </w:r>
      <w:r>
        <w:rPr>
          <w:rFonts w:hint="eastAsia" w:ascii="宋体" w:hAnsi="宋体" w:eastAsia="宋体" w:cs="宋体"/>
          <w:bCs/>
          <w:color w:val="auto"/>
          <w:sz w:val="21"/>
          <w:szCs w:val="21"/>
          <w:highlight w:val="none"/>
          <w:lang w:val="en-US" w:eastAsia="zh-CN"/>
        </w:rPr>
        <w:t>本项目改造内容：拆除原有建筑新建食堂用房</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既有备勤楼进行改造,内容包括:外立面基层涂料修补,规划空调外机,内装墙面、顶棚翻新,门窗、水电管网更新；既有业务用房进行改造,内容包括:外立面基层涂料修补,规划空调外机,内装墙面、顶棚,门窗、水电管网更新；既有2层业务用房加建1层办公用房。具体详见施工图纸及工程量清单。</w:t>
      </w:r>
    </w:p>
    <w:p w14:paraId="79F2A2F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最高限价（如有）：</w:t>
      </w:r>
      <w:r>
        <w:rPr>
          <w:rFonts w:hint="eastAsia" w:ascii="宋体" w:hAnsi="宋体" w:cs="宋体"/>
          <w:bCs/>
          <w:color w:val="auto"/>
          <w:sz w:val="21"/>
          <w:szCs w:val="21"/>
          <w:highlight w:val="none"/>
          <w:lang w:val="en-US" w:eastAsia="zh-CN"/>
        </w:rPr>
        <w:t>1242231.01</w:t>
      </w:r>
    </w:p>
    <w:p w14:paraId="4E92C6B8">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合同履约期限：</w:t>
      </w:r>
      <w:r>
        <w:rPr>
          <w:rFonts w:hint="eastAsia" w:ascii="宋体" w:hAnsi="宋体" w:cs="宋体"/>
          <w:bCs/>
          <w:color w:val="auto"/>
          <w:sz w:val="21"/>
          <w:szCs w:val="21"/>
          <w:highlight w:val="none"/>
          <w:lang w:val="en-US" w:eastAsia="zh-CN"/>
        </w:rPr>
        <w:t>自合同签订之日起120个日历天内完工</w:t>
      </w:r>
    </w:p>
    <w:p w14:paraId="5A7E4B3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本标项（否）接受联合体投标</w:t>
      </w:r>
    </w:p>
    <w:p w14:paraId="3549FFB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备注：无</w:t>
      </w:r>
    </w:p>
    <w:p w14:paraId="2281136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二、申请人的资格要求：</w:t>
      </w:r>
      <w:bookmarkEnd w:id="11"/>
      <w:bookmarkEnd w:id="12"/>
      <w:bookmarkEnd w:id="13"/>
      <w:bookmarkEnd w:id="14"/>
    </w:p>
    <w:p w14:paraId="4C255FC2">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1、满足《中华人民共和国政府采购法》第二十二条规定；</w:t>
      </w:r>
    </w:p>
    <w:p w14:paraId="28A07E1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bookmarkStart w:id="15" w:name="_Toc28359014"/>
      <w:bookmarkStart w:id="16" w:name="_Toc28359091"/>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落实政府采购政策需满足的资格要求：本项目为专门面向小微企业采购的项目（供应商应为小微企业、监狱企业、残疾人福利性单位)；</w:t>
      </w:r>
    </w:p>
    <w:p w14:paraId="34EBC97C">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本项目的特定资格要求：</w:t>
      </w:r>
      <w:bookmarkStart w:id="17" w:name="_Toc35393631"/>
      <w:bookmarkStart w:id="18" w:name="_Toc35393800"/>
      <w:r>
        <w:rPr>
          <w:rFonts w:hint="eastAsia" w:ascii="宋体" w:hAnsi="宋体" w:eastAsia="宋体" w:cs="宋体"/>
          <w:bCs/>
          <w:color w:val="auto"/>
          <w:sz w:val="21"/>
          <w:szCs w:val="21"/>
          <w:highlight w:val="none"/>
          <w:lang w:eastAsia="zh-CN"/>
        </w:rPr>
        <w:t xml:space="preserve">分标1具备建筑工程施工总承包三级（含三级）以上资质，同时具有有效的安全生产许可证，并在人员、设备、资金等方面具备相应的施工能力；项目负责人须具备建筑工程贰级以上（含贰级）注册建造师执业资格资格，具有安全生产考核B证,且未担任其他在施建设工程项目的项目经理（符合《广西壮族自治区建筑市场诚信卡管理暂行办法》第十六条第一款及桂建管﹝2016﹞70号、桂建管〔2019〕26号和桂建管〔2020〕11号文除外）。 </w:t>
      </w:r>
    </w:p>
    <w:bookmarkEnd w:id="15"/>
    <w:bookmarkEnd w:id="16"/>
    <w:bookmarkEnd w:id="17"/>
    <w:bookmarkEnd w:id="18"/>
    <w:p w14:paraId="7633D25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lang w:eastAsia="zh-CN"/>
        </w:rPr>
      </w:pPr>
      <w:bookmarkStart w:id="19" w:name="_Toc35393623"/>
      <w:bookmarkStart w:id="20" w:name="_Toc35393792"/>
      <w:bookmarkStart w:id="21" w:name="_Toc35393805"/>
      <w:bookmarkStart w:id="22" w:name="_Toc28359018"/>
      <w:bookmarkStart w:id="23" w:name="_Toc28359095"/>
      <w:bookmarkStart w:id="24" w:name="_Toc35393636"/>
      <w:r>
        <w:rPr>
          <w:rFonts w:hint="eastAsia" w:ascii="宋体" w:hAnsi="宋体" w:eastAsia="宋体" w:cs="宋体"/>
          <w:b/>
          <w:bCs/>
          <w:color w:val="auto"/>
          <w:sz w:val="21"/>
          <w:szCs w:val="21"/>
          <w:highlight w:val="none"/>
        </w:rPr>
        <w:t>三、获取</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w:t>
      </w:r>
      <w:bookmarkEnd w:id="19"/>
      <w:bookmarkEnd w:id="20"/>
      <w:r>
        <w:rPr>
          <w:rFonts w:hint="eastAsia" w:ascii="宋体" w:hAnsi="宋体" w:eastAsia="宋体" w:cs="宋体"/>
          <w:b/>
          <w:bCs/>
          <w:color w:val="auto"/>
          <w:sz w:val="21"/>
          <w:szCs w:val="21"/>
          <w:highlight w:val="none"/>
          <w:lang w:eastAsia="zh-CN"/>
        </w:rPr>
        <w:t>：</w:t>
      </w:r>
    </w:p>
    <w:p w14:paraId="031272DE">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bookmarkStart w:id="25" w:name="_Toc28359005"/>
      <w:bookmarkStart w:id="26" w:name="_Toc28359082"/>
      <w:bookmarkStart w:id="27" w:name="_Toc35393793"/>
      <w:bookmarkStart w:id="28" w:name="_Toc35393624"/>
      <w:r>
        <w:rPr>
          <w:rFonts w:hint="eastAsia" w:ascii="宋体" w:hAnsi="宋体" w:eastAsia="宋体" w:cs="宋体"/>
          <w:bCs/>
          <w:color w:val="auto"/>
          <w:sz w:val="21"/>
          <w:szCs w:val="21"/>
          <w:highlight w:val="none"/>
          <w:lang w:eastAsia="zh-CN"/>
        </w:rPr>
        <w:t>时间：2026年08月19日至2026年08月31日，每天上午00:00:00至12:00:00，下午12:00:00至23:59:59（北京时间，法定节假日除外）</w:t>
      </w:r>
      <w:r>
        <w:rPr>
          <w:rFonts w:hint="eastAsia" w:ascii="宋体" w:hAnsi="宋体" w:cs="宋体"/>
          <w:bCs/>
          <w:color w:val="auto"/>
          <w:sz w:val="21"/>
          <w:szCs w:val="21"/>
          <w:highlight w:val="none"/>
          <w:lang w:eastAsia="zh-CN"/>
        </w:rPr>
        <w:t>。</w:t>
      </w:r>
    </w:p>
    <w:p w14:paraId="6A5F2235">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地点（网址）：广西政府采购云平台（https</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//www.gcy.zfcg.gxzf.gov.cn/）线上获取</w:t>
      </w:r>
      <w:r>
        <w:rPr>
          <w:rFonts w:hint="eastAsia" w:ascii="宋体" w:hAnsi="宋体" w:cs="宋体"/>
          <w:bCs/>
          <w:color w:val="auto"/>
          <w:sz w:val="21"/>
          <w:szCs w:val="21"/>
          <w:highlight w:val="none"/>
          <w:lang w:eastAsia="zh-CN"/>
        </w:rPr>
        <w:t>。</w:t>
      </w:r>
    </w:p>
    <w:p w14:paraId="1F08F066">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方式：供应商登录广西政府采购云平台https://www.gcy.zfcg.gxzf.gov.cn/在线申请获取采购文件（进入“项目采购”应用，在获取采购文件菜单中选择项目，申请获取采购文件）</w:t>
      </w:r>
      <w:r>
        <w:rPr>
          <w:rFonts w:hint="eastAsia" w:ascii="宋体" w:hAnsi="宋体" w:cs="宋体"/>
          <w:bCs/>
          <w:color w:val="auto"/>
          <w:sz w:val="21"/>
          <w:szCs w:val="21"/>
          <w:highlight w:val="none"/>
          <w:lang w:eastAsia="zh-CN"/>
        </w:rPr>
        <w:t>。</w:t>
      </w:r>
    </w:p>
    <w:p w14:paraId="0B95796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售价（元）：0。</w:t>
      </w:r>
    </w:p>
    <w:p w14:paraId="6007C1C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w:t>
      </w:r>
      <w:bookmarkEnd w:id="25"/>
      <w:bookmarkEnd w:id="26"/>
      <w:r>
        <w:rPr>
          <w:rFonts w:hint="eastAsia" w:ascii="宋体" w:hAnsi="宋体" w:eastAsia="宋体" w:cs="宋体"/>
          <w:b/>
          <w:bCs/>
          <w:color w:val="auto"/>
          <w:sz w:val="21"/>
          <w:szCs w:val="21"/>
          <w:highlight w:val="none"/>
          <w:lang w:eastAsia="zh-CN"/>
        </w:rPr>
        <w:t>提交</w:t>
      </w:r>
      <w:r>
        <w:rPr>
          <w:rFonts w:hint="eastAsia" w:ascii="宋体" w:hAnsi="宋体" w:eastAsia="宋体" w:cs="宋体"/>
          <w:b/>
          <w:bCs/>
          <w:color w:val="auto"/>
          <w:sz w:val="21"/>
          <w:szCs w:val="21"/>
          <w:highlight w:val="none"/>
        </w:rPr>
        <w:t>时间和地点</w:t>
      </w:r>
      <w:bookmarkEnd w:id="27"/>
      <w:bookmarkEnd w:id="28"/>
    </w:p>
    <w:p w14:paraId="36E36438">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截止时间：</w:t>
      </w:r>
      <w:r>
        <w:rPr>
          <w:rFonts w:hint="eastAsia" w:ascii="宋体" w:hAnsi="宋体" w:cs="宋体"/>
          <w:bCs/>
          <w:color w:val="auto"/>
          <w:sz w:val="21"/>
          <w:szCs w:val="21"/>
          <w:highlight w:val="none"/>
          <w:lang w:eastAsia="zh-CN"/>
        </w:rPr>
        <w:t>2026年08月31日</w:t>
      </w:r>
      <w:r>
        <w:rPr>
          <w:rFonts w:hint="eastAsia" w:ascii="宋体" w:hAnsi="宋体" w:eastAsia="宋体" w:cs="宋体"/>
          <w:bCs/>
          <w:color w:val="auto"/>
          <w:sz w:val="21"/>
          <w:szCs w:val="21"/>
          <w:highlight w:val="none"/>
          <w:lang w:val="en-US" w:eastAsia="zh-CN"/>
        </w:rPr>
        <w:t>9时30分</w:t>
      </w:r>
      <w:r>
        <w:rPr>
          <w:rFonts w:hint="eastAsia" w:ascii="宋体" w:hAnsi="宋体" w:eastAsia="宋体" w:cs="宋体"/>
          <w:bCs/>
          <w:color w:val="auto"/>
          <w:sz w:val="21"/>
          <w:szCs w:val="21"/>
          <w:highlight w:val="none"/>
          <w:lang w:eastAsia="zh-CN"/>
        </w:rPr>
        <w:t>（北京时间）。</w:t>
      </w:r>
    </w:p>
    <w:p w14:paraId="030BC2F6">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地</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lang w:eastAsia="zh-CN"/>
        </w:rPr>
        <w:t>点：请登录广西政府采购云平台投标客户端投标</w:t>
      </w:r>
    </w:p>
    <w:p w14:paraId="1CF5727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五、开启</w:t>
      </w:r>
    </w:p>
    <w:p w14:paraId="6A6989A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时间：</w:t>
      </w:r>
      <w:r>
        <w:rPr>
          <w:rFonts w:hint="eastAsia" w:ascii="宋体" w:hAnsi="宋体" w:cs="宋体"/>
          <w:bCs/>
          <w:color w:val="auto"/>
          <w:sz w:val="21"/>
          <w:szCs w:val="21"/>
          <w:highlight w:val="none"/>
          <w:lang w:eastAsia="zh-CN"/>
        </w:rPr>
        <w:t>2026年08月31日</w:t>
      </w:r>
      <w:r>
        <w:rPr>
          <w:rFonts w:hint="eastAsia" w:ascii="宋体" w:hAnsi="宋体" w:eastAsia="宋体" w:cs="宋体"/>
          <w:bCs/>
          <w:color w:val="auto"/>
          <w:sz w:val="21"/>
          <w:szCs w:val="21"/>
          <w:highlight w:val="none"/>
          <w:lang w:val="en-US" w:eastAsia="zh-CN"/>
        </w:rPr>
        <w:t>9时30分</w:t>
      </w:r>
      <w:r>
        <w:rPr>
          <w:rFonts w:hint="eastAsia" w:ascii="宋体" w:hAnsi="宋体" w:eastAsia="宋体" w:cs="宋体"/>
          <w:bCs/>
          <w:color w:val="auto"/>
          <w:sz w:val="21"/>
          <w:szCs w:val="21"/>
          <w:highlight w:val="none"/>
          <w:lang w:eastAsia="zh-CN"/>
        </w:rPr>
        <w:t>（北京时间）截标后。</w:t>
      </w:r>
    </w:p>
    <w:p w14:paraId="0A457B8F">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地</w:t>
      </w:r>
      <w:r>
        <w:rPr>
          <w:rFonts w:hint="eastAsia" w:ascii="宋体" w:hAnsi="宋体" w:eastAsia="宋体" w:cs="宋体"/>
          <w:bCs/>
          <w:color w:val="auto"/>
          <w:kern w:val="0"/>
          <w:szCs w:val="21"/>
          <w:highlight w:val="none"/>
        </w:rPr>
        <w:t>点</w:t>
      </w:r>
      <w:r>
        <w:rPr>
          <w:rFonts w:hint="eastAsia" w:ascii="宋体" w:hAnsi="宋体" w:eastAsia="宋体" w:cs="宋体"/>
          <w:color w:val="auto"/>
          <w:sz w:val="21"/>
          <w:szCs w:val="21"/>
          <w:highlight w:val="none"/>
        </w:rPr>
        <w:t>：通过广西政府采购云平台（https：//www.gcy.zfcg.gxzf.gov.cn/）实行在线响应。</w:t>
      </w:r>
    </w:p>
    <w:p w14:paraId="6305FF0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bookmarkStart w:id="29" w:name="_Toc28359007"/>
      <w:bookmarkStart w:id="30" w:name="_Toc28359084"/>
      <w:bookmarkStart w:id="31" w:name="_Toc35393794"/>
      <w:bookmarkStart w:id="32" w:name="_Toc35393625"/>
      <w:r>
        <w:rPr>
          <w:rFonts w:hint="eastAsia" w:ascii="宋体" w:hAnsi="宋体" w:eastAsia="宋体" w:cs="宋体"/>
          <w:b/>
          <w:bCs/>
          <w:color w:val="auto"/>
          <w:sz w:val="21"/>
          <w:szCs w:val="21"/>
          <w:highlight w:val="none"/>
          <w:lang w:eastAsia="zh-CN"/>
        </w:rPr>
        <w:t>六</w:t>
      </w:r>
      <w:r>
        <w:rPr>
          <w:rFonts w:hint="eastAsia" w:ascii="宋体" w:hAnsi="宋体" w:eastAsia="宋体" w:cs="宋体"/>
          <w:b/>
          <w:bCs/>
          <w:color w:val="auto"/>
          <w:sz w:val="21"/>
          <w:szCs w:val="21"/>
          <w:highlight w:val="none"/>
        </w:rPr>
        <w:t>、公告期限</w:t>
      </w:r>
      <w:bookmarkEnd w:id="29"/>
      <w:bookmarkEnd w:id="30"/>
      <w:bookmarkEnd w:id="31"/>
      <w:bookmarkEnd w:id="32"/>
    </w:p>
    <w:p w14:paraId="067A1743">
      <w:pPr>
        <w:keepNext w:val="0"/>
        <w:keepLines w:val="0"/>
        <w:pageBreakBefore w:val="0"/>
        <w:widowControl w:val="0"/>
        <w:wordWrap/>
        <w:topLinePunct w:val="0"/>
        <w:bidi w:val="0"/>
        <w:spacing w:line="380" w:lineRule="exact"/>
        <w:ind w:firstLine="54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2C93736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bookmarkStart w:id="33" w:name="_Toc35393626"/>
      <w:bookmarkStart w:id="34" w:name="_Toc35393795"/>
      <w:r>
        <w:rPr>
          <w:rFonts w:hint="eastAsia" w:ascii="宋体" w:hAnsi="宋体" w:eastAsia="宋体" w:cs="宋体"/>
          <w:b/>
          <w:bCs/>
          <w:color w:val="auto"/>
          <w:sz w:val="21"/>
          <w:szCs w:val="21"/>
          <w:highlight w:val="none"/>
          <w:lang w:eastAsia="zh-CN"/>
        </w:rPr>
        <w:t>七</w:t>
      </w:r>
      <w:r>
        <w:rPr>
          <w:rFonts w:hint="eastAsia" w:ascii="宋体" w:hAnsi="宋体" w:eastAsia="宋体" w:cs="宋体"/>
          <w:b/>
          <w:bCs/>
          <w:color w:val="auto"/>
          <w:sz w:val="21"/>
          <w:szCs w:val="21"/>
          <w:highlight w:val="none"/>
        </w:rPr>
        <w:t>、其他补充事宜</w:t>
      </w:r>
      <w:bookmarkEnd w:id="33"/>
      <w:bookmarkEnd w:id="34"/>
    </w:p>
    <w:p w14:paraId="2D05550C">
      <w:pPr>
        <w:keepNext w:val="0"/>
        <w:keepLines w:val="0"/>
        <w:pageBreakBefore w:val="0"/>
        <w:widowControl w:val="0"/>
        <w:wordWrap/>
        <w:topLinePunct w:val="0"/>
        <w:bidi w:val="0"/>
        <w:spacing w:line="380" w:lineRule="exact"/>
        <w:ind w:firstLine="54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、本项目无需缴纳磋商保证金。</w:t>
      </w:r>
    </w:p>
    <w:p w14:paraId="53D2BA2E">
      <w:pPr>
        <w:keepNext w:val="0"/>
        <w:keepLines w:val="0"/>
        <w:pageBreakBefore w:val="0"/>
        <w:widowControl w:val="0"/>
        <w:wordWrap/>
        <w:topLinePunct w:val="0"/>
        <w:bidi w:val="0"/>
        <w:spacing w:line="380" w:lineRule="exact"/>
        <w:ind w:firstLine="540"/>
        <w:rPr>
          <w:rFonts w:hint="eastAsia" w:ascii="宋体" w:hAnsi="宋体"/>
          <w:color w:val="auto"/>
          <w:szCs w:val="21"/>
          <w:lang w:val="en-US" w:eastAsia="zh-CN"/>
        </w:rPr>
      </w:pPr>
      <w:r>
        <w:rPr>
          <w:rFonts w:hint="eastAsia" w:ascii="宋体" w:hAnsi="宋体" w:eastAsia="宋体" w:cs="宋体"/>
          <w:b/>
          <w:bCs w:val="0"/>
          <w:color w:val="auto"/>
          <w:sz w:val="21"/>
          <w:szCs w:val="21"/>
          <w:highlight w:val="none"/>
          <w:lang w:val="en-US" w:eastAsia="zh-CN"/>
        </w:rPr>
        <w:t>2、本项目专门面向中小企业采购；中小企业划分标准所属行业为：建筑业</w:t>
      </w:r>
      <w:r>
        <w:rPr>
          <w:rFonts w:hint="eastAsia" w:ascii="宋体" w:hAnsi="宋体" w:eastAsia="宋体" w:cs="宋体"/>
          <w:bCs/>
          <w:color w:val="auto"/>
          <w:sz w:val="21"/>
          <w:szCs w:val="21"/>
          <w:highlight w:val="none"/>
          <w:lang w:val="en-US" w:eastAsia="zh-CN"/>
        </w:rPr>
        <w:t>。</w:t>
      </w:r>
    </w:p>
    <w:p w14:paraId="0548F6E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本项目信息发布媒体：中国政府采购网（www.ccgp.gov.cn）；广西壮族自治区政府采购网（www.ccgp-guangxi.gov.cn）；桂林市政府采购网（zfcg.czj.guilin.gov.cn）。</w:t>
      </w:r>
    </w:p>
    <w:p w14:paraId="28710BF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4、本项目需要落实的政府采购政策：</w:t>
      </w:r>
    </w:p>
    <w:p w14:paraId="0B7DFB28">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（1）政府采购促进中小企业发展。</w:t>
      </w:r>
    </w:p>
    <w:p w14:paraId="0E9624A2">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（2）政府采购促进残疾人就业政策。</w:t>
      </w:r>
    </w:p>
    <w:p w14:paraId="01861E8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（3）政府采购支持监狱企业发展。</w:t>
      </w:r>
    </w:p>
    <w:p w14:paraId="4BB9831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5、资格要求特别说明：</w:t>
      </w:r>
    </w:p>
    <w:p w14:paraId="18221CCF">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DE76FC4">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1F225D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0B1705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6、“广西政府采购云平台”平台电子磋商相关事宜：</w:t>
      </w:r>
    </w:p>
    <w:p w14:paraId="124782F5">
      <w:pPr>
        <w:keepNext w:val="0"/>
        <w:keepLines w:val="0"/>
        <w:pageBreakBefore w:val="0"/>
        <w:widowControl w:val="0"/>
        <w:wordWrap/>
        <w:topLinePunct w:val="0"/>
        <w:bidi w:val="0"/>
        <w:spacing w:line="380" w:lineRule="exact"/>
        <w:ind w:firstLine="540"/>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r>
        <w:rPr>
          <w:rFonts w:hint="default" w:ascii="宋体" w:hAnsi="宋体" w:eastAsia="宋体" w:cs="宋体"/>
          <w:bCs/>
          <w:color w:val="auto"/>
          <w:sz w:val="21"/>
          <w:szCs w:val="21"/>
          <w:highlight w:val="none"/>
          <w:lang w:val="en-US" w:eastAsia="zh-CN"/>
        </w:rPr>
        <w:t>1）本项目实行全流程电子化采购，</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通过“</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”平台参与电子</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，并应做好以下相关准备工作：①在“</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”平台注册成为正式供应商（操作方法详见广西壮族自治区政府采购网—办事服务—办事指南）；②完成CA认证证书申领和绑定（费用由</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自行承担，办理流程详见广西壮族自治区政府采购网—办事服务—下载专区，完成CA认证证书办理预计一周左右，建议供应商尽快办理）；③下载“广西壮族自治区全流程电子招投标项目管理系统--供应商客户端”（操作方法详见广西壮族自治区政府采购网—办事服务—下载专区，以下称“</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电子投标客户端”）并安装成功，</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应当在</w:t>
      </w:r>
      <w:r>
        <w:rPr>
          <w:rFonts w:hint="eastAsia" w:ascii="宋体" w:hAnsi="宋体" w:eastAsia="宋体" w:cs="宋体"/>
          <w:bCs/>
          <w:color w:val="auto"/>
          <w:sz w:val="21"/>
          <w:szCs w:val="21"/>
          <w:highlight w:val="none"/>
          <w:lang w:val="en-US" w:eastAsia="zh-CN"/>
        </w:rPr>
        <w:t>响应</w:t>
      </w:r>
      <w:r>
        <w:rPr>
          <w:rFonts w:hint="default" w:ascii="宋体" w:hAnsi="宋体" w:eastAsia="宋体" w:cs="宋体"/>
          <w:bCs/>
          <w:color w:val="auto"/>
          <w:sz w:val="21"/>
          <w:szCs w:val="21"/>
          <w:highlight w:val="none"/>
          <w:lang w:val="en-US" w:eastAsia="zh-CN"/>
        </w:rPr>
        <w:t>文件提交截止时间前在“</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”平台完成的身份认证，确保能够对相关数据电文进行加密和使用电子签章；④自备计算机和网络设备并确保能接入互联网（费用由</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自行承担，设备确保可进行视频通话和读取</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CA认证证书）。因</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未做好相关准备工作等自身原因导致无法参加本项目电子</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或</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失败的，造成的一切后果，由</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自行承担。</w:t>
      </w:r>
    </w:p>
    <w:p w14:paraId="24267349">
      <w:pPr>
        <w:keepNext w:val="0"/>
        <w:keepLines w:val="0"/>
        <w:pageBreakBefore w:val="0"/>
        <w:widowControl w:val="0"/>
        <w:wordWrap/>
        <w:topLinePunct w:val="0"/>
        <w:bidi w:val="0"/>
        <w:spacing w:line="380" w:lineRule="exact"/>
        <w:ind w:firstLine="540"/>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（2）电子</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具体操作流程参考《政府采购项目电子交易管理操作指南-供应商》（详见桂林市政府采购网—采购资讯—重要通知）；如遇平台技术问题详询95763。</w:t>
      </w:r>
    </w:p>
    <w:p w14:paraId="67978972">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（3）电子</w:t>
      </w:r>
      <w:r>
        <w:rPr>
          <w:rFonts w:hint="eastAsia" w:ascii="宋体" w:hAnsi="宋体" w:eastAsia="宋体" w:cs="宋体"/>
          <w:bCs/>
          <w:color w:val="auto"/>
          <w:sz w:val="21"/>
          <w:szCs w:val="21"/>
          <w:highlight w:val="none"/>
          <w:lang w:val="en-US" w:eastAsia="zh-CN"/>
        </w:rPr>
        <w:t>响应</w:t>
      </w:r>
      <w:r>
        <w:rPr>
          <w:rFonts w:hint="default" w:ascii="宋体" w:hAnsi="宋体" w:eastAsia="宋体" w:cs="宋体"/>
          <w:bCs/>
          <w:color w:val="auto"/>
          <w:sz w:val="21"/>
          <w:szCs w:val="21"/>
          <w:highlight w:val="none"/>
          <w:lang w:val="en-US" w:eastAsia="zh-CN"/>
        </w:rPr>
        <w:t>文件的制作、加密、提交、解密等相关事宜详见第二章 “</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须知”。</w:t>
      </w:r>
    </w:p>
    <w:p w14:paraId="0F50C46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4</w:t>
      </w:r>
      <w:r>
        <w:rPr>
          <w:rFonts w:hint="default" w:ascii="宋体" w:hAnsi="宋体" w:eastAsia="宋体" w:cs="宋体"/>
          <w:bCs/>
          <w:color w:val="auto"/>
          <w:sz w:val="21"/>
          <w:szCs w:val="21"/>
          <w:highlight w:val="none"/>
          <w:lang w:val="en-US" w:eastAsia="zh-CN"/>
        </w:rPr>
        <w:t>）</w:t>
      </w:r>
      <w:r>
        <w:rPr>
          <w:rFonts w:hint="eastAsia" w:ascii="宋体" w:hAnsi="宋体" w:eastAsia="宋体" w:cs="宋体"/>
          <w:color w:val="auto"/>
          <w:szCs w:val="21"/>
          <w:highlight w:val="none"/>
        </w:rPr>
        <w:t>磋商响应文件解密时间</w:t>
      </w:r>
      <w:r>
        <w:rPr>
          <w:rFonts w:hint="eastAsia" w:ascii="宋体" w:hAnsi="宋体" w:eastAsia="宋体" w:cs="宋体"/>
          <w:b w:val="0"/>
          <w:bCs w:val="0"/>
          <w:color w:val="auto"/>
          <w:kern w:val="2"/>
          <w:highlight w:val="none"/>
          <w:lang w:eastAsia="zh-CN"/>
        </w:rPr>
        <w:t>：截标时间后</w:t>
      </w:r>
      <w:r>
        <w:rPr>
          <w:rFonts w:hint="eastAsia" w:ascii="宋体" w:hAnsi="宋体" w:eastAsia="宋体" w:cs="宋体"/>
          <w:b w:val="0"/>
          <w:bCs w:val="0"/>
          <w:color w:val="auto"/>
          <w:kern w:val="2"/>
          <w:highlight w:val="none"/>
          <w:u w:val="single"/>
          <w:lang w:eastAsia="zh-CN"/>
        </w:rPr>
        <w:t>30</w:t>
      </w:r>
      <w:r>
        <w:rPr>
          <w:rFonts w:hint="eastAsia" w:ascii="宋体" w:hAnsi="宋体" w:eastAsia="宋体" w:cs="宋体"/>
          <w:b w:val="0"/>
          <w:bCs w:val="0"/>
          <w:color w:val="auto"/>
          <w:kern w:val="2"/>
          <w:highlight w:val="none"/>
          <w:lang w:eastAsia="zh-CN"/>
        </w:rPr>
        <w:t>分钟内（</w:t>
      </w:r>
      <w:r>
        <w:rPr>
          <w:rFonts w:hint="eastAsia" w:ascii="宋体" w:hAnsi="宋体" w:cs="宋体"/>
          <w:b w:val="0"/>
          <w:bCs w:val="0"/>
          <w:color w:val="auto"/>
          <w:kern w:val="2"/>
          <w:highlight w:val="none"/>
          <w:lang w:eastAsia="zh-CN"/>
        </w:rPr>
        <w:t>2026年08月31日</w:t>
      </w:r>
      <w:r>
        <w:rPr>
          <w:rFonts w:hint="eastAsia" w:ascii="宋体" w:hAnsi="宋体" w:eastAsia="宋体" w:cs="宋体"/>
          <w:b w:val="0"/>
          <w:bCs w:val="0"/>
          <w:color w:val="auto"/>
          <w:kern w:val="2"/>
          <w:highlight w:val="none"/>
          <w:lang w:eastAsia="zh-CN"/>
        </w:rPr>
        <w:t>9时30分至10时00分)磋商供应商可以登录</w:t>
      </w:r>
      <w:r>
        <w:rPr>
          <w:rFonts w:hint="eastAsia" w:ascii="宋体" w:hAnsi="宋体" w:cs="宋体"/>
          <w:b w:val="0"/>
          <w:bCs w:val="0"/>
          <w:color w:val="auto"/>
          <w:kern w:val="2"/>
          <w:highlight w:val="none"/>
          <w:lang w:eastAsia="zh-CN"/>
        </w:rPr>
        <w:t>广西政府采购云平台</w:t>
      </w:r>
      <w:r>
        <w:rPr>
          <w:rFonts w:hint="eastAsia" w:ascii="宋体" w:hAnsi="宋体" w:eastAsia="宋体" w:cs="宋体"/>
          <w:b w:val="0"/>
          <w:bCs w:val="0"/>
          <w:color w:val="auto"/>
          <w:kern w:val="2"/>
          <w:highlight w:val="none"/>
          <w:lang w:eastAsia="zh-CN"/>
        </w:rPr>
        <w:t>，用“项目采购-开标评标”功能进行解密</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。若</w:t>
      </w:r>
      <w:r>
        <w:rPr>
          <w:rFonts w:hint="eastAsia" w:ascii="宋体" w:hAnsi="宋体" w:eastAsia="宋体" w:cs="宋体"/>
          <w:color w:val="auto"/>
          <w:highlight w:val="none"/>
          <w:lang w:eastAsia="zh-CN"/>
        </w:rPr>
        <w:t>磋商供应商</w:t>
      </w:r>
      <w:r>
        <w:rPr>
          <w:rFonts w:hint="eastAsia" w:ascii="宋体" w:hAnsi="宋体" w:eastAsia="宋体" w:cs="宋体"/>
          <w:b w:val="0"/>
          <w:bCs w:val="0"/>
          <w:color w:val="auto"/>
          <w:kern w:val="2"/>
          <w:highlight w:val="none"/>
          <w:lang w:eastAsia="zh-CN"/>
        </w:rPr>
        <w:t>在规定时间内无法解密或解密失败，可以以电子备份</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作为依据</w:t>
      </w:r>
      <w:r>
        <w:rPr>
          <w:rFonts w:hint="eastAsia" w:ascii="宋体" w:hAnsi="宋体" w:eastAsia="宋体" w:cs="宋体"/>
          <w:b/>
          <w:bCs/>
          <w:color w:val="auto"/>
          <w:kern w:val="2"/>
          <w:highlight w:val="none"/>
          <w:lang w:eastAsia="zh-CN"/>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eastAsia" w:ascii="宋体" w:hAnsi="宋体" w:eastAsia="宋体" w:cs="宋体"/>
          <w:b w:val="0"/>
          <w:bCs w:val="0"/>
          <w:color w:val="auto"/>
          <w:kern w:val="2"/>
          <w:highlight w:val="none"/>
          <w:lang w:eastAsia="zh-CN"/>
        </w:rPr>
        <w:t>，若磋商供应商在规定时间内无法解密或解密失败且未提供电子备份磋商响应文件的(包含提供的电子备份文件无效或无法解密的情况)，视为无效响应。</w:t>
      </w:r>
    </w:p>
    <w:p w14:paraId="673D9DEB">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（5）磋商响应文件的最后报价：本项目需要磋商供应商代表在截标当天截标后，按磋商小组要求及时登陆“广西政府采购云”平台等候在线磋商及提交最后报价。</w:t>
      </w:r>
    </w:p>
    <w:p w14:paraId="14D18DFD">
      <w:pPr>
        <w:keepNext w:val="0"/>
        <w:keepLines w:val="0"/>
        <w:pageBreakBefore w:val="0"/>
        <w:widowControl w:val="0"/>
        <w:wordWrap/>
        <w:topLinePunct w:val="0"/>
        <w:bidi w:val="0"/>
        <w:spacing w:line="380" w:lineRule="exact"/>
        <w:ind w:firstLine="54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本采购项目为广西政府采购云全流程电子化操作，参与磋商的供应商需自备计算机和网络设备（设备需可视频通话和读取广西政府采购云CA数字证书），确保磋商过程顺利进行；因供应商自身设备或网络原因造成的一切后果，由供应商自行承担。</w:t>
      </w:r>
    </w:p>
    <w:p w14:paraId="13D0284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7、监督管理部门：灌阳县财政局；电话：0773-4250206。</w:t>
      </w:r>
    </w:p>
    <w:p w14:paraId="6F855E6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八、凡对本次采购提出询问，请按以下方式联系。</w:t>
      </w:r>
      <w:bookmarkEnd w:id="21"/>
      <w:bookmarkEnd w:id="22"/>
      <w:bookmarkEnd w:id="23"/>
      <w:bookmarkEnd w:id="24"/>
    </w:p>
    <w:p w14:paraId="0734EB83">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采购人信息</w:t>
      </w:r>
    </w:p>
    <w:p w14:paraId="45650EF6">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lang w:eastAsia="zh-CN"/>
        </w:rPr>
        <w:t>灌阳县公安局</w:t>
      </w:r>
    </w:p>
    <w:p w14:paraId="24587AA2">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地址：灌阳县灌阳镇创业路16号</w:t>
      </w:r>
    </w:p>
    <w:p w14:paraId="7AB3C510">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val="en-US" w:eastAsia="zh-CN"/>
        </w:rPr>
        <w:t>唐桂明</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联系电话：18878303539</w:t>
      </w:r>
    </w:p>
    <w:p w14:paraId="286FDD4A">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采购代理机构信息</w:t>
      </w:r>
    </w:p>
    <w:p w14:paraId="76A3BE27">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lang w:eastAsia="zh-CN"/>
        </w:rPr>
        <w:t>广西北部湾宏亚建设管理有限公司</w:t>
      </w:r>
    </w:p>
    <w:p w14:paraId="5AF92072">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eastAsia="zh-CN"/>
        </w:rPr>
        <w:t>桂林市中山中路4号1-5-8#</w:t>
      </w:r>
    </w:p>
    <w:p w14:paraId="620BD6AA">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szCs w:val="21"/>
          <w:highlight w:val="none"/>
        </w:rPr>
        <w:t>项目联系人：</w:t>
      </w:r>
      <w:r>
        <w:rPr>
          <w:rFonts w:hint="eastAsia" w:ascii="宋体" w:hAnsi="宋体" w:cs="宋体"/>
          <w:color w:val="auto"/>
          <w:sz w:val="21"/>
          <w:szCs w:val="21"/>
          <w:highlight w:val="none"/>
          <w:lang w:val="en-US" w:eastAsia="zh-CN"/>
        </w:rPr>
        <w:t>周润强</w:t>
      </w:r>
      <w:r>
        <w:rPr>
          <w:rFonts w:hint="eastAsia" w:ascii="宋体" w:hAnsi="宋体" w:eastAsia="宋体" w:cs="宋体"/>
          <w:color w:val="auto"/>
          <w:sz w:val="21"/>
          <w:szCs w:val="21"/>
          <w:highlight w:val="none"/>
        </w:rPr>
        <w:t xml:space="preserve">    联系电话</w:t>
      </w:r>
      <w:r>
        <w:rPr>
          <w:rFonts w:hint="eastAsia" w:ascii="宋体" w:hAnsi="宋体" w:eastAsia="宋体" w:cs="宋体"/>
          <w:color w:val="auto"/>
          <w:sz w:val="21"/>
          <w:szCs w:val="21"/>
          <w:highlight w:val="none"/>
          <w:lang w:eastAsia="zh-CN"/>
        </w:rPr>
        <w:t>：</w:t>
      </w:r>
      <w:r>
        <w:rPr>
          <w:rFonts w:hint="eastAsia" w:cs="宋体" w:asciiTheme="minorEastAsia" w:hAnsiTheme="minorEastAsia" w:eastAsiaTheme="minorEastAsia"/>
          <w:color w:val="auto"/>
          <w:kern w:val="0"/>
          <w:szCs w:val="21"/>
          <w:lang w:eastAsia="zh-CN"/>
        </w:rPr>
        <w:t>19178348505</w:t>
      </w:r>
    </w:p>
    <w:p w14:paraId="50B827AE">
      <w:pPr>
        <w:keepNext w:val="0"/>
        <w:keepLines w:val="0"/>
        <w:pageBreakBefore w:val="0"/>
        <w:widowControl w:val="0"/>
        <w:wordWrap/>
        <w:topLinePunct w:val="0"/>
        <w:bidi w:val="0"/>
        <w:spacing w:line="380" w:lineRule="exact"/>
        <w:ind w:firstLine="54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52C12733">
      <w:pPr>
        <w:keepNext w:val="0"/>
        <w:keepLines w:val="0"/>
        <w:pageBreakBefore w:val="0"/>
        <w:widowControl w:val="0"/>
        <w:kinsoku/>
        <w:wordWrap/>
        <w:overflowPunct/>
        <w:topLinePunct w:val="0"/>
        <w:autoSpaceDE/>
        <w:autoSpaceDN/>
        <w:bidi w:val="0"/>
        <w:adjustRightInd/>
        <w:snapToGrid/>
        <w:spacing w:line="360" w:lineRule="auto"/>
        <w:ind w:firstLine="525" w:firstLineChars="250"/>
        <w:jc w:val="center"/>
        <w:textAlignment w:val="auto"/>
        <w:rPr>
          <w:rFonts w:hint="eastAsia" w:ascii="宋体" w:hAnsi="宋体" w:eastAsia="宋体"/>
          <w:color w:val="auto"/>
          <w:szCs w:val="21"/>
          <w:highlight w:val="none"/>
          <w:lang w:eastAsia="zh-CN"/>
        </w:rPr>
      </w:pP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color w:val="auto"/>
          <w:szCs w:val="21"/>
          <w:highlight w:val="none"/>
          <w:lang w:eastAsia="zh-CN"/>
        </w:rPr>
        <w:t>广西北部湾宏亚建设管理有限公司</w:t>
      </w:r>
    </w:p>
    <w:p w14:paraId="5E109FB0">
      <w:pPr>
        <w:keepNext w:val="0"/>
        <w:keepLines w:val="0"/>
        <w:pageBreakBefore w:val="0"/>
        <w:widowControl w:val="0"/>
        <w:kinsoku/>
        <w:wordWrap/>
        <w:overflowPunct/>
        <w:topLinePunct w:val="0"/>
        <w:autoSpaceDE/>
        <w:autoSpaceDN/>
        <w:bidi w:val="0"/>
        <w:adjustRightInd/>
        <w:snapToGrid/>
        <w:spacing w:line="360" w:lineRule="auto"/>
        <w:ind w:firstLine="6720" w:firstLineChars="3200"/>
        <w:textAlignment w:val="auto"/>
        <w:rPr>
          <w:rFonts w:hint="eastAsia" w:ascii="宋体" w:hAnsi="宋体"/>
          <w:color w:val="auto"/>
          <w:szCs w:val="21"/>
          <w:highlight w:val="none"/>
        </w:rPr>
      </w:pPr>
      <w:bookmarkStart w:id="35" w:name="_Toc26924"/>
      <w:r>
        <w:rPr>
          <w:rFonts w:hint="eastAsia" w:ascii="宋体" w:hAnsi="宋体"/>
          <w:color w:val="auto"/>
          <w:szCs w:val="21"/>
          <w:highlight w:val="none"/>
          <w:lang w:eastAsia="zh-CN"/>
        </w:rPr>
        <w:t>2026年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19</w:t>
      </w:r>
      <w:r>
        <w:rPr>
          <w:rFonts w:hint="eastAsia" w:ascii="宋体" w:hAnsi="宋体"/>
          <w:color w:val="auto"/>
          <w:szCs w:val="21"/>
          <w:highlight w:val="none"/>
          <w:lang w:eastAsia="zh-CN"/>
        </w:rPr>
        <w:t>日</w:t>
      </w:r>
    </w:p>
    <w:p w14:paraId="20315D16">
      <w:pPr>
        <w:rPr>
          <w:rFonts w:hint="eastAsia" w:ascii="宋体" w:hAnsi="宋体" w:eastAsia="宋体" w:cs="宋体"/>
          <w:color w:val="auto"/>
          <w:sz w:val="32"/>
          <w:szCs w:val="32"/>
          <w:highlight w:val="none"/>
          <w:lang w:eastAsia="zh-CN"/>
        </w:rPr>
      </w:pPr>
      <w:bookmarkStart w:id="36" w:name="_Toc30987"/>
      <w:r>
        <w:rPr>
          <w:rFonts w:hint="eastAsia" w:ascii="宋体" w:hAnsi="宋体" w:eastAsia="宋体" w:cs="宋体"/>
          <w:color w:val="auto"/>
          <w:sz w:val="32"/>
          <w:szCs w:val="32"/>
          <w:highlight w:val="none"/>
          <w:lang w:eastAsia="zh-CN"/>
        </w:rPr>
        <w:br w:type="page"/>
      </w:r>
    </w:p>
    <w:p w14:paraId="49504976">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第二章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供应商须知</w:t>
      </w:r>
      <w:bookmarkEnd w:id="36"/>
    </w:p>
    <w:p w14:paraId="7993215F">
      <w:pPr>
        <w:pStyle w:val="3"/>
        <w:keepNext w:val="0"/>
        <w:keepLines w:val="0"/>
        <w:pageBreakBefore w:val="0"/>
        <w:widowControl w:val="0"/>
        <w:tabs>
          <w:tab w:val="left" w:pos="567"/>
        </w:tabs>
        <w:kinsoku/>
        <w:wordWrap/>
        <w:overflowPunct/>
        <w:topLinePunct w:val="0"/>
        <w:autoSpaceDE/>
        <w:autoSpaceDN/>
        <w:bidi w:val="0"/>
        <w:adjustRightInd/>
        <w:snapToGrid/>
        <w:spacing w:line="400" w:lineRule="exact"/>
        <w:jc w:val="center"/>
        <w:textAlignment w:val="auto"/>
        <w:rPr>
          <w:rFonts w:hint="eastAsia"/>
          <w:color w:val="auto"/>
          <w:highlight w:val="none"/>
          <w:lang w:eastAsia="zh-CN"/>
        </w:rPr>
      </w:pPr>
      <w:bookmarkStart w:id="37" w:name="_Toc1585"/>
      <w:bookmarkStart w:id="38" w:name="_Toc21622"/>
      <w:bookmarkStart w:id="39" w:name="_Toc9508"/>
      <w:bookmarkStart w:id="40" w:name="_Toc13547"/>
      <w:bookmarkStart w:id="41" w:name="_Toc10399"/>
      <w:bookmarkStart w:id="42" w:name="_Toc25063"/>
      <w:r>
        <w:rPr>
          <w:rFonts w:hint="eastAsia" w:ascii="宋体" w:hAnsi="宋体" w:eastAsia="宋体" w:cs="宋体"/>
          <w:b/>
          <w:bCs w:val="0"/>
          <w:color w:val="auto"/>
          <w:sz w:val="24"/>
          <w:szCs w:val="24"/>
          <w:highlight w:val="none"/>
        </w:rPr>
        <w:t>供 应 商 须 知 前 附 表</w:t>
      </w:r>
      <w:bookmarkEnd w:id="37"/>
      <w:bookmarkEnd w:id="38"/>
      <w:bookmarkEnd w:id="39"/>
      <w:bookmarkEnd w:id="40"/>
      <w:bookmarkEnd w:id="41"/>
      <w:bookmarkEnd w:id="42"/>
    </w:p>
    <w:bookmarkEnd w:id="35"/>
    <w:tbl>
      <w:tblPr>
        <w:tblStyle w:val="27"/>
        <w:tblW w:w="10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933"/>
        <w:gridCol w:w="1720"/>
        <w:gridCol w:w="7069"/>
      </w:tblGrid>
      <w:tr w14:paraId="266E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dxa"/>
            <w:noWrap w:val="0"/>
            <w:vAlign w:val="center"/>
          </w:tcPr>
          <w:p w14:paraId="230D85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933" w:type="dxa"/>
            <w:noWrap w:val="0"/>
            <w:vAlign w:val="center"/>
          </w:tcPr>
          <w:p w14:paraId="553659A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1720" w:type="dxa"/>
            <w:noWrap w:val="0"/>
            <w:vAlign w:val="center"/>
          </w:tcPr>
          <w:p w14:paraId="17E8339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条款名称</w:t>
            </w:r>
          </w:p>
        </w:tc>
        <w:tc>
          <w:tcPr>
            <w:tcW w:w="7069" w:type="dxa"/>
            <w:noWrap w:val="0"/>
            <w:vAlign w:val="center"/>
          </w:tcPr>
          <w:p w14:paraId="17E5189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内容、要求</w:t>
            </w:r>
          </w:p>
        </w:tc>
      </w:tr>
      <w:tr w14:paraId="3D33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69" w:type="dxa"/>
            <w:noWrap w:val="0"/>
            <w:vAlign w:val="center"/>
          </w:tcPr>
          <w:p w14:paraId="71EA33B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33" w:type="dxa"/>
            <w:noWrap w:val="0"/>
            <w:vAlign w:val="center"/>
          </w:tcPr>
          <w:p w14:paraId="457C56E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20" w:type="dxa"/>
            <w:noWrap w:val="0"/>
            <w:vAlign w:val="center"/>
          </w:tcPr>
          <w:p w14:paraId="4DDE3D7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项目名称及项目编号</w:t>
            </w:r>
          </w:p>
        </w:tc>
        <w:tc>
          <w:tcPr>
            <w:tcW w:w="7069" w:type="dxa"/>
            <w:noWrap w:val="0"/>
            <w:vAlign w:val="center"/>
          </w:tcPr>
          <w:p w14:paraId="34DF7210">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灌阳县公安局西山派出所改造提升项目</w:t>
            </w:r>
          </w:p>
          <w:p w14:paraId="416D246F">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lang w:eastAsia="zh-CN"/>
              </w:rPr>
              <w:t>项目编号：</w:t>
            </w:r>
            <w:r>
              <w:rPr>
                <w:rFonts w:hint="eastAsia" w:ascii="宋体" w:hAnsi="宋体" w:cs="宋体"/>
                <w:color w:val="auto"/>
                <w:sz w:val="21"/>
                <w:szCs w:val="21"/>
                <w:highlight w:val="none"/>
                <w:lang w:eastAsia="zh-CN"/>
              </w:rPr>
              <w:t>GLZC2026-C2-270030-BBWH</w:t>
            </w:r>
          </w:p>
        </w:tc>
      </w:tr>
      <w:tr w14:paraId="45A2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2F0D6EE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933" w:type="dxa"/>
            <w:noWrap w:val="0"/>
            <w:vAlign w:val="center"/>
          </w:tcPr>
          <w:p w14:paraId="325DA8A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720" w:type="dxa"/>
            <w:noWrap w:val="0"/>
            <w:vAlign w:val="center"/>
          </w:tcPr>
          <w:p w14:paraId="467415E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w:t>
            </w:r>
          </w:p>
        </w:tc>
        <w:tc>
          <w:tcPr>
            <w:tcW w:w="7069" w:type="dxa"/>
            <w:noWrap w:val="0"/>
            <w:vAlign w:val="center"/>
          </w:tcPr>
          <w:p w14:paraId="345B0EA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1、满足《中华人民共和国政府采购法》第二十二条规定；</w:t>
            </w:r>
          </w:p>
          <w:p w14:paraId="16BC85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2、落实政府采购政策需满足的资格要求：</w:t>
            </w:r>
            <w:r>
              <w:rPr>
                <w:rFonts w:hint="eastAsia" w:ascii="宋体" w:hAnsi="宋体" w:eastAsia="宋体" w:cs="宋体"/>
                <w:bCs/>
                <w:color w:val="auto"/>
                <w:sz w:val="21"/>
                <w:szCs w:val="21"/>
                <w:highlight w:val="none"/>
                <w:lang w:eastAsia="zh-CN"/>
              </w:rPr>
              <w:t>本项目为专门面向小微企业采购的项目（供应商应为小微企业、监狱企业、残疾人福利性单位)</w:t>
            </w:r>
            <w:r>
              <w:rPr>
                <w:rFonts w:hint="eastAsia" w:ascii="宋体" w:hAnsi="宋体" w:eastAsia="宋体" w:cs="宋体"/>
                <w:color w:val="auto"/>
                <w:highlight w:val="none"/>
                <w:lang w:val="en-US" w:eastAsia="zh-CN"/>
              </w:rPr>
              <w:t>；</w:t>
            </w:r>
          </w:p>
          <w:p w14:paraId="7A8CE7B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3、本项目的特定资格要求：具备</w:t>
            </w:r>
            <w:r>
              <w:rPr>
                <w:rFonts w:hint="eastAsia" w:ascii="宋体" w:hAnsi="宋体" w:cs="宋体"/>
                <w:color w:val="auto"/>
                <w:highlight w:val="none"/>
                <w:u w:val="single"/>
                <w:lang w:val="en-US" w:eastAsia="zh-CN"/>
              </w:rPr>
              <w:t>建筑工程施工总承包三级（含三级）以上</w:t>
            </w:r>
            <w:r>
              <w:rPr>
                <w:rFonts w:hint="eastAsia" w:ascii="宋体" w:hAnsi="宋体" w:eastAsia="宋体" w:cs="宋体"/>
                <w:color w:val="auto"/>
                <w:highlight w:val="none"/>
                <w:lang w:val="en-US" w:eastAsia="zh-CN"/>
              </w:rPr>
              <w:t>资质，并在人员、设备、资金等方面具备相应的施工能力。</w:t>
            </w:r>
            <w:r>
              <w:rPr>
                <w:rFonts w:hint="eastAsia" w:ascii="宋体" w:hAnsi="宋体" w:eastAsia="宋体" w:cs="宋体"/>
                <w:bCs/>
                <w:color w:val="auto"/>
                <w:sz w:val="21"/>
                <w:szCs w:val="21"/>
                <w:highlight w:val="none"/>
                <w:lang w:eastAsia="zh-CN"/>
              </w:rPr>
              <w:t>项目负责人须具备</w:t>
            </w:r>
            <w:r>
              <w:rPr>
                <w:rFonts w:hint="eastAsia" w:ascii="宋体" w:hAnsi="宋体" w:cs="宋体"/>
                <w:bCs/>
                <w:color w:val="auto"/>
                <w:sz w:val="21"/>
                <w:szCs w:val="21"/>
                <w:highlight w:val="none"/>
                <w:u w:val="single"/>
                <w:lang w:val="en-US" w:eastAsia="zh-CN"/>
              </w:rPr>
              <w:t>建筑工程贰级以上</w:t>
            </w:r>
            <w:r>
              <w:rPr>
                <w:rFonts w:hint="eastAsia" w:ascii="宋体" w:hAnsi="宋体" w:eastAsia="宋体" w:cs="宋体"/>
                <w:bCs/>
                <w:color w:val="auto"/>
                <w:sz w:val="21"/>
                <w:szCs w:val="21"/>
                <w:highlight w:val="none"/>
                <w:u w:val="single"/>
                <w:lang w:eastAsia="zh-CN"/>
              </w:rPr>
              <w:t>（含贰级）</w:t>
            </w:r>
            <w:r>
              <w:rPr>
                <w:rFonts w:hint="eastAsia" w:ascii="宋体" w:hAnsi="宋体" w:eastAsia="宋体" w:cs="宋体"/>
                <w:bCs/>
                <w:color w:val="auto"/>
                <w:sz w:val="21"/>
                <w:szCs w:val="21"/>
                <w:highlight w:val="none"/>
                <w:u w:val="none"/>
                <w:lang w:eastAsia="zh-CN"/>
              </w:rPr>
              <w:t>注册建造师执业资格</w:t>
            </w:r>
            <w:r>
              <w:rPr>
                <w:rFonts w:hint="eastAsia" w:ascii="宋体" w:hAnsi="宋体" w:eastAsia="宋体" w:cs="宋体"/>
                <w:bCs/>
                <w:color w:val="auto"/>
                <w:sz w:val="21"/>
                <w:szCs w:val="21"/>
                <w:highlight w:val="none"/>
                <w:lang w:eastAsia="zh-CN"/>
              </w:rPr>
              <w:t>资格</w:t>
            </w:r>
            <w:r>
              <w:rPr>
                <w:rFonts w:hint="eastAsia" w:ascii="宋体" w:hAnsi="宋体" w:eastAsia="宋体" w:cs="宋体"/>
                <w:color w:val="auto"/>
                <w:highlight w:val="none"/>
                <w:lang w:val="en-US" w:eastAsia="zh-CN"/>
              </w:rPr>
              <w:t>，具有安全生产考核B证,且未担任其他在施建设工程项目的项目经理（符合《广西壮族自治区建筑市场诚信卡管理暂行办法》第十六条第一款及桂建管﹝2016﹞70号、桂建管〔2019〕26号和桂建管〔2020〕11号文除外）。</w:t>
            </w:r>
          </w:p>
        </w:tc>
      </w:tr>
      <w:tr w14:paraId="73FB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69" w:type="dxa"/>
            <w:noWrap w:val="0"/>
            <w:vAlign w:val="center"/>
          </w:tcPr>
          <w:p w14:paraId="4148395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933" w:type="dxa"/>
            <w:noWrap w:val="0"/>
            <w:vAlign w:val="center"/>
          </w:tcPr>
          <w:p w14:paraId="3CA98F9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720" w:type="dxa"/>
            <w:noWrap w:val="0"/>
            <w:vAlign w:val="center"/>
          </w:tcPr>
          <w:p w14:paraId="1A3D7DF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的准备工作</w:t>
            </w:r>
          </w:p>
        </w:tc>
        <w:tc>
          <w:tcPr>
            <w:tcW w:w="7069" w:type="dxa"/>
            <w:noWrap w:val="0"/>
            <w:vAlign w:val="center"/>
          </w:tcPr>
          <w:p w14:paraId="7F6A2F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本项目实行全流程电子化采购，磋商供应商通过“广西政府采购云平台”平台参与电子磋商，并应做好以下相关准备工作：①在“广西政府采购云平台”平台注册成为正式供应商（操作方法详见广西壮族自治区政府采购网—办事服务—办事指南）；②完成CA认证证书申领和绑定（费用由磋商供应商自行承担，办理流程详见广西壮族自治区政府采购网—办事服务—下载专区，完成CA认证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磋商供应商应当在响应文件提交截止时间前在“广西政府采购云平台”平台完成的身份认证，确保能够对相关数据电文进行加密和使用电子签章；④自备计算机和网络设备并确保能接入互联网（费用由磋商供应商自行承担，设备确保可进行视频通话和读取广西政府采购云平台CA认证证书）。因磋商供应商未做好相关准备工作等自身原因导致无法参加本项目电子磋商或磋商失败的，造成的一切后果，由磋商供应商自行承担。</w:t>
            </w:r>
          </w:p>
          <w:p w14:paraId="200C0C2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4.2电子磋商具体操作流程参考《政府采购项目电子交易管理操作指南-供应商》（详见桂林市政府采购网—采购资讯—重要通知）；如遇平台技术问题详询95763。</w:t>
            </w:r>
          </w:p>
          <w:p w14:paraId="7077DC1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4.3不论磋商结果如何，磋商供应商均应自行承担所有与磋商有关的全部费用。</w:t>
            </w:r>
          </w:p>
        </w:tc>
      </w:tr>
      <w:tr w14:paraId="637D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69" w:type="dxa"/>
            <w:noWrap w:val="0"/>
            <w:vAlign w:val="center"/>
          </w:tcPr>
          <w:p w14:paraId="0D3EE42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4</w:t>
            </w:r>
          </w:p>
        </w:tc>
        <w:tc>
          <w:tcPr>
            <w:tcW w:w="933" w:type="dxa"/>
            <w:noWrap w:val="0"/>
            <w:vAlign w:val="center"/>
          </w:tcPr>
          <w:p w14:paraId="4C416A52">
            <w:pPr>
              <w:keepNext w:val="0"/>
              <w:keepLines w:val="0"/>
              <w:pageBreakBefore w:val="0"/>
              <w:widowControl w:val="0"/>
              <w:kinsoku/>
              <w:wordWrap/>
              <w:overflowPunct/>
              <w:topLinePunct w:val="0"/>
              <w:autoSpaceDE/>
              <w:autoSpaceDN/>
              <w:bidi w:val="0"/>
              <w:adjustRightInd/>
              <w:spacing w:line="360" w:lineRule="exact"/>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1720" w:type="dxa"/>
            <w:noWrap w:val="0"/>
            <w:vAlign w:val="center"/>
          </w:tcPr>
          <w:p w14:paraId="2D2A7DED">
            <w:pPr>
              <w:keepNext w:val="0"/>
              <w:keepLines w:val="0"/>
              <w:pageBreakBefore w:val="0"/>
              <w:widowControl w:val="0"/>
              <w:kinsoku/>
              <w:wordWrap/>
              <w:overflowPunct/>
              <w:topLinePunct w:val="0"/>
              <w:autoSpaceDE/>
              <w:autoSpaceDN/>
              <w:bidi w:val="0"/>
              <w:adjustRightInd/>
              <w:spacing w:line="360" w:lineRule="exact"/>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磋商费用</w:t>
            </w:r>
          </w:p>
        </w:tc>
        <w:tc>
          <w:tcPr>
            <w:tcW w:w="7069" w:type="dxa"/>
            <w:noWrap w:val="0"/>
            <w:vAlign w:val="center"/>
          </w:tcPr>
          <w:p w14:paraId="4863A47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不论磋商结果如何，供应商均应自行承担所有与磋商有关的全部费用。 </w:t>
            </w:r>
          </w:p>
        </w:tc>
      </w:tr>
      <w:tr w14:paraId="7D01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6CCA7C7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5</w:t>
            </w:r>
          </w:p>
        </w:tc>
        <w:tc>
          <w:tcPr>
            <w:tcW w:w="933" w:type="dxa"/>
            <w:noWrap w:val="0"/>
            <w:vAlign w:val="center"/>
          </w:tcPr>
          <w:p w14:paraId="22D0B97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position w:val="-2"/>
                <w:szCs w:val="21"/>
                <w:highlight w:val="none"/>
                <w:lang w:val="en-US" w:eastAsia="zh-CN"/>
              </w:rPr>
            </w:pPr>
            <w:r>
              <w:rPr>
                <w:rFonts w:hint="eastAsia" w:ascii="宋体" w:hAnsi="宋体" w:cs="宋体"/>
                <w:color w:val="auto"/>
                <w:position w:val="-2"/>
                <w:szCs w:val="21"/>
                <w:highlight w:val="none"/>
                <w:lang w:val="en-US" w:eastAsia="zh-CN"/>
              </w:rPr>
              <w:t>14.3</w:t>
            </w:r>
          </w:p>
        </w:tc>
        <w:tc>
          <w:tcPr>
            <w:tcW w:w="1720" w:type="dxa"/>
            <w:noWrap w:val="0"/>
            <w:vAlign w:val="center"/>
          </w:tcPr>
          <w:p w14:paraId="0678DEE3">
            <w:pPr>
              <w:keepNext w:val="0"/>
              <w:keepLines w:val="0"/>
              <w:pageBreakBefore w:val="0"/>
              <w:widowControl w:val="0"/>
              <w:kinsoku/>
              <w:wordWrap/>
              <w:overflowPunct/>
              <w:topLinePunct w:val="0"/>
              <w:autoSpaceDE/>
              <w:autoSpaceDN/>
              <w:bidi w:val="0"/>
              <w:adjustRightInd/>
              <w:spacing w:line="360" w:lineRule="exact"/>
              <w:ind w:left="0" w:leftChars="0"/>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sz w:val="21"/>
                <w:szCs w:val="21"/>
                <w:highlight w:val="none"/>
              </w:rPr>
              <w:t>磋商报价及</w:t>
            </w:r>
            <w:r>
              <w:rPr>
                <w:rFonts w:hint="eastAsia" w:ascii="宋体" w:hAnsi="宋体" w:eastAsia="宋体" w:cs="宋体"/>
                <w:color w:val="auto"/>
                <w:sz w:val="21"/>
                <w:szCs w:val="21"/>
                <w:highlight w:val="none"/>
                <w:lang w:val="en-US" w:eastAsia="zh-CN"/>
              </w:rPr>
              <w:t>预算</w:t>
            </w:r>
            <w:r>
              <w:rPr>
                <w:rFonts w:hint="eastAsia" w:ascii="宋体" w:hAnsi="宋体" w:eastAsia="宋体" w:cs="宋体"/>
                <w:color w:val="auto"/>
                <w:sz w:val="21"/>
                <w:szCs w:val="21"/>
                <w:highlight w:val="none"/>
              </w:rPr>
              <w:t>控制价</w:t>
            </w:r>
          </w:p>
        </w:tc>
        <w:tc>
          <w:tcPr>
            <w:tcW w:w="7069" w:type="dxa"/>
            <w:noWrap w:val="0"/>
            <w:vAlign w:val="center"/>
          </w:tcPr>
          <w:p w14:paraId="7B3309F2">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kern w:val="0"/>
                <w:szCs w:val="21"/>
                <w:lang w:val="en-US" w:eastAsia="zh-CN"/>
              </w:rPr>
            </w:pPr>
            <w:r>
              <w:rPr>
                <w:rFonts w:hint="eastAsia" w:ascii="宋体" w:hAnsi="宋体" w:cs="宋体"/>
                <w:color w:val="auto"/>
                <w:kern w:val="0"/>
                <w:szCs w:val="21"/>
              </w:rPr>
              <w:t>本项目</w:t>
            </w:r>
            <w:r>
              <w:rPr>
                <w:rFonts w:hint="eastAsia" w:ascii="宋体" w:hAnsi="宋体" w:cs="宋体"/>
                <w:color w:val="auto"/>
                <w:kern w:val="0"/>
                <w:szCs w:val="21"/>
                <w:lang w:val="en-US" w:eastAsia="zh-CN"/>
              </w:rPr>
              <w:t>审定</w:t>
            </w:r>
            <w:r>
              <w:rPr>
                <w:rFonts w:hint="eastAsia" w:ascii="宋体" w:hAnsi="宋体" w:cs="宋体"/>
                <w:color w:val="auto"/>
                <w:kern w:val="0"/>
                <w:szCs w:val="21"/>
              </w:rPr>
              <w:t>预算总金额为</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eastAsia="zh-CN"/>
              </w:rPr>
              <w:t>1242231.01</w:t>
            </w:r>
            <w:r>
              <w:rPr>
                <w:rFonts w:hint="eastAsia" w:ascii="宋体" w:hAnsi="宋体" w:cs="宋体"/>
                <w:color w:val="auto"/>
                <w:kern w:val="0"/>
                <w:szCs w:val="21"/>
                <w:u w:val="single"/>
              </w:rPr>
              <w:t xml:space="preserve"> </w:t>
            </w:r>
            <w:r>
              <w:rPr>
                <w:rFonts w:hint="eastAsia" w:ascii="宋体" w:hAnsi="宋体" w:cs="宋体"/>
                <w:color w:val="auto"/>
                <w:kern w:val="0"/>
                <w:szCs w:val="21"/>
              </w:rPr>
              <w:t>元。</w:t>
            </w:r>
            <w:r>
              <w:rPr>
                <w:rFonts w:hint="eastAsia" w:ascii="宋体" w:hAnsi="宋体" w:eastAsia="宋体" w:cs="宋体"/>
                <w:color w:val="auto"/>
                <w:kern w:val="0"/>
                <w:szCs w:val="21"/>
                <w:lang w:val="en-US" w:eastAsia="zh-CN"/>
              </w:rPr>
              <w:t>本项目预算控制价（最高限价）为</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lang w:val="en-US" w:eastAsia="zh-CN"/>
              </w:rPr>
              <w:t>1242231.01</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kern w:val="0"/>
                <w:szCs w:val="21"/>
                <w:lang w:val="en-US" w:eastAsia="zh-CN"/>
              </w:rPr>
              <w:t>元。</w:t>
            </w:r>
          </w:p>
          <w:p w14:paraId="1B5F2FDE">
            <w:pPr>
              <w:keepNext w:val="0"/>
              <w:keepLines w:val="0"/>
              <w:pageBreakBefore w:val="0"/>
              <w:widowControl w:val="0"/>
              <w:kinsoku/>
              <w:wordWrap/>
              <w:overflowPunct/>
              <w:topLinePunct w:val="0"/>
              <w:autoSpaceDE/>
              <w:autoSpaceDN/>
              <w:bidi w:val="0"/>
              <w:adjustRightInd/>
              <w:spacing w:line="440" w:lineRule="exact"/>
              <w:textAlignment w:val="auto"/>
              <w:rPr>
                <w:rFonts w:hint="eastAsia"/>
                <w:color w:val="auto"/>
                <w:lang w:eastAsia="zh-CN"/>
              </w:rPr>
            </w:pPr>
            <w:r>
              <w:rPr>
                <w:rFonts w:hint="eastAsia" w:ascii="宋体" w:hAnsi="宋体" w:cs="宋体"/>
                <w:b/>
                <w:color w:val="auto"/>
                <w:szCs w:val="21"/>
                <w:highlight w:val="none"/>
              </w:rPr>
              <w:t>供应商的磋商工程总报价如高于预算控制价（最高限价）则作无效标处理。</w:t>
            </w:r>
          </w:p>
        </w:tc>
      </w:tr>
      <w:tr w14:paraId="2A0D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10A407A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6</w:t>
            </w:r>
          </w:p>
        </w:tc>
        <w:tc>
          <w:tcPr>
            <w:tcW w:w="933" w:type="dxa"/>
            <w:noWrap w:val="0"/>
            <w:vAlign w:val="center"/>
          </w:tcPr>
          <w:p w14:paraId="3B0F50F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cs="宋体"/>
                <w:color w:val="auto"/>
                <w:position w:val="-2"/>
                <w:szCs w:val="21"/>
                <w:highlight w:val="none"/>
                <w:lang w:val="en-US" w:eastAsia="zh-CN"/>
              </w:rPr>
              <w:t>15</w:t>
            </w:r>
            <w:r>
              <w:rPr>
                <w:rFonts w:hint="eastAsia" w:ascii="宋体" w:hAnsi="宋体" w:eastAsia="宋体" w:cs="宋体"/>
                <w:color w:val="auto"/>
                <w:position w:val="-2"/>
                <w:szCs w:val="21"/>
                <w:highlight w:val="none"/>
              </w:rPr>
              <w:t>.1</w:t>
            </w:r>
          </w:p>
        </w:tc>
        <w:tc>
          <w:tcPr>
            <w:tcW w:w="1720" w:type="dxa"/>
            <w:noWrap w:val="0"/>
            <w:vAlign w:val="center"/>
          </w:tcPr>
          <w:p w14:paraId="6BB19DE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响应文件有效期</w:t>
            </w:r>
          </w:p>
        </w:tc>
        <w:tc>
          <w:tcPr>
            <w:tcW w:w="7069" w:type="dxa"/>
            <w:noWrap w:val="0"/>
            <w:vAlign w:val="top"/>
          </w:tcPr>
          <w:p w14:paraId="5A70808A">
            <w:pPr>
              <w:keepNext w:val="0"/>
              <w:keepLines w:val="0"/>
              <w:pageBreakBefore w:val="0"/>
              <w:widowControl w:val="0"/>
              <w:tabs>
                <w:tab w:val="left" w:pos="1305"/>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响应文件递交截止时间之日起90天，有效期不足的响应文件将被拒绝。</w:t>
            </w:r>
          </w:p>
        </w:tc>
      </w:tr>
      <w:tr w14:paraId="0C16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4474A25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7</w:t>
            </w:r>
          </w:p>
        </w:tc>
        <w:tc>
          <w:tcPr>
            <w:tcW w:w="933" w:type="dxa"/>
            <w:noWrap w:val="0"/>
            <w:vAlign w:val="center"/>
          </w:tcPr>
          <w:p w14:paraId="5456272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position w:val="-2"/>
                <w:szCs w:val="21"/>
                <w:highlight w:val="none"/>
                <w:lang w:val="en-US" w:eastAsia="zh-CN"/>
              </w:rPr>
            </w:pPr>
            <w:r>
              <w:rPr>
                <w:rFonts w:hint="eastAsia" w:ascii="宋体" w:hAnsi="宋体" w:cs="宋体"/>
                <w:color w:val="auto"/>
                <w:position w:val="-2"/>
                <w:szCs w:val="21"/>
                <w:highlight w:val="none"/>
                <w:lang w:val="en-US" w:eastAsia="zh-CN"/>
              </w:rPr>
              <w:t>16</w:t>
            </w:r>
          </w:p>
        </w:tc>
        <w:tc>
          <w:tcPr>
            <w:tcW w:w="1720" w:type="dxa"/>
            <w:noWrap w:val="0"/>
            <w:vAlign w:val="center"/>
          </w:tcPr>
          <w:p w14:paraId="0E51286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保证金</w:t>
            </w:r>
          </w:p>
        </w:tc>
        <w:tc>
          <w:tcPr>
            <w:tcW w:w="7069" w:type="dxa"/>
            <w:noWrap w:val="0"/>
            <w:vAlign w:val="top"/>
          </w:tcPr>
          <w:p w14:paraId="53A39EEC">
            <w:pPr>
              <w:keepNext w:val="0"/>
              <w:keepLines w:val="0"/>
              <w:pageBreakBefore w:val="0"/>
              <w:widowControl w:val="0"/>
              <w:tabs>
                <w:tab w:val="left" w:pos="1305"/>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本项目无需缴纳磋商保证金</w:t>
            </w:r>
          </w:p>
        </w:tc>
      </w:tr>
      <w:tr w14:paraId="7583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52080EB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8</w:t>
            </w:r>
          </w:p>
        </w:tc>
        <w:tc>
          <w:tcPr>
            <w:tcW w:w="933" w:type="dxa"/>
            <w:noWrap w:val="0"/>
            <w:vAlign w:val="center"/>
          </w:tcPr>
          <w:p w14:paraId="6841B92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1720" w:type="dxa"/>
            <w:noWrap w:val="0"/>
            <w:vAlign w:val="center"/>
          </w:tcPr>
          <w:p w14:paraId="1E7E020E">
            <w:pPr>
              <w:pStyle w:val="4"/>
              <w:keepNext w:val="0"/>
              <w:keepLines w:val="0"/>
              <w:pageBreakBefore w:val="0"/>
              <w:widowControl w:val="0"/>
              <w:kinsoku/>
              <w:wordWrap/>
              <w:overflowPunct/>
              <w:topLinePunct w:val="0"/>
              <w:autoSpaceDE/>
              <w:autoSpaceDN/>
              <w:bidi w:val="0"/>
              <w:adjustRightInd/>
              <w:spacing w:before="0" w:after="0" w:line="440" w:lineRule="exact"/>
              <w:jc w:val="center"/>
              <w:textAlignment w:val="auto"/>
              <w:rPr>
                <w:rFonts w:hint="eastAsia" w:ascii="宋体" w:hAnsi="宋体" w:eastAsia="宋体" w:cs="宋体"/>
                <w:b w:val="0"/>
                <w:bCs/>
                <w:color w:val="auto"/>
                <w:sz w:val="21"/>
                <w:szCs w:val="21"/>
                <w:highlight w:val="none"/>
                <w:lang w:eastAsia="zh-CN"/>
              </w:rPr>
            </w:pPr>
            <w:bookmarkStart w:id="43" w:name="_Toc19954"/>
            <w:bookmarkStart w:id="44" w:name="_Toc27452"/>
            <w:bookmarkStart w:id="45" w:name="_Toc19911"/>
            <w:r>
              <w:rPr>
                <w:rFonts w:hint="eastAsia" w:ascii="宋体" w:hAnsi="宋体" w:eastAsia="宋体" w:cs="宋体"/>
                <w:b w:val="0"/>
                <w:bCs/>
                <w:color w:val="auto"/>
                <w:sz w:val="21"/>
                <w:szCs w:val="21"/>
                <w:highlight w:val="none"/>
              </w:rPr>
              <w:t>竞争性</w:t>
            </w:r>
            <w:r>
              <w:rPr>
                <w:rFonts w:hint="eastAsia" w:ascii="宋体" w:hAnsi="宋体" w:eastAsia="宋体" w:cs="宋体"/>
                <w:b w:val="0"/>
                <w:bCs/>
                <w:color w:val="auto"/>
                <w:sz w:val="21"/>
                <w:szCs w:val="21"/>
                <w:highlight w:val="none"/>
                <w:lang w:eastAsia="zh-CN"/>
              </w:rPr>
              <w:t>磋商</w:t>
            </w:r>
            <w:r>
              <w:rPr>
                <w:rFonts w:hint="eastAsia" w:ascii="宋体" w:hAnsi="宋体" w:eastAsia="宋体" w:cs="宋体"/>
                <w:b w:val="0"/>
                <w:bCs/>
                <w:color w:val="auto"/>
                <w:sz w:val="21"/>
                <w:szCs w:val="21"/>
                <w:highlight w:val="none"/>
              </w:rPr>
              <w:t>响应文件的</w:t>
            </w:r>
            <w:r>
              <w:rPr>
                <w:rFonts w:hint="eastAsia" w:ascii="宋体" w:hAnsi="宋体" w:eastAsia="宋体" w:cs="宋体"/>
                <w:b w:val="0"/>
                <w:bCs/>
                <w:color w:val="auto"/>
                <w:sz w:val="21"/>
                <w:szCs w:val="21"/>
                <w:highlight w:val="none"/>
                <w:lang w:eastAsia="zh-CN"/>
              </w:rPr>
              <w:t>制作</w:t>
            </w:r>
            <w:bookmarkEnd w:id="43"/>
            <w:bookmarkEnd w:id="44"/>
            <w:bookmarkEnd w:id="45"/>
          </w:p>
          <w:p w14:paraId="0F3743A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lang w:eastAsia="zh-CN"/>
              </w:rPr>
            </w:pPr>
          </w:p>
        </w:tc>
        <w:tc>
          <w:tcPr>
            <w:tcW w:w="7069" w:type="dxa"/>
            <w:noWrap w:val="0"/>
            <w:vAlign w:val="center"/>
          </w:tcPr>
          <w:p w14:paraId="582BC66A">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.1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w:t>
            </w:r>
            <w:r>
              <w:rPr>
                <w:rFonts w:hint="eastAsia" w:ascii="宋体" w:hAnsi="宋体" w:eastAsia="宋体" w:cs="宋体"/>
                <w:color w:val="auto"/>
                <w:szCs w:val="21"/>
                <w:highlight w:val="none"/>
                <w:lang w:val="en-US" w:eastAsia="zh-CN"/>
              </w:rPr>
              <w:t>数字证书（CA认证）</w:t>
            </w:r>
            <w:r>
              <w:rPr>
                <w:rFonts w:hint="eastAsia" w:ascii="宋体" w:hAnsi="宋体" w:eastAsia="宋体" w:cs="宋体"/>
                <w:color w:val="auto"/>
                <w:szCs w:val="21"/>
                <w:highlight w:val="none"/>
              </w:rPr>
              <w:t>签章，并根据“政府采购项目电子交易管理操作指南-供应商”及本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响应文件未能关联定位提供相应的内容与其对应，则</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小组在评审时如做出对供应商不利的评审由供应商自行承担。电子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漏读，或者在按采购文件规定的部位查找不到相关内容的，由供应商自行承担。</w:t>
            </w:r>
          </w:p>
          <w:p w14:paraId="2BA3F7C7">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签章的，应在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签章，没有办理个人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的格式上传即可。</w:t>
            </w:r>
          </w:p>
          <w:p w14:paraId="22CFD10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 xml:space="preserve">.3 </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响应文件因字迹潦草或表达不清所引起的后果由供应商负责。</w:t>
            </w:r>
          </w:p>
          <w:p w14:paraId="756C5167">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14:paraId="4328D66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14:paraId="7F96355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正式注册入库供应商，并完成</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申领。因未注册入库、未办理</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等原因造成无法磋商或磋商失败等后果由供应商自行承担。 </w:t>
            </w:r>
          </w:p>
          <w:p w14:paraId="76B78422">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登录客户端进行响应文件制作。客户端请至网站下载专区查看，如有问题可拨打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客户服务热线 </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lang w:eastAsia="zh-CN"/>
              </w:rPr>
              <w:t xml:space="preserve"> 进行咨询。</w:t>
            </w:r>
          </w:p>
        </w:tc>
      </w:tr>
      <w:tr w14:paraId="305B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69" w:type="dxa"/>
            <w:noWrap w:val="0"/>
            <w:vAlign w:val="center"/>
          </w:tcPr>
          <w:p w14:paraId="5A25641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position w:val="-2"/>
                <w:sz w:val="21"/>
                <w:szCs w:val="21"/>
                <w:highlight w:val="none"/>
                <w:lang w:val="en-US" w:eastAsia="zh-CN" w:bidi="ar-SA"/>
              </w:rPr>
            </w:pPr>
            <w:r>
              <w:rPr>
                <w:rFonts w:hint="eastAsia" w:ascii="宋体" w:hAnsi="宋体" w:eastAsia="宋体" w:cs="宋体"/>
                <w:color w:val="auto"/>
                <w:position w:val="-2"/>
                <w:szCs w:val="21"/>
                <w:highlight w:val="none"/>
                <w:lang w:val="en-US" w:eastAsia="zh-CN"/>
              </w:rPr>
              <w:t>9</w:t>
            </w:r>
          </w:p>
        </w:tc>
        <w:tc>
          <w:tcPr>
            <w:tcW w:w="933" w:type="dxa"/>
            <w:noWrap w:val="0"/>
            <w:vAlign w:val="center"/>
          </w:tcPr>
          <w:p w14:paraId="5B9FF41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19</w:t>
            </w:r>
            <w:r>
              <w:rPr>
                <w:rFonts w:hint="eastAsia" w:ascii="宋体" w:hAnsi="宋体" w:eastAsia="宋体" w:cs="宋体"/>
                <w:color w:val="auto"/>
                <w:szCs w:val="21"/>
                <w:highlight w:val="none"/>
              </w:rPr>
              <w:t>.1</w:t>
            </w:r>
          </w:p>
        </w:tc>
        <w:tc>
          <w:tcPr>
            <w:tcW w:w="1720" w:type="dxa"/>
            <w:noWrap w:val="0"/>
            <w:vAlign w:val="center"/>
          </w:tcPr>
          <w:p w14:paraId="1EAC12E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w:t>
            </w:r>
          </w:p>
        </w:tc>
        <w:tc>
          <w:tcPr>
            <w:tcW w:w="7069" w:type="dxa"/>
            <w:noWrap w:val="0"/>
            <w:vAlign w:val="center"/>
          </w:tcPr>
          <w:p w14:paraId="4838B421">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eastAsia="zh-CN"/>
              </w:rPr>
              <w:t>于</w:t>
            </w:r>
            <w:r>
              <w:rPr>
                <w:rFonts w:hint="eastAsia" w:ascii="宋体" w:hAnsi="宋体" w:cs="宋体"/>
                <w:color w:val="auto"/>
                <w:sz w:val="21"/>
                <w:szCs w:val="21"/>
                <w:highlight w:val="none"/>
                <w:u w:val="single"/>
                <w:lang w:eastAsia="zh-CN"/>
              </w:rPr>
              <w:t>2026年08月31日</w:t>
            </w:r>
            <w:r>
              <w:rPr>
                <w:rFonts w:hint="eastAsia" w:ascii="宋体" w:hAnsi="宋体" w:cs="宋体"/>
                <w:color w:val="auto"/>
                <w:sz w:val="21"/>
                <w:szCs w:val="21"/>
                <w:highlight w:val="none"/>
                <w:u w:val="single"/>
                <w:lang w:val="en-US" w:eastAsia="zh-CN"/>
              </w:rPr>
              <w:t>9时30分</w:t>
            </w:r>
            <w:r>
              <w:rPr>
                <w:rFonts w:hint="eastAsia" w:ascii="宋体" w:hAnsi="宋体" w:eastAsia="宋体" w:cs="宋体"/>
                <w:color w:val="auto"/>
                <w:szCs w:val="21"/>
                <w:highlight w:val="none"/>
              </w:rPr>
              <w:t>之前将电子磋商响应文件上传到</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。应按照本项目磋商文件和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的要求编制、加密传输磋商响应文件。供应商在使用系统进行</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tc>
      </w:tr>
      <w:tr w14:paraId="14BC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69" w:type="dxa"/>
            <w:noWrap w:val="0"/>
            <w:vAlign w:val="center"/>
          </w:tcPr>
          <w:p w14:paraId="20E1063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w:t>
            </w:r>
          </w:p>
        </w:tc>
        <w:tc>
          <w:tcPr>
            <w:tcW w:w="933" w:type="dxa"/>
            <w:noWrap w:val="0"/>
            <w:vAlign w:val="center"/>
          </w:tcPr>
          <w:p w14:paraId="49C8693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cs="宋体"/>
                <w:color w:val="auto"/>
                <w:position w:val="-2"/>
                <w:szCs w:val="21"/>
                <w:highlight w:val="none"/>
                <w:lang w:val="en-US" w:eastAsia="zh-CN"/>
              </w:rPr>
              <w:t>19</w:t>
            </w:r>
            <w:r>
              <w:rPr>
                <w:rFonts w:hint="eastAsia" w:ascii="宋体" w:hAnsi="宋体" w:eastAsia="宋体" w:cs="宋体"/>
                <w:color w:val="auto"/>
                <w:position w:val="-2"/>
                <w:szCs w:val="21"/>
                <w:highlight w:val="none"/>
              </w:rPr>
              <w:t>.2</w:t>
            </w:r>
          </w:p>
        </w:tc>
        <w:tc>
          <w:tcPr>
            <w:tcW w:w="1720" w:type="dxa"/>
            <w:noWrap w:val="0"/>
            <w:vAlign w:val="center"/>
          </w:tcPr>
          <w:p w14:paraId="70D6DCD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szCs w:val="21"/>
                <w:highlight w:val="none"/>
                <w:lang w:eastAsia="zh-CN"/>
              </w:rPr>
              <w:t>磋商响应文件解密时间</w:t>
            </w:r>
          </w:p>
        </w:tc>
        <w:tc>
          <w:tcPr>
            <w:tcW w:w="7069" w:type="dxa"/>
            <w:noWrap w:val="0"/>
            <w:vAlign w:val="center"/>
          </w:tcPr>
          <w:p w14:paraId="6EA1A4EA">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磋商响应文件解密时间</w:t>
            </w:r>
            <w:r>
              <w:rPr>
                <w:rFonts w:hint="eastAsia" w:ascii="宋体" w:hAnsi="宋体" w:eastAsia="宋体" w:cs="宋体"/>
                <w:b w:val="0"/>
                <w:bCs w:val="0"/>
                <w:color w:val="auto"/>
                <w:kern w:val="2"/>
                <w:highlight w:val="none"/>
                <w:lang w:eastAsia="zh-CN"/>
              </w:rPr>
              <w:t>：截标时间后</w:t>
            </w:r>
            <w:r>
              <w:rPr>
                <w:rFonts w:hint="eastAsia" w:ascii="宋体" w:hAnsi="宋体" w:eastAsia="宋体" w:cs="宋体"/>
                <w:b w:val="0"/>
                <w:bCs w:val="0"/>
                <w:color w:val="auto"/>
                <w:kern w:val="2"/>
                <w:highlight w:val="none"/>
                <w:u w:val="single"/>
                <w:lang w:eastAsia="zh-CN"/>
              </w:rPr>
              <w:t>30</w:t>
            </w:r>
            <w:r>
              <w:rPr>
                <w:rFonts w:hint="eastAsia" w:ascii="宋体" w:hAnsi="宋体" w:eastAsia="宋体" w:cs="宋体"/>
                <w:b w:val="0"/>
                <w:bCs w:val="0"/>
                <w:color w:val="auto"/>
                <w:kern w:val="2"/>
                <w:highlight w:val="none"/>
                <w:lang w:eastAsia="zh-CN"/>
              </w:rPr>
              <w:t>分钟内（</w:t>
            </w:r>
            <w:r>
              <w:rPr>
                <w:rFonts w:hint="eastAsia" w:ascii="宋体" w:hAnsi="宋体" w:cs="宋体"/>
                <w:b w:val="0"/>
                <w:bCs w:val="0"/>
                <w:color w:val="auto"/>
                <w:kern w:val="2"/>
                <w:highlight w:val="none"/>
                <w:lang w:eastAsia="zh-CN"/>
              </w:rPr>
              <w:t>2026年08月31日</w:t>
            </w:r>
            <w:r>
              <w:rPr>
                <w:rFonts w:hint="eastAsia" w:ascii="宋体" w:hAnsi="宋体" w:eastAsia="宋体" w:cs="宋体"/>
                <w:b w:val="0"/>
                <w:bCs w:val="0"/>
                <w:color w:val="auto"/>
                <w:kern w:val="2"/>
                <w:highlight w:val="none"/>
                <w:lang w:eastAsia="zh-CN"/>
              </w:rPr>
              <w:t>9时30分至10时00分)磋商供应商可以登录</w:t>
            </w:r>
            <w:r>
              <w:rPr>
                <w:rFonts w:hint="eastAsia" w:ascii="宋体" w:hAnsi="宋体" w:cs="宋体"/>
                <w:b w:val="0"/>
                <w:bCs w:val="0"/>
                <w:color w:val="auto"/>
                <w:kern w:val="2"/>
                <w:highlight w:val="none"/>
                <w:lang w:eastAsia="zh-CN"/>
              </w:rPr>
              <w:t>广西政府采购云平台</w:t>
            </w:r>
            <w:r>
              <w:rPr>
                <w:rFonts w:hint="eastAsia" w:ascii="宋体" w:hAnsi="宋体" w:eastAsia="宋体" w:cs="宋体"/>
                <w:b w:val="0"/>
                <w:bCs w:val="0"/>
                <w:color w:val="auto"/>
                <w:kern w:val="2"/>
                <w:highlight w:val="none"/>
                <w:lang w:eastAsia="zh-CN"/>
              </w:rPr>
              <w:t>，用“项目采购-开标评标”功能进行解密</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。若</w:t>
            </w:r>
            <w:r>
              <w:rPr>
                <w:rFonts w:hint="eastAsia" w:ascii="宋体" w:hAnsi="宋体" w:eastAsia="宋体" w:cs="宋体"/>
                <w:color w:val="auto"/>
                <w:highlight w:val="none"/>
                <w:lang w:eastAsia="zh-CN"/>
              </w:rPr>
              <w:t>磋商供应商</w:t>
            </w:r>
            <w:r>
              <w:rPr>
                <w:rFonts w:hint="eastAsia" w:ascii="宋体" w:hAnsi="宋体" w:eastAsia="宋体" w:cs="宋体"/>
                <w:b w:val="0"/>
                <w:bCs w:val="0"/>
                <w:color w:val="auto"/>
                <w:kern w:val="2"/>
                <w:highlight w:val="none"/>
                <w:lang w:eastAsia="zh-CN"/>
              </w:rPr>
              <w:t>在规定时间内无法解密或解密失败，可以以电子备份</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作为依据</w:t>
            </w:r>
            <w:r>
              <w:rPr>
                <w:rFonts w:hint="eastAsia" w:ascii="宋体" w:hAnsi="宋体" w:eastAsia="宋体" w:cs="宋体"/>
                <w:b/>
                <w:bCs/>
                <w:color w:val="auto"/>
                <w:kern w:val="2"/>
                <w:highlight w:val="none"/>
                <w:lang w:eastAsia="zh-CN"/>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eastAsia" w:ascii="宋体" w:hAnsi="宋体" w:eastAsia="宋体" w:cs="宋体"/>
                <w:b w:val="0"/>
                <w:bCs w:val="0"/>
                <w:color w:val="auto"/>
                <w:kern w:val="2"/>
                <w:highlight w:val="none"/>
                <w:lang w:eastAsia="zh-CN"/>
              </w:rPr>
              <w:t>，若磋商供应商在规定时间内无法解密或解密失败且未提供电子备份磋商响应文件的(包含提供的电子备份文件无效或无法解密的情况)，视为无效响应。</w:t>
            </w:r>
          </w:p>
        </w:tc>
      </w:tr>
      <w:tr w14:paraId="7E52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69" w:type="dxa"/>
            <w:noWrap w:val="0"/>
            <w:vAlign w:val="center"/>
          </w:tcPr>
          <w:p w14:paraId="75A439B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11</w:t>
            </w:r>
          </w:p>
        </w:tc>
        <w:tc>
          <w:tcPr>
            <w:tcW w:w="933" w:type="dxa"/>
            <w:noWrap w:val="0"/>
            <w:vAlign w:val="center"/>
          </w:tcPr>
          <w:p w14:paraId="0226769E">
            <w:pPr>
              <w:keepNext w:val="0"/>
              <w:keepLines w:val="0"/>
              <w:pageBreakBefore w:val="0"/>
              <w:widowControl w:val="0"/>
              <w:kinsoku/>
              <w:wordWrap/>
              <w:overflowPunct/>
              <w:topLinePunct w:val="0"/>
              <w:autoSpaceDE/>
              <w:autoSpaceDN/>
              <w:bidi w:val="0"/>
              <w:adjustRightInd/>
              <w:spacing w:line="440" w:lineRule="exact"/>
              <w:ind w:firstLine="105" w:firstLineChars="50"/>
              <w:jc w:val="center"/>
              <w:textAlignment w:val="auto"/>
              <w:rPr>
                <w:rFonts w:hint="eastAsia" w:ascii="宋体" w:hAnsi="宋体" w:eastAsia="宋体" w:cs="宋体"/>
                <w:color w:val="auto"/>
                <w:position w:val="-2"/>
                <w:szCs w:val="21"/>
                <w:highlight w:val="none"/>
              </w:rPr>
            </w:pPr>
            <w:r>
              <w:rPr>
                <w:rFonts w:hint="eastAsia" w:ascii="宋体" w:hAnsi="宋体" w:cs="宋体"/>
                <w:color w:val="auto"/>
                <w:position w:val="-2"/>
                <w:szCs w:val="21"/>
                <w:highlight w:val="none"/>
                <w:lang w:val="en-US" w:eastAsia="zh-CN"/>
              </w:rPr>
              <w:t>20</w:t>
            </w:r>
            <w:r>
              <w:rPr>
                <w:rFonts w:hint="eastAsia" w:ascii="宋体" w:hAnsi="宋体" w:eastAsia="宋体" w:cs="宋体"/>
                <w:color w:val="auto"/>
                <w:position w:val="-2"/>
                <w:szCs w:val="21"/>
                <w:highlight w:val="none"/>
              </w:rPr>
              <w:t>.1</w:t>
            </w:r>
          </w:p>
        </w:tc>
        <w:tc>
          <w:tcPr>
            <w:tcW w:w="1720" w:type="dxa"/>
            <w:noWrap w:val="0"/>
            <w:vAlign w:val="center"/>
          </w:tcPr>
          <w:p w14:paraId="4E558B2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磋商小组组成</w:t>
            </w:r>
          </w:p>
        </w:tc>
        <w:tc>
          <w:tcPr>
            <w:tcW w:w="7069" w:type="dxa"/>
            <w:noWrap w:val="0"/>
            <w:vAlign w:val="center"/>
          </w:tcPr>
          <w:p w14:paraId="1FF1D0CC">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3 </w:t>
            </w:r>
            <w:r>
              <w:rPr>
                <w:rFonts w:hint="eastAsia" w:ascii="宋体" w:hAnsi="宋体" w:eastAsia="宋体" w:cs="宋体"/>
                <w:color w:val="auto"/>
                <w:szCs w:val="21"/>
                <w:highlight w:val="none"/>
              </w:rPr>
              <w:t>人，其中采购人代表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1 </w:t>
            </w:r>
            <w:r>
              <w:rPr>
                <w:rFonts w:hint="eastAsia" w:ascii="宋体" w:hAnsi="宋体" w:eastAsia="宋体" w:cs="宋体"/>
                <w:color w:val="auto"/>
                <w:szCs w:val="21"/>
                <w:highlight w:val="none"/>
              </w:rPr>
              <w:t>人，专家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2 </w:t>
            </w:r>
            <w:r>
              <w:rPr>
                <w:rFonts w:hint="eastAsia" w:ascii="宋体" w:hAnsi="宋体" w:eastAsia="宋体" w:cs="宋体"/>
                <w:color w:val="auto"/>
                <w:szCs w:val="21"/>
                <w:highlight w:val="none"/>
              </w:rPr>
              <w:t>人。</w:t>
            </w:r>
          </w:p>
        </w:tc>
      </w:tr>
      <w:tr w14:paraId="274A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69" w:type="dxa"/>
            <w:noWrap w:val="0"/>
            <w:vAlign w:val="center"/>
          </w:tcPr>
          <w:p w14:paraId="5EC1360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12</w:t>
            </w:r>
          </w:p>
        </w:tc>
        <w:tc>
          <w:tcPr>
            <w:tcW w:w="933" w:type="dxa"/>
            <w:noWrap w:val="0"/>
            <w:vAlign w:val="center"/>
          </w:tcPr>
          <w:p w14:paraId="43C4B34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w:t>
            </w:r>
          </w:p>
        </w:tc>
        <w:tc>
          <w:tcPr>
            <w:tcW w:w="1720" w:type="dxa"/>
            <w:noWrap w:val="0"/>
            <w:vAlign w:val="center"/>
          </w:tcPr>
          <w:p w14:paraId="696A739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磋商时间、地点、人员</w:t>
            </w:r>
          </w:p>
        </w:tc>
        <w:tc>
          <w:tcPr>
            <w:tcW w:w="7069" w:type="dxa"/>
            <w:noWrap w:val="0"/>
            <w:vAlign w:val="top"/>
          </w:tcPr>
          <w:p w14:paraId="3D6EA6C7">
            <w:pPr>
              <w:keepNext w:val="0"/>
              <w:keepLines w:val="0"/>
              <w:pageBreakBefore w:val="0"/>
              <w:widowControl w:val="0"/>
              <w:kinsoku/>
              <w:wordWrap/>
              <w:overflowPunct/>
              <w:topLinePunct w:val="0"/>
              <w:autoSpaceDE/>
              <w:autoSpaceDN/>
              <w:bidi w:val="0"/>
              <w:adjustRightInd/>
              <w:spacing w:line="440" w:lineRule="exact"/>
              <w:ind w:left="315" w:hanging="315" w:hangingChars="15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.2.1磋商时间：响应文件递交截止时间后。</w:t>
            </w:r>
          </w:p>
          <w:p w14:paraId="2E6D4269">
            <w:pPr>
              <w:keepNext w:val="0"/>
              <w:keepLines w:val="0"/>
              <w:pageBreakBefore w:val="0"/>
              <w:widowControl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.2.2磋商地点：本项目需要磋商供应商代表在截标当天截标后，按磋商小组要求及时登陆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等候在线磋商</w:t>
            </w:r>
            <w:r>
              <w:rPr>
                <w:rFonts w:hint="eastAsia" w:ascii="宋体" w:hAnsi="宋体" w:eastAsia="宋体" w:cs="宋体"/>
                <w:color w:val="auto"/>
                <w:szCs w:val="21"/>
                <w:highlight w:val="none"/>
                <w:lang w:eastAsia="zh-CN"/>
              </w:rPr>
              <w:t>。</w:t>
            </w:r>
          </w:p>
          <w:p w14:paraId="07B4EC45">
            <w:pPr>
              <w:keepNext w:val="0"/>
              <w:keepLines w:val="0"/>
              <w:pageBreakBefore w:val="0"/>
              <w:widowControl w:val="0"/>
              <w:kinsoku/>
              <w:wordWrap/>
              <w:overflowPunct/>
              <w:topLinePunct w:val="0"/>
              <w:autoSpaceDE/>
              <w:autoSpaceDN/>
              <w:bidi w:val="0"/>
              <w:adjustRightInd/>
              <w:spacing w:line="440" w:lineRule="exact"/>
              <w:ind w:left="15" w:hanging="14" w:hangingChars="7"/>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.2.3磋商参加人员：供应商法定代表人、负责人、自然人或相应的委托代</w:t>
            </w:r>
            <w:r>
              <w:rPr>
                <w:rFonts w:hint="eastAsia" w:ascii="宋体" w:hAnsi="宋体" w:eastAsia="宋体" w:cs="宋体"/>
                <w:color w:val="auto"/>
                <w:szCs w:val="21"/>
                <w:highlight w:val="none"/>
                <w:u w:val="none"/>
              </w:rPr>
              <w:t>理人持有效身份证</w:t>
            </w:r>
            <w:r>
              <w:rPr>
                <w:rFonts w:hint="eastAsia" w:ascii="宋体" w:hAnsi="宋体" w:eastAsia="宋体" w:cs="宋体"/>
                <w:color w:val="auto"/>
                <w:szCs w:val="21"/>
                <w:highlight w:val="none"/>
                <w:u w:val="none"/>
                <w:lang w:eastAsia="zh-CN"/>
              </w:rPr>
              <w:t>和供应商</w:t>
            </w:r>
            <w:r>
              <w:rPr>
                <w:rFonts w:hint="eastAsia" w:ascii="宋体" w:hAnsi="宋体" w:cs="宋体"/>
                <w:color w:val="auto"/>
                <w:szCs w:val="21"/>
                <w:highlight w:val="none"/>
                <w:u w:val="none"/>
                <w:lang w:eastAsia="zh-CN"/>
              </w:rPr>
              <w:t>广西政府采购云平台</w:t>
            </w:r>
            <w:r>
              <w:rPr>
                <w:rFonts w:hint="eastAsia" w:ascii="宋体" w:hAnsi="宋体" w:eastAsia="宋体" w:cs="宋体"/>
                <w:color w:val="auto"/>
                <w:szCs w:val="21"/>
                <w:highlight w:val="none"/>
                <w:u w:val="none"/>
                <w:lang w:val="en-US" w:eastAsia="zh-CN"/>
              </w:rPr>
              <w:t>CA数字证书</w:t>
            </w:r>
            <w:r>
              <w:rPr>
                <w:rFonts w:hint="eastAsia" w:ascii="宋体" w:hAnsi="宋体" w:eastAsia="宋体" w:cs="宋体"/>
                <w:color w:val="auto"/>
                <w:szCs w:val="21"/>
                <w:highlight w:val="none"/>
              </w:rPr>
              <w:t>参加磋商。请供应商按时等候磋商。</w:t>
            </w:r>
          </w:p>
          <w:p w14:paraId="527DFFB9">
            <w:pPr>
              <w:keepNext w:val="0"/>
              <w:keepLines w:val="0"/>
              <w:pageBreakBefore w:val="0"/>
              <w:widowControl w:val="0"/>
              <w:tabs>
                <w:tab w:val="left" w:pos="1140"/>
              </w:tabs>
              <w:kinsoku/>
              <w:wordWrap/>
              <w:overflowPunct/>
              <w:topLinePunct w:val="0"/>
              <w:autoSpaceDE/>
              <w:autoSpaceDN/>
              <w:bidi w:val="0"/>
              <w:adjustRightInd/>
              <w:spacing w:line="440" w:lineRule="exact"/>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.2.4响应文件递交截止时间后，由磋商小组在评标室内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开启响应文件。</w:t>
            </w:r>
          </w:p>
        </w:tc>
      </w:tr>
      <w:tr w14:paraId="62BD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 w:type="dxa"/>
            <w:noWrap w:val="0"/>
            <w:vAlign w:val="center"/>
          </w:tcPr>
          <w:p w14:paraId="57FFF40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13</w:t>
            </w:r>
          </w:p>
        </w:tc>
        <w:tc>
          <w:tcPr>
            <w:tcW w:w="933" w:type="dxa"/>
            <w:noWrap w:val="0"/>
            <w:vAlign w:val="center"/>
          </w:tcPr>
          <w:p w14:paraId="3A71797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rPr>
              <w:t>.2</w:t>
            </w:r>
          </w:p>
        </w:tc>
        <w:tc>
          <w:tcPr>
            <w:tcW w:w="1720" w:type="dxa"/>
            <w:noWrap w:val="0"/>
            <w:vAlign w:val="center"/>
          </w:tcPr>
          <w:p w14:paraId="27359043">
            <w:pPr>
              <w:pStyle w:val="12"/>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评审办法</w:t>
            </w:r>
          </w:p>
        </w:tc>
        <w:tc>
          <w:tcPr>
            <w:tcW w:w="7069" w:type="dxa"/>
            <w:noWrap w:val="0"/>
            <w:vAlign w:val="center"/>
          </w:tcPr>
          <w:p w14:paraId="3010A1C9">
            <w:pPr>
              <w:keepNext w:val="0"/>
              <w:keepLines w:val="0"/>
              <w:pageBreakBefore w:val="0"/>
              <w:widowControl w:val="0"/>
              <w:tabs>
                <w:tab w:val="left" w:pos="1140"/>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具体详见第四章评审办法。</w:t>
            </w:r>
          </w:p>
        </w:tc>
      </w:tr>
      <w:tr w14:paraId="7178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9" w:type="dxa"/>
            <w:noWrap w:val="0"/>
            <w:vAlign w:val="center"/>
          </w:tcPr>
          <w:p w14:paraId="47A2551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14</w:t>
            </w:r>
          </w:p>
        </w:tc>
        <w:tc>
          <w:tcPr>
            <w:tcW w:w="933" w:type="dxa"/>
            <w:noWrap w:val="0"/>
            <w:vAlign w:val="center"/>
          </w:tcPr>
          <w:p w14:paraId="58A4A37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1720" w:type="dxa"/>
            <w:noWrap w:val="0"/>
            <w:vAlign w:val="center"/>
          </w:tcPr>
          <w:p w14:paraId="169896B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w:t>
            </w:r>
          </w:p>
        </w:tc>
        <w:tc>
          <w:tcPr>
            <w:tcW w:w="7069" w:type="dxa"/>
            <w:noWrap w:val="0"/>
            <w:vAlign w:val="center"/>
          </w:tcPr>
          <w:p w14:paraId="52ED9EB3">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0CE126F2">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⑴查询渠道：“信用中国”网站(www.creditchina.gov.cn)、中国政府采购网(www.ccgp.gov.cn)等；</w:t>
            </w:r>
          </w:p>
          <w:p w14:paraId="6F73E908">
            <w:pPr>
              <w:keepNext w:val="0"/>
              <w:keepLines w:val="0"/>
              <w:pageBreakBefore w:val="0"/>
              <w:widowControl w:val="0"/>
              <w:kinsoku/>
              <w:wordWrap/>
              <w:overflowPunct/>
              <w:topLinePunct w:val="0"/>
              <w:autoSpaceDE/>
              <w:autoSpaceDN/>
              <w:bidi w:val="0"/>
              <w:adjustRightInd/>
              <w:spacing w:line="440" w:lineRule="exact"/>
              <w:ind w:left="315" w:hanging="315" w:hanging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⑵查询时间：成交通知书发出前；</w:t>
            </w:r>
          </w:p>
          <w:p w14:paraId="3E7C9B05">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⑶信用信息查询记录和证据留存方式：在查询网站中直接打印查询记录，打印材料作为采购活动资料保存；</w:t>
            </w:r>
          </w:p>
          <w:p w14:paraId="6B4DA663">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0272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69" w:type="dxa"/>
            <w:noWrap w:val="0"/>
            <w:vAlign w:val="center"/>
          </w:tcPr>
          <w:p w14:paraId="6D9FE0A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w:t>
            </w:r>
          </w:p>
        </w:tc>
        <w:tc>
          <w:tcPr>
            <w:tcW w:w="933" w:type="dxa"/>
            <w:noWrap w:val="0"/>
            <w:vAlign w:val="center"/>
          </w:tcPr>
          <w:p w14:paraId="7B65A19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w:t>
            </w:r>
          </w:p>
        </w:tc>
        <w:tc>
          <w:tcPr>
            <w:tcW w:w="1720" w:type="dxa"/>
            <w:noWrap w:val="0"/>
            <w:vAlign w:val="center"/>
          </w:tcPr>
          <w:p w14:paraId="52F2F2D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成交结果公告</w:t>
            </w:r>
          </w:p>
          <w:p w14:paraId="18C1B66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及成交通知书</w:t>
            </w:r>
          </w:p>
        </w:tc>
        <w:tc>
          <w:tcPr>
            <w:tcW w:w="7069" w:type="dxa"/>
            <w:noWrap w:val="0"/>
            <w:vAlign w:val="top"/>
          </w:tcPr>
          <w:p w14:paraId="468537A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47674D1">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.2在发布成交公告的同时，采购代理机构向成交供应商发出成交通知书。成交供应商自接到通知之日起七个工作日内，办理成交通知书领取手续。</w:t>
            </w:r>
          </w:p>
        </w:tc>
      </w:tr>
      <w:tr w14:paraId="487A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69" w:type="dxa"/>
            <w:noWrap w:val="0"/>
            <w:vAlign w:val="center"/>
          </w:tcPr>
          <w:p w14:paraId="00D883B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16</w:t>
            </w:r>
          </w:p>
        </w:tc>
        <w:tc>
          <w:tcPr>
            <w:tcW w:w="933" w:type="dxa"/>
            <w:noWrap w:val="0"/>
            <w:vAlign w:val="center"/>
          </w:tcPr>
          <w:p w14:paraId="375077A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1720" w:type="dxa"/>
            <w:noWrap w:val="0"/>
            <w:vAlign w:val="center"/>
          </w:tcPr>
          <w:p w14:paraId="1B263D3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7069" w:type="dxa"/>
            <w:noWrap w:val="0"/>
            <w:vAlign w:val="center"/>
          </w:tcPr>
          <w:p w14:paraId="531459F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val="en-US" w:eastAsia="zh-CN"/>
              </w:rPr>
            </w:pPr>
            <w:r>
              <w:rPr>
                <w:rFonts w:hint="eastAsia" w:hAnsi="宋体"/>
                <w:color w:val="auto"/>
                <w:szCs w:val="21"/>
                <w:highlight w:val="none"/>
                <w:lang w:eastAsia="zh-CN"/>
              </w:rPr>
              <w:t>本项目不收取履约保证金。</w:t>
            </w:r>
          </w:p>
        </w:tc>
      </w:tr>
      <w:tr w14:paraId="148B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9" w:type="dxa"/>
            <w:noWrap w:val="0"/>
            <w:vAlign w:val="center"/>
          </w:tcPr>
          <w:p w14:paraId="746FF9E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17</w:t>
            </w:r>
          </w:p>
        </w:tc>
        <w:tc>
          <w:tcPr>
            <w:tcW w:w="933" w:type="dxa"/>
            <w:noWrap w:val="0"/>
            <w:vAlign w:val="center"/>
          </w:tcPr>
          <w:p w14:paraId="4D01AC3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.1</w:t>
            </w:r>
          </w:p>
        </w:tc>
        <w:tc>
          <w:tcPr>
            <w:tcW w:w="1720" w:type="dxa"/>
            <w:noWrap w:val="0"/>
            <w:vAlign w:val="center"/>
          </w:tcPr>
          <w:p w14:paraId="74F53D9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签订合同时间</w:t>
            </w:r>
          </w:p>
        </w:tc>
        <w:tc>
          <w:tcPr>
            <w:tcW w:w="7069" w:type="dxa"/>
            <w:noWrap w:val="0"/>
            <w:vAlign w:val="top"/>
          </w:tcPr>
          <w:p w14:paraId="2D165A3F">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lang w:eastAsia="zh-CN"/>
              </w:rPr>
              <w:t>成交通知书</w:t>
            </w:r>
            <w:r>
              <w:rPr>
                <w:rFonts w:hint="eastAsia" w:ascii="宋体" w:hAnsi="宋体" w:eastAsia="宋体" w:cs="宋体"/>
                <w:bCs/>
                <w:color w:val="auto"/>
                <w:kern w:val="0"/>
                <w:szCs w:val="21"/>
                <w:highlight w:val="none"/>
              </w:rPr>
              <w:t>发出之日起</w:t>
            </w:r>
            <w:r>
              <w:rPr>
                <w:rFonts w:hint="eastAsia" w:ascii="宋体" w:hAnsi="宋体" w:cs="宋体"/>
                <w:bCs/>
                <w:color w:val="auto"/>
                <w:kern w:val="0"/>
                <w:szCs w:val="21"/>
                <w:highlight w:val="none"/>
                <w:lang w:val="en-US" w:eastAsia="zh-CN"/>
              </w:rPr>
              <w:t>8个工作日</w:t>
            </w:r>
            <w:r>
              <w:rPr>
                <w:rFonts w:hint="eastAsia" w:ascii="宋体" w:hAnsi="宋体" w:eastAsia="宋体" w:cs="宋体"/>
                <w:bCs/>
                <w:color w:val="auto"/>
                <w:kern w:val="0"/>
                <w:szCs w:val="21"/>
                <w:highlight w:val="none"/>
              </w:rPr>
              <w:t>内签订合同</w:t>
            </w:r>
            <w:r>
              <w:rPr>
                <w:rFonts w:hint="eastAsia" w:ascii="宋体" w:hAnsi="宋体" w:eastAsia="宋体" w:cs="宋体"/>
                <w:color w:val="auto"/>
                <w:highlight w:val="none"/>
              </w:rPr>
              <w:t>。</w:t>
            </w:r>
            <w:r>
              <w:rPr>
                <w:rFonts w:hint="eastAsia" w:ascii="宋体" w:hAnsi="宋体" w:eastAsia="宋体" w:cs="宋体"/>
                <w:color w:val="auto"/>
                <w:szCs w:val="21"/>
                <w:highlight w:val="none"/>
              </w:rPr>
              <w:t>成交供应商领取成交通知书后，应按规定与采购人签订合同。</w:t>
            </w:r>
          </w:p>
        </w:tc>
      </w:tr>
      <w:tr w14:paraId="7752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9" w:type="dxa"/>
            <w:noWrap w:val="0"/>
            <w:vAlign w:val="center"/>
          </w:tcPr>
          <w:p w14:paraId="7EF9383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18</w:t>
            </w:r>
          </w:p>
        </w:tc>
        <w:tc>
          <w:tcPr>
            <w:tcW w:w="933" w:type="dxa"/>
            <w:noWrap w:val="0"/>
            <w:vAlign w:val="center"/>
          </w:tcPr>
          <w:p w14:paraId="7BC0594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.3</w:t>
            </w:r>
          </w:p>
        </w:tc>
        <w:tc>
          <w:tcPr>
            <w:tcW w:w="1720" w:type="dxa"/>
            <w:noWrap w:val="0"/>
            <w:vAlign w:val="center"/>
          </w:tcPr>
          <w:p w14:paraId="764FD21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合同备案存档</w:t>
            </w:r>
          </w:p>
        </w:tc>
        <w:tc>
          <w:tcPr>
            <w:tcW w:w="7069" w:type="dxa"/>
            <w:noWrap w:val="0"/>
            <w:vAlign w:val="center"/>
          </w:tcPr>
          <w:p w14:paraId="793A237E">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hint="eastAsia" w:ascii="宋体" w:hAnsi="宋体" w:cs="宋体"/>
                <w:color w:val="auto"/>
                <w:highlight w:val="none"/>
                <w:lang w:eastAsia="zh-CN"/>
              </w:rPr>
              <w:t>广西北部湾宏亚建设管理有限公司</w:t>
            </w:r>
            <w:r>
              <w:rPr>
                <w:rFonts w:hint="eastAsia" w:ascii="宋体" w:hAnsi="宋体" w:eastAsia="宋体" w:cs="宋体"/>
                <w:color w:val="auto"/>
                <w:highlight w:val="none"/>
              </w:rPr>
              <w:t>存档。</w:t>
            </w:r>
          </w:p>
        </w:tc>
      </w:tr>
      <w:tr w14:paraId="7DD3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9" w:type="dxa"/>
            <w:noWrap w:val="0"/>
            <w:vAlign w:val="center"/>
          </w:tcPr>
          <w:p w14:paraId="2253F36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19</w:t>
            </w:r>
          </w:p>
        </w:tc>
        <w:tc>
          <w:tcPr>
            <w:tcW w:w="933" w:type="dxa"/>
            <w:noWrap w:val="0"/>
            <w:vAlign w:val="center"/>
          </w:tcPr>
          <w:p w14:paraId="103C6EA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w:t>
            </w:r>
          </w:p>
        </w:tc>
        <w:tc>
          <w:tcPr>
            <w:tcW w:w="1720" w:type="dxa"/>
            <w:noWrap w:val="0"/>
            <w:vAlign w:val="center"/>
          </w:tcPr>
          <w:p w14:paraId="1DB2A1C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7069" w:type="dxa"/>
            <w:noWrap w:val="0"/>
            <w:vAlign w:val="top"/>
          </w:tcPr>
          <w:p w14:paraId="42F5590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人领取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通知书前，向</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代理机构一次性付清</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代理服务费，本项目</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代理服务收费标准参照计价格[2002]1980号《招标代理服务收费管理暂行办法》</w:t>
            </w:r>
            <w:r>
              <w:rPr>
                <w:rFonts w:hint="eastAsia" w:ascii="宋体" w:hAnsi="宋体" w:cs="宋体"/>
                <w:color w:val="auto"/>
                <w:sz w:val="21"/>
                <w:szCs w:val="21"/>
                <w:highlight w:val="none"/>
                <w:lang w:eastAsia="zh-CN"/>
              </w:rPr>
              <w:t>工程类收费标准向成交供应商收取</w:t>
            </w:r>
            <w:r>
              <w:rPr>
                <w:rFonts w:hint="eastAsia" w:ascii="宋体" w:hAnsi="宋体" w:eastAsia="宋体" w:cs="宋体"/>
                <w:color w:val="auto"/>
                <w:sz w:val="21"/>
                <w:szCs w:val="21"/>
                <w:highlight w:val="none"/>
              </w:rPr>
              <w:t>。</w:t>
            </w:r>
          </w:p>
        </w:tc>
      </w:tr>
      <w:tr w14:paraId="2CB4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9" w:type="dxa"/>
            <w:noWrap w:val="0"/>
            <w:vAlign w:val="center"/>
          </w:tcPr>
          <w:p w14:paraId="5BF28F1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w:t>
            </w:r>
          </w:p>
        </w:tc>
        <w:tc>
          <w:tcPr>
            <w:tcW w:w="933" w:type="dxa"/>
            <w:noWrap w:val="0"/>
            <w:vAlign w:val="center"/>
          </w:tcPr>
          <w:p w14:paraId="4FD80FA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32</w:t>
            </w:r>
          </w:p>
        </w:tc>
        <w:tc>
          <w:tcPr>
            <w:tcW w:w="1720" w:type="dxa"/>
            <w:noWrap w:val="0"/>
            <w:vAlign w:val="center"/>
          </w:tcPr>
          <w:p w14:paraId="0620B36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解释权</w:t>
            </w:r>
          </w:p>
        </w:tc>
        <w:tc>
          <w:tcPr>
            <w:tcW w:w="7069" w:type="dxa"/>
            <w:noWrap w:val="0"/>
            <w:vAlign w:val="top"/>
          </w:tcPr>
          <w:p w14:paraId="3293DC69">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04F2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69" w:type="dxa"/>
            <w:noWrap w:val="0"/>
            <w:vAlign w:val="center"/>
          </w:tcPr>
          <w:p w14:paraId="10BADB5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933" w:type="dxa"/>
            <w:noWrap w:val="0"/>
            <w:vAlign w:val="center"/>
          </w:tcPr>
          <w:p w14:paraId="50EE3CC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1720" w:type="dxa"/>
            <w:noWrap w:val="0"/>
            <w:vAlign w:val="center"/>
          </w:tcPr>
          <w:p w14:paraId="001C608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监督管理部门</w:t>
            </w:r>
          </w:p>
        </w:tc>
        <w:tc>
          <w:tcPr>
            <w:tcW w:w="7069" w:type="dxa"/>
            <w:noWrap w:val="0"/>
            <w:vAlign w:val="center"/>
          </w:tcPr>
          <w:p w14:paraId="313C270C">
            <w:pPr>
              <w:keepNext w:val="0"/>
              <w:keepLines w:val="0"/>
              <w:pageBreakBefore w:val="0"/>
              <w:widowControl w:val="0"/>
              <w:wordWrap/>
              <w:topLinePunct w:val="0"/>
              <w:bidi w:val="0"/>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灌阳县财政局</w:t>
            </w:r>
            <w:r>
              <w:rPr>
                <w:rFonts w:hint="eastAsia" w:ascii="宋体" w:hAnsi="宋体" w:cs="宋体"/>
                <w:color w:val="auto"/>
                <w:szCs w:val="21"/>
                <w:highlight w:val="none"/>
              </w:rPr>
              <w:t xml:space="preserve">     电话：0773-</w:t>
            </w:r>
            <w:r>
              <w:rPr>
                <w:rFonts w:hint="eastAsia" w:ascii="宋体" w:hAnsi="宋体" w:cs="宋体"/>
                <w:color w:val="auto"/>
                <w:szCs w:val="21"/>
                <w:highlight w:val="none"/>
                <w:lang w:eastAsia="zh-CN"/>
              </w:rPr>
              <w:t>4250206</w:t>
            </w:r>
          </w:p>
        </w:tc>
      </w:tr>
    </w:tbl>
    <w:p w14:paraId="4201B677">
      <w:pPr>
        <w:keepNext w:val="0"/>
        <w:keepLines w:val="0"/>
        <w:pageBreakBefore w:val="0"/>
        <w:widowControl w:val="0"/>
        <w:tabs>
          <w:tab w:val="left" w:pos="567"/>
        </w:tabs>
        <w:wordWrap/>
        <w:topLinePunct w:val="0"/>
        <w:bidi w:val="0"/>
        <w:outlineLvl w:val="9"/>
        <w:rPr>
          <w:rFonts w:hint="eastAsia" w:ascii="宋体" w:hAnsi="宋体" w:eastAsia="宋体" w:cs="宋体"/>
          <w:b/>
          <w:bCs w:val="0"/>
          <w:color w:val="auto"/>
          <w:szCs w:val="28"/>
          <w:highlight w:val="none"/>
        </w:rPr>
      </w:pPr>
    </w:p>
    <w:p w14:paraId="7F7C030E">
      <w:pPr>
        <w:pStyle w:val="3"/>
        <w:keepNext w:val="0"/>
        <w:keepLines w:val="0"/>
        <w:pageBreakBefore w:val="0"/>
        <w:widowControl w:val="0"/>
        <w:tabs>
          <w:tab w:val="left" w:pos="567"/>
        </w:tabs>
        <w:kinsoku/>
        <w:wordWrap/>
        <w:overflowPunct/>
        <w:topLinePunct w:val="0"/>
        <w:bidi w:val="0"/>
        <w:spacing w:line="440" w:lineRule="exact"/>
        <w:jc w:val="both"/>
        <w:textAlignment w:val="auto"/>
        <w:rPr>
          <w:rFonts w:hint="eastAsia" w:ascii="宋体" w:hAnsi="宋体" w:eastAsia="宋体" w:cs="宋体"/>
          <w:b/>
          <w:bCs w:val="0"/>
          <w:color w:val="auto"/>
          <w:szCs w:val="28"/>
          <w:highlight w:val="none"/>
        </w:rPr>
        <w:sectPr>
          <w:footerReference r:id="rId6" w:type="first"/>
          <w:footerReference r:id="rId5" w:type="default"/>
          <w:pgSz w:w="11906" w:h="16838"/>
          <w:pgMar w:top="1304" w:right="1134" w:bottom="1191" w:left="1247" w:header="851" w:footer="992" w:gutter="0"/>
          <w:pgNumType w:fmt="decimal"/>
          <w:cols w:space="720" w:num="1"/>
          <w:titlePg/>
          <w:docGrid w:type="lines" w:linePitch="312" w:charSpace="0"/>
        </w:sectPr>
      </w:pPr>
      <w:bookmarkStart w:id="46" w:name="_Toc27120"/>
      <w:bookmarkStart w:id="47" w:name="_Toc22792"/>
    </w:p>
    <w:p w14:paraId="55DAFB43">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48" w:name="_Toc22096"/>
      <w:bookmarkStart w:id="49" w:name="_Toc23687"/>
      <w:r>
        <w:rPr>
          <w:rFonts w:hint="eastAsia" w:ascii="宋体" w:hAnsi="宋体" w:eastAsia="宋体" w:cs="宋体"/>
          <w:b/>
          <w:bCs w:val="0"/>
          <w:color w:val="auto"/>
          <w:szCs w:val="28"/>
          <w:highlight w:val="none"/>
        </w:rPr>
        <w:t>一、总则</w:t>
      </w:r>
      <w:bookmarkEnd w:id="46"/>
      <w:bookmarkEnd w:id="47"/>
      <w:bookmarkEnd w:id="48"/>
      <w:bookmarkEnd w:id="49"/>
    </w:p>
    <w:p w14:paraId="50182CB8">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50" w:name="_Toc6626"/>
      <w:bookmarkStart w:id="51" w:name="_Toc3367"/>
      <w:r>
        <w:rPr>
          <w:rFonts w:hint="eastAsia" w:ascii="宋体" w:hAnsi="宋体" w:eastAsia="宋体" w:cs="宋体"/>
          <w:color w:val="auto"/>
          <w:sz w:val="21"/>
          <w:szCs w:val="21"/>
          <w:highlight w:val="none"/>
        </w:rPr>
        <w:t>1. 适应范围</w:t>
      </w:r>
      <w:bookmarkEnd w:id="50"/>
      <w:bookmarkEnd w:id="51"/>
    </w:p>
    <w:p w14:paraId="652D5479">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  项目名称及项目编号</w:t>
      </w:r>
    </w:p>
    <w:p w14:paraId="2DAA419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Cs w:val="21"/>
          <w:highlight w:val="none"/>
          <w:lang w:eastAsia="zh-CN"/>
        </w:rPr>
        <w:t>灌阳县公安局西山派出所改造提升项目</w:t>
      </w:r>
      <w:r>
        <w:rPr>
          <w:rFonts w:hint="eastAsia" w:ascii="宋体" w:hAnsi="宋体" w:eastAsia="宋体" w:cs="宋体"/>
          <w:color w:val="auto"/>
          <w:szCs w:val="21"/>
          <w:highlight w:val="none"/>
        </w:rPr>
        <w:t xml:space="preserve">  </w:t>
      </w:r>
    </w:p>
    <w:p w14:paraId="4165C08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GLZC2026-C2-270030-BBWH</w:t>
      </w:r>
    </w:p>
    <w:p w14:paraId="0D0BB73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1.2本竞争性磋商文件（以下简称磋商文件）适用于本磋商项目的磋商、评审、合同履约、验收、付款等行为（法律、法规另有规定的，从其规定）。</w:t>
      </w:r>
    </w:p>
    <w:p w14:paraId="276C10B0">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52" w:name="_Toc28336"/>
      <w:bookmarkStart w:id="53" w:name="_Toc2845"/>
      <w:r>
        <w:rPr>
          <w:rFonts w:hint="eastAsia" w:ascii="宋体" w:hAnsi="宋体" w:eastAsia="宋体" w:cs="宋体"/>
          <w:color w:val="auto"/>
          <w:sz w:val="21"/>
          <w:szCs w:val="21"/>
          <w:highlight w:val="none"/>
        </w:rPr>
        <w:t>2. 定义</w:t>
      </w:r>
      <w:bookmarkEnd w:id="52"/>
      <w:bookmarkEnd w:id="53"/>
    </w:p>
    <w:p w14:paraId="427E531A">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2.1“供应商”是指符合本次采购项目的供应商资格并提交响应文件、参加磋商的供应商。如果该供应商在本次磋商中成交，即成为“成交供应商”。</w:t>
      </w:r>
    </w:p>
    <w:p w14:paraId="2972F0E0">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2.2“货物”系指按磋商文件规定，供应商须向采购人提供的一切设备、保险、税金、备品备件、工具、手册及其它有关技术资料和材料。</w:t>
      </w:r>
    </w:p>
    <w:p w14:paraId="5C4B5307">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2.3“服务”系指按磋商文件规定，供应商须承担的安装、调试、技术协助、校准、培训、技术指导以及其他类似的义务。</w:t>
      </w:r>
    </w:p>
    <w:p w14:paraId="06E054D1">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2.4“项目”系指供应商按磋商文件规定向采购人提供的货物和服务。</w:t>
      </w:r>
    </w:p>
    <w:p w14:paraId="1BF73CF9">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2.5“书面形式”包括信函、传真、电报等。</w:t>
      </w:r>
    </w:p>
    <w:p w14:paraId="46654EE1">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bookmarkStart w:id="54" w:name="_Toc13017"/>
      <w:bookmarkStart w:id="55" w:name="_Toc25441"/>
      <w:r>
        <w:rPr>
          <w:rFonts w:hint="eastAsia" w:ascii="宋体" w:hAnsi="宋体" w:eastAsia="宋体" w:cs="宋体"/>
          <w:color w:val="auto"/>
          <w:szCs w:val="21"/>
          <w:highlight w:val="none"/>
          <w:lang w:val="en-US" w:eastAsia="zh-CN"/>
        </w:rPr>
        <w:t>2.6“响应文件”：本项目实行全流程电子化招标，磋商供应商通过“广西政府采购云平台”平台参与电子磋商。响应文件特指磋商供应商按本采购文件规定提交的电子响应文件（包括因特殊情况无法解密或解密失败提交的电子备份响应文件）。</w:t>
      </w:r>
    </w:p>
    <w:p w14:paraId="2A77367D">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供应商资格</w:t>
      </w:r>
      <w:bookmarkEnd w:id="54"/>
      <w:bookmarkEnd w:id="55"/>
    </w:p>
    <w:p w14:paraId="6E6F78F8">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bookmarkStart w:id="56" w:name="_Toc16496"/>
      <w:bookmarkStart w:id="57" w:name="_Toc9216"/>
      <w:r>
        <w:rPr>
          <w:rFonts w:hint="eastAsia" w:ascii="宋体" w:hAnsi="宋体" w:eastAsia="宋体" w:cs="宋体"/>
          <w:color w:val="auto"/>
          <w:szCs w:val="21"/>
          <w:highlight w:val="none"/>
          <w:lang w:val="en-US" w:eastAsia="zh-CN"/>
        </w:rPr>
        <w:t>3.1满足《中华人民共和国政府采购法》第二十二条规定；</w:t>
      </w:r>
    </w:p>
    <w:p w14:paraId="7907707D">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3.2落实政府采购政策需满足的资格要求：</w:t>
      </w:r>
      <w:r>
        <w:rPr>
          <w:rFonts w:hint="eastAsia" w:ascii="宋体" w:hAnsi="宋体" w:eastAsia="宋体" w:cs="宋体"/>
          <w:bCs/>
          <w:color w:val="auto"/>
          <w:sz w:val="21"/>
          <w:szCs w:val="21"/>
          <w:highlight w:val="none"/>
          <w:lang w:eastAsia="zh-CN"/>
        </w:rPr>
        <w:t>本项目为专门面向小微企业采购的项目（供应商应为小微企业、监狱企业、残疾人福利性单位)</w:t>
      </w:r>
      <w:r>
        <w:rPr>
          <w:rFonts w:hint="eastAsia" w:ascii="宋体" w:hAnsi="宋体" w:eastAsia="宋体" w:cs="宋体"/>
          <w:color w:val="auto"/>
          <w:szCs w:val="21"/>
          <w:highlight w:val="none"/>
          <w:lang w:val="en-US" w:eastAsia="zh-CN"/>
        </w:rPr>
        <w:t>；</w:t>
      </w:r>
    </w:p>
    <w:p w14:paraId="6A0156CF">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3.3本项目的特定资格要求：具备</w:t>
      </w:r>
      <w:r>
        <w:rPr>
          <w:rFonts w:hint="eastAsia" w:ascii="宋体" w:hAnsi="宋体" w:cs="宋体"/>
          <w:color w:val="auto"/>
          <w:szCs w:val="21"/>
          <w:highlight w:val="none"/>
          <w:u w:val="single"/>
          <w:lang w:val="en-US" w:eastAsia="zh-CN"/>
        </w:rPr>
        <w:t>建筑工程施工总承包三级（含三级）以上</w:t>
      </w:r>
      <w:r>
        <w:rPr>
          <w:rFonts w:hint="eastAsia" w:ascii="宋体" w:hAnsi="宋体" w:eastAsia="宋体" w:cs="宋体"/>
          <w:color w:val="auto"/>
          <w:szCs w:val="21"/>
          <w:highlight w:val="none"/>
          <w:lang w:val="en-US" w:eastAsia="zh-CN"/>
        </w:rPr>
        <w:t>资质，并在人员、设备、资金等方面具备相应的施工能力。</w:t>
      </w:r>
      <w:r>
        <w:rPr>
          <w:rFonts w:hint="eastAsia" w:ascii="宋体" w:hAnsi="宋体" w:eastAsia="宋体" w:cs="宋体"/>
          <w:bCs/>
          <w:color w:val="auto"/>
          <w:sz w:val="21"/>
          <w:szCs w:val="21"/>
          <w:highlight w:val="none"/>
          <w:lang w:eastAsia="zh-CN"/>
        </w:rPr>
        <w:t>项目负责人须具备</w:t>
      </w:r>
      <w:r>
        <w:rPr>
          <w:rFonts w:hint="eastAsia" w:ascii="宋体" w:hAnsi="宋体" w:cs="宋体"/>
          <w:bCs/>
          <w:color w:val="auto"/>
          <w:sz w:val="21"/>
          <w:szCs w:val="21"/>
          <w:highlight w:val="none"/>
          <w:u w:val="single"/>
          <w:lang w:val="en-US" w:eastAsia="zh-CN"/>
        </w:rPr>
        <w:t>建筑工程贰级以上</w:t>
      </w:r>
      <w:r>
        <w:rPr>
          <w:rFonts w:hint="eastAsia" w:ascii="宋体" w:hAnsi="宋体" w:eastAsia="宋体" w:cs="宋体"/>
          <w:bCs/>
          <w:color w:val="auto"/>
          <w:sz w:val="21"/>
          <w:szCs w:val="21"/>
          <w:highlight w:val="none"/>
          <w:u w:val="single"/>
          <w:lang w:eastAsia="zh-CN"/>
        </w:rPr>
        <w:t>（含贰级）</w:t>
      </w:r>
      <w:r>
        <w:rPr>
          <w:rFonts w:hint="eastAsia" w:ascii="宋体" w:hAnsi="宋体" w:eastAsia="宋体" w:cs="宋体"/>
          <w:bCs/>
          <w:color w:val="auto"/>
          <w:sz w:val="21"/>
          <w:szCs w:val="21"/>
          <w:highlight w:val="none"/>
          <w:u w:val="none"/>
          <w:lang w:eastAsia="zh-CN"/>
        </w:rPr>
        <w:t>注册建造师执业资格</w:t>
      </w:r>
      <w:r>
        <w:rPr>
          <w:rFonts w:hint="eastAsia" w:ascii="宋体" w:hAnsi="宋体" w:eastAsia="宋体" w:cs="宋体"/>
          <w:bCs/>
          <w:color w:val="auto"/>
          <w:sz w:val="21"/>
          <w:szCs w:val="21"/>
          <w:highlight w:val="none"/>
          <w:lang w:eastAsia="zh-CN"/>
        </w:rPr>
        <w:t>资格</w:t>
      </w:r>
      <w:r>
        <w:rPr>
          <w:rFonts w:hint="eastAsia" w:ascii="宋体" w:hAnsi="宋体" w:eastAsia="宋体" w:cs="宋体"/>
          <w:color w:val="auto"/>
          <w:szCs w:val="21"/>
          <w:highlight w:val="none"/>
          <w:lang w:val="en-US" w:eastAsia="zh-CN"/>
        </w:rPr>
        <w:t>，具有安全生产考核B证,且未担任其他在施建设工程项目的项目经理（符合《广西壮族自治区建筑市场诚信卡管理暂行办法》第十六条第一款及桂建管﹝2016﹞70号、桂建管〔2019〕26号和桂建管〔2020〕11号文除外）。</w:t>
      </w:r>
    </w:p>
    <w:p w14:paraId="2BB9F891">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4. </w:t>
      </w:r>
      <w:bookmarkEnd w:id="56"/>
      <w:bookmarkEnd w:id="57"/>
      <w:r>
        <w:rPr>
          <w:rFonts w:hint="eastAsia" w:ascii="宋体" w:hAnsi="宋体" w:eastAsia="宋体" w:cs="宋体"/>
          <w:color w:val="auto"/>
          <w:sz w:val="21"/>
          <w:szCs w:val="21"/>
          <w:highlight w:val="none"/>
          <w:lang w:val="en-US" w:eastAsia="zh-CN"/>
        </w:rPr>
        <w:t>参与电子磋商的准备工作</w:t>
      </w:r>
    </w:p>
    <w:p w14:paraId="670CED6E">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本项目实行全流程电子化采购，磋商供应商通过“广西政府采购云平台”平台参与电子磋商，并应做好以下相关准备工作：①在“广西政府采购云平台”平台注册成为正式供应商（操作方法详见广西壮族自治区政府采购网—办事服务—办事指南）；②完成CA认证证书申领和绑定（费用由磋商供应商自行承担，办理流程详见广西壮族自治区政府采购网—办事服务—下载专区，完成CA认证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磋商供应商应当在响应文件提交截止时间前在“广西政府采购云平台”平台完成的身份认证，确保能够对相关数据电文进行加密和使用电子签章；④自备计算机和网络设备并确保能接入互联网（费用由磋商供应商自行承担，设备确保可进行视频通话和读取广西政府采购云平台CA认证证书）。因磋商供应商未做好相关准备工作等自身原因导致无法参加本项目电子磋商或磋商失败的，造成的一切后果，由磋商供应商自行承担。</w:t>
      </w:r>
    </w:p>
    <w:p w14:paraId="707AB0D7">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4.2电子磋商具体操作流程参考《政府采购项目电子交易管理操作指南-供应商》（详见桂林市政府采购网—采购资讯—重要通知）；如遇平台技术问题详询95763。</w:t>
      </w:r>
    </w:p>
    <w:p w14:paraId="41F5E304">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58" w:name="_Toc22877"/>
      <w:bookmarkStart w:id="59" w:name="_Toc31376"/>
      <w:r>
        <w:rPr>
          <w:rFonts w:hint="eastAsia" w:ascii="宋体" w:hAnsi="宋体" w:eastAsia="宋体" w:cs="宋体"/>
          <w:color w:val="auto"/>
          <w:sz w:val="21"/>
          <w:szCs w:val="21"/>
          <w:highlight w:val="none"/>
        </w:rPr>
        <w:t>磋商费用</w:t>
      </w:r>
    </w:p>
    <w:p w14:paraId="0D237F06">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不论磋商结果如何，供应商均应自行承担所有与磋商有关的全部费用。</w:t>
      </w:r>
    </w:p>
    <w:p w14:paraId="1E4D7C36">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联合体要求</w:t>
      </w:r>
      <w:bookmarkEnd w:id="58"/>
      <w:bookmarkEnd w:id="59"/>
    </w:p>
    <w:p w14:paraId="7C4D59B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本项目不接受联合体参与磋商</w:t>
      </w:r>
    </w:p>
    <w:p w14:paraId="6AC53E5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60" w:name="_Toc18940"/>
      <w:bookmarkStart w:id="61" w:name="_Toc4152"/>
      <w:r>
        <w:rPr>
          <w:rFonts w:hint="eastAsia" w:ascii="宋体" w:hAnsi="宋体" w:eastAsia="宋体" w:cs="宋体"/>
          <w:color w:val="auto"/>
          <w:sz w:val="21"/>
          <w:szCs w:val="21"/>
          <w:highlight w:val="none"/>
        </w:rPr>
        <w:t>质疑和投诉</w:t>
      </w:r>
      <w:bookmarkEnd w:id="60"/>
      <w:bookmarkEnd w:id="61"/>
      <w:r>
        <w:rPr>
          <w:rFonts w:hint="eastAsia" w:ascii="宋体" w:hAnsi="宋体" w:eastAsia="宋体" w:cs="宋体"/>
          <w:color w:val="auto"/>
          <w:sz w:val="21"/>
          <w:szCs w:val="21"/>
          <w:highlight w:val="none"/>
        </w:rPr>
        <w:tab/>
      </w:r>
    </w:p>
    <w:p w14:paraId="22B57618">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bookmarkStart w:id="62" w:name="_Toc8195"/>
      <w:bookmarkStart w:id="63" w:name="_Toc26087"/>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1供应对政府采购活动事项有疑问的，可以向采购人提出询问。</w:t>
      </w:r>
    </w:p>
    <w:p w14:paraId="49DD33AB">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2供应商认为磋商文件使自己的合法权益受到损害的，应当在竞争性磋商公告期限届满之日起七个工作日内，以书面形式向采购代理机构提出质疑（“质疑函”格式见附表1）。供应商认为采购过程或成交结果使自己的合法权益受到损害的，应当在各采购程序环节结束之日起七个工作日内，以书面形式向采购代理机构提出质疑。采购代理机构应认真做好质疑处理工作。</w:t>
      </w:r>
    </w:p>
    <w:p w14:paraId="41E89B9D">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3供应商对采购代理机构的质疑答复不满意或者采购代理机构未在规定的时间内作出答复的，可以在答复期满后十五个工作日内向本级财政部门投诉（“投诉书”格式见附表2）。</w:t>
      </w:r>
    </w:p>
    <w:p w14:paraId="7726EDB7">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4质疑、投诉应当采用书面形式，质疑书、投诉书实行实名制，均应明确阐述磋商文件、采购过程或成交结果中使自己合法权益受到损害的实质性内容，提供相关事实、明确的请求，并提供必要的证明材料。</w:t>
      </w:r>
    </w:p>
    <w:p w14:paraId="5B50E2AF">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5质疑联系</w:t>
      </w:r>
      <w:bookmarkEnd w:id="62"/>
      <w:bookmarkEnd w:id="63"/>
      <w:r>
        <w:rPr>
          <w:rFonts w:hint="eastAsia" w:ascii="宋体" w:hAnsi="宋体" w:eastAsia="宋体" w:cs="宋体"/>
          <w:color w:val="auto"/>
          <w:szCs w:val="21"/>
          <w:highlight w:val="none"/>
          <w:u w:val="none"/>
          <w:lang w:eastAsia="zh-CN"/>
        </w:rPr>
        <w:t>方式，详见磋商公告。</w:t>
      </w:r>
    </w:p>
    <w:p w14:paraId="0E0CD38E">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64" w:name="_Toc6998"/>
      <w:bookmarkStart w:id="65" w:name="_Toc5032"/>
      <w:r>
        <w:rPr>
          <w:rFonts w:hint="eastAsia" w:ascii="宋体" w:hAnsi="宋体" w:eastAsia="宋体" w:cs="宋体"/>
          <w:color w:val="auto"/>
          <w:sz w:val="21"/>
          <w:szCs w:val="21"/>
          <w:highlight w:val="none"/>
        </w:rPr>
        <w:t>转包与分包</w:t>
      </w:r>
      <w:bookmarkEnd w:id="64"/>
      <w:bookmarkEnd w:id="65"/>
    </w:p>
    <w:p w14:paraId="30BE514C">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eastAsia" w:ascii="宋体" w:hAnsi="宋体" w:eastAsia="宋体" w:cs="宋体"/>
          <w:color w:val="auto"/>
          <w:kern w:val="0"/>
          <w:szCs w:val="21"/>
          <w:highlight w:val="none"/>
          <w:shd w:val="clear" w:color="auto" w:fill="FFFFFF"/>
        </w:rPr>
      </w:pPr>
      <w:r>
        <w:rPr>
          <w:rFonts w:hint="eastAsia" w:ascii="宋体" w:hAnsi="宋体" w:cs="宋体"/>
          <w:color w:val="auto"/>
          <w:szCs w:val="21"/>
          <w:highlight w:val="none"/>
          <w:lang w:eastAsia="zh-CN"/>
        </w:rPr>
        <w:t>8.</w:t>
      </w:r>
      <w:r>
        <w:rPr>
          <w:rFonts w:hint="eastAsia" w:ascii="宋体" w:hAnsi="宋体" w:eastAsia="宋体" w:cs="宋体"/>
          <w:color w:val="auto"/>
          <w:kern w:val="0"/>
          <w:szCs w:val="21"/>
          <w:highlight w:val="none"/>
          <w:shd w:val="clear" w:color="auto" w:fill="FFFFFF"/>
        </w:rPr>
        <w:t>1 本项目不允许转包。</w:t>
      </w:r>
    </w:p>
    <w:p w14:paraId="2ABD6D4E">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eastAsia" w:ascii="宋体" w:hAnsi="宋体" w:eastAsia="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eastAsia="zh-CN"/>
        </w:rPr>
        <w:t>8.</w:t>
      </w:r>
      <w:r>
        <w:rPr>
          <w:rFonts w:hint="eastAsia" w:ascii="宋体" w:hAnsi="宋体" w:eastAsia="宋体" w:cs="宋体"/>
          <w:color w:val="auto"/>
          <w:kern w:val="0"/>
          <w:szCs w:val="21"/>
          <w:highlight w:val="none"/>
          <w:shd w:val="clear" w:color="auto" w:fill="FFFFFF"/>
        </w:rPr>
        <w:t>2 本项目不可以分包。</w:t>
      </w:r>
    </w:p>
    <w:p w14:paraId="65C4E7BA">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eastAsia"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val="en-US" w:eastAsia="zh-CN"/>
        </w:rPr>
        <w:t>8.</w:t>
      </w:r>
      <w:r>
        <w:rPr>
          <w:rFonts w:hint="eastAsia" w:ascii="宋体" w:hAnsi="宋体" w:eastAsia="宋体" w:cs="宋体"/>
          <w:color w:val="auto"/>
          <w:kern w:val="0"/>
          <w:szCs w:val="21"/>
          <w:highlight w:val="none"/>
          <w:shd w:val="clear" w:color="auto" w:fill="FFFFFF"/>
          <w:lang w:val="en-US" w:eastAsia="zh-CN"/>
        </w:rPr>
        <w:t>3本项目不允许挂靠。</w:t>
      </w:r>
    </w:p>
    <w:p w14:paraId="394395FB">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default"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val="en-US" w:eastAsia="zh-CN"/>
        </w:rPr>
        <w:t>8.</w:t>
      </w:r>
      <w:r>
        <w:rPr>
          <w:rFonts w:hint="eastAsia" w:ascii="宋体" w:hAnsi="宋体" w:eastAsia="宋体" w:cs="宋体"/>
          <w:color w:val="auto"/>
          <w:kern w:val="0"/>
          <w:szCs w:val="21"/>
          <w:highlight w:val="none"/>
          <w:shd w:val="clear" w:color="auto" w:fill="FFFFFF"/>
          <w:lang w:val="en-US" w:eastAsia="zh-CN"/>
        </w:rPr>
        <w:t>4如发现有以上行为，采购人有权终止合同，所有损失由成交供应商承担。</w:t>
      </w:r>
    </w:p>
    <w:p w14:paraId="133017A0">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66" w:name="_Toc3368"/>
      <w:bookmarkStart w:id="67" w:name="_Toc15097"/>
      <w:r>
        <w:rPr>
          <w:rFonts w:hint="eastAsia" w:ascii="宋体" w:hAnsi="宋体" w:eastAsia="宋体" w:cs="宋体"/>
          <w:color w:val="auto"/>
          <w:sz w:val="21"/>
          <w:szCs w:val="21"/>
          <w:highlight w:val="none"/>
        </w:rPr>
        <w:t>特别说明</w:t>
      </w:r>
      <w:bookmarkEnd w:id="66"/>
      <w:bookmarkEnd w:id="67"/>
    </w:p>
    <w:p w14:paraId="29D66A3B">
      <w:pPr>
        <w:keepNext w:val="0"/>
        <w:keepLines w:val="0"/>
        <w:pageBreakBefore w:val="0"/>
        <w:widowControl w:val="0"/>
        <w:tabs>
          <w:tab w:val="left" w:pos="1635"/>
        </w:tabs>
        <w:kinsoku/>
        <w:wordWrap/>
        <w:overflowPunct/>
        <w:topLinePunct w:val="0"/>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9.</w:t>
      </w:r>
      <w:r>
        <w:rPr>
          <w:rFonts w:hint="eastAsia" w:ascii="宋体" w:hAnsi="宋体" w:eastAsia="宋体" w:cs="宋体"/>
          <w:b/>
          <w:color w:val="auto"/>
          <w:szCs w:val="21"/>
          <w:highlight w:val="none"/>
        </w:rPr>
        <w:t>1关联供应商不得参加同一合同项下政府采购活动，否则响应文件将被视为无效：</w:t>
      </w:r>
    </w:p>
    <w:p w14:paraId="55334FB7">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（1）单位负责人为同一人或者存在直接控股、管理关系的，不得参加同一合同项下的政府采购活动。</w:t>
      </w:r>
    </w:p>
    <w:p w14:paraId="1FF697D3">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）为本采购项目提供整体设计、规范编制或者项目管理、监理、检测等服务的供应商，不得再参加本次采购活动。</w:t>
      </w:r>
    </w:p>
    <w:p w14:paraId="40A61EC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p>
    <w:p w14:paraId="23897837">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68" w:name="_Toc2062"/>
      <w:bookmarkStart w:id="69" w:name="_Toc6291"/>
      <w:bookmarkStart w:id="70" w:name="_Toc29496"/>
      <w:bookmarkStart w:id="71" w:name="_Toc22498"/>
      <w:r>
        <w:rPr>
          <w:rFonts w:hint="eastAsia" w:ascii="宋体" w:hAnsi="宋体" w:eastAsia="宋体" w:cs="宋体"/>
          <w:b/>
          <w:bCs w:val="0"/>
          <w:color w:val="auto"/>
          <w:szCs w:val="28"/>
          <w:highlight w:val="none"/>
        </w:rPr>
        <w:t>二、磋商文件</w:t>
      </w:r>
      <w:bookmarkEnd w:id="68"/>
      <w:bookmarkEnd w:id="69"/>
      <w:bookmarkEnd w:id="70"/>
      <w:bookmarkEnd w:id="71"/>
    </w:p>
    <w:p w14:paraId="59034907">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val="pt-BR"/>
        </w:rPr>
      </w:pPr>
      <w:bookmarkStart w:id="72" w:name="_Toc18964"/>
      <w:bookmarkStart w:id="73" w:name="_Toc20057"/>
      <w:r>
        <w:rPr>
          <w:rFonts w:hint="eastAsia" w:ascii="宋体" w:hAnsi="宋体" w:eastAsia="宋体" w:cs="宋体"/>
          <w:color w:val="auto"/>
          <w:sz w:val="21"/>
          <w:szCs w:val="21"/>
          <w:highlight w:val="none"/>
        </w:rPr>
        <w:t>磋商文件的构成</w:t>
      </w:r>
      <w:bookmarkEnd w:id="72"/>
      <w:bookmarkEnd w:id="73"/>
    </w:p>
    <w:p w14:paraId="75FFFD32">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（1）竞争性磋商公告；</w:t>
      </w:r>
    </w:p>
    <w:p w14:paraId="4B44CE61">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（2）供应商须知；</w:t>
      </w:r>
    </w:p>
    <w:p w14:paraId="5F2D14D7">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（3）工程量清单；</w:t>
      </w:r>
    </w:p>
    <w:p w14:paraId="1D231D36">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（4）评审办法；</w:t>
      </w:r>
    </w:p>
    <w:p w14:paraId="231DFAB6">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（5）采购合同（合同主要条款及格式）；</w:t>
      </w:r>
    </w:p>
    <w:p w14:paraId="64069202">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（6）响应文件（格式）</w:t>
      </w:r>
      <w:r>
        <w:rPr>
          <w:rFonts w:hint="eastAsia" w:ascii="宋体" w:hAnsi="宋体" w:eastAsia="宋体" w:cs="宋体"/>
          <w:color w:val="auto"/>
          <w:szCs w:val="21"/>
          <w:highlight w:val="none"/>
          <w:lang w:eastAsia="zh-CN"/>
        </w:rPr>
        <w:t>；</w:t>
      </w:r>
    </w:p>
    <w:p w14:paraId="55634BBF">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bookmarkStart w:id="74" w:name="_Toc9103"/>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图纸。</w:t>
      </w:r>
    </w:p>
    <w:p w14:paraId="09C147B0">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75" w:name="_Toc17932"/>
      <w:r>
        <w:rPr>
          <w:rFonts w:hint="eastAsia" w:ascii="宋体" w:hAnsi="宋体" w:eastAsia="宋体" w:cs="宋体"/>
          <w:color w:val="auto"/>
          <w:sz w:val="21"/>
          <w:szCs w:val="21"/>
          <w:highlight w:val="none"/>
        </w:rPr>
        <w:t>磋商文件的澄清与修改</w:t>
      </w:r>
      <w:bookmarkEnd w:id="74"/>
      <w:bookmarkEnd w:id="75"/>
    </w:p>
    <w:p w14:paraId="15F7C798">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1 提交首次响应文件截止之日前，采购代理机构可以对已发出的磋商文件进行必要澄清、答复、修改或补充，澄清或者修改的内容可能影响响应文件编制的，澄清或者修改的内容作为磋商文件的组成部分。采购代理机构应当在提交首次响应文件递交截止时间</w:t>
      </w:r>
      <w:r>
        <w:rPr>
          <w:rFonts w:hint="eastAsia" w:ascii="宋体" w:hAnsi="宋体" w:eastAsia="宋体" w:cs="宋体"/>
          <w:b/>
          <w:bCs/>
          <w:color w:val="auto"/>
          <w:szCs w:val="21"/>
          <w:highlight w:val="none"/>
        </w:rPr>
        <w:t>五日</w:t>
      </w:r>
      <w:r>
        <w:rPr>
          <w:rFonts w:hint="eastAsia" w:ascii="宋体" w:hAnsi="宋体" w:eastAsia="宋体" w:cs="宋体"/>
          <w:color w:val="auto"/>
          <w:szCs w:val="21"/>
          <w:highlight w:val="none"/>
        </w:rPr>
        <w:t>前在本项目竞争性磋商公告发布的同一媒体上发布更正公告，不足</w:t>
      </w:r>
      <w:r>
        <w:rPr>
          <w:rFonts w:hint="eastAsia" w:ascii="宋体" w:hAnsi="宋体" w:eastAsia="宋体" w:cs="宋体"/>
          <w:b/>
          <w:bCs/>
          <w:color w:val="auto"/>
          <w:szCs w:val="21"/>
          <w:highlight w:val="none"/>
        </w:rPr>
        <w:t>五日</w:t>
      </w:r>
      <w:r>
        <w:rPr>
          <w:rFonts w:hint="eastAsia" w:ascii="宋体" w:hAnsi="宋体" w:eastAsia="宋体" w:cs="宋体"/>
          <w:color w:val="auto"/>
          <w:szCs w:val="21"/>
          <w:highlight w:val="none"/>
        </w:rPr>
        <w:t>的，应当顺延首次响应文件递交截止时间。</w:t>
      </w:r>
    </w:p>
    <w:p w14:paraId="714E66C4">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2</w:t>
      </w:r>
      <w:r>
        <w:rPr>
          <w:rFonts w:hint="eastAsia" w:ascii="宋体" w:hAnsi="宋体" w:eastAsia="宋体" w:cs="宋体"/>
          <w:b/>
          <w:bCs/>
          <w:color w:val="auto"/>
          <w:szCs w:val="21"/>
          <w:highlight w:val="none"/>
        </w:rPr>
        <w:t>供应商应实时关注本项目信息公告发布媒体相关网站了解澄清、修改等与项目有关的内容，</w:t>
      </w:r>
    </w:p>
    <w:p w14:paraId="6B84927B">
      <w:pPr>
        <w:keepNext w:val="0"/>
        <w:keepLines w:val="0"/>
        <w:pageBreakBefore w:val="0"/>
        <w:widowControl w:val="0"/>
        <w:kinsoku/>
        <w:wordWrap/>
        <w:overflowPunct/>
        <w:topLinePunct w:val="0"/>
        <w:bidi w:val="0"/>
        <w:spacing w:line="44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如因供应商未及时登录相关网站了解澄清、修改等与项目有关的内容，从而导致响应文件无效的，由供应商自行承担责任。</w:t>
      </w:r>
    </w:p>
    <w:p w14:paraId="6E83B761">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3澄清或者修改的内容为磋商文件的组成部分。当澄清或者修改通知就同一内容的表述不一致时，以最后发出的文件为准。</w:t>
      </w:r>
    </w:p>
    <w:p w14:paraId="60FE4ACF">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4 磋商文件的澄清或者修改都应该通过本项目采购代理机构以法定形式发布，采购人非通过本机构，不得擅自澄清或者修改磋商文件。</w:t>
      </w:r>
    </w:p>
    <w:p w14:paraId="34240C1A">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5采购单位可以视采购具体情况，延长响应文件截止时间和磋商时间，在本项目竞争性磋商公告发布的同一媒体上发布变更公告。</w:t>
      </w:r>
    </w:p>
    <w:p w14:paraId="4562E60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p>
    <w:p w14:paraId="2F38C340">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76" w:name="_Toc15892"/>
      <w:bookmarkStart w:id="77" w:name="_Toc20830"/>
      <w:bookmarkStart w:id="78" w:name="_Toc17820"/>
      <w:bookmarkStart w:id="79" w:name="_Toc23267"/>
      <w:r>
        <w:rPr>
          <w:rFonts w:hint="eastAsia" w:ascii="宋体" w:hAnsi="宋体" w:eastAsia="宋体" w:cs="宋体"/>
          <w:b/>
          <w:bCs w:val="0"/>
          <w:color w:val="auto"/>
          <w:szCs w:val="28"/>
          <w:highlight w:val="none"/>
        </w:rPr>
        <w:t>三、竞争性磋商响应文件的编制</w:t>
      </w:r>
      <w:bookmarkEnd w:id="76"/>
      <w:bookmarkEnd w:id="77"/>
      <w:bookmarkEnd w:id="78"/>
      <w:bookmarkEnd w:id="79"/>
    </w:p>
    <w:p w14:paraId="4BA5395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b/>
          <w:color w:val="auto"/>
          <w:sz w:val="21"/>
          <w:szCs w:val="21"/>
          <w:highlight w:val="none"/>
          <w:lang w:val="en-US" w:eastAsia="zh-CN"/>
        </w:rPr>
      </w:pPr>
      <w:bookmarkStart w:id="80" w:name="_Toc19747"/>
      <w:r>
        <w:rPr>
          <w:rFonts w:hint="eastAsia" w:ascii="宋体" w:hAnsi="宋体" w:eastAsia="宋体" w:cs="宋体"/>
          <w:b/>
          <w:color w:val="auto"/>
          <w:sz w:val="21"/>
          <w:szCs w:val="21"/>
          <w:highlight w:val="none"/>
          <w:lang w:val="en-US" w:eastAsia="zh-CN"/>
        </w:rPr>
        <w:t>竞争性磋商响应文件编制基本要求</w:t>
      </w:r>
      <w:bookmarkEnd w:id="80"/>
    </w:p>
    <w:p w14:paraId="3FC12A2D">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12.</w:t>
      </w:r>
      <w:r>
        <w:rPr>
          <w:rFonts w:hint="eastAsia" w:ascii="宋体" w:hAnsi="宋体" w:eastAsia="宋体" w:cs="宋体"/>
          <w:b/>
          <w:bCs/>
          <w:color w:val="auto"/>
          <w:szCs w:val="21"/>
          <w:highlight w:val="none"/>
          <w:lang w:val="en-US" w:eastAsia="zh-CN"/>
        </w:rPr>
        <w:t>1 本项目实行电子</w:t>
      </w:r>
      <w:r>
        <w:rPr>
          <w:rFonts w:hint="eastAsia" w:ascii="宋体" w:hAnsi="宋体" w:cs="宋体"/>
          <w:b/>
          <w:bCs/>
          <w:color w:val="auto"/>
          <w:szCs w:val="21"/>
          <w:highlight w:val="none"/>
          <w:lang w:val="en-US" w:eastAsia="zh-CN"/>
        </w:rPr>
        <w:t>响应</w:t>
      </w:r>
      <w:r>
        <w:rPr>
          <w:rFonts w:hint="eastAsia" w:ascii="宋体" w:hAnsi="宋体" w:eastAsia="宋体" w:cs="宋体"/>
          <w:b/>
          <w:bCs/>
          <w:color w:val="auto"/>
          <w:szCs w:val="21"/>
          <w:highlight w:val="none"/>
          <w:lang w:val="en-US" w:eastAsia="zh-CN"/>
        </w:rPr>
        <w:t>，供应商应准备电子磋商响应文件：</w:t>
      </w:r>
    </w:p>
    <w:p w14:paraId="768BD346">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12.</w:t>
      </w:r>
      <w:r>
        <w:rPr>
          <w:rFonts w:hint="eastAsia" w:ascii="宋体" w:hAnsi="宋体" w:eastAsia="宋体" w:cs="宋体"/>
          <w:b/>
          <w:bCs/>
          <w:color w:val="auto"/>
          <w:szCs w:val="21"/>
          <w:highlight w:val="none"/>
          <w:lang w:val="en-US" w:eastAsia="zh-CN"/>
        </w:rPr>
        <w:t>1.1 电子响应文件按</w:t>
      </w:r>
      <w:r>
        <w:rPr>
          <w:rFonts w:hint="eastAsia" w:ascii="宋体" w:hAnsi="宋体" w:cs="宋体"/>
          <w:b/>
          <w:bCs/>
          <w:color w:val="auto"/>
          <w:szCs w:val="21"/>
          <w:highlight w:val="none"/>
          <w:lang w:val="en-US" w:eastAsia="zh-CN"/>
        </w:rPr>
        <w:t>广西政府采购云平台</w:t>
      </w:r>
      <w:r>
        <w:rPr>
          <w:rFonts w:hint="eastAsia" w:ascii="宋体" w:hAnsi="宋体" w:eastAsia="宋体" w:cs="宋体"/>
          <w:b/>
          <w:bCs/>
          <w:color w:val="auto"/>
          <w:szCs w:val="21"/>
          <w:highlight w:val="none"/>
          <w:lang w:val="en-US" w:eastAsia="zh-CN"/>
        </w:rPr>
        <w:t>要求及本磋商文件要求制作、加密并递交。具体操作流程可参考《政府采购项目电子交易管理操作指南-供应商》，指南可在 “http</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 xml:space="preserve">//www.ccgp-guangxi.gov.cn/PurchaseAdvisory/ImportantNotice/2866753.html”下载。 </w:t>
      </w:r>
    </w:p>
    <w:p w14:paraId="17E70323">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竞争性磋商响应文件（以下简称响应文件）的组成及要求</w:t>
      </w:r>
    </w:p>
    <w:p w14:paraId="060FD1CE">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2.1</w:t>
      </w:r>
      <w:r>
        <w:rPr>
          <w:rFonts w:hint="eastAsia" w:ascii="宋体" w:hAnsi="宋体" w:eastAsia="宋体" w:cs="宋体"/>
          <w:b/>
          <w:bCs/>
          <w:color w:val="auto"/>
          <w:szCs w:val="21"/>
          <w:highlight w:val="none"/>
        </w:rPr>
        <w:t>响应文件组成【格式见第六章“响应文件（格式）”】</w:t>
      </w:r>
    </w:p>
    <w:p w14:paraId="796231B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1.1</w:t>
      </w:r>
      <w:r>
        <w:rPr>
          <w:rFonts w:hint="eastAsia" w:ascii="宋体" w:hAnsi="宋体" w:eastAsia="宋体" w:cs="宋体"/>
          <w:b/>
          <w:bCs/>
          <w:color w:val="auto"/>
          <w:szCs w:val="21"/>
          <w:highlight w:val="none"/>
        </w:rPr>
        <w:t>资格性响应证明材料：</w:t>
      </w:r>
    </w:p>
    <w:p w14:paraId="0C4D27E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（1）供应商相应的法定代表人、负责人、自然人身份证正反两面复印件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6671C11A">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color w:val="auto"/>
          <w:szCs w:val="21"/>
          <w:highlight w:val="none"/>
          <w:lang w:eastAsia="zh-CN"/>
        </w:rPr>
        <w:t>半年内任意一个月</w:t>
      </w:r>
      <w:r>
        <w:rPr>
          <w:rFonts w:hint="eastAsia" w:ascii="宋体" w:hAnsi="宋体" w:eastAsia="宋体" w:cs="宋体"/>
          <w:color w:val="auto"/>
          <w:szCs w:val="21"/>
          <w:highlight w:val="none"/>
        </w:rPr>
        <w:t>社保证明复印件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（委托代理时必须提供）</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除供应商为以下三种情形的：</w:t>
      </w:r>
    </w:p>
    <w:p w14:paraId="2B0B371A">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67949BE1">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35773D01">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2C7FA01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（委托代理时必须提供）</w:t>
      </w:r>
    </w:p>
    <w:p w14:paraId="6CCD5D8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p w14:paraId="2D3F67F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p w14:paraId="6956B52E">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A90E85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lang w:val="en-US" w:eastAsia="zh-CN"/>
        </w:rPr>
        <w:t>供应商有效的资质证书复印件及供应商有效的安全生产许可证书复印件</w:t>
      </w:r>
      <w:r>
        <w:rPr>
          <w:rFonts w:hint="eastAsia" w:ascii="宋体" w:hAnsi="宋体" w:eastAsia="宋体" w:cs="宋体"/>
          <w:b/>
          <w:bCs w:val="0"/>
          <w:color w:val="auto"/>
          <w:kern w:val="0"/>
          <w:szCs w:val="21"/>
          <w:highlight w:val="none"/>
          <w:lang w:val="en-US" w:eastAsia="zh-CN"/>
        </w:rPr>
        <w:t>（必须提供）；</w:t>
      </w:r>
    </w:p>
    <w:p w14:paraId="0EEABF1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（6）</w:t>
      </w:r>
      <w:r>
        <w:rPr>
          <w:rFonts w:hint="eastAsia" w:ascii="宋体" w:hAnsi="宋体" w:cs="宋体"/>
          <w:bCs/>
          <w:color w:val="auto"/>
          <w:sz w:val="21"/>
          <w:szCs w:val="21"/>
          <w:highlight w:val="none"/>
          <w:lang w:eastAsia="zh-CN"/>
        </w:rPr>
        <w:t>拟派项目负责人的注册二级建造师证书复印件、安全生产考核B证证书复印件及项目经理无在建工程承诺书</w:t>
      </w:r>
      <w:r>
        <w:rPr>
          <w:rFonts w:hint="eastAsia" w:ascii="宋体" w:hAnsi="宋体" w:cs="宋体"/>
          <w:bCs/>
          <w:color w:val="auto"/>
          <w:kern w:val="0"/>
          <w:szCs w:val="21"/>
          <w:highlight w:val="none"/>
          <w:lang w:val="en-US" w:eastAsia="zh-CN"/>
        </w:rPr>
        <w:t>（格式自拟）</w:t>
      </w:r>
      <w:r>
        <w:rPr>
          <w:rFonts w:hint="eastAsia" w:ascii="宋体" w:hAnsi="宋体" w:eastAsia="宋体" w:cs="宋体"/>
          <w:b/>
          <w:bCs w:val="0"/>
          <w:color w:val="auto"/>
          <w:kern w:val="0"/>
          <w:szCs w:val="21"/>
          <w:highlight w:val="none"/>
          <w:lang w:val="en-US" w:eastAsia="zh-CN"/>
        </w:rPr>
        <w:t>（必须提供）</w:t>
      </w:r>
    </w:p>
    <w:p w14:paraId="5E60312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lang w:eastAsia="zh-CN"/>
        </w:rPr>
        <w:t>）供应商2025年度财务状况报告</w:t>
      </w:r>
      <w:r>
        <w:rPr>
          <w:rFonts w:hint="eastAsia" w:ascii="宋体" w:hAnsi="宋体" w:eastAsia="宋体" w:cs="宋体"/>
          <w:b/>
          <w:bCs/>
          <w:color w:val="auto"/>
          <w:sz w:val="21"/>
          <w:szCs w:val="21"/>
          <w:highlight w:val="none"/>
          <w:lang w:val="en-US" w:eastAsia="zh-CN"/>
        </w:rPr>
        <w:t>（必须提供</w:t>
      </w:r>
      <w:r>
        <w:rPr>
          <w:rFonts w:hint="eastAsia" w:ascii="宋体" w:hAnsi="宋体" w:cs="宋体"/>
          <w:b/>
          <w:bCs/>
          <w:color w:val="auto"/>
          <w:szCs w:val="21"/>
          <w:highlight w:val="none"/>
          <w:lang w:eastAsia="zh-CN"/>
        </w:rPr>
        <w:t>，</w:t>
      </w:r>
      <w:r>
        <w:rPr>
          <w:rFonts w:ascii="宋体" w:hAnsi="宋体" w:cs="宋体"/>
          <w:b/>
          <w:bCs/>
          <w:color w:val="auto"/>
          <w:szCs w:val="21"/>
          <w:highlight w:val="none"/>
        </w:rPr>
        <w:t>可</w:t>
      </w:r>
      <w:r>
        <w:rPr>
          <w:rFonts w:hint="eastAsia" w:ascii="宋体" w:hAnsi="宋体" w:cs="宋体"/>
          <w:b/>
          <w:bCs/>
          <w:color w:val="auto"/>
          <w:szCs w:val="21"/>
          <w:highlight w:val="none"/>
          <w:lang w:eastAsia="zh-CN"/>
        </w:rPr>
        <w:t>以是磋商供应商</w:t>
      </w:r>
      <w:r>
        <w:rPr>
          <w:rFonts w:ascii="宋体" w:hAnsi="宋体" w:cs="宋体"/>
          <w:b/>
          <w:bCs/>
          <w:color w:val="auto"/>
          <w:szCs w:val="21"/>
          <w:highlight w:val="none"/>
        </w:rPr>
        <w:t>自行编制也可</w:t>
      </w:r>
      <w:r>
        <w:rPr>
          <w:rFonts w:hint="eastAsia" w:ascii="宋体" w:hAnsi="宋体" w:cs="宋体"/>
          <w:b/>
          <w:bCs/>
          <w:color w:val="auto"/>
          <w:szCs w:val="21"/>
          <w:highlight w:val="none"/>
          <w:lang w:eastAsia="zh-CN"/>
        </w:rPr>
        <w:t>是</w:t>
      </w:r>
      <w:r>
        <w:rPr>
          <w:rFonts w:ascii="宋体" w:hAnsi="宋体" w:cs="宋体"/>
          <w:b/>
          <w:bCs/>
          <w:color w:val="auto"/>
          <w:szCs w:val="21"/>
          <w:highlight w:val="none"/>
        </w:rPr>
        <w:t>通过</w:t>
      </w:r>
      <w:r>
        <w:rPr>
          <w:rFonts w:hint="eastAsia" w:ascii="宋体" w:hAnsi="宋体" w:cs="宋体"/>
          <w:b/>
          <w:bCs/>
          <w:color w:val="auto"/>
          <w:szCs w:val="21"/>
          <w:highlight w:val="none"/>
          <w:lang w:eastAsia="zh-CN"/>
        </w:rPr>
        <w:t>第三方</w:t>
      </w:r>
      <w:r>
        <w:rPr>
          <w:rFonts w:ascii="宋体" w:hAnsi="宋体" w:cs="宋体"/>
          <w:b/>
          <w:bCs/>
          <w:color w:val="auto"/>
          <w:szCs w:val="21"/>
          <w:highlight w:val="none"/>
        </w:rPr>
        <w:t>审计公司编制，如为自行编制至少须提供现金流量表、负债表及利润表</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val="0"/>
          <w:color w:val="auto"/>
          <w:kern w:val="0"/>
          <w:szCs w:val="21"/>
          <w:highlight w:val="none"/>
          <w:lang w:val="en-US" w:eastAsia="zh-CN"/>
        </w:rPr>
        <w:t>；</w:t>
      </w:r>
    </w:p>
    <w:p w14:paraId="5242020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lang w:eastAsia="zh-CN"/>
        </w:rPr>
        <w:t>）</w:t>
      </w:r>
      <w:r>
        <w:rPr>
          <w:rFonts w:hint="eastAsia" w:ascii="宋体" w:hAnsi="宋体" w:cs="宋体"/>
          <w:color w:val="auto"/>
          <w:szCs w:val="21"/>
          <w:highlight w:val="none"/>
          <w:lang w:eastAsia="zh-CN"/>
        </w:rPr>
        <w:t>供应商近半年内任意一个月依法缴纳税收的证明材料[增值税缴纳发票(税收完税证明)或企业所得税完税证明或税务部门出具的免税证明]复印件</w:t>
      </w:r>
      <w:r>
        <w:rPr>
          <w:rFonts w:hint="eastAsia" w:ascii="宋体" w:hAnsi="宋体" w:eastAsia="宋体" w:cs="宋体"/>
          <w:color w:val="auto"/>
          <w:szCs w:val="21"/>
          <w:highlight w:val="none"/>
        </w:rPr>
        <w:t>(税收完税证明)或企业所得税完税证明或税务部门出具的免税证明</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1337849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9</w:t>
      </w:r>
      <w:r>
        <w:rPr>
          <w:rFonts w:hint="eastAsia" w:ascii="宋体" w:hAnsi="宋体" w:cs="宋体"/>
          <w:bCs/>
          <w:color w:val="auto"/>
          <w:kern w:val="0"/>
          <w:szCs w:val="21"/>
          <w:highlight w:val="none"/>
          <w:lang w:eastAsia="zh-CN"/>
        </w:rPr>
        <w:t>）</w:t>
      </w: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r>
        <w:rPr>
          <w:rFonts w:hint="eastAsia" w:ascii="宋体" w:hAnsi="宋体" w:eastAsia="宋体" w:cs="宋体"/>
          <w:b/>
          <w:bCs/>
          <w:color w:val="auto"/>
          <w:szCs w:val="21"/>
          <w:highlight w:val="none"/>
        </w:rPr>
        <w:t>。</w:t>
      </w:r>
    </w:p>
    <w:p w14:paraId="2A17A3BE">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1.2</w:t>
      </w:r>
      <w:r>
        <w:rPr>
          <w:rFonts w:hint="eastAsia" w:ascii="宋体" w:hAnsi="宋体" w:eastAsia="宋体" w:cs="宋体"/>
          <w:b/>
          <w:bCs/>
          <w:color w:val="auto"/>
          <w:szCs w:val="21"/>
          <w:highlight w:val="none"/>
        </w:rPr>
        <w:t>符合性响应证明材料：</w:t>
      </w:r>
    </w:p>
    <w:p w14:paraId="599B8BB1">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szCs w:val="21"/>
          <w:highlight w:val="none"/>
          <w:lang w:val="en-US" w:eastAsia="zh-CN"/>
        </w:rPr>
      </w:pPr>
      <w:bookmarkStart w:id="81" w:name="_Toc16312"/>
      <w:bookmarkStart w:id="82" w:name="_Toc28932"/>
      <w:bookmarkStart w:id="83" w:name="_Toc2809"/>
      <w:r>
        <w:rPr>
          <w:rFonts w:hint="eastAsia" w:ascii="宋体" w:hAnsi="宋体" w:cs="宋体"/>
          <w:color w:val="auto"/>
          <w:szCs w:val="21"/>
          <w:highlight w:val="none"/>
          <w:lang w:val="en-US" w:eastAsia="zh-CN"/>
        </w:rPr>
        <w:t>（一）报价文件</w:t>
      </w:r>
    </w:p>
    <w:p w14:paraId="72AAE525">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（1）响应函（格式见附件）</w:t>
      </w:r>
      <w:r>
        <w:rPr>
          <w:rFonts w:hint="eastAsia" w:ascii="宋体" w:hAnsi="宋体" w:eastAsia="宋体" w:cs="宋体"/>
          <w:b/>
          <w:bCs/>
          <w:color w:val="auto"/>
          <w:szCs w:val="21"/>
          <w:highlight w:val="none"/>
          <w:lang w:val="en-US"/>
        </w:rPr>
        <w:t>（必须提供）</w:t>
      </w:r>
      <w:bookmarkEnd w:id="81"/>
      <w:r>
        <w:rPr>
          <w:rFonts w:hint="eastAsia" w:ascii="宋体" w:hAnsi="宋体" w:eastAsia="宋体" w:cs="宋体"/>
          <w:color w:val="auto"/>
          <w:szCs w:val="21"/>
          <w:highlight w:val="none"/>
          <w:lang w:val="en-US" w:eastAsia="zh-CN"/>
        </w:rPr>
        <w:t>；</w:t>
      </w:r>
      <w:bookmarkEnd w:id="82"/>
      <w:bookmarkEnd w:id="83"/>
    </w:p>
    <w:p w14:paraId="371BD75E">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bCs/>
          <w:color w:val="auto"/>
          <w:kern w:val="0"/>
          <w:szCs w:val="21"/>
          <w:highlight w:val="none"/>
        </w:rPr>
        <w:t>工程报价汇总表</w:t>
      </w:r>
      <w:r>
        <w:rPr>
          <w:rFonts w:hint="eastAsia" w:ascii="宋体" w:hAnsi="宋体" w:eastAsia="宋体" w:cs="宋体"/>
          <w:color w:val="auto"/>
          <w:szCs w:val="21"/>
          <w:highlight w:val="none"/>
        </w:rPr>
        <w:t>（格式见附件）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036AABB2">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已标价工程量清单</w:t>
      </w:r>
      <w:r>
        <w:rPr>
          <w:rFonts w:hint="eastAsia" w:ascii="宋体" w:hAnsi="宋体" w:eastAsia="宋体" w:cs="宋体"/>
          <w:b/>
          <w:bCs w:val="0"/>
          <w:color w:val="auto"/>
          <w:kern w:val="0"/>
          <w:szCs w:val="21"/>
          <w:highlight w:val="none"/>
        </w:rPr>
        <w:t>（必须提供）</w:t>
      </w:r>
      <w:r>
        <w:rPr>
          <w:rFonts w:hint="eastAsia" w:ascii="宋体" w:hAnsi="宋体" w:eastAsia="宋体" w:cs="宋体"/>
          <w:b w:val="0"/>
          <w:bCs/>
          <w:color w:val="auto"/>
          <w:kern w:val="0"/>
          <w:szCs w:val="21"/>
          <w:highlight w:val="none"/>
          <w:lang w:eastAsia="zh-CN"/>
        </w:rPr>
        <w:t>；</w:t>
      </w:r>
    </w:p>
    <w:p w14:paraId="7639E86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（二）商务文件</w:t>
      </w:r>
    </w:p>
    <w:p w14:paraId="19C2D4B7">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cs="宋体"/>
          <w:color w:val="auto"/>
          <w:szCs w:val="21"/>
          <w:highlight w:val="none"/>
        </w:rPr>
        <w:t>拟投入本工程主要施工管理人员表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7C9DB1C0">
      <w:pPr>
        <w:keepNext w:val="0"/>
        <w:keepLines w:val="0"/>
        <w:pageBreakBefore w:val="0"/>
        <w:widowControl w:val="0"/>
        <w:kinsoku/>
        <w:wordWrap/>
        <w:overflowPunct/>
        <w:topLinePunct w:val="0"/>
        <w:bidi w:val="0"/>
        <w:spacing w:line="440" w:lineRule="exact"/>
        <w:ind w:firstLine="843" w:firstLineChars="4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并一起提供由县级以上（含县级）社会养老保险经办机构出具的供应商为项目实施人员交纳的响应文件递交截止时间前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color w:val="auto"/>
          <w:szCs w:val="21"/>
          <w:highlight w:val="none"/>
        </w:rPr>
        <w:t>。</w:t>
      </w:r>
    </w:p>
    <w:p w14:paraId="04509983">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担任</w:t>
      </w:r>
      <w:r>
        <w:rPr>
          <w:rFonts w:hint="eastAsia" w:ascii="宋体" w:hAnsi="宋体" w:cs="宋体"/>
          <w:bCs/>
          <w:color w:val="auto"/>
          <w:kern w:val="0"/>
          <w:szCs w:val="21"/>
          <w:highlight w:val="none"/>
        </w:rPr>
        <w:t>本工程的项目经理简历表（应附相关证书、身份证复印件）</w:t>
      </w:r>
      <w:r>
        <w:rPr>
          <w:rFonts w:hint="eastAsia" w:ascii="宋体" w:hAnsi="宋体" w:eastAsia="宋体" w:cs="宋体"/>
          <w:b/>
          <w:bCs/>
          <w:color w:val="auto"/>
          <w:szCs w:val="21"/>
          <w:highlight w:val="none"/>
        </w:rPr>
        <w:t>（必须提供）</w:t>
      </w:r>
      <w:r>
        <w:rPr>
          <w:rFonts w:hint="eastAsia" w:ascii="宋体" w:hAnsi="宋体" w:eastAsia="宋体" w:cs="宋体"/>
          <w:b w:val="0"/>
          <w:bCs w:val="0"/>
          <w:color w:val="auto"/>
          <w:szCs w:val="21"/>
          <w:highlight w:val="none"/>
        </w:rPr>
        <w:t>；</w:t>
      </w:r>
    </w:p>
    <w:p w14:paraId="36E747E9">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施工</w:t>
      </w:r>
      <w:r>
        <w:rPr>
          <w:rFonts w:hint="eastAsia" w:ascii="宋体" w:hAnsi="宋体" w:cs="宋体"/>
          <w:bCs/>
          <w:color w:val="auto"/>
          <w:kern w:val="0"/>
          <w:szCs w:val="21"/>
          <w:highlight w:val="none"/>
        </w:rPr>
        <w:t>组织设计方案</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lang w:eastAsia="zh-CN"/>
        </w:rPr>
        <w:t>；</w:t>
      </w:r>
    </w:p>
    <w:p w14:paraId="32DEA278">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建设</w:t>
      </w:r>
      <w:r>
        <w:rPr>
          <w:rFonts w:hint="eastAsia" w:ascii="宋体" w:hAnsi="宋体" w:eastAsia="宋体" w:cs="宋体"/>
          <w:bCs/>
          <w:color w:val="auto"/>
          <w:kern w:val="0"/>
          <w:szCs w:val="21"/>
          <w:highlight w:val="none"/>
          <w:lang w:eastAsia="zh-CN"/>
        </w:rPr>
        <w:t>工程项目管理承诺书</w:t>
      </w:r>
      <w:r>
        <w:rPr>
          <w:rFonts w:hint="eastAsia" w:ascii="宋体" w:hAnsi="宋体" w:eastAsia="宋体" w:cs="宋体"/>
          <w:b/>
          <w:bCs/>
          <w:color w:val="auto"/>
          <w:sz w:val="21"/>
          <w:szCs w:val="21"/>
          <w:highlight w:val="none"/>
          <w:lang w:eastAsia="zh-CN"/>
        </w:rPr>
        <w:t>（格式见附件，必须提供）</w:t>
      </w:r>
      <w:r>
        <w:rPr>
          <w:rFonts w:hint="eastAsia" w:ascii="宋体" w:hAnsi="宋体" w:eastAsia="宋体" w:cs="宋体"/>
          <w:color w:val="auto"/>
          <w:szCs w:val="21"/>
          <w:highlight w:val="none"/>
          <w:lang w:eastAsia="zh-CN"/>
        </w:rPr>
        <w:t>；</w:t>
      </w:r>
    </w:p>
    <w:p w14:paraId="2DA35FE3">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bCs/>
          <w:color w:val="auto"/>
          <w:kern w:val="0"/>
          <w:szCs w:val="21"/>
          <w:highlight w:val="none"/>
          <w:lang w:eastAsia="zh-CN"/>
        </w:rPr>
        <w:t>渣土清运承诺书</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Cs/>
          <w:color w:val="auto"/>
          <w:kern w:val="0"/>
          <w:szCs w:val="21"/>
          <w:highlight w:val="none"/>
          <w:lang w:eastAsia="zh-CN"/>
        </w:rPr>
        <w:t>。</w:t>
      </w:r>
    </w:p>
    <w:p w14:paraId="2CE27ABD">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1.3</w:t>
      </w:r>
      <w:r>
        <w:rPr>
          <w:rFonts w:hint="eastAsia" w:ascii="宋体" w:hAnsi="宋体" w:eastAsia="宋体" w:cs="宋体"/>
          <w:b/>
          <w:bCs/>
          <w:color w:val="auto"/>
          <w:szCs w:val="21"/>
          <w:highlight w:val="none"/>
        </w:rPr>
        <w:t>其他有效证明材料</w:t>
      </w:r>
    </w:p>
    <w:p w14:paraId="111875A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供应商</w:t>
      </w:r>
      <w:r>
        <w:rPr>
          <w:rFonts w:hint="eastAsia" w:ascii="宋体" w:hAnsi="宋体" w:cs="宋体"/>
          <w:color w:val="auto"/>
          <w:szCs w:val="21"/>
          <w:highlight w:val="none"/>
          <w:lang w:val="en-US" w:eastAsia="zh-CN"/>
        </w:rPr>
        <w:t>2023年1月1日</w:t>
      </w:r>
      <w:r>
        <w:rPr>
          <w:rFonts w:hint="eastAsia" w:ascii="宋体" w:hAnsi="宋体" w:eastAsia="宋体" w:cs="宋体"/>
          <w:color w:val="auto"/>
          <w:szCs w:val="21"/>
          <w:highlight w:val="none"/>
          <w:lang w:eastAsia="zh-CN"/>
        </w:rPr>
        <w:t>以来具有</w:t>
      </w:r>
      <w:r>
        <w:rPr>
          <w:rFonts w:hint="eastAsia" w:ascii="宋体" w:hAnsi="宋体" w:eastAsia="宋体" w:cs="宋体"/>
          <w:color w:val="auto"/>
          <w:szCs w:val="21"/>
          <w:highlight w:val="none"/>
          <w:lang w:val="en-US" w:eastAsia="zh-CN"/>
        </w:rPr>
        <w:t>类似工程</w:t>
      </w:r>
      <w:r>
        <w:rPr>
          <w:rFonts w:hint="eastAsia" w:ascii="宋体" w:hAnsi="宋体" w:eastAsia="宋体" w:cs="宋体"/>
          <w:color w:val="auto"/>
          <w:szCs w:val="21"/>
          <w:highlight w:val="none"/>
        </w:rPr>
        <w:t>业绩（无不良记录，以</w:t>
      </w:r>
      <w:r>
        <w:rPr>
          <w:rFonts w:hint="eastAsia" w:ascii="宋体" w:hAnsi="宋体" w:eastAsia="宋体" w:cs="宋体"/>
          <w:color w:val="auto"/>
          <w:szCs w:val="21"/>
          <w:highlight w:val="none"/>
          <w:lang w:eastAsia="zh-CN"/>
        </w:rPr>
        <w:t>中标（成交）通知书或签订的合同或竣工证明文件</w:t>
      </w:r>
      <w:r>
        <w:rPr>
          <w:rFonts w:hint="eastAsia" w:ascii="宋体" w:hAnsi="宋体" w:eastAsia="宋体" w:cs="宋体"/>
          <w:color w:val="auto"/>
          <w:szCs w:val="21"/>
          <w:highlight w:val="none"/>
        </w:rPr>
        <w:t>为准，并能清晰反映</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的名称、</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、采购时间</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如有</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p>
    <w:p w14:paraId="64D6E08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（2）供应商</w:t>
      </w:r>
      <w:r>
        <w:rPr>
          <w:rFonts w:hint="eastAsia" w:ascii="宋体" w:hAnsi="宋体" w:cs="宋体"/>
          <w:color w:val="auto"/>
          <w:szCs w:val="21"/>
          <w:highlight w:val="none"/>
          <w:lang w:val="en-US" w:eastAsia="zh-CN"/>
        </w:rPr>
        <w:t>2023年1月1日</w:t>
      </w:r>
      <w:r>
        <w:rPr>
          <w:rFonts w:hint="eastAsia" w:ascii="宋体" w:hAnsi="宋体" w:eastAsia="宋体" w:cs="宋体"/>
          <w:color w:val="auto"/>
          <w:szCs w:val="21"/>
          <w:highlight w:val="none"/>
          <w:lang w:val="en-US" w:eastAsia="zh-CN"/>
        </w:rPr>
        <w:t>以来获奖情况</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如有</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eastAsia="zh-CN"/>
        </w:rPr>
        <w:t>；</w:t>
      </w:r>
    </w:p>
    <w:p w14:paraId="661370C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rPr>
        <w:t>供应商可结合本项目的评审办法视自身情况自行提交其它相关证明材料</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如有</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6288ED50">
      <w:pPr>
        <w:keepNext w:val="0"/>
        <w:keepLines w:val="0"/>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供应商</w:t>
      </w:r>
      <w:r>
        <w:rPr>
          <w:rFonts w:hint="eastAsia" w:ascii="宋体" w:hAnsi="宋体" w:eastAsia="宋体" w:cs="宋体"/>
          <w:b/>
          <w:bCs/>
          <w:color w:val="auto"/>
          <w:highlight w:val="none"/>
        </w:rPr>
        <w:t>提供的以上相关证明材料属于“必须提供”的文件应加盖</w:t>
      </w:r>
      <w:r>
        <w:rPr>
          <w:rFonts w:hint="eastAsia" w:ascii="宋体" w:hAnsi="宋体" w:eastAsia="宋体" w:cs="宋体"/>
          <w:b/>
          <w:bCs/>
          <w:color w:val="auto"/>
          <w:highlight w:val="none"/>
          <w:lang w:eastAsia="zh-CN"/>
        </w:rPr>
        <w:t>磋商供应商</w:t>
      </w:r>
      <w:r>
        <w:rPr>
          <w:rFonts w:hint="eastAsia" w:ascii="宋体" w:hAnsi="宋体" w:cs="宋体"/>
          <w:b/>
          <w:bCs/>
          <w:color w:val="auto"/>
          <w:highlight w:val="none"/>
          <w:lang w:eastAsia="zh-CN"/>
        </w:rPr>
        <w:t>数字证书（CA认证）</w:t>
      </w:r>
      <w:r>
        <w:rPr>
          <w:rFonts w:hint="eastAsia" w:ascii="宋体" w:hAnsi="宋体" w:eastAsia="宋体" w:cs="宋体"/>
          <w:b/>
          <w:bCs/>
          <w:color w:val="auto"/>
          <w:highlight w:val="none"/>
        </w:rPr>
        <w:t>签章，否则</w:t>
      </w:r>
      <w:r>
        <w:rPr>
          <w:rFonts w:hint="eastAsia" w:ascii="宋体" w:hAnsi="宋体" w:eastAsia="宋体" w:cs="宋体"/>
          <w:b/>
          <w:bCs/>
          <w:color w:val="auto"/>
          <w:highlight w:val="none"/>
          <w:lang w:val="en-US" w:eastAsia="zh-CN"/>
        </w:rPr>
        <w:t>响应</w:t>
      </w:r>
      <w:r>
        <w:rPr>
          <w:rFonts w:hint="eastAsia" w:ascii="宋体" w:hAnsi="宋体" w:eastAsia="宋体" w:cs="宋体"/>
          <w:b/>
          <w:bCs/>
          <w:color w:val="auto"/>
          <w:highlight w:val="none"/>
        </w:rPr>
        <w:t>无效。</w:t>
      </w:r>
    </w:p>
    <w:p w14:paraId="02CA887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12.</w:t>
      </w:r>
      <w:r>
        <w:rPr>
          <w:rFonts w:hint="eastAsia" w:ascii="宋体" w:hAnsi="宋体" w:eastAsia="宋体" w:cs="宋体"/>
          <w:color w:val="auto"/>
          <w:szCs w:val="21"/>
          <w:highlight w:val="none"/>
          <w:lang w:val="en-US" w:eastAsia="zh-CN"/>
        </w:rPr>
        <w:t xml:space="preserve">3 </w:t>
      </w:r>
      <w:r>
        <w:rPr>
          <w:rFonts w:hint="eastAsia" w:ascii="宋体" w:hAnsi="宋体" w:eastAsia="宋体" w:cs="宋体"/>
          <w:color w:val="auto"/>
          <w:szCs w:val="21"/>
          <w:highlight w:val="none"/>
        </w:rPr>
        <w:t>供应商应按竞争性磋商文件第六章“响应文件（格式）”编制响应文件。</w:t>
      </w:r>
    </w:p>
    <w:p w14:paraId="21128B5A">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特别说明：</w:t>
      </w:r>
    </w:p>
    <w:p w14:paraId="2313A43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（1）响</w:t>
      </w:r>
      <w:r>
        <w:rPr>
          <w:rFonts w:hint="eastAsia" w:ascii="宋体" w:hAnsi="宋体" w:eastAsia="宋体" w:cs="宋体"/>
          <w:b/>
          <w:color w:val="auto"/>
          <w:szCs w:val="21"/>
          <w:highlight w:val="none"/>
        </w:rPr>
        <w:t>应文件（电子响应文件），其中电子响应文件中所须加盖公章部分均采用</w:t>
      </w:r>
      <w:r>
        <w:rPr>
          <w:rFonts w:hint="eastAsia" w:ascii="宋体" w:hAnsi="宋体" w:cs="宋体"/>
          <w:b/>
          <w:color w:val="auto"/>
          <w:szCs w:val="21"/>
          <w:highlight w:val="none"/>
          <w:lang w:eastAsia="zh-CN"/>
        </w:rPr>
        <w:t>数字证书（CA认证）</w:t>
      </w:r>
      <w:r>
        <w:rPr>
          <w:rFonts w:hint="eastAsia" w:ascii="宋体" w:hAnsi="宋体" w:eastAsia="宋体" w:cs="宋体"/>
          <w:b/>
          <w:color w:val="auto"/>
          <w:szCs w:val="21"/>
          <w:highlight w:val="none"/>
        </w:rPr>
        <w:t>签章。若磋商文件中有专门标注的某关联点，并要求供应商在电子</w:t>
      </w:r>
      <w:r>
        <w:rPr>
          <w:rFonts w:hint="eastAsia" w:ascii="宋体" w:hAnsi="宋体" w:cs="宋体"/>
          <w:b/>
          <w:color w:val="auto"/>
          <w:szCs w:val="21"/>
          <w:highlight w:val="none"/>
          <w:lang w:eastAsia="zh-CN"/>
        </w:rPr>
        <w:t>响应</w:t>
      </w:r>
      <w:r>
        <w:rPr>
          <w:rFonts w:hint="eastAsia" w:ascii="宋体" w:hAnsi="宋体" w:eastAsia="宋体" w:cs="宋体"/>
          <w:b/>
          <w:color w:val="auto"/>
          <w:szCs w:val="21"/>
          <w:highlight w:val="none"/>
        </w:rPr>
        <w:t>系统中作出磋商响应的，如供应商未对关联点进行响应或者在响应文件其它内容进行描述，造成电子评审不能查询的责任由供应商自行承担。</w:t>
      </w:r>
    </w:p>
    <w:p w14:paraId="6A6EFB2B">
      <w:pPr>
        <w:keepNext w:val="0"/>
        <w:keepLines w:val="0"/>
        <w:pageBreakBefore w:val="0"/>
        <w:widowControl w:val="0"/>
        <w:numPr>
          <w:ilvl w:val="0"/>
          <w:numId w:val="3"/>
        </w:numPr>
        <w:kinsoku/>
        <w:wordWrap/>
        <w:overflowPunct/>
        <w:topLinePunct w:val="0"/>
        <w:bidi w:val="0"/>
        <w:spacing w:line="440" w:lineRule="exact"/>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lang w:eastAsia="zh-CN"/>
        </w:rPr>
        <w:t>磋商文件</w:t>
      </w:r>
      <w:r>
        <w:rPr>
          <w:rFonts w:hint="eastAsia" w:ascii="宋体" w:hAnsi="宋体" w:eastAsia="宋体" w:cs="宋体"/>
          <w:b/>
          <w:bCs/>
          <w:color w:val="auto"/>
          <w:szCs w:val="21"/>
          <w:highlight w:val="none"/>
        </w:rPr>
        <w:t>要求法定代表人（负责人）或委托代理人签字的部分必须签字然后扫描或者拍照做成 pdf 格式上传</w:t>
      </w:r>
      <w:r>
        <w:rPr>
          <w:rFonts w:hint="eastAsia" w:ascii="宋体" w:hAnsi="宋体" w:eastAsia="宋体" w:cs="宋体"/>
          <w:b/>
          <w:bCs/>
          <w:color w:val="auto"/>
          <w:szCs w:val="21"/>
          <w:highlight w:val="none"/>
          <w:lang w:eastAsia="zh-CN"/>
        </w:rPr>
        <w:t>（或加盖个人</w:t>
      </w:r>
      <w:r>
        <w:rPr>
          <w:rFonts w:hint="eastAsia" w:ascii="宋体" w:hAnsi="宋体" w:cs="宋体"/>
          <w:b/>
          <w:bCs/>
          <w:color w:val="auto"/>
          <w:szCs w:val="21"/>
          <w:highlight w:val="none"/>
          <w:lang w:val="en-US" w:eastAsia="zh-CN"/>
        </w:rPr>
        <w:t>数字证书（CA认证）</w:t>
      </w:r>
      <w:r>
        <w:rPr>
          <w:rFonts w:hint="eastAsia" w:ascii="宋体" w:hAnsi="宋体" w:eastAsia="宋体" w:cs="宋体"/>
          <w:b/>
          <w:bCs/>
          <w:color w:val="auto"/>
          <w:szCs w:val="21"/>
          <w:highlight w:val="none"/>
          <w:lang w:val="en-US" w:eastAsia="zh-CN"/>
        </w:rPr>
        <w:t>签章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，无签字的视为</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无效。</w:t>
      </w:r>
    </w:p>
    <w:p w14:paraId="46DECD74">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84" w:name="_Toc13660"/>
      <w:bookmarkStart w:id="85" w:name="_Toc2180"/>
      <w:r>
        <w:rPr>
          <w:rFonts w:hint="eastAsia" w:ascii="宋体" w:hAnsi="宋体" w:eastAsia="宋体" w:cs="宋体"/>
          <w:color w:val="auto"/>
          <w:sz w:val="21"/>
          <w:szCs w:val="21"/>
          <w:highlight w:val="none"/>
        </w:rPr>
        <w:t>响应文件的语言及计量</w:t>
      </w:r>
      <w:bookmarkEnd w:id="84"/>
      <w:bookmarkEnd w:id="85"/>
    </w:p>
    <w:p w14:paraId="7D31A5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eastAsia="宋体" w:cs="宋体"/>
          <w:color w:val="auto"/>
          <w:szCs w:val="21"/>
          <w:highlight w:val="none"/>
        </w:rPr>
        <w:t>.1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70329E1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eastAsia="宋体" w:cs="宋体"/>
          <w:color w:val="auto"/>
          <w:szCs w:val="21"/>
          <w:highlight w:val="none"/>
        </w:rPr>
        <w:t>.2 磋商计量单位，磋商文件已有明确规定的，使用磋商文件规定的计量单位；磋商文件没有规定的，应采用中华人民共和国法定计量单位（货币单位：人民币元），否则视同未响应。</w:t>
      </w:r>
    </w:p>
    <w:p w14:paraId="23897B2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86" w:name="_Toc10838"/>
      <w:bookmarkStart w:id="87" w:name="_Toc3058"/>
      <w:r>
        <w:rPr>
          <w:rFonts w:hint="eastAsia" w:ascii="宋体" w:hAnsi="宋体" w:eastAsia="宋体" w:cs="宋体"/>
          <w:color w:val="auto"/>
          <w:sz w:val="21"/>
          <w:szCs w:val="21"/>
          <w:highlight w:val="none"/>
        </w:rPr>
        <w:t>磋商报价及采购预算金额</w:t>
      </w:r>
      <w:bookmarkEnd w:id="86"/>
      <w:bookmarkEnd w:id="87"/>
    </w:p>
    <w:p w14:paraId="65425FAA">
      <w:pPr>
        <w:keepNext w:val="0"/>
        <w:keepLines w:val="0"/>
        <w:pageBreakBefore w:val="0"/>
        <w:widowControl w:val="0"/>
        <w:wordWrap/>
        <w:topLinePunct w:val="0"/>
        <w:bidi w:val="0"/>
        <w:spacing w:line="3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.1磋商总报价应按采购文件中相关附表格式填写。</w:t>
      </w:r>
    </w:p>
    <w:p w14:paraId="3215D0F2">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.2磋商供应商必须就磋商文件所有内容作完整唯一报价，否则，其磋商将被拒绝。响应文件只允许有一个报价，有选择的或有条件的报价将不予接受。</w:t>
      </w:r>
    </w:p>
    <w:p w14:paraId="3647C486">
      <w:pPr>
        <w:keepNext w:val="0"/>
        <w:keepLines w:val="0"/>
        <w:pageBreakBefore w:val="0"/>
        <w:widowControl w:val="0"/>
        <w:wordWrap/>
        <w:topLinePunct w:val="0"/>
        <w:bidi w:val="0"/>
        <w:spacing w:line="3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.3</w:t>
      </w:r>
      <w:r>
        <w:rPr>
          <w:rFonts w:hint="eastAsia" w:ascii="宋体" w:hAnsi="宋体" w:cs="宋体"/>
          <w:color w:val="auto"/>
          <w:kern w:val="0"/>
          <w:szCs w:val="21"/>
        </w:rPr>
        <w:t>本项目</w:t>
      </w:r>
      <w:r>
        <w:rPr>
          <w:rFonts w:hint="eastAsia" w:ascii="宋体" w:hAnsi="宋体" w:cs="宋体"/>
          <w:color w:val="auto"/>
          <w:kern w:val="0"/>
          <w:szCs w:val="21"/>
          <w:lang w:val="en-US" w:eastAsia="zh-CN"/>
        </w:rPr>
        <w:t>审定</w:t>
      </w:r>
      <w:r>
        <w:rPr>
          <w:rFonts w:hint="eastAsia" w:ascii="宋体" w:hAnsi="宋体" w:cs="宋体"/>
          <w:color w:val="auto"/>
          <w:kern w:val="0"/>
          <w:szCs w:val="21"/>
        </w:rPr>
        <w:t>预算总金额为</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eastAsia="zh-CN"/>
        </w:rPr>
        <w:t>1242231.01</w:t>
      </w:r>
      <w:r>
        <w:rPr>
          <w:rFonts w:hint="eastAsia" w:ascii="宋体" w:hAnsi="宋体" w:cs="宋体"/>
          <w:color w:val="auto"/>
          <w:kern w:val="0"/>
          <w:szCs w:val="21"/>
          <w:u w:val="single"/>
        </w:rPr>
        <w:t xml:space="preserve"> </w:t>
      </w:r>
      <w:r>
        <w:rPr>
          <w:rFonts w:hint="eastAsia" w:ascii="宋体" w:hAnsi="宋体" w:cs="宋体"/>
          <w:color w:val="auto"/>
          <w:kern w:val="0"/>
          <w:szCs w:val="21"/>
        </w:rPr>
        <w:t>元。</w:t>
      </w:r>
      <w:r>
        <w:rPr>
          <w:rFonts w:hint="eastAsia" w:ascii="宋体" w:hAnsi="宋体" w:eastAsia="宋体" w:cs="宋体"/>
          <w:color w:val="auto"/>
          <w:kern w:val="0"/>
          <w:szCs w:val="21"/>
          <w:lang w:val="en-US" w:eastAsia="zh-CN"/>
        </w:rPr>
        <w:t>本项目预算控制价（最高限价）为</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lang w:val="en-US" w:eastAsia="zh-CN"/>
        </w:rPr>
        <w:t>1242231.01</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kern w:val="0"/>
          <w:szCs w:val="21"/>
          <w:lang w:val="en-US" w:eastAsia="zh-CN"/>
        </w:rPr>
        <w:t>元。</w:t>
      </w:r>
      <w:r>
        <w:rPr>
          <w:rFonts w:hint="eastAsia" w:ascii="宋体" w:hAnsi="宋体" w:eastAsia="宋体" w:cs="宋体"/>
          <w:bCs/>
          <w:color w:val="auto"/>
          <w:sz w:val="21"/>
          <w:szCs w:val="21"/>
          <w:highlight w:val="none"/>
          <w:lang w:eastAsia="zh-CN"/>
        </w:rPr>
        <w:t>磋商总报价包括本项目采购范围内一切服务价款的总和；供应商综合考虑在报价中。</w:t>
      </w:r>
    </w:p>
    <w:p w14:paraId="235EFAF6">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.4供应商按照采购人提供的工程量清单填写本合同各工程子目的单价、合价和总额价。磋商小组将按照下述规定对磋商报价进行算术性错误修正及其他错误修正。</w:t>
      </w:r>
    </w:p>
    <w:p w14:paraId="65ED6A85">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.4.1磋商报价有算术错误的，磋商小组按以下原则对磋商报价进行修正，修正的价格经供应商书面确认后具有约束力。供应商不接受修正价格的，磋商小组应否决其投标。</w:t>
      </w:r>
    </w:p>
    <w:p w14:paraId="1E90DAF1">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(1)响应文件中的大写金额与小写金额不一致的，以大写金额为准</w:t>
      </w:r>
      <w:r>
        <w:rPr>
          <w:rFonts w:hint="eastAsia" w:ascii="宋体" w:hAnsi="宋体" w:cs="宋体"/>
          <w:bCs/>
          <w:color w:val="auto"/>
          <w:sz w:val="21"/>
          <w:szCs w:val="21"/>
          <w:highlight w:val="none"/>
          <w:lang w:eastAsia="zh-CN"/>
        </w:rPr>
        <w:t>；</w:t>
      </w:r>
    </w:p>
    <w:p w14:paraId="0A05426C">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总价金额与依据单价计算出的结果不一致的，以单价金额为准修正总价，但单价金额小数点有明显错误的除外</w:t>
      </w:r>
      <w:r>
        <w:rPr>
          <w:rFonts w:hint="eastAsia" w:ascii="宋体" w:hAnsi="宋体" w:cs="宋体"/>
          <w:bCs/>
          <w:color w:val="auto"/>
          <w:sz w:val="21"/>
          <w:szCs w:val="21"/>
          <w:highlight w:val="none"/>
          <w:lang w:eastAsia="zh-CN"/>
        </w:rPr>
        <w:t>；</w:t>
      </w:r>
    </w:p>
    <w:p w14:paraId="7660475C">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当单价与数量相乘不等于合价时，以单价计算为准，如果单价有明显的小数点位置差错，应以标出的合价为准，同时对单价予以修正</w:t>
      </w:r>
      <w:r>
        <w:rPr>
          <w:rFonts w:hint="eastAsia" w:ascii="宋体" w:hAnsi="宋体" w:cs="宋体"/>
          <w:bCs/>
          <w:color w:val="auto"/>
          <w:sz w:val="21"/>
          <w:szCs w:val="21"/>
          <w:highlight w:val="none"/>
          <w:lang w:eastAsia="zh-CN"/>
        </w:rPr>
        <w:t>；</w:t>
      </w:r>
    </w:p>
    <w:p w14:paraId="20316531">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(4)当各子目的合价累计不等于总价时，应以各子目合价累计数为准，修正总价。</w:t>
      </w:r>
    </w:p>
    <w:p w14:paraId="5EEA4A40">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.4.2工程量清单中的磋商报价有其他错误的，磋商小组按以下原则对磋商报价进行修正，修正的价格经供应商书面确认后具有约束力。供应商不接受修正价格的，磋商小组应否决其投标。</w:t>
      </w:r>
    </w:p>
    <w:p w14:paraId="68B5B54A">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在采购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6E81BA72">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(2)在采购人给定的工程量清单中多报了某个工程子目的单价、合价或总额价，或所报单价、合价或总额价增加了报价范围，则从磋商报价中扣除多报的工程子目报价或工程子目报价中增加了报价范围的部分报价。</w:t>
      </w:r>
    </w:p>
    <w:p w14:paraId="2FBD2D06">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(3)当单价与数量的乘积与合价(金额)虽然一致，但供应商修改了该子目的工程数量，则其合价按采购人给定的工程数量乘以供应商所报单价予以修正。</w:t>
      </w:r>
    </w:p>
    <w:p w14:paraId="0B48C136">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.5未书面退出磋商的供应商在规定时间内提交最后报价，其最后报价超出采购预算金额导致已通过评审的响应文件无效的，按供应商在提交响应文件截止时间后撤回响应文件处理。</w:t>
      </w:r>
    </w:p>
    <w:p w14:paraId="67D8AC0F">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.6最后磋商总报价超出本项目采购预算总金额的将被视为无效磋商。</w:t>
      </w:r>
    </w:p>
    <w:p w14:paraId="71B57A95">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.7磋商总报价应包括本次采购范围内提供的服务、技术费、人工费、保险、税金、培训、版权费等全部费用，磋商供应商综合考虑在报价中。</w:t>
      </w:r>
    </w:p>
    <w:p w14:paraId="4A582DF3">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8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530302DA">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9磋商供应商应按磋商文件提供的工程量清单计算工程项目的综合单价和合价。清单中的每一项均需计算填写综合单价和合价，磋商供应商没有填写综合单价和合价的项目将不予支付，并认为此项费用已包括在清单的其他综合单价和合价中。磋商供应商在清单中多报的细目或单价、合价或总额价发包人将不予支持。</w:t>
      </w:r>
    </w:p>
    <w:p w14:paraId="4C956482">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.10磋商供应商应对磋商文件中清单所列的各项内容和要求作实质性响应。</w:t>
      </w:r>
    </w:p>
    <w:p w14:paraId="0093BFC5">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.11磋商供应商应采用综合单价对工程量清单进行磋商，不得采用总价让利或以百分比让利等形式进行磋商。</w:t>
      </w:r>
    </w:p>
    <w:p w14:paraId="06E4395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供应商应在规定时间内在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系统上提交最后报价，超出</w:t>
      </w:r>
      <w:r>
        <w:rPr>
          <w:rFonts w:hint="eastAsia" w:ascii="宋体" w:hAnsi="宋体" w:cs="宋体"/>
          <w:color w:val="auto"/>
          <w:szCs w:val="21"/>
          <w:highlight w:val="none"/>
          <w:lang w:eastAsia="zh-CN"/>
        </w:rPr>
        <w:t>磋商小组</w:t>
      </w:r>
      <w:r>
        <w:rPr>
          <w:rFonts w:hint="eastAsia" w:ascii="宋体" w:hAnsi="宋体" w:eastAsia="宋体" w:cs="宋体"/>
          <w:color w:val="auto"/>
          <w:szCs w:val="21"/>
          <w:highlight w:val="none"/>
        </w:rPr>
        <w:t>设定的最后报价时限或其最后报价超出采购预算导致已通过评审的响应文件无效的，按供应商在提交响应文件截止时间后撤回响应文件处理。</w:t>
      </w:r>
    </w:p>
    <w:p w14:paraId="6583F818">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88" w:name="_Toc26881"/>
      <w:bookmarkStart w:id="89" w:name="_Toc30554"/>
      <w:r>
        <w:rPr>
          <w:rFonts w:hint="eastAsia" w:ascii="宋体" w:hAnsi="宋体" w:eastAsia="宋体" w:cs="宋体"/>
          <w:color w:val="auto"/>
          <w:sz w:val="21"/>
          <w:szCs w:val="21"/>
          <w:highlight w:val="none"/>
        </w:rPr>
        <w:t>响应文件有效期</w:t>
      </w:r>
      <w:bookmarkEnd w:id="88"/>
      <w:bookmarkEnd w:id="89"/>
    </w:p>
    <w:p w14:paraId="6D9FD9B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.1 响应文件有效期：响应文件递交截止时间之日起90天，有效期不足的响应文件将被拒绝。</w:t>
      </w:r>
    </w:p>
    <w:p w14:paraId="57D9B4F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.2 出现特殊情况下，需要延长响应文件有效期的，采购代理机构</w:t>
      </w:r>
      <w:r>
        <w:rPr>
          <w:rFonts w:hint="eastAsia" w:ascii="宋体" w:hAnsi="宋体" w:eastAsia="宋体" w:cs="宋体"/>
          <w:color w:val="auto"/>
          <w:szCs w:val="21"/>
          <w:highlight w:val="none"/>
          <w:lang w:eastAsia="zh-CN"/>
        </w:rPr>
        <w:t>书面</w:t>
      </w:r>
      <w:r>
        <w:rPr>
          <w:rFonts w:hint="eastAsia" w:ascii="宋体" w:hAnsi="宋体" w:eastAsia="宋体" w:cs="宋体"/>
          <w:color w:val="auto"/>
          <w:szCs w:val="21"/>
          <w:highlight w:val="none"/>
        </w:rPr>
        <w:t>通知供应商延长响应文件有效期。供应商同意延长的，但不能修改响应文件。供应商拒绝延长的，其响应文件无效。</w:t>
      </w:r>
    </w:p>
    <w:p w14:paraId="7001A65A">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90" w:name="_Toc20698"/>
      <w:bookmarkStart w:id="91" w:name="_Toc22602"/>
      <w:r>
        <w:rPr>
          <w:rFonts w:hint="eastAsia" w:ascii="宋体" w:hAnsi="宋体" w:eastAsia="宋体" w:cs="宋体"/>
          <w:color w:val="auto"/>
          <w:sz w:val="21"/>
          <w:szCs w:val="21"/>
          <w:highlight w:val="none"/>
        </w:rPr>
        <w:t>保证金</w:t>
      </w:r>
      <w:bookmarkEnd w:id="90"/>
      <w:bookmarkEnd w:id="91"/>
    </w:p>
    <w:p w14:paraId="54FE4CE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本项目无需缴纳磋商保证金。</w:t>
      </w:r>
    </w:p>
    <w:p w14:paraId="52776D7B">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eastAsia="zh-CN"/>
        </w:rPr>
      </w:pPr>
      <w:bookmarkStart w:id="92" w:name="_Toc387"/>
      <w:bookmarkStart w:id="93" w:name="_Toc30118"/>
      <w:r>
        <w:rPr>
          <w:rFonts w:hint="eastAsia" w:ascii="宋体" w:hAnsi="宋体" w:eastAsia="宋体" w:cs="宋体"/>
          <w:color w:val="auto"/>
          <w:sz w:val="21"/>
          <w:szCs w:val="21"/>
          <w:highlight w:val="none"/>
        </w:rPr>
        <w:t>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响应文件的</w:t>
      </w:r>
      <w:bookmarkEnd w:id="92"/>
      <w:r>
        <w:rPr>
          <w:rFonts w:hint="eastAsia" w:ascii="宋体" w:hAnsi="宋体" w:eastAsia="宋体" w:cs="宋体"/>
          <w:color w:val="auto"/>
          <w:sz w:val="21"/>
          <w:szCs w:val="21"/>
          <w:highlight w:val="none"/>
          <w:lang w:eastAsia="zh-CN"/>
        </w:rPr>
        <w:t>制作</w:t>
      </w:r>
      <w:bookmarkEnd w:id="93"/>
    </w:p>
    <w:p w14:paraId="004CEE1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1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 xml:space="preserve"> 签章，并根据“政府采购项目电子交易管理操作指南-供应商” 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响应文件未能关联定位提供相应的内容与其对应，则</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小组在评审时如做出对供应商不利的评审由供应商自行承担。电子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漏读，或者在按采购文件规定的部位查找不到相关内容的，由供应商自行承担。</w:t>
      </w:r>
    </w:p>
    <w:p w14:paraId="107D33F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签章的，应在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签章，没有办理个人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的格式上传即可。</w:t>
      </w:r>
    </w:p>
    <w:p w14:paraId="4D5A91D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 xml:space="preserve">3 </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响应文件因字迹潦草或表达不清所引起的后果由供应商负责。</w:t>
      </w:r>
    </w:p>
    <w:p w14:paraId="1F7855B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14:paraId="619C6C3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14:paraId="1006E91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正式注册入库供应商，并完成</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 申领。因未注册入库、未办理</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等原因造成无法磋商或磋商失败等后果由供应商自行承担。 </w:t>
      </w:r>
    </w:p>
    <w:p w14:paraId="72E6878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 登录客户端进行响应文件制作。客户端请至网站下载专区查看，如有问题可拨打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客户服务热线 </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lang w:eastAsia="zh-CN"/>
        </w:rPr>
        <w:t xml:space="preserve"> 进行咨询。</w:t>
      </w:r>
    </w:p>
    <w:p w14:paraId="4E9A47D6">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94" w:name="_Toc9738"/>
      <w:r>
        <w:rPr>
          <w:rFonts w:hint="eastAsia" w:ascii="宋体" w:hAnsi="宋体" w:eastAsia="宋体" w:cs="宋体"/>
          <w:color w:val="auto"/>
          <w:sz w:val="21"/>
          <w:szCs w:val="21"/>
          <w:highlight w:val="none"/>
        </w:rPr>
        <w:t>响应文件的修改和撤回</w:t>
      </w:r>
      <w:bookmarkEnd w:id="94"/>
    </w:p>
    <w:p w14:paraId="2941775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29C6827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.2 在响应文件递交截止时间后的响应文件有效期内，供应商不得撤回其响应文件。</w:t>
      </w:r>
    </w:p>
    <w:p w14:paraId="7A22F8A9">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eastAsia="zh-CN"/>
        </w:rPr>
      </w:pPr>
      <w:bookmarkStart w:id="95" w:name="_Toc24690"/>
      <w:bookmarkStart w:id="96" w:name="_Toc30156"/>
      <w:r>
        <w:rPr>
          <w:rFonts w:hint="eastAsia" w:ascii="宋体" w:hAnsi="宋体" w:eastAsia="宋体" w:cs="宋体"/>
          <w:color w:val="auto"/>
          <w:sz w:val="21"/>
          <w:szCs w:val="21"/>
          <w:highlight w:val="none"/>
        </w:rPr>
        <w:t>响应文件的递交</w:t>
      </w:r>
      <w:r>
        <w:rPr>
          <w:rFonts w:hint="eastAsia" w:ascii="宋体" w:hAnsi="宋体" w:eastAsia="宋体" w:cs="宋体"/>
          <w:color w:val="auto"/>
          <w:sz w:val="21"/>
          <w:szCs w:val="21"/>
          <w:highlight w:val="none"/>
          <w:lang w:eastAsia="zh-CN"/>
        </w:rPr>
        <w:t>和解密</w:t>
      </w:r>
      <w:bookmarkEnd w:id="95"/>
      <w:bookmarkEnd w:id="96"/>
    </w:p>
    <w:p w14:paraId="11DDCCB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eastAsia="宋体" w:cs="宋体"/>
          <w:color w:val="auto"/>
          <w:szCs w:val="21"/>
          <w:highlight w:val="none"/>
        </w:rPr>
        <w:t>1响应文件递交截止时间</w:t>
      </w:r>
      <w:r>
        <w:rPr>
          <w:rFonts w:hint="eastAsia" w:ascii="宋体" w:hAnsi="宋体" w:eastAsia="宋体" w:cs="宋体"/>
          <w:color w:val="auto"/>
          <w:szCs w:val="21"/>
          <w:highlight w:val="none"/>
          <w:lang w:eastAsia="zh-CN"/>
        </w:rPr>
        <w:t>：于</w:t>
      </w:r>
      <w:r>
        <w:rPr>
          <w:rFonts w:hint="eastAsia" w:ascii="宋体" w:hAnsi="宋体" w:cs="宋体"/>
          <w:color w:val="auto"/>
          <w:sz w:val="21"/>
          <w:szCs w:val="21"/>
          <w:highlight w:val="none"/>
          <w:u w:val="single"/>
          <w:lang w:eastAsia="zh-CN"/>
        </w:rPr>
        <w:t>2026年08月31日</w:t>
      </w:r>
      <w:r>
        <w:rPr>
          <w:rFonts w:hint="eastAsia" w:ascii="宋体" w:hAnsi="宋体" w:cs="宋体"/>
          <w:color w:val="auto"/>
          <w:sz w:val="21"/>
          <w:szCs w:val="21"/>
          <w:highlight w:val="none"/>
          <w:u w:val="single"/>
          <w:lang w:val="en-US" w:eastAsia="zh-CN"/>
        </w:rPr>
        <w:t>9时30分</w:t>
      </w:r>
      <w:r>
        <w:rPr>
          <w:rFonts w:hint="eastAsia" w:ascii="宋体" w:hAnsi="宋体" w:eastAsia="宋体" w:cs="宋体"/>
          <w:color w:val="auto"/>
          <w:szCs w:val="21"/>
          <w:highlight w:val="none"/>
        </w:rPr>
        <w:t>之前将电子磋商响应文件上传到</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。应按照本项目磋商文件和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的要求编制、加密传输磋商响应文件。供应商在使用系统进行</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p w14:paraId="6DA6979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eastAsia="宋体" w:cs="宋体"/>
          <w:color w:val="auto"/>
          <w:szCs w:val="21"/>
          <w:highlight w:val="none"/>
        </w:rPr>
        <w:t>2磋商响应文件解密时间：截标时</w:t>
      </w:r>
      <w:r>
        <w:rPr>
          <w:rFonts w:hint="eastAsia" w:ascii="宋体" w:hAnsi="宋体" w:eastAsia="宋体" w:cs="宋体"/>
          <w:color w:val="auto"/>
          <w:szCs w:val="21"/>
          <w:highlight w:val="none"/>
          <w:u w:val="none"/>
        </w:rPr>
        <w:t>间后30分钟内（</w:t>
      </w:r>
      <w:r>
        <w:rPr>
          <w:rFonts w:hint="eastAsia" w:ascii="宋体" w:hAnsi="宋体" w:cs="宋体"/>
          <w:color w:val="auto"/>
          <w:szCs w:val="21"/>
          <w:highlight w:val="none"/>
          <w:u w:val="none"/>
          <w:lang w:eastAsia="zh-CN"/>
        </w:rPr>
        <w:t>2026年08月31日</w:t>
      </w:r>
      <w:r>
        <w:rPr>
          <w:rFonts w:hint="eastAsia" w:ascii="宋体" w:hAnsi="宋体" w:eastAsia="宋体" w:cs="宋体"/>
          <w:color w:val="auto"/>
          <w:szCs w:val="21"/>
          <w:highlight w:val="none"/>
          <w:u w:val="none"/>
        </w:rPr>
        <w:t>9时30分至10时00分)磋商</w:t>
      </w:r>
      <w:r>
        <w:rPr>
          <w:rFonts w:hint="eastAsia" w:ascii="宋体" w:hAnsi="宋体" w:eastAsia="宋体" w:cs="宋体"/>
          <w:color w:val="auto"/>
          <w:szCs w:val="21"/>
          <w:highlight w:val="none"/>
        </w:rPr>
        <w:t>供应商可以登录</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，用“项目采购-开标评标”功能进行解密磋商文件。若磋商供应商在规定时间内无法解密或解密失败，可以以电子备份磋商响应文件作为依据</w:t>
      </w:r>
      <w:r>
        <w:rPr>
          <w:rFonts w:hint="eastAsia" w:ascii="宋体" w:hAnsi="宋体" w:eastAsia="宋体" w:cs="宋体"/>
          <w:b/>
          <w:bCs/>
          <w:color w:val="auto"/>
          <w:szCs w:val="21"/>
          <w:highlight w:val="none"/>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eastAsia" w:ascii="宋体" w:hAnsi="宋体" w:eastAsia="宋体" w:cs="宋体"/>
          <w:color w:val="auto"/>
          <w:szCs w:val="21"/>
          <w:highlight w:val="none"/>
        </w:rPr>
        <w:t>，若磋商供应商在规定时间内无法解密或解密失败且未提供电子备份磋商响应文件的(包含提供的电子备份文件无效或无法解密的情况)，视为响应文件撤回。</w:t>
      </w:r>
    </w:p>
    <w:p w14:paraId="27BE098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eastAsia="宋体" w:cs="宋体"/>
          <w:color w:val="auto"/>
          <w:szCs w:val="21"/>
          <w:highlight w:val="none"/>
        </w:rPr>
        <w:t>3 除竞争性磋商文件另有规定外，供应商所递交的响应文件不予退还。</w:t>
      </w:r>
    </w:p>
    <w:p w14:paraId="18189E6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19.</w:t>
      </w:r>
      <w:r>
        <w:rPr>
          <w:rFonts w:hint="eastAsia" w:ascii="宋体" w:hAnsi="宋体" w:eastAsia="宋体" w:cs="宋体"/>
          <w:color w:val="auto"/>
          <w:szCs w:val="21"/>
          <w:highlight w:val="none"/>
          <w:lang w:val="en-US" w:eastAsia="zh-CN"/>
        </w:rPr>
        <w:t xml:space="preserve">4 </w:t>
      </w:r>
      <w:r>
        <w:rPr>
          <w:rFonts w:hint="eastAsia" w:ascii="宋体" w:hAnsi="宋体" w:eastAsia="宋体" w:cs="宋体"/>
          <w:color w:val="auto"/>
          <w:szCs w:val="21"/>
          <w:highlight w:val="none"/>
        </w:rPr>
        <w:t>电子响应文件的相关说明</w:t>
      </w:r>
    </w:p>
    <w:p w14:paraId="0E342FE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（1）供应商进行电子</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应安装客户端软件，并按照采购文件和电子交易平台的要求编制并加密</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响应文件。供应商未按规定加密的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响应文件，电子交易平台将拒收。供应商应当在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截止时间前完成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响应文件的传输递交，并可以补充、修改或者撤回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响应文件。补充或者修改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响应文件的，应当先行撤回原文件，补充、修改后重新传输递交。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截止时间前未完成传输的，视为撤回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截止时间后递交的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 xml:space="preserve">响应文件，电子交易平台将拒收。 </w:t>
      </w:r>
    </w:p>
    <w:p w14:paraId="01FD0D7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（2）如有特殊情况，采购代理机构延长截止时间和开标时间，采购代理机构和供应商的权利和义务将受到新的截止时间和开标时间的约束。</w:t>
      </w:r>
    </w:p>
    <w:p w14:paraId="03A5DF0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val="0"/>
          <w:color w:val="auto"/>
          <w:szCs w:val="28"/>
          <w:highlight w:val="none"/>
        </w:rPr>
      </w:pPr>
      <w:bookmarkStart w:id="97" w:name="_Toc2433"/>
    </w:p>
    <w:p w14:paraId="033C46EA">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98" w:name="_Toc5807"/>
      <w:bookmarkStart w:id="99" w:name="_Toc16485"/>
      <w:bookmarkStart w:id="100" w:name="_Toc24017"/>
      <w:r>
        <w:rPr>
          <w:rFonts w:hint="eastAsia" w:ascii="宋体" w:hAnsi="宋体" w:eastAsia="宋体" w:cs="宋体"/>
          <w:b/>
          <w:bCs w:val="0"/>
          <w:color w:val="auto"/>
          <w:szCs w:val="28"/>
          <w:highlight w:val="none"/>
        </w:rPr>
        <w:t>四、竞争性磋商（简称磋商）与评审</w:t>
      </w:r>
      <w:bookmarkEnd w:id="97"/>
      <w:bookmarkEnd w:id="98"/>
      <w:bookmarkEnd w:id="99"/>
      <w:bookmarkEnd w:id="100"/>
    </w:p>
    <w:p w14:paraId="3B012A8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01" w:name="_Toc11021"/>
      <w:bookmarkStart w:id="102" w:name="_Toc31588"/>
      <w:r>
        <w:rPr>
          <w:rFonts w:hint="eastAsia" w:ascii="宋体" w:hAnsi="宋体" w:eastAsia="宋体" w:cs="宋体"/>
          <w:color w:val="auto"/>
          <w:sz w:val="21"/>
          <w:szCs w:val="21"/>
          <w:highlight w:val="none"/>
        </w:rPr>
        <w:t>磋商小组组成及磋商时间、地点、人员</w:t>
      </w:r>
      <w:bookmarkEnd w:id="101"/>
      <w:bookmarkEnd w:id="102"/>
    </w:p>
    <w:p w14:paraId="51169DA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20.</w:t>
      </w:r>
      <w:r>
        <w:rPr>
          <w:rFonts w:hint="eastAsia" w:ascii="宋体" w:hAnsi="宋体" w:eastAsia="宋体" w:cs="宋体"/>
          <w:color w:val="auto"/>
          <w:szCs w:val="21"/>
          <w:highlight w:val="none"/>
        </w:rPr>
        <w:t>1 磋商小组组成：</w:t>
      </w:r>
    </w:p>
    <w:p w14:paraId="142997F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Cs w:val="21"/>
          <w:highlight w:val="none"/>
          <w:u w:val="single"/>
        </w:rPr>
        <w:t xml:space="preserve"> 3 </w:t>
      </w:r>
      <w:r>
        <w:rPr>
          <w:rFonts w:hint="eastAsia" w:ascii="宋体" w:hAnsi="宋体" w:eastAsia="宋体" w:cs="宋体"/>
          <w:color w:val="auto"/>
          <w:szCs w:val="21"/>
          <w:highlight w:val="none"/>
        </w:rPr>
        <w:t>人，其中采购人代表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1 </w:t>
      </w:r>
      <w:r>
        <w:rPr>
          <w:rFonts w:hint="eastAsia" w:ascii="宋体" w:hAnsi="宋体" w:eastAsia="宋体" w:cs="宋体"/>
          <w:color w:val="auto"/>
          <w:szCs w:val="21"/>
          <w:highlight w:val="none"/>
        </w:rPr>
        <w:t>人， 专家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2 </w:t>
      </w:r>
      <w:r>
        <w:rPr>
          <w:rFonts w:hint="eastAsia" w:ascii="宋体" w:hAnsi="宋体" w:eastAsia="宋体" w:cs="宋体"/>
          <w:color w:val="auto"/>
          <w:szCs w:val="21"/>
          <w:highlight w:val="none"/>
        </w:rPr>
        <w:t>人。</w:t>
      </w:r>
    </w:p>
    <w:p w14:paraId="558B9E9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20.</w:t>
      </w:r>
      <w:r>
        <w:rPr>
          <w:rFonts w:hint="eastAsia" w:ascii="宋体" w:hAnsi="宋体" w:eastAsia="宋体" w:cs="宋体"/>
          <w:color w:val="auto"/>
          <w:szCs w:val="21"/>
          <w:highlight w:val="none"/>
        </w:rPr>
        <w:t>2 磋商时间、地点、人员：</w:t>
      </w:r>
    </w:p>
    <w:p w14:paraId="69AE17A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bookmarkStart w:id="103" w:name="_Toc9878"/>
      <w:r>
        <w:rPr>
          <w:rFonts w:hint="eastAsia" w:ascii="宋体" w:hAnsi="宋体" w:cs="宋体"/>
          <w:color w:val="auto"/>
          <w:szCs w:val="21"/>
          <w:highlight w:val="none"/>
          <w:lang w:eastAsia="zh-CN"/>
        </w:rPr>
        <w:t>20.</w:t>
      </w:r>
      <w:r>
        <w:rPr>
          <w:rFonts w:hint="eastAsia" w:ascii="宋体" w:hAnsi="宋体" w:eastAsia="宋体" w:cs="宋体"/>
          <w:color w:val="auto"/>
          <w:szCs w:val="21"/>
          <w:highlight w:val="none"/>
        </w:rPr>
        <w:t>2.1磋商时间：响应文件递交截止时间后。</w:t>
      </w:r>
      <w:bookmarkEnd w:id="103"/>
    </w:p>
    <w:p w14:paraId="014BA27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bookmarkStart w:id="104" w:name="_Toc29268"/>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val="en-US" w:eastAsia="zh-CN"/>
        </w:rPr>
        <w:t>2.2磋商地点</w:t>
      </w:r>
      <w:r>
        <w:rPr>
          <w:rFonts w:hint="eastAsia" w:ascii="宋体" w:hAnsi="宋体" w:eastAsia="宋体" w:cs="宋体"/>
          <w:color w:val="auto"/>
          <w:szCs w:val="21"/>
          <w:highlight w:val="none"/>
        </w:rPr>
        <w:t>：</w:t>
      </w:r>
      <w:bookmarkEnd w:id="104"/>
      <w:r>
        <w:rPr>
          <w:rFonts w:hint="eastAsia" w:ascii="宋体" w:hAnsi="宋体" w:eastAsia="宋体" w:cs="宋体"/>
          <w:color w:val="auto"/>
          <w:szCs w:val="21"/>
          <w:highlight w:val="none"/>
        </w:rPr>
        <w:t>本项目需要磋商供应商代表在截标当天截标后，按磋商小组要求及时登陆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等候在线磋商</w:t>
      </w:r>
      <w:r>
        <w:rPr>
          <w:rFonts w:hint="eastAsia" w:ascii="宋体" w:hAnsi="宋体" w:eastAsia="宋体" w:cs="宋体"/>
          <w:color w:val="auto"/>
          <w:szCs w:val="21"/>
          <w:highlight w:val="none"/>
          <w:lang w:eastAsia="zh-CN"/>
        </w:rPr>
        <w:t>。</w:t>
      </w:r>
    </w:p>
    <w:p w14:paraId="08F3D11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val="0"/>
          <w:bCs/>
          <w:color w:val="auto"/>
          <w:sz w:val="21"/>
          <w:szCs w:val="21"/>
          <w:highlight w:val="none"/>
        </w:rPr>
      </w:pPr>
      <w:bookmarkStart w:id="105" w:name="_Toc21307"/>
      <w:r>
        <w:rPr>
          <w:rFonts w:hint="eastAsia" w:ascii="宋体" w:hAnsi="宋体" w:cs="宋体"/>
          <w:color w:val="auto"/>
          <w:szCs w:val="21"/>
          <w:highlight w:val="none"/>
          <w:lang w:eastAsia="zh-CN"/>
        </w:rPr>
        <w:t>20.</w:t>
      </w:r>
      <w:r>
        <w:rPr>
          <w:rFonts w:hint="eastAsia" w:ascii="宋体" w:hAnsi="宋体" w:eastAsia="宋体" w:cs="宋体"/>
          <w:b w:val="0"/>
          <w:bCs/>
          <w:color w:val="auto"/>
          <w:sz w:val="21"/>
          <w:szCs w:val="21"/>
          <w:highlight w:val="none"/>
        </w:rPr>
        <w:t>2.3磋商参加人员：供应商法定代表人、负责人、自然人或相应的委托代理人持</w:t>
      </w:r>
      <w:r>
        <w:rPr>
          <w:rFonts w:hint="eastAsia" w:ascii="宋体" w:hAnsi="宋体" w:eastAsia="宋体" w:cs="宋体"/>
          <w:b w:val="0"/>
          <w:bCs/>
          <w:color w:val="auto"/>
          <w:sz w:val="21"/>
          <w:szCs w:val="21"/>
          <w:highlight w:val="none"/>
          <w:u w:val="single"/>
        </w:rPr>
        <w:t>有效身份证</w:t>
      </w:r>
      <w:r>
        <w:rPr>
          <w:rFonts w:hint="eastAsia" w:ascii="宋体" w:hAnsi="宋体" w:eastAsia="宋体" w:cs="宋体"/>
          <w:b w:val="0"/>
          <w:bCs/>
          <w:color w:val="auto"/>
          <w:sz w:val="21"/>
          <w:szCs w:val="21"/>
          <w:highlight w:val="none"/>
          <w:u w:val="single"/>
          <w:lang w:eastAsia="zh-CN"/>
        </w:rPr>
        <w:t>原件</w:t>
      </w:r>
      <w:r>
        <w:rPr>
          <w:rFonts w:hint="eastAsia" w:ascii="宋体" w:hAnsi="宋体" w:eastAsia="宋体" w:cs="宋体"/>
          <w:b w:val="0"/>
          <w:bCs/>
          <w:color w:val="auto"/>
          <w:sz w:val="21"/>
          <w:szCs w:val="21"/>
          <w:highlight w:val="none"/>
        </w:rPr>
        <w:t>和供应商</w:t>
      </w:r>
      <w:r>
        <w:rPr>
          <w:rFonts w:hint="eastAsia" w:ascii="宋体" w:hAnsi="宋体" w:cs="宋体"/>
          <w:b w:val="0"/>
          <w:bCs/>
          <w:color w:val="auto"/>
          <w:sz w:val="21"/>
          <w:szCs w:val="21"/>
          <w:highlight w:val="none"/>
          <w:u w:val="single"/>
          <w:lang w:eastAsia="zh-CN"/>
        </w:rPr>
        <w:t>广西政府采购云平台</w:t>
      </w:r>
      <w:r>
        <w:rPr>
          <w:rFonts w:hint="eastAsia" w:ascii="宋体" w:hAnsi="宋体" w:eastAsia="宋体" w:cs="宋体"/>
          <w:b w:val="0"/>
          <w:bCs/>
          <w:color w:val="auto"/>
          <w:sz w:val="21"/>
          <w:szCs w:val="21"/>
          <w:highlight w:val="none"/>
          <w:u w:val="single"/>
        </w:rPr>
        <w:t>CA数字证书</w:t>
      </w:r>
      <w:r>
        <w:rPr>
          <w:rFonts w:hint="eastAsia" w:ascii="宋体" w:hAnsi="宋体" w:eastAsia="宋体" w:cs="宋体"/>
          <w:b w:val="0"/>
          <w:bCs/>
          <w:color w:val="auto"/>
          <w:sz w:val="21"/>
          <w:szCs w:val="21"/>
          <w:highlight w:val="none"/>
        </w:rPr>
        <w:t>参加磋商。请供应商按时等候磋商。</w:t>
      </w:r>
      <w:bookmarkEnd w:id="105"/>
    </w:p>
    <w:p w14:paraId="710BA91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val="0"/>
          <w:bCs/>
          <w:color w:val="auto"/>
          <w:sz w:val="21"/>
          <w:szCs w:val="21"/>
          <w:highlight w:val="none"/>
        </w:rPr>
      </w:pPr>
      <w:bookmarkStart w:id="106" w:name="_Toc6288"/>
      <w:r>
        <w:rPr>
          <w:rFonts w:hint="eastAsia" w:ascii="宋体" w:hAnsi="宋体" w:cs="宋体"/>
          <w:b w:val="0"/>
          <w:bCs/>
          <w:color w:val="auto"/>
          <w:sz w:val="21"/>
          <w:szCs w:val="21"/>
          <w:highlight w:val="none"/>
          <w:lang w:val="en-US" w:eastAsia="zh-CN"/>
        </w:rPr>
        <w:t>20</w:t>
      </w:r>
      <w:r>
        <w:rPr>
          <w:rFonts w:hint="eastAsia" w:ascii="宋体" w:hAnsi="宋体" w:eastAsia="宋体" w:cs="宋体"/>
          <w:b w:val="0"/>
          <w:bCs/>
          <w:color w:val="auto"/>
          <w:sz w:val="21"/>
          <w:szCs w:val="21"/>
          <w:highlight w:val="none"/>
        </w:rPr>
        <w:t>.2.4响应文件递交截止时间后，由磋商小组在评标室内线上开启响应文件。</w:t>
      </w:r>
      <w:bookmarkEnd w:id="106"/>
    </w:p>
    <w:p w14:paraId="21A37BCB">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07" w:name="_Toc25258"/>
      <w:bookmarkStart w:id="108" w:name="_Toc21088"/>
      <w:r>
        <w:rPr>
          <w:rFonts w:hint="eastAsia" w:ascii="宋体" w:hAnsi="宋体" w:eastAsia="宋体" w:cs="宋体"/>
          <w:color w:val="auto"/>
          <w:sz w:val="21"/>
          <w:szCs w:val="21"/>
          <w:highlight w:val="none"/>
        </w:rPr>
        <w:t>评审原则</w:t>
      </w:r>
      <w:bookmarkEnd w:id="107"/>
      <w:bookmarkEnd w:id="108"/>
    </w:p>
    <w:p w14:paraId="308C5DE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1 磋商小组必须坚持公平、公正、科学和择优的原则。</w:t>
      </w:r>
    </w:p>
    <w:p w14:paraId="717BD21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2 评审办法：综合评分法，具体详见第四章评审办法。</w:t>
      </w:r>
    </w:p>
    <w:p w14:paraId="7B11F4E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3 磋商小组应按磋商文件进行评审，不得擅自更改评审办法。</w:t>
      </w:r>
    </w:p>
    <w:p w14:paraId="27ECE58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4 在评审过程中，磋商小组任何人不得对某个供应商发表任何倾向性意见，不得向其他磋商小组成员明示或者暗示自己的评审意见。</w:t>
      </w:r>
    </w:p>
    <w:p w14:paraId="7090CD22">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5 磋商小组成员对需要共同认定的事项存在争议的，按照少数服从多数的原则作出结论。持不同意见的磋商小组成员应当在评审报告上签署不同意见并说明理由，否则视为同意。</w:t>
      </w:r>
    </w:p>
    <w:p w14:paraId="6B03B9E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6 响应文件最后报价出现前后不一致的，除竞争性磋商文件另有规定外，按照下列规定修正：</w:t>
      </w:r>
    </w:p>
    <w:p w14:paraId="5D47C3A6">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(1) </w:t>
      </w:r>
      <w:r>
        <w:rPr>
          <w:rFonts w:hint="eastAsia" w:ascii="宋体" w:hAnsi="宋体" w:eastAsia="宋体" w:cs="宋体"/>
          <w:color w:val="auto"/>
          <w:highlight w:val="none"/>
        </w:rPr>
        <w:t>响应文件中磋商报价表内容与响应文件中相应内容不一致的，以最后磋商报价表为准；</w:t>
      </w:r>
    </w:p>
    <w:p w14:paraId="1AFEDC1A">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 xml:space="preserve"> 大写金额和小写金额不一致的，以大写金额为准；</w:t>
      </w:r>
    </w:p>
    <w:p w14:paraId="7CD4DBC9">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 xml:space="preserve"> 总价金额与依据单价计算出的结果不一致的，以单价金额为准修正总价，但单价金额小数点有明显错误的除外；</w:t>
      </w:r>
    </w:p>
    <w:p w14:paraId="49711EAA">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 当单价与数量相乘不等于合价时，以单价计算为准，如果单价有明显的小数点位置差错，应以标出的合价为准，同时对单价予以修正</w:t>
      </w:r>
      <w:r>
        <w:rPr>
          <w:rFonts w:hint="eastAsia" w:ascii="宋体" w:hAnsi="宋体" w:eastAsia="宋体" w:cs="宋体"/>
          <w:color w:val="auto"/>
          <w:highlight w:val="none"/>
        </w:rPr>
        <w:t>。</w:t>
      </w:r>
    </w:p>
    <w:p w14:paraId="37ED2171">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eastAsia="宋体" w:cs="宋体"/>
          <w:color w:val="auto"/>
          <w:highlight w:val="none"/>
        </w:rPr>
        <w:t>当各子目的合价累计不等于总价时，应以各子目合价累计数为准，修正总价。</w:t>
      </w:r>
    </w:p>
    <w:p w14:paraId="77D3B247">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68CAC1BD">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09" w:name="_Toc27193"/>
      <w:bookmarkStart w:id="110" w:name="_Toc21012"/>
      <w:r>
        <w:rPr>
          <w:rFonts w:hint="eastAsia" w:ascii="宋体" w:hAnsi="宋体" w:eastAsia="宋体" w:cs="宋体"/>
          <w:color w:val="auto"/>
          <w:sz w:val="21"/>
          <w:szCs w:val="21"/>
          <w:highlight w:val="none"/>
        </w:rPr>
        <w:t>评审程序及磋商要求</w:t>
      </w:r>
      <w:bookmarkEnd w:id="109"/>
      <w:bookmarkEnd w:id="110"/>
    </w:p>
    <w:p w14:paraId="5B36A23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1磋商小组成员的通讯工具或相关电子设备交由桂林市公共资源交易中心统一保管后到达评标室，采购代理机构核实磋商小组成员身份，告知回避要求，宣布评审工作纪律和程序，推选磋商小组组长。</w:t>
      </w:r>
    </w:p>
    <w:p w14:paraId="2119D88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0D3CED4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3 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14:paraId="17F8C861">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22.</w:t>
      </w:r>
      <w:r>
        <w:rPr>
          <w:rFonts w:hint="eastAsia" w:ascii="宋体" w:hAnsi="宋体" w:eastAsia="宋体" w:cs="宋体"/>
          <w:b/>
          <w:bCs/>
          <w:color w:val="auto"/>
          <w:szCs w:val="21"/>
          <w:highlight w:val="none"/>
        </w:rPr>
        <w:t>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 。</w:t>
      </w:r>
    </w:p>
    <w:p w14:paraId="45879C0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4.1 查询渠道：《国家企业信用信息公示系统》（网址：www.gsxt.gov.cn/index.html）</w:t>
      </w:r>
      <w:r>
        <w:rPr>
          <w:rFonts w:hint="eastAsia" w:ascii="宋体" w:hAnsi="宋体" w:cs="宋体"/>
          <w:color w:val="auto"/>
          <w:szCs w:val="21"/>
          <w:highlight w:val="none"/>
          <w:lang w:val="en-US" w:eastAsia="zh-CN"/>
        </w:rPr>
        <w:t>；</w:t>
      </w:r>
    </w:p>
    <w:p w14:paraId="2081585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4.2 审查流程：</w:t>
      </w:r>
    </w:p>
    <w:p w14:paraId="4A93E90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（1）进入《国家企业信用信息公示系统》（网址：www.gsxt.gov.cn/index.html），输入企业名称，进入企业信息主页面；</w:t>
      </w:r>
    </w:p>
    <w:p w14:paraId="15E384B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（2）查看主页“股东及出资信息”栏，或年报中的“股东及出资信息”栏信息；</w:t>
      </w:r>
    </w:p>
    <w:p w14:paraId="0175432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（3）将各供应商的股东及出资信息进行比对，得出审查结论；</w:t>
      </w:r>
    </w:p>
    <w:p w14:paraId="2C081B7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（4）将相关资料作为评审资料打印存档。</w:t>
      </w:r>
    </w:p>
    <w:p w14:paraId="22CCE649">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22.</w:t>
      </w:r>
      <w:r>
        <w:rPr>
          <w:rFonts w:hint="eastAsia" w:ascii="宋体" w:hAnsi="宋体" w:eastAsia="宋体" w:cs="宋体"/>
          <w:b/>
          <w:bCs/>
          <w:color w:val="auto"/>
          <w:szCs w:val="21"/>
          <w:highlight w:val="none"/>
        </w:rPr>
        <w:t>5 磋商小组如发现供应商提供的证明文件不齐全或不符合规定格式的，应一次性告知供应商，供应商应在规定的时间内</w:t>
      </w:r>
      <w:r>
        <w:rPr>
          <w:rFonts w:hint="eastAsia" w:ascii="宋体" w:hAnsi="宋体" w:eastAsia="宋体" w:cs="宋体"/>
          <w:b/>
          <w:bCs/>
          <w:color w:val="auto"/>
          <w:szCs w:val="21"/>
          <w:highlight w:val="none"/>
          <w:lang w:eastAsia="zh-CN"/>
        </w:rPr>
        <w:t>线上</w:t>
      </w:r>
      <w:r>
        <w:rPr>
          <w:rFonts w:hint="eastAsia" w:ascii="宋体" w:hAnsi="宋体" w:eastAsia="宋体" w:cs="宋体"/>
          <w:b/>
          <w:bCs/>
          <w:color w:val="auto"/>
          <w:szCs w:val="21"/>
          <w:highlight w:val="none"/>
        </w:rPr>
        <w:t>补正或更正。</w:t>
      </w:r>
    </w:p>
    <w:p w14:paraId="2F0B36A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lang w:val="en-US" w:eastAsia="zh-CN"/>
        </w:rPr>
        <w:t>个人</w:t>
      </w:r>
      <w:r>
        <w:rPr>
          <w:rFonts w:hint="eastAsia" w:ascii="宋体" w:hAnsi="宋体" w:cs="宋体"/>
          <w:color w:val="auto"/>
          <w:highlight w:val="none"/>
          <w:lang w:val="en-US" w:eastAsia="zh-CN"/>
        </w:rPr>
        <w:t>数字证书（CA认证）</w:t>
      </w:r>
      <w:r>
        <w:rPr>
          <w:rFonts w:hint="eastAsia" w:ascii="宋体" w:hAnsi="宋体" w:eastAsia="宋体" w:cs="宋体"/>
          <w:color w:val="auto"/>
          <w:highlight w:val="none"/>
          <w:lang w:val="en-US" w:eastAsia="zh-CN"/>
        </w:rPr>
        <w:t>签章)</w:t>
      </w:r>
      <w:r>
        <w:rPr>
          <w:rFonts w:hint="eastAsia" w:ascii="宋体" w:hAnsi="宋体" w:eastAsia="宋体" w:cs="宋体"/>
          <w:color w:val="auto"/>
          <w:szCs w:val="21"/>
          <w:highlight w:val="none"/>
        </w:rPr>
        <w:t>或者加盖供应商公章</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w:t>
      </w:r>
    </w:p>
    <w:p w14:paraId="08EEAA9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根据磋商文件规定的程序、评定成交的标准等事项与实质性响应竞争性磋商文件要求的供应商进行磋商。 </w:t>
      </w:r>
    </w:p>
    <w:p w14:paraId="0FFE68D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未实质性响应磋商文件的响应文件按无效处理，磋商小组应当告知有关供应商。 </w:t>
      </w:r>
    </w:p>
    <w:p w14:paraId="2E251C1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磋商小组所有成员应当按已确定的磋商顺序集中与单一供应商分别进行磋商，并给予所有实质性响应竞争性磋商文件要求的供应商平等的磋商机会。 </w:t>
      </w:r>
    </w:p>
    <w:p w14:paraId="2A07869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磋商中，磋商小组不得透露与磋商有关的其他供应商的技术资料、价格和其他信息。 </w:t>
      </w:r>
    </w:p>
    <w:p w14:paraId="4107BD4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磋商小组对磋商过程和重要磋商内容进行记录，磋商双方在记录上签字确认。 </w:t>
      </w:r>
    </w:p>
    <w:p w14:paraId="37C078A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7当磋商小组一致确定磋商供应商的竞争性磋商响应文件能够详细列明采购标的的技术、服务要求且符合竞争性磋商文件要求，无需再磋商的，磋商小组按竞争性磋商文件设定的</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16程序和综合评分法确定成交候选人。第一轮磋商后竞争性磋商文件有实质性变动或仍需磋商的，磋商小组对竞争性磋商文件变动或提出磋商意见后进行第二轮磋商。</w:t>
      </w:r>
    </w:p>
    <w:p w14:paraId="36E5914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8 在磋商过程中，磋商小组可以根据磋商文件和磋商情况实质性变动项目需求中的技术、服务要求以及合同草案条款，但不得变动磋商文件中的其他内容。实质性变动的内容，须经采购人代表确认。 </w:t>
      </w:r>
    </w:p>
    <w:p w14:paraId="718F236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对磋商文件作出的实质性变动是磋商文件的有效组成部分，磋商小组应当及时</w:t>
      </w:r>
      <w:r>
        <w:rPr>
          <w:rFonts w:hint="eastAsia" w:ascii="宋体" w:hAnsi="宋体" w:eastAsia="宋体" w:cs="宋体"/>
          <w:color w:val="auto"/>
          <w:szCs w:val="21"/>
          <w:highlight w:val="none"/>
          <w:lang w:eastAsia="zh-CN"/>
        </w:rPr>
        <w:t>通过</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同时</w:t>
      </w:r>
      <w:r>
        <w:rPr>
          <w:rFonts w:hint="eastAsia" w:ascii="宋体" w:hAnsi="宋体" w:eastAsia="宋体" w:cs="宋体"/>
          <w:color w:val="auto"/>
          <w:szCs w:val="21"/>
          <w:highlight w:val="none"/>
        </w:rPr>
        <w:t xml:space="preserve">通知所有参加磋商的供应商。 </w:t>
      </w:r>
    </w:p>
    <w:p w14:paraId="6CA0E29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供应商应当按照磋商文件的变动情况和磋商小组的要求重新提交响应文件，并由其法定代表人、负责人、</w:t>
      </w:r>
      <w:r>
        <w:rPr>
          <w:rFonts w:hint="eastAsia" w:ascii="宋体" w:hAnsi="宋体" w:eastAsia="宋体" w:cs="宋体"/>
          <w:color w:val="auto"/>
          <w:szCs w:val="21"/>
          <w:highlight w:val="none"/>
          <w:lang w:eastAsia="zh-CN"/>
        </w:rPr>
        <w:t>自然人或相应的授权委托代表签字（个人</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或者加盖供应商公章</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 xml:space="preserve">。逾时不交的，视同放弃磋商。 </w:t>
      </w:r>
    </w:p>
    <w:p w14:paraId="0BB57D4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9 第二轮磋商</w:t>
      </w:r>
    </w:p>
    <w:p w14:paraId="2535508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磋商小组集中就重新提交的响应文件或磋商小组提出的磋商意见与单一响应供应商分别进行磋商。磋商小组对磋商过程和重要磋商内容进行记录，磋商双方在记录上签字确认</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签章确认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227888F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磋商后，供应商根据磋商小组统一整理的书面磋商记录要求做出书面承诺，并由其法定代表人或授权代表签字或者加盖公章</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后按时</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lang w:val="en-US" w:eastAsia="zh-CN"/>
        </w:rPr>
        <w:t>提交</w:t>
      </w:r>
      <w:r>
        <w:rPr>
          <w:rFonts w:hint="eastAsia" w:ascii="宋体" w:hAnsi="宋体" w:eastAsia="宋体" w:cs="宋体"/>
          <w:color w:val="auto"/>
          <w:szCs w:val="21"/>
          <w:highlight w:val="none"/>
        </w:rPr>
        <w:t>。</w:t>
      </w:r>
    </w:p>
    <w:p w14:paraId="79D4B94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当磋商小组一致确定供应商的竞争性磋商响应文件符合竞争性磋商文件要求，无需再磋商的，磋商小组按竞争性磋商文件设定的</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16程序和评审方法确定成交候选人。第二轮磋商后竞争性磋商文件仍有实质性变动的或仍需磋商的，磋商小组对竞争性磋商文件变动或提出磋商意见后进行第三轮磋商。以此类推。</w:t>
      </w:r>
    </w:p>
    <w:p w14:paraId="642FEC3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10 在采购过程中符合竞争要求的供应商或者报价未超过采购预算的供应商不足 3 家的，采购人或者采购代理机构应当终止竞争性磋商采购活动。 </w:t>
      </w:r>
    </w:p>
    <w:p w14:paraId="47727F3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11 最后报价 </w:t>
      </w:r>
    </w:p>
    <w:p w14:paraId="2CED028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11.1 磋商文件能够详细列明采购标的的质量要求的，磋商结束后，磋商小组应当要求所有继续参加磋商的供应商在规定时间内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提交最后报价，提交最后报价的供应商不得少于 3 家。 </w:t>
      </w:r>
    </w:p>
    <w:p w14:paraId="64A4086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11.2 </w:t>
      </w:r>
      <w:r>
        <w:rPr>
          <w:rFonts w:hint="eastAsia" w:ascii="宋体" w:hAnsi="宋体" w:cs="宋体"/>
          <w:color w:val="auto"/>
          <w:szCs w:val="21"/>
          <w:highlight w:val="none"/>
        </w:rPr>
        <w:t>磋商文件不能详细列明采购标的的施工要求，需经磋商由供应商提供最终设计方案或解决方案的</w:t>
      </w:r>
      <w:r>
        <w:rPr>
          <w:rFonts w:hint="eastAsia" w:ascii="宋体" w:hAnsi="宋体" w:eastAsia="宋体" w:cs="宋体"/>
          <w:color w:val="auto"/>
          <w:szCs w:val="21"/>
          <w:highlight w:val="none"/>
        </w:rPr>
        <w:t>，磋商结束后，磋商小组应当按照少数服从多数的原则投票推荐 3 家以上（含 3 家）供应商的设计方案或者解决方案，并要求其在规定时间内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 </w:t>
      </w:r>
    </w:p>
    <w:p w14:paraId="35B0E557">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r>
        <w:rPr>
          <w:rFonts w:hint="eastAsia" w:ascii="宋体" w:hAnsi="宋体" w:eastAsia="宋体" w:cs="宋体"/>
          <w:color w:val="auto"/>
          <w:szCs w:val="21"/>
          <w:highlight w:val="none"/>
          <w:lang w:val="en-US" w:eastAsia="zh-CN"/>
        </w:rPr>
        <w:t>11.3</w:t>
      </w:r>
      <w:r>
        <w:rPr>
          <w:rFonts w:hint="eastAsia" w:hAnsi="宋体" w:cs="宋体"/>
          <w:color w:val="auto"/>
          <w:kern w:val="0"/>
          <w:szCs w:val="21"/>
          <w:highlight w:val="none"/>
        </w:rPr>
        <w:t>最后报价（应答文件）是供应商响应文件的有效组成部分：</w:t>
      </w:r>
      <w:r>
        <w:rPr>
          <w:rFonts w:hint="eastAsia" w:hAnsi="宋体" w:cs="宋体"/>
          <w:b/>
          <w:color w:val="auto"/>
          <w:spacing w:val="-4"/>
          <w:szCs w:val="21"/>
          <w:highlight w:val="none"/>
        </w:rPr>
        <w:t>供应商做</w:t>
      </w:r>
      <w:r>
        <w:rPr>
          <w:rFonts w:hint="eastAsia" w:hAnsi="宋体" w:cs="宋体"/>
          <w:b/>
          <w:color w:val="auto"/>
          <w:spacing w:val="-4"/>
          <w:szCs w:val="21"/>
          <w:highlight w:val="none"/>
          <w:lang w:eastAsia="zh-CN"/>
        </w:rPr>
        <w:t>最后报价</w:t>
      </w:r>
      <w:r>
        <w:rPr>
          <w:rFonts w:hint="eastAsia" w:hAnsi="宋体" w:cs="宋体"/>
          <w:b/>
          <w:color w:val="auto"/>
          <w:spacing w:val="-4"/>
          <w:szCs w:val="21"/>
          <w:highlight w:val="none"/>
        </w:rPr>
        <w:t>时，</w:t>
      </w:r>
      <w:r>
        <w:rPr>
          <w:rFonts w:hint="eastAsia" w:ascii="宋体" w:hAnsi="宋体" w:cs="宋体"/>
          <w:b/>
          <w:color w:val="auto"/>
          <w:szCs w:val="21"/>
        </w:rPr>
        <w:t>供应商的第二次磋商报价</w:t>
      </w:r>
      <w:r>
        <w:rPr>
          <w:rFonts w:hint="eastAsia" w:ascii="宋体" w:hAnsi="宋体" w:cs="宋体"/>
          <w:b/>
          <w:color w:val="auto"/>
          <w:szCs w:val="21"/>
          <w:lang w:eastAsia="zh-CN"/>
        </w:rPr>
        <w:t>（</w:t>
      </w:r>
      <w:r>
        <w:rPr>
          <w:rFonts w:hint="eastAsia" w:ascii="宋体" w:hAnsi="宋体" w:cs="宋体"/>
          <w:b/>
          <w:color w:val="auto"/>
          <w:szCs w:val="21"/>
        </w:rPr>
        <w:t>或总报价</w:t>
      </w:r>
      <w:r>
        <w:rPr>
          <w:rFonts w:hint="eastAsia" w:ascii="宋体" w:hAnsi="宋体" w:cs="宋体"/>
          <w:b/>
          <w:color w:val="auto"/>
          <w:szCs w:val="21"/>
          <w:lang w:eastAsia="zh-CN"/>
        </w:rPr>
        <w:t>）</w:t>
      </w:r>
      <w:r>
        <w:rPr>
          <w:rFonts w:hint="eastAsia" w:ascii="宋体" w:hAnsi="宋体" w:cs="宋体"/>
          <w:b/>
          <w:color w:val="auto"/>
          <w:szCs w:val="21"/>
        </w:rPr>
        <w:t>不得高于该供应商第一次磋商报价</w:t>
      </w:r>
      <w:r>
        <w:rPr>
          <w:rFonts w:hint="eastAsia" w:ascii="宋体" w:hAnsi="宋体" w:cs="宋体"/>
          <w:b/>
          <w:color w:val="auto"/>
          <w:szCs w:val="21"/>
          <w:lang w:eastAsia="zh-CN"/>
        </w:rPr>
        <w:t>（</w:t>
      </w:r>
      <w:r>
        <w:rPr>
          <w:rFonts w:hint="eastAsia" w:ascii="宋体" w:hAnsi="宋体" w:cs="宋体"/>
          <w:b/>
          <w:color w:val="auto"/>
          <w:szCs w:val="21"/>
        </w:rPr>
        <w:t>或总报价</w:t>
      </w:r>
      <w:r>
        <w:rPr>
          <w:rFonts w:hint="eastAsia" w:ascii="宋体" w:hAnsi="宋体" w:cs="宋体"/>
          <w:b/>
          <w:color w:val="auto"/>
          <w:szCs w:val="21"/>
          <w:lang w:eastAsia="zh-CN"/>
        </w:rPr>
        <w:t>）</w:t>
      </w:r>
      <w:r>
        <w:rPr>
          <w:rFonts w:hint="eastAsia" w:ascii="宋体" w:hAnsi="宋体" w:cs="宋体"/>
          <w:b/>
          <w:color w:val="auto"/>
          <w:szCs w:val="21"/>
        </w:rPr>
        <w:t>，否则响应文件做无效处理</w:t>
      </w:r>
      <w:r>
        <w:rPr>
          <w:rFonts w:hint="eastAsia" w:ascii="宋体" w:hAnsi="宋体" w:cs="宋体"/>
          <w:b/>
          <w:color w:val="auto"/>
          <w:szCs w:val="21"/>
          <w:lang w:val="en-US" w:eastAsia="zh-CN"/>
        </w:rPr>
        <w:t>；</w:t>
      </w:r>
      <w:r>
        <w:rPr>
          <w:rFonts w:hint="eastAsia" w:hAnsi="宋体" w:cs="宋体"/>
          <w:b/>
          <w:color w:val="auto"/>
          <w:spacing w:val="-4"/>
          <w:szCs w:val="21"/>
          <w:highlight w:val="none"/>
        </w:rPr>
        <w:t>如供应商维持磋商报价不变</w:t>
      </w:r>
      <w:r>
        <w:rPr>
          <w:rFonts w:hint="eastAsia" w:hAnsi="宋体" w:cs="宋体"/>
          <w:b/>
          <w:color w:val="auto"/>
          <w:spacing w:val="-4"/>
          <w:szCs w:val="21"/>
          <w:highlight w:val="none"/>
          <w:lang w:eastAsia="zh-CN"/>
        </w:rPr>
        <w:t>，</w:t>
      </w:r>
      <w:r>
        <w:rPr>
          <w:rFonts w:hint="eastAsia" w:hAnsi="宋体" w:cs="宋体"/>
          <w:b/>
          <w:color w:val="auto"/>
          <w:spacing w:val="-4"/>
          <w:szCs w:val="21"/>
          <w:highlight w:val="none"/>
        </w:rPr>
        <w:t>以原磋商报价作为供应商最后报价；</w:t>
      </w:r>
      <w:r>
        <w:rPr>
          <w:rFonts w:hint="eastAsia" w:ascii="宋体" w:hAnsi="宋体" w:cs="宋体"/>
          <w:b/>
          <w:bCs/>
          <w:color w:val="auto"/>
          <w:szCs w:val="21"/>
        </w:rPr>
        <w:t>如供应商需要改变原磋商报价</w:t>
      </w:r>
      <w:r>
        <w:rPr>
          <w:rFonts w:hint="eastAsia" w:ascii="宋体" w:hAnsi="宋体" w:cs="宋体"/>
          <w:b/>
          <w:bCs/>
          <w:color w:val="auto"/>
          <w:szCs w:val="21"/>
          <w:lang w:eastAsia="zh-CN"/>
        </w:rPr>
        <w:t>（</w:t>
      </w:r>
      <w:r>
        <w:rPr>
          <w:rFonts w:hint="eastAsia" w:ascii="宋体" w:hAnsi="宋体" w:cs="宋体"/>
          <w:b/>
          <w:color w:val="auto"/>
          <w:szCs w:val="21"/>
        </w:rPr>
        <w:t>或总报价</w:t>
      </w:r>
      <w:r>
        <w:rPr>
          <w:rFonts w:hint="eastAsia" w:ascii="宋体" w:hAnsi="宋体" w:cs="宋体"/>
          <w:b/>
          <w:color w:val="auto"/>
          <w:szCs w:val="21"/>
          <w:lang w:eastAsia="zh-CN"/>
        </w:rPr>
        <w:t>）</w:t>
      </w:r>
      <w:r>
        <w:rPr>
          <w:rFonts w:hint="eastAsia" w:ascii="宋体" w:hAnsi="宋体" w:cs="宋体"/>
          <w:b/>
          <w:bCs/>
          <w:color w:val="auto"/>
          <w:szCs w:val="21"/>
        </w:rPr>
        <w:t>时，</w:t>
      </w:r>
      <w:r>
        <w:rPr>
          <w:rFonts w:hint="eastAsia" w:hAnsi="宋体" w:cs="宋体"/>
          <w:b/>
          <w:color w:val="auto"/>
          <w:spacing w:val="-4"/>
          <w:szCs w:val="21"/>
          <w:highlight w:val="none"/>
        </w:rPr>
        <w:t>供应商应预先准备好调整后的完整已标价的工程量清单</w:t>
      </w:r>
      <w:r>
        <w:rPr>
          <w:rFonts w:hint="eastAsia" w:hAnsi="宋体" w:cs="宋体"/>
          <w:b/>
          <w:color w:val="auto"/>
          <w:spacing w:val="-4"/>
          <w:szCs w:val="21"/>
          <w:highlight w:val="none"/>
          <w:lang w:eastAsia="zh-CN"/>
        </w:rPr>
        <w:t>，</w:t>
      </w:r>
      <w:r>
        <w:rPr>
          <w:rFonts w:hint="eastAsia" w:hAnsi="宋体" w:cs="宋体"/>
          <w:b/>
          <w:color w:val="auto"/>
          <w:spacing w:val="-4"/>
          <w:szCs w:val="21"/>
          <w:highlight w:val="none"/>
        </w:rPr>
        <w:t>供应商在磋商过程中，改变原报价且未按竞争性磋商文件要求提供调整后的磋商报价</w:t>
      </w:r>
      <w:r>
        <w:rPr>
          <w:rFonts w:hint="eastAsia" w:hAnsi="宋体" w:cs="宋体"/>
          <w:b/>
          <w:color w:val="auto"/>
          <w:spacing w:val="-4"/>
          <w:szCs w:val="21"/>
          <w:highlight w:val="none"/>
          <w:lang w:eastAsia="zh-CN"/>
        </w:rPr>
        <w:t>电子</w:t>
      </w:r>
      <w:r>
        <w:rPr>
          <w:rFonts w:hint="eastAsia" w:hAnsi="宋体" w:cs="宋体"/>
          <w:b/>
          <w:color w:val="auto"/>
          <w:spacing w:val="-4"/>
          <w:szCs w:val="21"/>
          <w:highlight w:val="none"/>
        </w:rPr>
        <w:t>版的，其报价不予认可，视供应商维持原磋商报价不变</w:t>
      </w:r>
      <w:r>
        <w:rPr>
          <w:rFonts w:hint="eastAsia" w:hAnsi="宋体" w:cs="宋体"/>
          <w:b/>
          <w:color w:val="auto"/>
          <w:szCs w:val="21"/>
          <w:highlight w:val="none"/>
        </w:rPr>
        <w:t>。</w:t>
      </w:r>
      <w:r>
        <w:rPr>
          <w:rFonts w:hint="eastAsia" w:hAnsi="宋体" w:cs="宋体"/>
          <w:color w:val="auto"/>
          <w:spacing w:val="-4"/>
          <w:szCs w:val="21"/>
          <w:highlight w:val="none"/>
        </w:rPr>
        <w:t>必须由供应商</w:t>
      </w:r>
      <w:r>
        <w:rPr>
          <w:rFonts w:hint="eastAsia" w:ascii="宋体" w:hAnsi="宋体" w:eastAsia="宋体" w:cs="宋体"/>
          <w:color w:val="auto"/>
          <w:szCs w:val="21"/>
          <w:highlight w:val="none"/>
        </w:rPr>
        <w:t>加盖公章</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lang w:eastAsia="zh-CN"/>
        </w:rPr>
        <w:t>）</w:t>
      </w:r>
      <w:r>
        <w:rPr>
          <w:rFonts w:hint="eastAsia" w:hAnsi="宋体" w:cs="宋体"/>
          <w:color w:val="auto"/>
          <w:spacing w:val="-4"/>
          <w:szCs w:val="21"/>
          <w:highlight w:val="none"/>
        </w:rPr>
        <w:t>。</w:t>
      </w:r>
    </w:p>
    <w:p w14:paraId="747682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 根据《财政部关于政府采购竞争性磋商采购方式管理暂行办法有关问题的补充通知》</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财库〔2014〕214 号</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的规定，如采购项目为政府购买服务项目（含政府和社会资本合作项目），在采购过程中符合要求的供应商（社会资本）只有 2 家的，竞争性磋商采购活动可以继续进行，并要求其在规定时间内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提交最后报价；采购过程中符合要求的供应商（社会资本）只有 1 家的，采购人或者采购代理机构应当终止竞争性磋商采购活动，发布项目终止公告并说明原因，重新开展采购活动。 </w:t>
      </w:r>
    </w:p>
    <w:p w14:paraId="70FA308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根据《政府采购竞争性磋商采购方式管理暂行办法》</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财库〔2014〕214 号</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的规定：</w:t>
      </w:r>
      <w:r>
        <w:rPr>
          <w:rFonts w:hint="eastAsia" w:ascii="宋体" w:hAnsi="宋体" w:eastAsia="宋体" w:cs="宋体"/>
          <w:b/>
          <w:bCs/>
          <w:color w:val="auto"/>
          <w:szCs w:val="21"/>
          <w:highlight w:val="none"/>
        </w:rPr>
        <w:t xml:space="preserve">最后报价是供应商响应文件的有效组成部分。 </w:t>
      </w:r>
      <w:r>
        <w:rPr>
          <w:rFonts w:hint="eastAsia" w:ascii="宋体" w:hAnsi="宋体" w:eastAsia="宋体" w:cs="宋体"/>
          <w:color w:val="auto"/>
          <w:szCs w:val="21"/>
          <w:highlight w:val="none"/>
        </w:rPr>
        <w:t>符合本办法(财库〔2014〕214号文)第三条第四项情形的，提交最后报价的供应商可以为2家。</w:t>
      </w:r>
      <w:r>
        <w:rPr>
          <w:rFonts w:hint="eastAsia" w:ascii="宋体" w:hAnsi="宋体" w:eastAsia="宋体" w:cs="宋体"/>
          <w:b/>
          <w:bCs/>
          <w:color w:val="auto"/>
          <w:szCs w:val="21"/>
          <w:highlight w:val="none"/>
        </w:rPr>
        <w:t>（财库〔2014〕214号文第三条第四项：市场竞争不充分的科研项目，以及需要扶持的科技成果转化项目。）</w:t>
      </w:r>
    </w:p>
    <w:p w14:paraId="09B5374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12 已提交响应文件的供应商，在提交最后报价之前，可以根据磋商情况书面退出磋商。 </w:t>
      </w:r>
    </w:p>
    <w:p w14:paraId="7DF31B3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未书面退出磋商的供应商在规定时间内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提交最后报价，其最后报价超出采购预算导致已通过评审的响应文件无效的，按供应商在提交响应文件截止时间后撤回响应文件处理。 </w:t>
      </w:r>
    </w:p>
    <w:p w14:paraId="65887C0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13 评审报告 </w:t>
      </w:r>
    </w:p>
    <w:p w14:paraId="1C39DD8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磋商小组应当从质量和服务均能满足磋商文件全部实质性响应要求的供应商中，按照最后综合得分由高到低的顺序提出 3 名以上（含 3 名）成交候选人，并编写评审报告。</w:t>
      </w:r>
    </w:p>
    <w:p w14:paraId="6A8D7B0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14 在评审过程中出现法律法规和磋商文件均没有明确规定的情形时，由磋商小组现场协商解决，协商不一致的，由全体磋商小组投票表决，以得票率二分之一以上磋商小组成员的意见为准。 </w:t>
      </w:r>
    </w:p>
    <w:p w14:paraId="53AA9A3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15 采购代理机构发现磋商小组有明显的违规倾向或歧视现象，或不按评审办法进行，或其他不正常行为的，应当及时制止。如制止无效，应及时向政府采购</w:t>
      </w:r>
      <w:r>
        <w:rPr>
          <w:rFonts w:hint="eastAsia" w:ascii="宋体" w:hAnsi="宋体" w:cs="宋体"/>
          <w:color w:val="auto"/>
          <w:szCs w:val="21"/>
          <w:highlight w:val="none"/>
          <w:lang w:eastAsia="zh-CN"/>
        </w:rPr>
        <w:t>监督管理部门</w:t>
      </w:r>
      <w:r>
        <w:rPr>
          <w:rFonts w:hint="eastAsia" w:ascii="宋体" w:hAnsi="宋体" w:eastAsia="宋体" w:cs="宋体"/>
          <w:color w:val="auto"/>
          <w:szCs w:val="21"/>
          <w:highlight w:val="none"/>
        </w:rPr>
        <w:t>报告。</w:t>
      </w:r>
    </w:p>
    <w:p w14:paraId="2384FBE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val="0"/>
          <w:bCs w:val="0"/>
          <w:color w:val="auto"/>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16 本采购项目的评审依据为竞争性磋商文件和竞争性磋商响应文件，采用的评审方法为</w:t>
      </w:r>
      <w:r>
        <w:rPr>
          <w:rFonts w:hint="eastAsia" w:ascii="宋体" w:hAnsi="宋体" w:eastAsia="宋体" w:cs="宋体"/>
          <w:b/>
          <w:bCs/>
          <w:color w:val="auto"/>
          <w:szCs w:val="21"/>
          <w:highlight w:val="none"/>
        </w:rPr>
        <w:t>综合评分法</w:t>
      </w:r>
      <w:r>
        <w:rPr>
          <w:rFonts w:hint="eastAsia" w:ascii="宋体" w:hAnsi="宋体" w:eastAsia="宋体" w:cs="宋体"/>
          <w:b w:val="0"/>
          <w:bCs w:val="0"/>
          <w:color w:val="auto"/>
          <w:szCs w:val="21"/>
          <w:highlight w:val="none"/>
        </w:rPr>
        <w:t>。</w:t>
      </w:r>
    </w:p>
    <w:p w14:paraId="6CEF725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1" w:name="_Toc18722"/>
      <w:bookmarkStart w:id="112" w:name="_Toc32470"/>
      <w:r>
        <w:rPr>
          <w:rFonts w:hint="eastAsia" w:ascii="宋体" w:hAnsi="宋体" w:eastAsia="宋体" w:cs="宋体"/>
          <w:color w:val="auto"/>
          <w:sz w:val="21"/>
          <w:szCs w:val="21"/>
          <w:highlight w:val="none"/>
        </w:rPr>
        <w:t>确定成交供应商</w:t>
      </w:r>
      <w:bookmarkEnd w:id="111"/>
      <w:bookmarkEnd w:id="112"/>
    </w:p>
    <w:p w14:paraId="6C16065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14:paraId="3194C4E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.2采购单位应当确定磋商小组推荐排名第一的成交候选人为成交供应商。</w:t>
      </w:r>
    </w:p>
    <w:p w14:paraId="5191E81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3排名第一的成交候选人放弃成交、因不可抗力提出不能履行合同，或信用信息记录不符合相关规定的，或者磋商文件规定应当提交履约保证金而在规定的期限内未能提交的（本项目免收履约保证金），采购单位可以确定排名第二的成交候选人为成交供应商。</w:t>
      </w:r>
    </w:p>
    <w:p w14:paraId="67CB03B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.4排名第二的成交候选人因前款规定的同样原因不能签订合同的，采购单位可以确定排名第三的成交候选人为成交供应商。</w:t>
      </w:r>
    </w:p>
    <w:p w14:paraId="642D518B">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3" w:name="_Toc15332"/>
      <w:bookmarkStart w:id="114" w:name="_Toc21715"/>
      <w:r>
        <w:rPr>
          <w:rFonts w:hint="eastAsia" w:ascii="宋体" w:hAnsi="宋体" w:eastAsia="宋体" w:cs="宋体"/>
          <w:color w:val="auto"/>
          <w:sz w:val="21"/>
          <w:szCs w:val="21"/>
          <w:highlight w:val="none"/>
        </w:rPr>
        <w:t>属于下列情况之一者，响应文件无效</w:t>
      </w:r>
      <w:bookmarkEnd w:id="113"/>
      <w:bookmarkEnd w:id="114"/>
    </w:p>
    <w:p w14:paraId="187DE9C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（1）未按磋商文件规定完整</w:t>
      </w:r>
      <w:r>
        <w:rPr>
          <w:rFonts w:hint="eastAsia" w:ascii="宋体" w:hAnsi="宋体" w:eastAsia="宋体" w:cs="宋体"/>
          <w:color w:val="auto"/>
          <w:szCs w:val="21"/>
          <w:highlight w:val="none"/>
          <w:lang w:val="en-US" w:eastAsia="zh-CN"/>
        </w:rPr>
        <w:t>线上</w:t>
      </w:r>
      <w:r>
        <w:rPr>
          <w:rFonts w:hint="eastAsia" w:ascii="宋体" w:hAnsi="宋体" w:eastAsia="宋体" w:cs="宋体"/>
          <w:color w:val="auto"/>
          <w:szCs w:val="21"/>
          <w:highlight w:val="none"/>
        </w:rPr>
        <w:t>提交响应文件或未按规定要求</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的；</w:t>
      </w:r>
    </w:p>
    <w:p w14:paraId="73EAA0E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（2）不具备磋商文件规定的资格要求的；</w:t>
      </w:r>
    </w:p>
    <w:p w14:paraId="76532F5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进行资格性审查时，磋商小组将进入《国家企业信用信息公示系统》对企业股东及出资等信息进行查询，对存在《中华人民共和国政府采购法实施条例》第十八条第一款情形的，即单位负责人为同一人或者存在直接控股、管理关系的不同供应商，不得参加同一合同项下的政府采购活动，其磋商文件将被视为无效文件；</w:t>
      </w:r>
    </w:p>
    <w:p w14:paraId="67868D7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）响应文件未按磋商文件的内容和要求编制，或提供虚假材料的；</w:t>
      </w:r>
    </w:p>
    <w:p w14:paraId="7CE3E71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响应文件有效期、质量要求、工期要求不能满足采购文件要求的</w:t>
      </w:r>
      <w:r>
        <w:rPr>
          <w:rFonts w:hint="eastAsia" w:ascii="宋体" w:hAnsi="宋体" w:eastAsia="宋体" w:cs="宋体"/>
          <w:color w:val="auto"/>
          <w:szCs w:val="21"/>
          <w:highlight w:val="none"/>
        </w:rPr>
        <w:t>；</w:t>
      </w:r>
    </w:p>
    <w:p w14:paraId="0B6438E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）未在磋商小组规定的时间内提交响应文件(包括最后报价)的；</w:t>
      </w:r>
    </w:p>
    <w:p w14:paraId="38364AF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）超越了按照法律法规规定必须获得行政许可或者行政审批的经营范围的；</w:t>
      </w:r>
    </w:p>
    <w:p w14:paraId="352BCA7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）未满足磋商文件实质性要求的或者响应文件有采购人不能接受的附加条件的；</w:t>
      </w:r>
    </w:p>
    <w:p w14:paraId="471D43E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）响应文件实质性要求未做变动，供应商最后报价高于第一次报价的；</w:t>
      </w:r>
    </w:p>
    <w:p w14:paraId="5E36683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）不符合法律、法规和磋商文件规定的其他实质性要求和条件的。</w:t>
      </w:r>
    </w:p>
    <w:p w14:paraId="757936A6">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供应商有下列情形之一的视为供应商相互串通磋商，响应文件将被视为无效</w:t>
      </w:r>
    </w:p>
    <w:p w14:paraId="6DEE0BB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（1）不同供应商的响应文件由同一单位或者个人编制；或不同供应商报名的IP地址一致的；</w:t>
      </w:r>
    </w:p>
    <w:p w14:paraId="0950C52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（2）不同供应商委托同一单位或者个人办理磋商事宜；</w:t>
      </w:r>
    </w:p>
    <w:p w14:paraId="53FE261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4A64EA3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报价呈规律性差异；</w:t>
      </w:r>
    </w:p>
    <w:p w14:paraId="169087D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w:t>
      </w:r>
      <w:r>
        <w:rPr>
          <w:rFonts w:hint="eastAsia" w:ascii="宋体" w:hAnsi="宋体" w:cs="宋体"/>
          <w:color w:val="auto"/>
          <w:szCs w:val="21"/>
          <w:highlight w:val="none"/>
          <w:lang w:eastAsia="zh-CN"/>
        </w:rPr>
        <w:t>编</w:t>
      </w:r>
      <w:r>
        <w:rPr>
          <w:rFonts w:hint="eastAsia" w:ascii="宋体" w:hAnsi="宋体" w:eastAsia="宋体" w:cs="宋体"/>
          <w:color w:val="auto"/>
          <w:szCs w:val="21"/>
          <w:highlight w:val="none"/>
        </w:rPr>
        <w:t>。</w:t>
      </w:r>
    </w:p>
    <w:p w14:paraId="7C54B9A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5" w:name="_Toc27786"/>
      <w:bookmarkStart w:id="116" w:name="_Toc5714"/>
      <w:r>
        <w:rPr>
          <w:rFonts w:hint="eastAsia" w:ascii="宋体" w:hAnsi="宋体" w:eastAsia="宋体" w:cs="宋体"/>
          <w:color w:val="auto"/>
          <w:sz w:val="21"/>
          <w:szCs w:val="21"/>
          <w:highlight w:val="none"/>
        </w:rPr>
        <w:t>出现下列情形之一的，采购人或者采购代理机构应当终止竞争性磋商采购活动，发布项目终止公告并说明原因，重新开展采购活动</w:t>
      </w:r>
      <w:bookmarkEnd w:id="115"/>
      <w:bookmarkEnd w:id="116"/>
    </w:p>
    <w:p w14:paraId="7C8AE8B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（1）因情况变化，不再符合规定的竞争性磋商采购方式适用情形的；</w:t>
      </w:r>
    </w:p>
    <w:p w14:paraId="5ED6264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（2）出现影响采购公正的违法、违规行为的； </w:t>
      </w:r>
    </w:p>
    <w:p w14:paraId="14479E3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（3）在采购过程中符合竞争要求的供应商或者报价未超过采购预算的供应商不足3家的。</w:t>
      </w:r>
      <w:r>
        <w:rPr>
          <w:rFonts w:hint="eastAsia" w:ascii="宋体" w:hAnsi="宋体" w:eastAsia="宋体" w:cs="宋体"/>
          <w:b/>
          <w:bCs/>
          <w:color w:val="auto"/>
          <w:szCs w:val="21"/>
          <w:highlight w:val="none"/>
        </w:rPr>
        <w:t xml:space="preserve">（除财库〔2014〕214 号《政府采购竞争性磋商采购方式管理暂行办法》第二十一条第三款规定的情形外） </w:t>
      </w:r>
    </w:p>
    <w:p w14:paraId="41E8B0E6">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7" w:name="_Toc19910"/>
      <w:bookmarkStart w:id="118" w:name="_Toc19105"/>
      <w:r>
        <w:rPr>
          <w:rFonts w:hint="eastAsia" w:ascii="宋体" w:hAnsi="宋体" w:eastAsia="宋体" w:cs="宋体"/>
          <w:color w:val="auto"/>
          <w:sz w:val="21"/>
          <w:szCs w:val="21"/>
          <w:highlight w:val="none"/>
        </w:rPr>
        <w:t>磋商过程的监控</w:t>
      </w:r>
      <w:bookmarkEnd w:id="117"/>
      <w:bookmarkEnd w:id="118"/>
    </w:p>
    <w:p w14:paraId="0274047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本项目磋商过程实行全程录音、录像监控，供应商在磋商过程中所进行的试图影响磋商结果的不公正活动，可能导致其磋商被拒绝。</w:t>
      </w:r>
    </w:p>
    <w:p w14:paraId="593D1AA2">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9" w:name="_Toc14787"/>
      <w:bookmarkStart w:id="120" w:name="_Toc26291"/>
      <w:r>
        <w:rPr>
          <w:rFonts w:hint="eastAsia" w:ascii="宋体" w:hAnsi="宋体" w:eastAsia="宋体" w:cs="宋体"/>
          <w:color w:val="auto"/>
          <w:sz w:val="21"/>
          <w:szCs w:val="21"/>
          <w:highlight w:val="none"/>
        </w:rPr>
        <w:t>信用查询</w:t>
      </w:r>
      <w:bookmarkEnd w:id="119"/>
      <w:bookmarkEnd w:id="120"/>
    </w:p>
    <w:p w14:paraId="26D7B6E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根据《关于做好政府采购有关信用主体标识码登记及在政府采购活动中查询使用信用记录有关问题的通知》桂财采〔2016〕37号的通知，采购代理机构对成交人的成交资格进行信用查询：</w:t>
      </w:r>
    </w:p>
    <w:p w14:paraId="07D5A4D7">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（1）查询渠道：“信用中国”网站(www.creditchina.gov.cn)、中国政府采购网(www.ccgp.gov.cn)等；</w:t>
      </w:r>
    </w:p>
    <w:p w14:paraId="33552219">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（2）查询时间：成交通知书发出前；</w:t>
      </w:r>
    </w:p>
    <w:p w14:paraId="413A5A72">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（3）信用信息查询记录和证据留存方式：在查询网站中直接打印查询记录，打印材料作为采购活动资料保存。</w:t>
      </w:r>
    </w:p>
    <w:p w14:paraId="63748397">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00D2E399">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21" w:name="_Toc9438"/>
      <w:bookmarkStart w:id="122" w:name="_Toc25468"/>
      <w:r>
        <w:rPr>
          <w:rFonts w:hint="eastAsia" w:ascii="宋体" w:hAnsi="宋体" w:eastAsia="宋体" w:cs="宋体"/>
          <w:color w:val="auto"/>
          <w:sz w:val="21"/>
          <w:szCs w:val="21"/>
          <w:highlight w:val="none"/>
        </w:rPr>
        <w:t>成交结果公告及成交通知书</w:t>
      </w:r>
      <w:bookmarkEnd w:id="121"/>
      <w:bookmarkEnd w:id="122"/>
    </w:p>
    <w:p w14:paraId="5D89C74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61B2441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.2 在发布成交公告的同时，采购代理机构向成交供应商发出成交通知书。成交供应商自接到通知之日起七个工作日内，办理成交通知书领取手续。</w:t>
      </w:r>
    </w:p>
    <w:p w14:paraId="5179F6A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.3 采购代理机构无义务向未成交的供应商解释未成交原因和退还响应文件。</w:t>
      </w:r>
    </w:p>
    <w:p w14:paraId="01C77339">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val="0"/>
          <w:color w:val="auto"/>
          <w:szCs w:val="28"/>
          <w:highlight w:val="none"/>
        </w:rPr>
      </w:pPr>
      <w:bookmarkStart w:id="123" w:name="_Toc25593"/>
    </w:p>
    <w:p w14:paraId="34B5A446">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124" w:name="_Toc24102"/>
      <w:bookmarkStart w:id="125" w:name="_Toc13901"/>
      <w:bookmarkStart w:id="126" w:name="_Toc29518"/>
      <w:r>
        <w:rPr>
          <w:rFonts w:hint="eastAsia" w:ascii="宋体" w:hAnsi="宋体" w:eastAsia="宋体" w:cs="宋体"/>
          <w:b/>
          <w:bCs w:val="0"/>
          <w:color w:val="auto"/>
          <w:szCs w:val="28"/>
          <w:highlight w:val="none"/>
        </w:rPr>
        <w:t>五、签订合同</w:t>
      </w:r>
      <w:bookmarkEnd w:id="123"/>
      <w:bookmarkEnd w:id="124"/>
      <w:bookmarkEnd w:id="125"/>
      <w:bookmarkEnd w:id="126"/>
    </w:p>
    <w:p w14:paraId="6FF4BC5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highlight w:val="none"/>
        </w:rPr>
      </w:pPr>
      <w:bookmarkStart w:id="127" w:name="_Toc26520"/>
      <w:bookmarkStart w:id="128" w:name="_Toc1032"/>
      <w:r>
        <w:rPr>
          <w:rFonts w:hint="eastAsia" w:ascii="宋体" w:hAnsi="宋体" w:eastAsia="宋体" w:cs="宋体"/>
          <w:color w:val="auto"/>
          <w:sz w:val="21"/>
          <w:szCs w:val="21"/>
          <w:highlight w:val="none"/>
        </w:rPr>
        <w:t>履约保证金</w:t>
      </w:r>
      <w:bookmarkEnd w:id="127"/>
      <w:bookmarkEnd w:id="128"/>
    </w:p>
    <w:p w14:paraId="20AFCFC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bookmarkStart w:id="129" w:name="_Toc22004"/>
      <w:bookmarkStart w:id="130" w:name="_Toc4956"/>
      <w:r>
        <w:rPr>
          <w:rFonts w:hint="eastAsia" w:ascii="宋体" w:hAnsi="宋体" w:cs="宋体"/>
          <w:color w:val="auto"/>
          <w:szCs w:val="21"/>
          <w:highlight w:val="none"/>
          <w:lang w:eastAsia="zh-CN"/>
        </w:rPr>
        <w:t>本项目不收取履约保证金</w:t>
      </w:r>
      <w:r>
        <w:rPr>
          <w:rFonts w:hint="eastAsia" w:ascii="宋体" w:hAnsi="宋体" w:eastAsia="宋体" w:cs="宋体"/>
          <w:color w:val="auto"/>
          <w:szCs w:val="21"/>
          <w:highlight w:val="none"/>
        </w:rPr>
        <w:t>。</w:t>
      </w:r>
    </w:p>
    <w:p w14:paraId="7AA5E1FA">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签订合同</w:t>
      </w:r>
      <w:bookmarkEnd w:id="129"/>
      <w:bookmarkEnd w:id="130"/>
    </w:p>
    <w:p w14:paraId="75049EE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.1 签订合同时间：</w:t>
      </w:r>
      <w:r>
        <w:rPr>
          <w:rFonts w:hint="eastAsia" w:ascii="宋体" w:hAnsi="宋体" w:eastAsia="宋体" w:cs="宋体"/>
          <w:b/>
          <w:bCs/>
          <w:color w:val="auto"/>
          <w:szCs w:val="21"/>
          <w:highlight w:val="none"/>
          <w:lang w:eastAsia="zh-CN"/>
        </w:rPr>
        <w:t>成交通知书</w:t>
      </w:r>
      <w:r>
        <w:rPr>
          <w:rFonts w:hint="eastAsia" w:ascii="宋体" w:hAnsi="宋体" w:eastAsia="宋体" w:cs="宋体"/>
          <w:b/>
          <w:bCs/>
          <w:color w:val="auto"/>
          <w:szCs w:val="21"/>
          <w:highlight w:val="none"/>
        </w:rPr>
        <w:t>发出之日起8个工作日内签订合同。成交供应商领取成交通知书后，应按规定与采购人签订合同。</w:t>
      </w:r>
    </w:p>
    <w:p w14:paraId="7C5818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2F7DA70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（1）成交后不与采购人签订合同的（不可抗力除外）；</w:t>
      </w:r>
    </w:p>
    <w:p w14:paraId="3A0D92B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（2）将成交项目转让给他人，或者在响应文件中未说明，且未经采购人同意，将成交项目分包给他人的；</w:t>
      </w:r>
    </w:p>
    <w:p w14:paraId="1DBDA68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（3）拒绝履行合同义务的。</w:t>
      </w:r>
    </w:p>
    <w:p w14:paraId="69693A4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.3 合同备案存档：</w:t>
      </w:r>
      <w:r>
        <w:rPr>
          <w:rFonts w:hint="eastAsia" w:ascii="宋体" w:hAnsi="宋体" w:eastAsia="宋体" w:cs="宋体"/>
          <w:color w:val="auto"/>
          <w:highlight w:val="non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hint="eastAsia" w:ascii="宋体" w:hAnsi="宋体" w:cs="宋体"/>
          <w:color w:val="auto"/>
          <w:highlight w:val="none"/>
          <w:lang w:eastAsia="zh-CN"/>
        </w:rPr>
        <w:t>广西北部湾宏亚建设管理有限公司</w:t>
      </w:r>
      <w:r>
        <w:rPr>
          <w:rFonts w:hint="eastAsia" w:ascii="宋体" w:hAnsi="宋体" w:eastAsia="宋体" w:cs="宋体"/>
          <w:color w:val="auto"/>
          <w:highlight w:val="none"/>
        </w:rPr>
        <w:t>存档。</w:t>
      </w:r>
    </w:p>
    <w:p w14:paraId="401F2BBA">
      <w:pPr>
        <w:pStyle w:val="9"/>
        <w:rPr>
          <w:rFonts w:hint="eastAsia" w:ascii="宋体" w:hAnsi="宋体" w:eastAsia="宋体" w:cs="宋体"/>
          <w:color w:val="auto"/>
          <w:highlight w:val="none"/>
        </w:rPr>
      </w:pPr>
    </w:p>
    <w:p w14:paraId="54D61E1A">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131" w:name="_Toc16348"/>
      <w:bookmarkStart w:id="132" w:name="_Toc17898"/>
      <w:bookmarkStart w:id="133" w:name="_Toc3186"/>
      <w:bookmarkStart w:id="134" w:name="_Toc30713"/>
      <w:r>
        <w:rPr>
          <w:rFonts w:hint="eastAsia" w:ascii="宋体" w:hAnsi="宋体" w:eastAsia="宋体" w:cs="宋体"/>
          <w:b/>
          <w:bCs w:val="0"/>
          <w:color w:val="auto"/>
          <w:szCs w:val="28"/>
          <w:highlight w:val="none"/>
        </w:rPr>
        <w:t>六、其他事项</w:t>
      </w:r>
      <w:bookmarkEnd w:id="131"/>
      <w:bookmarkEnd w:id="132"/>
      <w:bookmarkEnd w:id="133"/>
      <w:bookmarkEnd w:id="134"/>
    </w:p>
    <w:p w14:paraId="6DE03AB2">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35" w:name="_Toc28647"/>
      <w:bookmarkStart w:id="136" w:name="_Toc29572"/>
      <w:r>
        <w:rPr>
          <w:rFonts w:hint="eastAsia" w:ascii="宋体" w:hAnsi="宋体" w:eastAsia="宋体" w:cs="宋体"/>
          <w:color w:val="auto"/>
          <w:sz w:val="21"/>
          <w:szCs w:val="21"/>
          <w:highlight w:val="none"/>
        </w:rPr>
        <w:t xml:space="preserve"> 采购代理服务费</w:t>
      </w:r>
      <w:bookmarkEnd w:id="135"/>
      <w:bookmarkEnd w:id="136"/>
    </w:p>
    <w:p w14:paraId="1D012A81">
      <w:pPr>
        <w:keepNext w:val="0"/>
        <w:keepLines w:val="0"/>
        <w:pageBreakBefore w:val="0"/>
        <w:widowControl w:val="0"/>
        <w:wordWrap/>
        <w:topLinePunct w:val="0"/>
        <w:bidi w:val="0"/>
        <w:spacing w:line="400" w:lineRule="exact"/>
        <w:ind w:firstLine="420"/>
        <w:rPr>
          <w:rFonts w:hint="eastAsia" w:ascii="宋体" w:hAnsi="宋体" w:eastAsia="宋体" w:cs="宋体"/>
          <w:color w:val="auto"/>
          <w:szCs w:val="21"/>
          <w:highlight w:val="none"/>
        </w:rPr>
      </w:pPr>
      <w:bookmarkStart w:id="137" w:name="_Toc12374"/>
      <w:r>
        <w:rPr>
          <w:rFonts w:hint="eastAsia" w:ascii="宋体" w:hAnsi="宋体" w:cs="宋体"/>
          <w:color w:val="auto"/>
          <w:highlight w:val="none"/>
          <w:lang w:val="en-US" w:eastAsia="zh-CN"/>
        </w:rPr>
        <w:t>31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成交供应商领取成交通知书前，</w:t>
      </w:r>
      <w:r>
        <w:rPr>
          <w:rFonts w:hint="eastAsia" w:ascii="宋体" w:hAnsi="宋体" w:eastAsia="宋体" w:cs="宋体"/>
          <w:color w:val="auto"/>
          <w:szCs w:val="21"/>
          <w:highlight w:val="none"/>
        </w:rPr>
        <w:t>向</w:t>
      </w:r>
      <w:r>
        <w:rPr>
          <w:rFonts w:hint="eastAsia" w:ascii="宋体" w:hAnsi="宋体" w:cs="宋体"/>
          <w:color w:val="auto"/>
          <w:highlight w:val="none"/>
          <w:lang w:eastAsia="zh-CN"/>
        </w:rPr>
        <w:t>广西北部湾宏亚建设管理有限公司</w:t>
      </w:r>
      <w:r>
        <w:rPr>
          <w:rFonts w:hint="eastAsia" w:ascii="宋体" w:hAnsi="宋体" w:eastAsia="宋体" w:cs="宋体"/>
          <w:color w:val="auto"/>
          <w:highlight w:val="none"/>
        </w:rPr>
        <w:t>一次性付清代理服务费。</w:t>
      </w:r>
      <w:r>
        <w:rPr>
          <w:rFonts w:hint="eastAsia" w:ascii="宋体" w:hAnsi="宋体" w:eastAsia="宋体" w:cs="宋体"/>
          <w:color w:val="auto"/>
          <w:szCs w:val="21"/>
          <w:highlight w:val="none"/>
        </w:rPr>
        <w:t>本项目招标代理服务收费标准参照计价格[2002]1980号《招标代理服务收费管理暂行办法》</w:t>
      </w:r>
      <w:r>
        <w:rPr>
          <w:rFonts w:hint="eastAsia" w:ascii="宋体" w:hAnsi="宋体" w:cs="宋体"/>
          <w:color w:val="auto"/>
          <w:szCs w:val="21"/>
          <w:highlight w:val="none"/>
          <w:lang w:eastAsia="zh-CN"/>
        </w:rPr>
        <w:t>工程类收费标准向成交供应商收取</w:t>
      </w:r>
      <w:r>
        <w:rPr>
          <w:rFonts w:hint="eastAsia" w:ascii="宋体" w:hAnsi="宋体" w:eastAsia="宋体" w:cs="宋体"/>
          <w:color w:val="auto"/>
          <w:szCs w:val="21"/>
          <w:highlight w:val="none"/>
        </w:rPr>
        <w:t>。</w:t>
      </w:r>
    </w:p>
    <w:tbl>
      <w:tblPr>
        <w:tblStyle w:val="27"/>
        <w:tblW w:w="900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4920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7F7B8B05">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026" name="直接连接符 102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gFTNNYAAAAIAQAADwAAAAAAAAABACAAAAAiAAAAZHJzL2Rvd25yZXYu&#10;eG1sUEsBAhQAFAAAAAgAh07iQDnnG0P9AQAA+wMAAA4AAAAAAAAAAQAgAAAAJQEAAGRycy9lMm9E&#10;b2MueG1sUEsFBgAAAAAGAAYAWQEAAJQFAAAAAA==&#10;">
                      <v:fill on="f" focussize="0,0"/>
                      <v:stroke color="#000000" joinstyle="round"/>
                      <v:imagedata o:title=""/>
                      <o:lock v:ext="edit" aspectratio="f"/>
                    </v:line>
                  </w:pict>
                </mc:Fallback>
              </mc:AlternateContent>
            </w:r>
            <w:r>
              <w:rPr>
                <w:rFonts w:hint="eastAsia" w:ascii="宋体" w:hAnsi="宋体" w:eastAsia="宋体" w:cs="宋体"/>
                <w:color w:val="auto"/>
                <w:szCs w:val="21"/>
                <w:highlight w:val="none"/>
              </w:rPr>
              <w:t>费率           服务类型</w:t>
            </w:r>
          </w:p>
          <w:p w14:paraId="0A5F258C">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-78740</wp:posOffset>
                      </wp:positionH>
                      <wp:positionV relativeFrom="paragraph">
                        <wp:posOffset>92075</wp:posOffset>
                      </wp:positionV>
                      <wp:extent cx="1828800" cy="396240"/>
                      <wp:effectExtent l="1270" t="4445" r="17780" b="18415"/>
                      <wp:wrapNone/>
                      <wp:docPr id="1027" name="直接连接符 1027"/>
                      <wp:cNvGraphicFramePr/>
                      <a:graphic xmlns:a="http://schemas.openxmlformats.org/drawingml/2006/main">
                        <a:graphicData uri="http://schemas.microsoft.com/office/word/2010/wordprocessingShape">
                          <wps:wsp>
                            <wps:cNvCnPr/>
                            <wps:spPr>
                              <a:xfrm>
                                <a:off x="0" y="0"/>
                                <a:ext cx="1828800" cy="396239"/>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6.2pt;margin-top:7.25pt;height:31.2pt;width:144pt;z-index:251660288;mso-width-relative:page;mso-height-relative:page;" filled="f" stroked="t" coordsize="21600,21600" o:gfxdata="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l4YhtgAAAAJAQAADwAAAAAAAAABACAAAAAiAAAAZHJzL2Rvd25y&#10;ZXYueG1sUEsBAhQAFAAAAAgAh07iQMv7It3+AQAA+wMAAA4AAAAAAAAAAQAgAAAAJwEAAGRycy9l&#10;Mm9Eb2MueG1sUEsFBgAAAAAGAAYAWQEAAJcFAAAAAA==&#10;">
                      <v:fill on="f" focussize="0,0"/>
                      <v:stroke color="#000000" joinstyle="round"/>
                      <v:imagedata o:title=""/>
                      <o:lock v:ext="edit" aspectratio="f"/>
                    </v:line>
                  </w:pict>
                </mc:Fallback>
              </mc:AlternateContent>
            </w:r>
          </w:p>
          <w:p w14:paraId="721C559C">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中标金额（万元）</w:t>
            </w:r>
          </w:p>
        </w:tc>
        <w:tc>
          <w:tcPr>
            <w:tcW w:w="1841" w:type="dxa"/>
            <w:noWrap w:val="0"/>
            <w:vAlign w:val="center"/>
          </w:tcPr>
          <w:p w14:paraId="65A5FC41">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992" w:type="dxa"/>
            <w:noWrap w:val="0"/>
            <w:vAlign w:val="center"/>
          </w:tcPr>
          <w:p w14:paraId="5715F046">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2293" w:type="dxa"/>
            <w:noWrap w:val="0"/>
            <w:vAlign w:val="center"/>
          </w:tcPr>
          <w:p w14:paraId="4DF184DE">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241A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6D7A3BEA">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100以下</w:t>
            </w:r>
          </w:p>
        </w:tc>
        <w:tc>
          <w:tcPr>
            <w:tcW w:w="1841" w:type="dxa"/>
            <w:noWrap w:val="0"/>
            <w:vAlign w:val="top"/>
          </w:tcPr>
          <w:p w14:paraId="7B70A422">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92" w:type="dxa"/>
            <w:noWrap w:val="0"/>
            <w:vAlign w:val="top"/>
          </w:tcPr>
          <w:p w14:paraId="199179A0">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293" w:type="dxa"/>
            <w:noWrap w:val="0"/>
            <w:vAlign w:val="top"/>
          </w:tcPr>
          <w:p w14:paraId="5C2FB69A">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525A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25BCCEE2">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w:t>
            </w:r>
          </w:p>
        </w:tc>
        <w:tc>
          <w:tcPr>
            <w:tcW w:w="1841" w:type="dxa"/>
            <w:noWrap w:val="0"/>
            <w:vAlign w:val="top"/>
          </w:tcPr>
          <w:p w14:paraId="0B1F6035">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92" w:type="dxa"/>
            <w:noWrap w:val="0"/>
            <w:vAlign w:val="top"/>
          </w:tcPr>
          <w:p w14:paraId="786C69F8">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2293" w:type="dxa"/>
            <w:noWrap w:val="0"/>
            <w:vAlign w:val="top"/>
          </w:tcPr>
          <w:p w14:paraId="0119718C">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1203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C4B0C06">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w:t>
            </w:r>
          </w:p>
        </w:tc>
        <w:tc>
          <w:tcPr>
            <w:tcW w:w="1841" w:type="dxa"/>
            <w:noWrap w:val="0"/>
            <w:vAlign w:val="top"/>
          </w:tcPr>
          <w:p w14:paraId="520A601E">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992" w:type="dxa"/>
            <w:noWrap w:val="0"/>
            <w:vAlign w:val="top"/>
          </w:tcPr>
          <w:p w14:paraId="2D580FF7">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2293" w:type="dxa"/>
            <w:noWrap w:val="0"/>
            <w:vAlign w:val="top"/>
          </w:tcPr>
          <w:p w14:paraId="244F6DAA">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3073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EA645B6">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w:t>
            </w:r>
          </w:p>
        </w:tc>
        <w:tc>
          <w:tcPr>
            <w:tcW w:w="1841" w:type="dxa"/>
            <w:noWrap w:val="0"/>
            <w:vAlign w:val="top"/>
          </w:tcPr>
          <w:p w14:paraId="321B402C">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992" w:type="dxa"/>
            <w:noWrap w:val="0"/>
            <w:vAlign w:val="top"/>
          </w:tcPr>
          <w:p w14:paraId="3207DEBC">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2293" w:type="dxa"/>
            <w:noWrap w:val="0"/>
            <w:vAlign w:val="top"/>
          </w:tcPr>
          <w:p w14:paraId="35A0B552">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12AC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57D369E">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5000-10000</w:t>
            </w:r>
          </w:p>
        </w:tc>
        <w:tc>
          <w:tcPr>
            <w:tcW w:w="1841" w:type="dxa"/>
            <w:noWrap w:val="0"/>
            <w:vAlign w:val="top"/>
          </w:tcPr>
          <w:p w14:paraId="04E06271">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992" w:type="dxa"/>
            <w:noWrap w:val="0"/>
            <w:vAlign w:val="top"/>
          </w:tcPr>
          <w:p w14:paraId="67171A32">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2293" w:type="dxa"/>
            <w:noWrap w:val="0"/>
            <w:vAlign w:val="top"/>
          </w:tcPr>
          <w:p w14:paraId="2F0931E3">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bl>
    <w:p w14:paraId="06261A5E">
      <w:pPr>
        <w:keepNext w:val="0"/>
        <w:keepLines w:val="0"/>
        <w:pageBreakBefore w:val="0"/>
        <w:widowControl w:val="0"/>
        <w:wordWrap/>
        <w:topLinePunct w:val="0"/>
        <w:bidi w:val="0"/>
        <w:spacing w:before="0" w:after="0" w:line="400" w:lineRule="exact"/>
        <w:ind w:left="25" w:firstLine="0" w:firstLineChars="0"/>
        <w:rPr>
          <w:rFonts w:hint="eastAsia" w:ascii="宋体" w:hAnsi="宋体" w:eastAsia="宋体" w:cs="宋体"/>
          <w:color w:val="auto"/>
          <w:szCs w:val="20"/>
          <w:highlight w:val="none"/>
        </w:rPr>
      </w:pPr>
      <w:r>
        <w:rPr>
          <w:rFonts w:hint="eastAsia" w:ascii="宋体" w:hAnsi="宋体" w:eastAsia="宋体" w:cs="宋体"/>
          <w:color w:val="auto"/>
          <w:szCs w:val="20"/>
          <w:highlight w:val="none"/>
        </w:rPr>
        <w:t>注：招标代理服务收费按差额定率累进法计算。</w:t>
      </w:r>
    </w:p>
    <w:p w14:paraId="265F0258">
      <w:pPr>
        <w:keepNext w:val="0"/>
        <w:keepLines w:val="0"/>
        <w:pageBreakBefore w:val="0"/>
        <w:widowControl w:val="0"/>
        <w:wordWrap/>
        <w:topLinePunct w:val="0"/>
        <w:bidi w:val="0"/>
        <w:spacing w:before="0" w:after="0" w:line="400" w:lineRule="exact"/>
        <w:ind w:firstLine="422"/>
        <w:rPr>
          <w:rFonts w:hint="eastAsia" w:ascii="宋体" w:hAnsi="宋体" w:eastAsia="宋体" w:cs="宋体"/>
          <w:b w:val="0"/>
          <w:bCs/>
          <w:color w:val="auto"/>
          <w:highlight w:val="none"/>
        </w:rPr>
      </w:pPr>
      <w:r>
        <w:rPr>
          <w:rFonts w:hint="eastAsia" w:ascii="宋体" w:hAnsi="宋体" w:cs="宋体"/>
          <w:b w:val="0"/>
          <w:bCs/>
          <w:color w:val="auto"/>
          <w:highlight w:val="none"/>
          <w:lang w:val="en-US" w:eastAsia="zh-CN"/>
        </w:rPr>
        <w:t>31</w:t>
      </w:r>
      <w:r>
        <w:rPr>
          <w:rFonts w:hint="eastAsia" w:ascii="宋体" w:hAnsi="宋体" w:eastAsia="宋体" w:cs="宋体"/>
          <w:b w:val="0"/>
          <w:bCs/>
          <w:color w:val="auto"/>
          <w:highlight w:val="none"/>
          <w:lang w:val="en-US" w:eastAsia="zh-CN"/>
        </w:rPr>
        <w:t>.2</w:t>
      </w:r>
      <w:r>
        <w:rPr>
          <w:rFonts w:hint="eastAsia" w:ascii="宋体" w:hAnsi="宋体" w:eastAsia="宋体" w:cs="宋体"/>
          <w:b w:val="0"/>
          <w:bCs/>
          <w:color w:val="auto"/>
          <w:highlight w:val="none"/>
        </w:rPr>
        <w:t>招标代理服务费缴纳账户：</w:t>
      </w:r>
    </w:p>
    <w:p w14:paraId="73ACB8C2">
      <w:pPr>
        <w:keepNext w:val="0"/>
        <w:keepLines w:val="0"/>
        <w:pageBreakBefore w:val="0"/>
        <w:widowControl w:val="0"/>
        <w:kinsoku/>
        <w:wordWrap/>
        <w:overflowPunct/>
        <w:topLinePunct w:val="0"/>
        <w:bidi w:val="0"/>
        <w:spacing w:line="440" w:lineRule="exact"/>
        <w:ind w:firstLine="420" w:firstLineChars="200"/>
        <w:textAlignment w:val="auto"/>
        <w:rPr>
          <w:rStyle w:val="42"/>
          <w:rFonts w:hint="eastAsia" w:ascii="宋体" w:hAnsi="宋体" w:eastAsia="宋体" w:cs="宋体"/>
          <w:b w:val="0"/>
          <w:bCs/>
          <w:color w:val="auto"/>
          <w:sz w:val="21"/>
          <w:szCs w:val="21"/>
          <w:highlight w:val="none"/>
          <w:lang w:val="en-US" w:eastAsia="zh-CN"/>
        </w:rPr>
      </w:pPr>
      <w:bookmarkStart w:id="138" w:name="_Toc9779"/>
      <w:r>
        <w:rPr>
          <w:rStyle w:val="42"/>
          <w:rFonts w:hint="eastAsia" w:ascii="宋体" w:hAnsi="宋体" w:eastAsia="宋体" w:cs="宋体"/>
          <w:b w:val="0"/>
          <w:bCs/>
          <w:color w:val="auto"/>
          <w:sz w:val="21"/>
          <w:szCs w:val="21"/>
          <w:highlight w:val="none"/>
          <w:lang w:val="en-US"/>
        </w:rPr>
        <w:t>开户名称：</w:t>
      </w:r>
      <w:r>
        <w:rPr>
          <w:rFonts w:hint="eastAsia" w:hAnsi="宋体" w:cs="宋体"/>
          <w:color w:val="auto"/>
          <w:szCs w:val="21"/>
        </w:rPr>
        <w:t>广西北部湾宏亚建设管理有限公司桂林分公司</w:t>
      </w:r>
    </w:p>
    <w:p w14:paraId="670854C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开户银行：中国建设银行股份有限公司桂林经济技术开发区支行</w:t>
      </w:r>
    </w:p>
    <w:p w14:paraId="6E16FEF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    号：45050111692500000070</w:t>
      </w:r>
    </w:p>
    <w:p w14:paraId="72BBC692">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解释权</w:t>
      </w:r>
      <w:bookmarkEnd w:id="137"/>
      <w:bookmarkEnd w:id="138"/>
      <w:r>
        <w:rPr>
          <w:rStyle w:val="42"/>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4361CC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b/>
          <w:bCs/>
          <w:color w:val="auto"/>
          <w:sz w:val="21"/>
          <w:szCs w:val="21"/>
          <w:highlight w:val="none"/>
        </w:rPr>
      </w:pPr>
      <w:r>
        <w:rPr>
          <w:rStyle w:val="42"/>
          <w:rFonts w:hint="eastAsia" w:ascii="宋体" w:hAnsi="宋体" w:cs="宋体"/>
          <w:b/>
          <w:bCs/>
          <w:color w:val="auto"/>
          <w:sz w:val="21"/>
          <w:szCs w:val="21"/>
          <w:highlight w:val="none"/>
          <w:lang w:eastAsia="zh-CN"/>
        </w:rPr>
        <w:t>监督管理部门</w:t>
      </w:r>
      <w:r>
        <w:rPr>
          <w:rFonts w:hint="eastAsia" w:ascii="宋体" w:hAnsi="宋体" w:eastAsia="宋体" w:cs="宋体"/>
          <w:b/>
          <w:bCs/>
          <w:color w:val="auto"/>
          <w:szCs w:val="21"/>
          <w:highlight w:val="none"/>
        </w:rPr>
        <w:t>：</w:t>
      </w:r>
      <w:r>
        <w:rPr>
          <w:rFonts w:hint="eastAsia" w:ascii="宋体" w:hAnsi="宋体"/>
          <w:b/>
          <w:bCs/>
          <w:color w:val="auto"/>
          <w:highlight w:val="none"/>
        </w:rPr>
        <w:t xml:space="preserve"> </w:t>
      </w:r>
      <w:r>
        <w:rPr>
          <w:rFonts w:hint="eastAsia" w:ascii="宋体" w:hAnsi="宋体" w:cs="宋体"/>
          <w:b w:val="0"/>
          <w:bCs w:val="0"/>
          <w:color w:val="auto"/>
          <w:sz w:val="21"/>
          <w:szCs w:val="21"/>
          <w:highlight w:val="none"/>
          <w:lang w:eastAsia="zh-CN"/>
        </w:rPr>
        <w:t>灌阳县财政局</w:t>
      </w:r>
      <w:r>
        <w:rPr>
          <w:rFonts w:hint="eastAsia" w:ascii="宋体" w:hAnsi="宋体" w:eastAsia="宋体" w:cs="宋体"/>
          <w:b w:val="0"/>
          <w:bCs w:val="0"/>
          <w:color w:val="auto"/>
          <w:sz w:val="21"/>
          <w:szCs w:val="21"/>
          <w:highlight w:val="none"/>
        </w:rPr>
        <w:t xml:space="preserve">     电话：0773-</w:t>
      </w:r>
      <w:r>
        <w:rPr>
          <w:rFonts w:hint="eastAsia" w:ascii="宋体" w:hAnsi="宋体" w:cs="宋体"/>
          <w:b w:val="0"/>
          <w:bCs w:val="0"/>
          <w:color w:val="auto"/>
          <w:sz w:val="21"/>
          <w:szCs w:val="21"/>
          <w:highlight w:val="none"/>
          <w:lang w:eastAsia="zh-CN"/>
        </w:rPr>
        <w:t>4250206</w:t>
      </w:r>
    </w:p>
    <w:p w14:paraId="3B115BD9">
      <w:pPr>
        <w:rPr>
          <w:rFonts w:hint="eastAsia"/>
          <w:color w:val="auto"/>
        </w:rPr>
      </w:pPr>
    </w:p>
    <w:p w14:paraId="6753E1B4">
      <w:pPr>
        <w:rPr>
          <w:rFonts w:hint="eastAsia" w:ascii="宋体" w:hAnsi="宋体" w:eastAsia="宋体" w:cs="宋体"/>
          <w:b w:val="0"/>
          <w:bCs w:val="0"/>
          <w:color w:val="auto"/>
          <w:sz w:val="21"/>
          <w:szCs w:val="21"/>
          <w:highlight w:val="none"/>
        </w:rPr>
      </w:pPr>
    </w:p>
    <w:p w14:paraId="6BB6A4E4">
      <w:pPr>
        <w:keepNext w:val="0"/>
        <w:keepLines w:val="0"/>
        <w:pageBreakBefore w:val="0"/>
        <w:widowControl w:val="0"/>
        <w:wordWrap/>
        <w:topLinePunct w:val="0"/>
        <w:bidi w:val="0"/>
        <w:snapToGrid w:val="0"/>
        <w:rPr>
          <w:rFonts w:hint="eastAsia"/>
          <w:b/>
          <w:color w:val="auto"/>
          <w:kern w:val="0"/>
          <w:sz w:val="24"/>
          <w:highlight w:val="none"/>
        </w:rPr>
        <w:sectPr>
          <w:pgSz w:w="11906" w:h="16838"/>
          <w:pgMar w:top="1418" w:right="1115" w:bottom="1418" w:left="1131" w:header="851" w:footer="992" w:gutter="0"/>
          <w:pgNumType w:fmt="decimal"/>
          <w:cols w:space="720" w:num="1"/>
          <w:titlePg/>
          <w:docGrid w:type="lines" w:linePitch="312" w:charSpace="0"/>
        </w:sectPr>
      </w:pPr>
    </w:p>
    <w:p w14:paraId="4E42F1A2">
      <w:pPr>
        <w:keepNext w:val="0"/>
        <w:keepLines w:val="0"/>
        <w:pageBreakBefore w:val="0"/>
        <w:widowControl w:val="0"/>
        <w:wordWrap/>
        <w:topLinePunct w:val="0"/>
        <w:bidi w:val="0"/>
        <w:snapToGrid w:val="0"/>
        <w:rPr>
          <w:rFonts w:hint="eastAsia"/>
          <w:b/>
          <w:color w:val="auto"/>
          <w:kern w:val="0"/>
          <w:sz w:val="24"/>
          <w:highlight w:val="none"/>
        </w:rPr>
      </w:pPr>
    </w:p>
    <w:p w14:paraId="21F4B71C">
      <w:pPr>
        <w:keepNext w:val="0"/>
        <w:keepLines w:val="0"/>
        <w:pageBreakBefore w:val="0"/>
        <w:widowControl w:val="0"/>
        <w:wordWrap/>
        <w:topLinePunct w:val="0"/>
        <w:bidi w:val="0"/>
        <w:snapToGrid w:val="0"/>
        <w:rPr>
          <w:rFonts w:hAnsi="宋体"/>
          <w:b/>
          <w:color w:val="auto"/>
          <w:kern w:val="0"/>
          <w:sz w:val="24"/>
          <w:highlight w:val="none"/>
        </w:rPr>
      </w:pPr>
      <w:r>
        <w:rPr>
          <w:rFonts w:hint="eastAsia"/>
          <w:b/>
          <w:color w:val="auto"/>
          <w:kern w:val="0"/>
          <w:sz w:val="24"/>
          <w:highlight w:val="none"/>
        </w:rPr>
        <w:t>附表1：</w:t>
      </w:r>
    </w:p>
    <w:p w14:paraId="0C0028C2">
      <w:pPr>
        <w:keepNext w:val="0"/>
        <w:keepLines w:val="0"/>
        <w:pageBreakBefore w:val="0"/>
        <w:widowControl w:val="0"/>
        <w:wordWrap/>
        <w:topLinePunct w:val="0"/>
        <w:bidi w:val="0"/>
        <w:spacing w:line="460" w:lineRule="exact"/>
        <w:jc w:val="center"/>
        <w:rPr>
          <w:rFonts w:eastAsia="隶书"/>
          <w:color w:val="auto"/>
          <w:kern w:val="0"/>
          <w:sz w:val="44"/>
          <w:highlight w:val="none"/>
        </w:rPr>
      </w:pPr>
      <w:r>
        <w:rPr>
          <w:rFonts w:hint="eastAsia" w:eastAsia="隶书"/>
          <w:color w:val="auto"/>
          <w:kern w:val="0"/>
          <w:sz w:val="44"/>
          <w:highlight w:val="none"/>
        </w:rPr>
        <w:t>质疑函（格式）</w:t>
      </w:r>
    </w:p>
    <w:p w14:paraId="31413585">
      <w:pPr>
        <w:keepNext w:val="0"/>
        <w:keepLines w:val="0"/>
        <w:pageBreakBefore w:val="0"/>
        <w:widowControl w:val="0"/>
        <w:wordWrap/>
        <w:topLinePunct w:val="0"/>
        <w:bidi w:val="0"/>
        <w:snapToGrid w:val="0"/>
        <w:spacing w:line="36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一、质疑供应商基本信息：</w:t>
      </w:r>
    </w:p>
    <w:p w14:paraId="7E7E6CB6">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质疑供应商：</w:t>
      </w:r>
    </w:p>
    <w:p w14:paraId="454B0E8E">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115754A1">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联系人：联系电话：</w:t>
      </w:r>
    </w:p>
    <w:p w14:paraId="06B23A1B">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授权代表：</w:t>
      </w:r>
    </w:p>
    <w:p w14:paraId="21DDFD0F">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联系电话：</w:t>
      </w:r>
    </w:p>
    <w:p w14:paraId="04709483">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4C55E016">
      <w:pPr>
        <w:keepNext w:val="0"/>
        <w:keepLines w:val="0"/>
        <w:pageBreakBefore w:val="0"/>
        <w:widowControl w:val="0"/>
        <w:wordWrap/>
        <w:topLinePunct w:val="0"/>
        <w:bidi w:val="0"/>
        <w:snapToGrid w:val="0"/>
        <w:spacing w:line="36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二、质疑项目基本情况：</w:t>
      </w:r>
    </w:p>
    <w:p w14:paraId="7E58F191">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质疑</w:t>
      </w:r>
      <w:r>
        <w:rPr>
          <w:rFonts w:hint="eastAsia" w:ascii="宋体" w:hAnsi="宋体" w:eastAsia="宋体" w:cs="宋体"/>
          <w:color w:val="auto"/>
          <w:kern w:val="0"/>
          <w:szCs w:val="21"/>
          <w:highlight w:val="none"/>
        </w:rPr>
        <w:t>项目的名称：</w:t>
      </w:r>
    </w:p>
    <w:p w14:paraId="7751F888">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质疑</w:t>
      </w:r>
      <w:r>
        <w:rPr>
          <w:rFonts w:hint="eastAsia" w:ascii="宋体" w:hAnsi="宋体" w:eastAsia="宋体" w:cs="宋体"/>
          <w:color w:val="auto"/>
          <w:kern w:val="0"/>
          <w:szCs w:val="21"/>
          <w:highlight w:val="none"/>
        </w:rPr>
        <w:t>项目的编号：</w:t>
      </w:r>
    </w:p>
    <w:p w14:paraId="1823C1B9">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采购人名称：</w:t>
      </w:r>
    </w:p>
    <w:p w14:paraId="6649594A">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w:t>
      </w:r>
    </w:p>
    <w:p w14:paraId="1CD6E922">
      <w:pPr>
        <w:keepNext w:val="0"/>
        <w:keepLines w:val="0"/>
        <w:pageBreakBefore w:val="0"/>
        <w:widowControl w:val="0"/>
        <w:wordWrap/>
        <w:topLinePunct w:val="0"/>
        <w:bidi w:val="0"/>
        <w:spacing w:line="360" w:lineRule="exact"/>
        <w:ind w:left="25" w:leftChars="12" w:firstLine="441" w:firstLineChars="147"/>
        <w:rPr>
          <w:rFonts w:hint="eastAsia" w:ascii="宋体" w:hAnsi="宋体" w:eastAsia="宋体" w:cs="宋体"/>
          <w:color w:val="auto"/>
          <w:kern w:val="0"/>
          <w:szCs w:val="21"/>
          <w:highlight w:val="non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Cs w:val="21"/>
          <w:highlight w:val="none"/>
        </w:rPr>
        <w:t>采购文件   采购文件获取日期：</w:t>
      </w:r>
    </w:p>
    <w:p w14:paraId="274D0516">
      <w:pPr>
        <w:keepNext w:val="0"/>
        <w:keepLines w:val="0"/>
        <w:pageBreakBefore w:val="0"/>
        <w:widowControl w:val="0"/>
        <w:wordWrap/>
        <w:topLinePunct w:val="0"/>
        <w:bidi w:val="0"/>
        <w:spacing w:line="360" w:lineRule="exact"/>
        <w:ind w:left="25" w:leftChars="12" w:firstLine="441" w:firstLineChars="147"/>
        <w:rPr>
          <w:rFonts w:hint="eastAsia" w:ascii="宋体" w:hAnsi="宋体" w:eastAsia="宋体" w:cs="宋体"/>
          <w:color w:val="auto"/>
          <w:kern w:val="0"/>
          <w:szCs w:val="21"/>
          <w:highlight w:val="non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Cs w:val="21"/>
          <w:highlight w:val="none"/>
        </w:rPr>
        <w:t xml:space="preserve">采购过程   </w:t>
      </w:r>
    </w:p>
    <w:p w14:paraId="2101F68D">
      <w:pPr>
        <w:keepNext w:val="0"/>
        <w:keepLines w:val="0"/>
        <w:pageBreakBefore w:val="0"/>
        <w:widowControl w:val="0"/>
        <w:wordWrap/>
        <w:topLinePunct w:val="0"/>
        <w:bidi w:val="0"/>
        <w:spacing w:line="360" w:lineRule="exact"/>
        <w:ind w:left="25" w:leftChars="12" w:firstLine="441" w:firstLineChars="147"/>
        <w:rPr>
          <w:rFonts w:hint="eastAsia" w:ascii="宋体" w:hAnsi="宋体" w:eastAsia="宋体" w:cs="宋体"/>
          <w:bCs/>
          <w:color w:val="auto"/>
          <w:kern w:val="0"/>
          <w:highlight w:val="none"/>
          <w:u w:val="singl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Cs w:val="21"/>
          <w:highlight w:val="none"/>
        </w:rPr>
        <w:t xml:space="preserve">成交结果   </w:t>
      </w:r>
    </w:p>
    <w:p w14:paraId="261DEE90">
      <w:pPr>
        <w:keepNext w:val="0"/>
        <w:keepLines w:val="0"/>
        <w:pageBreakBefore w:val="0"/>
        <w:widowControl w:val="0"/>
        <w:wordWrap/>
        <w:topLinePunct w:val="0"/>
        <w:bidi w:val="0"/>
        <w:spacing w:line="36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三、质疑事项具体内容</w:t>
      </w:r>
    </w:p>
    <w:p w14:paraId="61185B8B">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质疑事项1：</w:t>
      </w:r>
    </w:p>
    <w:p w14:paraId="58592240">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事实依据：</w:t>
      </w:r>
    </w:p>
    <w:p w14:paraId="0B604B5B">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法律依据：</w:t>
      </w:r>
    </w:p>
    <w:p w14:paraId="1A8BF963">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质疑事项2</w:t>
      </w:r>
    </w:p>
    <w:p w14:paraId="5A4C7659">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p w14:paraId="52CD6282">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四、与质疑事项相关的质疑请求：</w:t>
      </w:r>
    </w:p>
    <w:p w14:paraId="45504BB1">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p>
    <w:p w14:paraId="37EDB123">
      <w:pPr>
        <w:keepNext w:val="0"/>
        <w:keepLines w:val="0"/>
        <w:pageBreakBefore w:val="0"/>
        <w:widowControl w:val="0"/>
        <w:wordWrap/>
        <w:topLinePunct w:val="0"/>
        <w:bidi w:val="0"/>
        <w:spacing w:line="360" w:lineRule="exact"/>
        <w:ind w:left="25" w:leftChars="12" w:firstLine="308" w:firstLineChars="147"/>
        <w:rPr>
          <w:rFonts w:hint="eastAsia" w:ascii="宋体" w:hAnsi="宋体" w:eastAsia="宋体" w:cs="宋体"/>
          <w:color w:val="auto"/>
          <w:kern w:val="0"/>
          <w:szCs w:val="21"/>
          <w:highlight w:val="none"/>
        </w:rPr>
      </w:pPr>
    </w:p>
    <w:p w14:paraId="728E55B7">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790DC104">
      <w:pPr>
        <w:keepNext w:val="0"/>
        <w:keepLines w:val="0"/>
        <w:pageBreakBefore w:val="0"/>
        <w:widowControl w:val="0"/>
        <w:wordWrap/>
        <w:topLinePunct w:val="0"/>
        <w:bidi w:val="0"/>
        <w:spacing w:line="360" w:lineRule="exact"/>
        <w:ind w:left="25" w:leftChars="12" w:firstLine="308" w:firstLineChars="147"/>
        <w:rPr>
          <w:rFonts w:hint="eastAsia" w:ascii="宋体" w:hAnsi="宋体" w:eastAsia="宋体" w:cs="宋体"/>
          <w:color w:val="auto"/>
          <w:kern w:val="0"/>
          <w:szCs w:val="21"/>
          <w:highlight w:val="none"/>
        </w:rPr>
      </w:pPr>
    </w:p>
    <w:p w14:paraId="27FD9765">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日期：</w:t>
      </w:r>
    </w:p>
    <w:p w14:paraId="032665A6">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p>
    <w:p w14:paraId="4339FA47">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9A32065">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bCs/>
          <w:color w:val="auto"/>
          <w:kern w:val="0"/>
          <w:highlight w:val="none"/>
        </w:rPr>
      </w:pPr>
      <w:r>
        <w:rPr>
          <w:rFonts w:hint="eastAsia" w:ascii="宋体" w:hAnsi="宋体" w:eastAsia="宋体" w:cs="宋体"/>
          <w:b/>
          <w:color w:val="auto"/>
          <w:kern w:val="0"/>
          <w:szCs w:val="21"/>
          <w:highlight w:val="none"/>
        </w:rPr>
        <w:t>1.供应商提出质疑时，应提交质疑函和必要的证明材料</w:t>
      </w:r>
      <w:r>
        <w:rPr>
          <w:rFonts w:hint="eastAsia" w:ascii="宋体" w:hAnsi="宋体" w:eastAsia="宋体" w:cs="宋体"/>
          <w:b/>
          <w:bCs/>
          <w:color w:val="auto"/>
          <w:kern w:val="0"/>
          <w:highlight w:val="none"/>
        </w:rPr>
        <w:t>。</w:t>
      </w:r>
    </w:p>
    <w:p w14:paraId="6A48CEC5">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7F24E4">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3.质疑函的质疑事项应具体、明确，并有必要的事实依据和法律依据。</w:t>
      </w:r>
    </w:p>
    <w:p w14:paraId="14484B66">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4.质疑函的质疑请求应与质疑事项相关。</w:t>
      </w:r>
    </w:p>
    <w:p w14:paraId="06DEF4C7">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6.质疑供应商为法人或者其他组织的，质疑函应由法定代表人、主要负责人，或者其授权代表签字或者盖章，并加盖公章。</w:t>
      </w:r>
    </w:p>
    <w:p w14:paraId="12C8D5DC">
      <w:pPr>
        <w:keepNext w:val="0"/>
        <w:keepLines w:val="0"/>
        <w:pageBreakBefore w:val="0"/>
        <w:widowControl w:val="0"/>
        <w:wordWrap/>
        <w:topLinePunct w:val="0"/>
        <w:bidi w:val="0"/>
        <w:snapToGrid w:val="0"/>
        <w:rPr>
          <w:rFonts w:hAnsi="宋体"/>
          <w:b/>
          <w:color w:val="auto"/>
          <w:kern w:val="0"/>
          <w:sz w:val="24"/>
          <w:highlight w:val="none"/>
        </w:rPr>
      </w:pPr>
      <w:r>
        <w:rPr>
          <w:rFonts w:hint="eastAsia"/>
          <w:b/>
          <w:color w:val="auto"/>
          <w:kern w:val="0"/>
          <w:sz w:val="24"/>
          <w:highlight w:val="none"/>
        </w:rPr>
        <w:t>附表2：</w:t>
      </w:r>
    </w:p>
    <w:p w14:paraId="3CBBA391">
      <w:pPr>
        <w:keepNext w:val="0"/>
        <w:keepLines w:val="0"/>
        <w:pageBreakBefore w:val="0"/>
        <w:widowControl w:val="0"/>
        <w:wordWrap/>
        <w:topLinePunct w:val="0"/>
        <w:bidi w:val="0"/>
        <w:spacing w:line="460" w:lineRule="exact"/>
        <w:jc w:val="center"/>
        <w:rPr>
          <w:rFonts w:eastAsia="隶书"/>
          <w:color w:val="auto"/>
          <w:kern w:val="0"/>
          <w:sz w:val="44"/>
          <w:highlight w:val="none"/>
        </w:rPr>
      </w:pPr>
    </w:p>
    <w:p w14:paraId="20269168">
      <w:pPr>
        <w:keepNext w:val="0"/>
        <w:keepLines w:val="0"/>
        <w:pageBreakBefore w:val="0"/>
        <w:widowControl w:val="0"/>
        <w:wordWrap/>
        <w:topLinePunct w:val="0"/>
        <w:bidi w:val="0"/>
        <w:spacing w:line="460" w:lineRule="exact"/>
        <w:jc w:val="center"/>
        <w:rPr>
          <w:rFonts w:eastAsia="隶书"/>
          <w:color w:val="auto"/>
          <w:kern w:val="0"/>
          <w:sz w:val="44"/>
          <w:highlight w:val="none"/>
        </w:rPr>
      </w:pPr>
      <w:r>
        <w:rPr>
          <w:rFonts w:hint="eastAsia" w:eastAsia="隶书"/>
          <w:color w:val="auto"/>
          <w:kern w:val="0"/>
          <w:sz w:val="44"/>
          <w:highlight w:val="none"/>
        </w:rPr>
        <w:t>投诉书（格式）</w:t>
      </w:r>
    </w:p>
    <w:p w14:paraId="288B4FB8">
      <w:pPr>
        <w:keepNext w:val="0"/>
        <w:keepLines w:val="0"/>
        <w:pageBreakBefore w:val="0"/>
        <w:widowControl w:val="0"/>
        <w:wordWrap/>
        <w:topLinePunct w:val="0"/>
        <w:bidi w:val="0"/>
        <w:snapToGrid w:val="0"/>
        <w:spacing w:line="40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一、投诉相关主体基本情况：</w:t>
      </w:r>
    </w:p>
    <w:p w14:paraId="3F864489">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供应商：</w:t>
      </w:r>
    </w:p>
    <w:p w14:paraId="7ED56497">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51CED3AE">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法定代表人/主要负责人：</w:t>
      </w:r>
    </w:p>
    <w:p w14:paraId="66A894E1">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联系电话：</w:t>
      </w:r>
    </w:p>
    <w:p w14:paraId="32BE8261">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授权代表：联系电话：</w:t>
      </w:r>
    </w:p>
    <w:p w14:paraId="1984731B">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77884CA4">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被投诉人1：</w:t>
      </w:r>
    </w:p>
    <w:p w14:paraId="456ECE31">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6880FC1E">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联系人：联系电话：</w:t>
      </w:r>
    </w:p>
    <w:p w14:paraId="529EC779">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被投诉人2：</w:t>
      </w:r>
    </w:p>
    <w:p w14:paraId="0A12D05F">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w:t>
      </w:r>
    </w:p>
    <w:p w14:paraId="3A14C262">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相关供应商：</w:t>
      </w:r>
    </w:p>
    <w:p w14:paraId="634D27DC">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地址：邮编：</w:t>
      </w:r>
    </w:p>
    <w:p w14:paraId="334F909E">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联系人：联系电话：</w:t>
      </w:r>
    </w:p>
    <w:p w14:paraId="722D5342">
      <w:pPr>
        <w:keepNext w:val="0"/>
        <w:keepLines w:val="0"/>
        <w:pageBreakBefore w:val="0"/>
        <w:widowControl w:val="0"/>
        <w:wordWrap/>
        <w:topLinePunct w:val="0"/>
        <w:bidi w:val="0"/>
        <w:snapToGrid w:val="0"/>
        <w:spacing w:line="40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二、投诉项目基本情况：</w:t>
      </w:r>
    </w:p>
    <w:p w14:paraId="55F86DAD">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采购</w:t>
      </w:r>
      <w:r>
        <w:rPr>
          <w:rFonts w:hint="eastAsia" w:ascii="宋体" w:hAnsi="宋体" w:eastAsia="宋体" w:cs="宋体"/>
          <w:color w:val="auto"/>
          <w:kern w:val="0"/>
          <w:szCs w:val="21"/>
          <w:highlight w:val="none"/>
        </w:rPr>
        <w:t>项目的名称：</w:t>
      </w:r>
    </w:p>
    <w:p w14:paraId="29240A71">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采购</w:t>
      </w:r>
      <w:r>
        <w:rPr>
          <w:rFonts w:hint="eastAsia" w:ascii="宋体" w:hAnsi="宋体" w:eastAsia="宋体" w:cs="宋体"/>
          <w:color w:val="auto"/>
          <w:kern w:val="0"/>
          <w:szCs w:val="21"/>
          <w:highlight w:val="none"/>
        </w:rPr>
        <w:t>项目的编号：</w:t>
      </w:r>
    </w:p>
    <w:p w14:paraId="7F5A638E">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color w:val="auto"/>
          <w:kern w:val="0"/>
          <w:szCs w:val="21"/>
          <w:highlight w:val="none"/>
        </w:rPr>
        <w:t>采购人名称：</w:t>
      </w:r>
    </w:p>
    <w:p w14:paraId="660843BF">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color w:val="auto"/>
          <w:kern w:val="0"/>
          <w:szCs w:val="21"/>
          <w:highlight w:val="none"/>
        </w:rPr>
        <w:t>代理机构名称：</w:t>
      </w:r>
    </w:p>
    <w:p w14:paraId="0902264E">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采购文件公告：</w:t>
      </w:r>
      <w:r>
        <w:rPr>
          <w:rFonts w:hint="eastAsia" w:ascii="宋体" w:hAnsi="宋体" w:eastAsia="宋体" w:cs="宋体"/>
          <w:bCs/>
          <w:color w:val="auto"/>
          <w:kern w:val="0"/>
          <w:highlight w:val="none"/>
          <w:u w:val="single"/>
        </w:rPr>
        <w:t>是/否</w:t>
      </w:r>
      <w:r>
        <w:rPr>
          <w:rFonts w:hint="eastAsia" w:ascii="宋体" w:hAnsi="宋体" w:eastAsia="宋体" w:cs="宋体"/>
          <w:bCs/>
          <w:color w:val="auto"/>
          <w:kern w:val="0"/>
          <w:highlight w:val="none"/>
        </w:rPr>
        <w:t>公告期限：</w:t>
      </w:r>
    </w:p>
    <w:p w14:paraId="61F3927A">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
          <w:color w:val="auto"/>
          <w:kern w:val="0"/>
          <w:szCs w:val="21"/>
          <w:highlight w:val="none"/>
        </w:rPr>
      </w:pPr>
      <w:r>
        <w:rPr>
          <w:rFonts w:hint="eastAsia" w:ascii="宋体" w:hAnsi="宋体" w:eastAsia="宋体" w:cs="宋体"/>
          <w:bCs/>
          <w:color w:val="auto"/>
          <w:kern w:val="0"/>
          <w:highlight w:val="none"/>
        </w:rPr>
        <w:t>采购结果公告：</w:t>
      </w:r>
      <w:r>
        <w:rPr>
          <w:rFonts w:hint="eastAsia" w:ascii="宋体" w:hAnsi="宋体" w:eastAsia="宋体" w:cs="宋体"/>
          <w:bCs/>
          <w:color w:val="auto"/>
          <w:kern w:val="0"/>
          <w:highlight w:val="none"/>
          <w:u w:val="single"/>
        </w:rPr>
        <w:t>是/否</w:t>
      </w:r>
      <w:r>
        <w:rPr>
          <w:rFonts w:hint="eastAsia" w:ascii="宋体" w:hAnsi="宋体" w:eastAsia="宋体" w:cs="宋体"/>
          <w:bCs/>
          <w:color w:val="auto"/>
          <w:kern w:val="0"/>
          <w:highlight w:val="none"/>
        </w:rPr>
        <w:t>公告期限：</w:t>
      </w:r>
    </w:p>
    <w:p w14:paraId="75A94B8D">
      <w:pPr>
        <w:keepNext w:val="0"/>
        <w:keepLines w:val="0"/>
        <w:pageBreakBefore w:val="0"/>
        <w:widowControl w:val="0"/>
        <w:wordWrap/>
        <w:topLinePunct w:val="0"/>
        <w:bidi w:val="0"/>
        <w:spacing w:line="40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三、质疑基本情况</w:t>
      </w:r>
    </w:p>
    <w:p w14:paraId="0DA2CF96">
      <w:pPr>
        <w:keepNext w:val="0"/>
        <w:keepLines w:val="0"/>
        <w:pageBreakBefore w:val="0"/>
        <w:widowControl w:val="0"/>
        <w:wordWrap/>
        <w:topLinePunct w:val="0"/>
        <w:bidi w:val="0"/>
        <w:spacing w:line="400" w:lineRule="exact"/>
        <w:ind w:left="25" w:leftChars="12" w:firstLine="833" w:firstLineChars="3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投诉人于年月日，向提出质疑，质疑事项为：</w:t>
      </w:r>
    </w:p>
    <w:p w14:paraId="68AAE22E">
      <w:pPr>
        <w:keepNext w:val="0"/>
        <w:keepLines w:val="0"/>
        <w:pageBreakBefore w:val="0"/>
        <w:widowControl w:val="0"/>
        <w:wordWrap/>
        <w:topLinePunct w:val="0"/>
        <w:bidi w:val="0"/>
        <w:spacing w:line="400" w:lineRule="exact"/>
        <w:rPr>
          <w:rFonts w:hint="eastAsia" w:ascii="宋体" w:hAnsi="宋体" w:eastAsia="宋体" w:cs="宋体"/>
          <w:bCs/>
          <w:color w:val="auto"/>
          <w:kern w:val="0"/>
          <w:highlight w:val="none"/>
          <w:u w:val="single"/>
        </w:rPr>
      </w:pPr>
    </w:p>
    <w:p w14:paraId="68C6BAA1">
      <w:pPr>
        <w:keepNext w:val="0"/>
        <w:keepLines w:val="0"/>
        <w:pageBreakBefore w:val="0"/>
        <w:widowControl w:val="0"/>
        <w:wordWrap/>
        <w:topLinePunct w:val="0"/>
        <w:bidi w:val="0"/>
        <w:spacing w:line="400" w:lineRule="exact"/>
        <w:rPr>
          <w:rFonts w:hint="eastAsia" w:ascii="宋体" w:hAnsi="宋体" w:eastAsia="宋体" w:cs="宋体"/>
          <w:bCs/>
          <w:color w:val="auto"/>
          <w:kern w:val="0"/>
          <w:highlight w:val="none"/>
          <w:u w:val="single"/>
        </w:rPr>
      </w:pPr>
    </w:p>
    <w:p w14:paraId="2FD9859D">
      <w:pPr>
        <w:keepNext w:val="0"/>
        <w:keepLines w:val="0"/>
        <w:pageBreakBefore w:val="0"/>
        <w:widowControl w:val="0"/>
        <w:wordWrap/>
        <w:topLinePunct w:val="0"/>
        <w:bidi w:val="0"/>
        <w:spacing w:line="400" w:lineRule="exact"/>
        <w:ind w:firstLine="210" w:firstLineChars="100"/>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u w:val="single"/>
        </w:rPr>
        <w:t>采购人/代理机构</w:t>
      </w:r>
      <w:r>
        <w:rPr>
          <w:rFonts w:hint="eastAsia" w:ascii="宋体" w:hAnsi="宋体" w:eastAsia="宋体" w:cs="宋体"/>
          <w:bCs/>
          <w:color w:val="auto"/>
          <w:kern w:val="0"/>
          <w:highlight w:val="none"/>
        </w:rPr>
        <w:t>于</w:t>
      </w:r>
      <w:r>
        <w:rPr>
          <w:rFonts w:hint="eastAsia" w:ascii="宋体" w:hAnsi="宋体" w:eastAsia="宋体" w:cs="宋体"/>
          <w:color w:val="auto"/>
          <w:kern w:val="0"/>
          <w:szCs w:val="21"/>
          <w:highlight w:val="none"/>
        </w:rPr>
        <w:t>年月日，</w:t>
      </w:r>
      <w:r>
        <w:rPr>
          <w:rFonts w:hint="eastAsia" w:ascii="宋体" w:hAnsi="宋体" w:eastAsia="宋体" w:cs="宋体"/>
          <w:bCs/>
          <w:color w:val="auto"/>
          <w:kern w:val="0"/>
          <w:highlight w:val="none"/>
        </w:rPr>
        <w:t xml:space="preserve">就质疑事项作出了答复/没有在法定期限内作出答复。                                                                                             </w:t>
      </w:r>
    </w:p>
    <w:p w14:paraId="4422D385">
      <w:pPr>
        <w:keepNext w:val="0"/>
        <w:keepLines w:val="0"/>
        <w:pageBreakBefore w:val="0"/>
        <w:widowControl w:val="0"/>
        <w:wordWrap/>
        <w:topLinePunct w:val="0"/>
        <w:bidi w:val="0"/>
        <w:spacing w:line="40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四、投诉事项具体内容</w:t>
      </w:r>
    </w:p>
    <w:p w14:paraId="5AB6ACF2">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color w:val="auto"/>
          <w:kern w:val="0"/>
          <w:szCs w:val="21"/>
          <w:highlight w:val="none"/>
        </w:rPr>
        <w:t>投诉事项1：</w:t>
      </w:r>
    </w:p>
    <w:p w14:paraId="407F92EA">
      <w:pPr>
        <w:keepNext w:val="0"/>
        <w:keepLines w:val="0"/>
        <w:pageBreakBefore w:val="0"/>
        <w:widowControl w:val="0"/>
        <w:wordWrap/>
        <w:topLinePunct w:val="0"/>
        <w:bidi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事实依据：</w:t>
      </w:r>
    </w:p>
    <w:p w14:paraId="15CBA066">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p>
    <w:p w14:paraId="24828164">
      <w:pPr>
        <w:keepNext w:val="0"/>
        <w:keepLines w:val="0"/>
        <w:pageBreakBefore w:val="0"/>
        <w:widowControl w:val="0"/>
        <w:wordWrap/>
        <w:topLinePunct w:val="0"/>
        <w:bidi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法律依据：</w:t>
      </w:r>
    </w:p>
    <w:p w14:paraId="4196F373">
      <w:pPr>
        <w:keepNext w:val="0"/>
        <w:keepLines w:val="0"/>
        <w:pageBreakBefore w:val="0"/>
        <w:widowControl w:val="0"/>
        <w:wordWrap/>
        <w:topLinePunct w:val="0"/>
        <w:bidi w:val="0"/>
        <w:spacing w:line="400" w:lineRule="exact"/>
        <w:ind w:left="25" w:leftChars="12" w:firstLine="308" w:firstLineChars="147"/>
        <w:rPr>
          <w:rFonts w:hint="eastAsia" w:ascii="宋体" w:hAnsi="宋体" w:eastAsia="宋体" w:cs="宋体"/>
          <w:bCs/>
          <w:color w:val="auto"/>
          <w:kern w:val="0"/>
          <w:highlight w:val="none"/>
          <w:u w:val="single"/>
        </w:rPr>
      </w:pPr>
    </w:p>
    <w:p w14:paraId="3A176C5D">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rPr>
      </w:pPr>
      <w:r>
        <w:rPr>
          <w:rFonts w:hint="eastAsia" w:ascii="宋体" w:hAnsi="宋体" w:eastAsia="宋体" w:cs="宋体"/>
          <w:color w:val="auto"/>
          <w:kern w:val="0"/>
          <w:szCs w:val="21"/>
          <w:highlight w:val="none"/>
        </w:rPr>
        <w:t xml:space="preserve">投诉事项2  </w:t>
      </w:r>
    </w:p>
    <w:p w14:paraId="3B8D039F">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w:t>
      </w:r>
    </w:p>
    <w:p w14:paraId="59407BA0">
      <w:pPr>
        <w:keepNext w:val="0"/>
        <w:keepLines w:val="0"/>
        <w:pageBreakBefore w:val="0"/>
        <w:widowControl w:val="0"/>
        <w:wordWrap/>
        <w:topLinePunct w:val="0"/>
        <w:bidi w:val="0"/>
        <w:spacing w:line="40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五、与投诉事项相关的投诉请求：</w:t>
      </w:r>
    </w:p>
    <w:p w14:paraId="340BF565">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p>
    <w:p w14:paraId="1A3E5BD9">
      <w:pPr>
        <w:keepNext w:val="0"/>
        <w:keepLines w:val="0"/>
        <w:pageBreakBefore w:val="0"/>
        <w:widowControl w:val="0"/>
        <w:wordWrap/>
        <w:topLinePunct w:val="0"/>
        <w:bidi w:val="0"/>
        <w:spacing w:line="400" w:lineRule="exact"/>
        <w:ind w:left="25" w:leftChars="12" w:firstLine="308" w:firstLineChars="147"/>
        <w:rPr>
          <w:rFonts w:hint="eastAsia" w:ascii="宋体" w:hAnsi="宋体" w:eastAsia="宋体" w:cs="宋体"/>
          <w:color w:val="auto"/>
          <w:kern w:val="0"/>
          <w:szCs w:val="21"/>
          <w:highlight w:val="none"/>
        </w:rPr>
      </w:pPr>
    </w:p>
    <w:p w14:paraId="4F58EA92">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63814ED5">
      <w:pPr>
        <w:keepNext w:val="0"/>
        <w:keepLines w:val="0"/>
        <w:pageBreakBefore w:val="0"/>
        <w:widowControl w:val="0"/>
        <w:wordWrap/>
        <w:topLinePunct w:val="0"/>
        <w:bidi w:val="0"/>
        <w:spacing w:line="400" w:lineRule="exact"/>
        <w:ind w:left="25" w:leftChars="12" w:firstLine="308" w:firstLineChars="147"/>
        <w:rPr>
          <w:rFonts w:hint="eastAsia" w:ascii="宋体" w:hAnsi="宋体" w:eastAsia="宋体" w:cs="宋体"/>
          <w:color w:val="auto"/>
          <w:kern w:val="0"/>
          <w:szCs w:val="21"/>
          <w:highlight w:val="none"/>
        </w:rPr>
      </w:pPr>
    </w:p>
    <w:p w14:paraId="72EB8233">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日期：</w:t>
      </w:r>
    </w:p>
    <w:p w14:paraId="382BC56B">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p>
    <w:p w14:paraId="737046DA">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p>
    <w:p w14:paraId="11C22716">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8158299">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bCs/>
          <w:color w:val="auto"/>
          <w:kern w:val="0"/>
          <w:highlight w:val="none"/>
        </w:rPr>
      </w:pPr>
      <w:r>
        <w:rPr>
          <w:rFonts w:hint="eastAsia" w:ascii="宋体" w:hAnsi="宋体" w:eastAsia="宋体" w:cs="宋体"/>
          <w:b/>
          <w:color w:val="auto"/>
          <w:kern w:val="0"/>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highlight w:val="none"/>
        </w:rPr>
        <w:t>。</w:t>
      </w:r>
    </w:p>
    <w:p w14:paraId="213347C1">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3F71363">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3.投诉书应简要列明质疑事项，质疑函、质疑答复等作为附件材料提供。</w:t>
      </w:r>
    </w:p>
    <w:p w14:paraId="20E5B04A">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4.投诉书的投诉事项应具体、明确，并有必要的事实依据和法律依据。</w:t>
      </w:r>
    </w:p>
    <w:p w14:paraId="3BE190D3">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5.投诉书的投诉请求应与投诉事项相关。</w:t>
      </w:r>
    </w:p>
    <w:p w14:paraId="4F751CDF">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6.</w:t>
      </w:r>
      <w:r>
        <w:rPr>
          <w:rFonts w:hint="eastAsia" w:ascii="宋体" w:hAnsi="宋体" w:eastAsia="宋体" w:cs="宋体"/>
          <w:b/>
          <w:color w:val="auto"/>
          <w:szCs w:val="21"/>
          <w:highlight w:val="none"/>
        </w:rPr>
        <w:t>投诉人为法人或者其他组织的，投诉书应由法定代表人、主要负责人，或者其授权代表签字或者盖章，并加盖公章。</w:t>
      </w:r>
    </w:p>
    <w:p w14:paraId="11F9DCB9">
      <w:pPr>
        <w:keepNext w:val="0"/>
        <w:keepLines w:val="0"/>
        <w:pageBreakBefore w:val="0"/>
        <w:widowControl w:val="0"/>
        <w:wordWrap/>
        <w:topLinePunct w:val="0"/>
        <w:bidi w:val="0"/>
        <w:spacing w:line="340" w:lineRule="exact"/>
        <w:ind w:left="25" w:leftChars="12" w:firstLine="310" w:firstLineChars="147"/>
        <w:rPr>
          <w:rFonts w:hAnsi="宋体"/>
          <w:b/>
          <w:color w:val="auto"/>
          <w:kern w:val="0"/>
          <w:szCs w:val="21"/>
          <w:highlight w:val="none"/>
        </w:rPr>
      </w:pPr>
    </w:p>
    <w:p w14:paraId="3F29D063">
      <w:pPr>
        <w:rPr>
          <w:rFonts w:hint="eastAsia"/>
          <w:color w:val="auto"/>
          <w:sz w:val="32"/>
          <w:szCs w:val="32"/>
          <w:highlight w:val="none"/>
        </w:rPr>
      </w:pPr>
      <w:bookmarkStart w:id="139" w:name="_Toc28939"/>
      <w:bookmarkStart w:id="140" w:name="_Toc2989"/>
      <w:r>
        <w:rPr>
          <w:rFonts w:hint="eastAsia"/>
          <w:color w:val="auto"/>
          <w:sz w:val="32"/>
          <w:szCs w:val="32"/>
          <w:highlight w:val="none"/>
        </w:rPr>
        <w:br w:type="page"/>
      </w:r>
    </w:p>
    <w:p w14:paraId="337369E0">
      <w:pPr>
        <w:pStyle w:val="2"/>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0"/>
        <w:rPr>
          <w:rFonts w:hint="eastAsia" w:eastAsia="宋体"/>
          <w:color w:val="auto"/>
          <w:sz w:val="32"/>
          <w:szCs w:val="32"/>
          <w:highlight w:val="none"/>
          <w:lang w:eastAsia="zh-CN"/>
        </w:rPr>
      </w:pPr>
      <w:bookmarkStart w:id="141" w:name="_Toc5924"/>
      <w:r>
        <w:rPr>
          <w:rFonts w:hint="eastAsia"/>
          <w:color w:val="auto"/>
          <w:sz w:val="32"/>
          <w:szCs w:val="32"/>
          <w:highlight w:val="none"/>
        </w:rPr>
        <w:t xml:space="preserve">第三章 </w:t>
      </w:r>
      <w:r>
        <w:rPr>
          <w:rFonts w:hint="eastAsia"/>
          <w:color w:val="auto"/>
          <w:sz w:val="32"/>
          <w:szCs w:val="32"/>
          <w:highlight w:val="none"/>
          <w:lang w:eastAsia="zh-CN"/>
        </w:rPr>
        <w:t>工程量清单</w:t>
      </w:r>
      <w:bookmarkEnd w:id="139"/>
      <w:bookmarkEnd w:id="141"/>
    </w:p>
    <w:p w14:paraId="7432A8C5">
      <w:pPr>
        <w:pStyle w:val="12"/>
        <w:keepNext w:val="0"/>
        <w:keepLines w:val="0"/>
        <w:pageBreakBefore w:val="0"/>
        <w:widowControl w:val="0"/>
        <w:wordWrap/>
        <w:topLinePunct w:val="0"/>
        <w:bidi w:val="0"/>
        <w:spacing w:line="400" w:lineRule="exact"/>
        <w:rPr>
          <w:rFonts w:hint="eastAsia" w:hAnsi="宋体" w:cs="宋体"/>
          <w:color w:val="auto"/>
          <w:kern w:val="21"/>
          <w:highlight w:val="none"/>
        </w:rPr>
      </w:pPr>
      <w:bookmarkStart w:id="142" w:name="_Toc164138057"/>
      <w:bookmarkStart w:id="143" w:name="_Toc160609998"/>
      <w:bookmarkStart w:id="144" w:name="_Toc194308407"/>
      <w:r>
        <w:rPr>
          <w:rFonts w:hint="eastAsia" w:hAnsi="宋体" w:cs="宋体"/>
          <w:b/>
          <w:color w:val="auto"/>
          <w:sz w:val="24"/>
          <w:szCs w:val="24"/>
          <w:highlight w:val="none"/>
        </w:rPr>
        <w:t>一、工程量清单说明</w:t>
      </w:r>
      <w:bookmarkEnd w:id="142"/>
      <w:bookmarkEnd w:id="143"/>
      <w:r>
        <w:rPr>
          <w:rFonts w:hint="eastAsia" w:hAnsi="宋体" w:cs="宋体"/>
          <w:color w:val="auto"/>
          <w:kern w:val="21"/>
          <w:sz w:val="32"/>
          <w:szCs w:val="32"/>
          <w:highlight w:val="none"/>
        </w:rPr>
        <w:t>：</w:t>
      </w:r>
      <w:bookmarkEnd w:id="144"/>
      <w:r>
        <w:rPr>
          <w:rFonts w:hint="eastAsia" w:hAnsi="宋体" w:cs="宋体"/>
          <w:color w:val="auto"/>
          <w:kern w:val="21"/>
          <w:highlight w:val="none"/>
        </w:rPr>
        <w:t xml:space="preserve"> </w:t>
      </w:r>
    </w:p>
    <w:p w14:paraId="1ABE2EF0">
      <w:pPr>
        <w:keepNext w:val="0"/>
        <w:keepLines w:val="0"/>
        <w:pageBreakBefore w:val="0"/>
        <w:widowControl w:val="0"/>
        <w:tabs>
          <w:tab w:val="left" w:pos="210"/>
        </w:tabs>
        <w:wordWrap/>
        <w:topLinePunct w:val="0"/>
        <w:bidi w:val="0"/>
        <w:spacing w:line="360" w:lineRule="exact"/>
        <w:ind w:left="420"/>
        <w:rPr>
          <w:rFonts w:hint="eastAsia" w:ascii="宋体" w:hAnsi="宋体" w:cs="宋体"/>
          <w:color w:val="auto"/>
          <w:szCs w:val="21"/>
          <w:highlight w:val="none"/>
          <w:lang w:eastAsia="zh-CN"/>
        </w:rPr>
      </w:pPr>
      <w:r>
        <w:rPr>
          <w:rFonts w:hint="eastAsia" w:hAnsi="宋体" w:cs="宋体"/>
          <w:color w:val="auto"/>
          <w:kern w:val="21"/>
          <w:highlight w:val="none"/>
          <w:lang w:eastAsia="zh-CN"/>
        </w:rPr>
        <w:t xml:space="preserve">  </w:t>
      </w:r>
      <w:r>
        <w:rPr>
          <w:rFonts w:hint="eastAsia" w:ascii="宋体" w:hAnsi="宋体" w:cs="宋体"/>
          <w:color w:val="auto"/>
          <w:szCs w:val="21"/>
          <w:highlight w:val="none"/>
          <w:lang w:eastAsia="zh-CN"/>
        </w:rPr>
        <w:t>1、工程概况：</w:t>
      </w:r>
    </w:p>
    <w:p w14:paraId="53060176">
      <w:pPr>
        <w:keepNext w:val="0"/>
        <w:keepLines w:val="0"/>
        <w:pageBreakBefore w:val="0"/>
        <w:widowControl w:val="0"/>
        <w:tabs>
          <w:tab w:val="left" w:pos="210"/>
        </w:tabs>
        <w:wordWrap/>
        <w:topLinePunct w:val="0"/>
        <w:bidi w:val="0"/>
        <w:spacing w:line="360" w:lineRule="exact"/>
        <w:ind w:left="840" w:leftChars="0" w:firstLine="0" w:firstLineChars="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工程名称：灌阳县公安局西山派出所改造提升项目；</w:t>
      </w:r>
    </w:p>
    <w:p w14:paraId="49FAE20B">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eastAsia="zh-CN"/>
        </w:rPr>
        <w:t>本工程主要</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lang w:eastAsia="zh-CN"/>
        </w:rPr>
        <w:t>为：项目位于广西桂林市灌阳县，其中备勤楼改造提升总面积为468.26平方米（其中扩建面积为251.87平方米）；业务用房改造提升总面积为362.34平方米（其中扩建面积为120.78平方米）；本项目改造内容：拆除原有建筑新建食堂用房；既有备勤楼进行改造,内容包括:外立面基层涂料修补,规划空调外机,内装墙面、顶棚翻新,门窗、水电管网更新；既有业务用房进行改造,内容包括:外立面基层涂料修补,规划空调外机,内装墙面、顶棚,门窗、水电管网更新；既有2层业务用房加建1层办公用房。具体详见施工图纸及工程量清单。</w:t>
      </w:r>
    </w:p>
    <w:p w14:paraId="0A27DD50">
      <w:pPr>
        <w:keepNext w:val="0"/>
        <w:keepLines w:val="0"/>
        <w:pageBreakBefore w:val="0"/>
        <w:widowControl w:val="0"/>
        <w:tabs>
          <w:tab w:val="left" w:pos="210"/>
        </w:tabs>
        <w:wordWrap/>
        <w:topLinePunct w:val="0"/>
        <w:bidi w:val="0"/>
        <w:spacing w:line="360" w:lineRule="exact"/>
        <w:ind w:left="42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 </w:t>
      </w:r>
      <w:r>
        <w:rPr>
          <w:rFonts w:hint="eastAsia" w:ascii="宋体" w:hAnsi="宋体" w:cs="宋体"/>
          <w:color w:val="auto"/>
          <w:szCs w:val="21"/>
          <w:highlight w:val="none"/>
          <w:lang w:eastAsia="zh-CN"/>
        </w:rPr>
        <w:t xml:space="preserve">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、编制依据：</w:t>
      </w:r>
    </w:p>
    <w:p w14:paraId="6BB4E276">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1）建设单位提供的《灌阳县公安局西山</w:t>
      </w:r>
      <w:bookmarkStart w:id="1995" w:name="_GoBack"/>
      <w:bookmarkEnd w:id="1995"/>
      <w:r>
        <w:rPr>
          <w:rFonts w:hint="eastAsia" w:ascii="宋体" w:hAnsi="宋体" w:cs="宋体"/>
          <w:color w:val="auto"/>
          <w:szCs w:val="21"/>
          <w:highlight w:val="none"/>
          <w:lang w:val="en-US" w:eastAsia="zh-CN"/>
        </w:rPr>
        <w:t>派出所改造提升项目》预算图纸；</w:t>
      </w:r>
      <w:r>
        <w:rPr>
          <w:rFonts w:hint="eastAsia" w:ascii="宋体" w:hAnsi="宋体" w:cs="宋体"/>
          <w:color w:val="auto"/>
          <w:szCs w:val="21"/>
          <w:highlight w:val="none"/>
          <w:lang w:val="en-US" w:eastAsia="zh-CN"/>
        </w:rPr>
        <w:tab/>
      </w:r>
    </w:p>
    <w:p w14:paraId="14B20C5C">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2）（GB50500-2013）《建设工程工程量清单计价规范》广西壮族自治区实施细则 ；</w:t>
      </w:r>
      <w:r>
        <w:rPr>
          <w:rFonts w:hint="eastAsia" w:ascii="宋体" w:hAnsi="宋体" w:cs="宋体"/>
          <w:color w:val="auto"/>
          <w:szCs w:val="21"/>
          <w:highlight w:val="none"/>
          <w:lang w:val="en-US" w:eastAsia="zh-CN"/>
        </w:rPr>
        <w:tab/>
      </w:r>
    </w:p>
    <w:p w14:paraId="180C2207">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3）（GB50854~50862-2013）《建设工程工程量计算规范广西壮族自治区实施细则(修订本)》；</w:t>
      </w:r>
      <w:r>
        <w:rPr>
          <w:rFonts w:hint="eastAsia" w:ascii="宋体" w:hAnsi="宋体" w:cs="宋体"/>
          <w:color w:val="auto"/>
          <w:szCs w:val="21"/>
          <w:highlight w:val="none"/>
          <w:lang w:val="en-US" w:eastAsia="zh-CN"/>
        </w:rPr>
        <w:tab/>
      </w:r>
      <w:r>
        <w:rPr>
          <w:rFonts w:hint="eastAsia" w:ascii="宋体" w:hAnsi="宋体" w:cs="宋体"/>
          <w:color w:val="auto"/>
          <w:szCs w:val="21"/>
          <w:highlight w:val="none"/>
          <w:lang w:val="en-US" w:eastAsia="zh-CN"/>
        </w:rPr>
        <w:t>4）《广西壮族自治区建设工程多层级工程量清单计算规范(房屋建筑与装饰工程)》(桂建价(2025)1号)；</w:t>
      </w:r>
      <w:r>
        <w:rPr>
          <w:rFonts w:hint="eastAsia" w:ascii="宋体" w:hAnsi="宋体" w:cs="宋体"/>
          <w:color w:val="auto"/>
          <w:szCs w:val="21"/>
          <w:highlight w:val="none"/>
          <w:lang w:val="en-US" w:eastAsia="zh-CN"/>
        </w:rPr>
        <w:tab/>
      </w:r>
    </w:p>
    <w:p w14:paraId="16E16394">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5）《广西壮族自治区建设工程多层级工程量清单计算规范(通用安装工程)》(桂建价(2025)1号)；</w:t>
      </w:r>
      <w:r>
        <w:rPr>
          <w:rFonts w:hint="eastAsia" w:ascii="宋体" w:hAnsi="宋体" w:cs="宋体"/>
          <w:color w:val="auto"/>
          <w:szCs w:val="21"/>
          <w:highlight w:val="none"/>
          <w:lang w:val="en-US" w:eastAsia="zh-CN"/>
        </w:rPr>
        <w:tab/>
      </w:r>
    </w:p>
    <w:p w14:paraId="6C49D6CF">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6）《广西壮族自治区建设工程预算清单综合单价组价表(房屋建筑与装饰工程）》(桂建价(2025)2号)及市场询价:</w:t>
      </w:r>
      <w:r>
        <w:rPr>
          <w:rFonts w:hint="eastAsia" w:ascii="宋体" w:hAnsi="宋体" w:cs="宋体"/>
          <w:color w:val="auto"/>
          <w:szCs w:val="21"/>
          <w:highlight w:val="none"/>
          <w:lang w:val="en-US" w:eastAsia="zh-CN"/>
        </w:rPr>
        <w:tab/>
      </w:r>
    </w:p>
    <w:p w14:paraId="7A42028E">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7）《广西壮族自治区建设工程预算清单综合单价组价表(通用安装工程)》(桂建价(2025)2号)及市场询价</w:t>
      </w:r>
      <w:r>
        <w:rPr>
          <w:rFonts w:hint="eastAsia" w:ascii="宋体" w:hAnsi="宋体" w:cs="宋体"/>
          <w:color w:val="auto"/>
          <w:szCs w:val="21"/>
          <w:highlight w:val="none"/>
          <w:lang w:val="en-US" w:eastAsia="zh-CN"/>
        </w:rPr>
        <w:tab/>
      </w:r>
    </w:p>
    <w:p w14:paraId="24925839">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8）2024年《广西壮族自治区建筑装饰装修工程消耗量及费用定额》；</w:t>
      </w:r>
      <w:r>
        <w:rPr>
          <w:rFonts w:hint="eastAsia" w:ascii="宋体" w:hAnsi="宋体" w:cs="宋体"/>
          <w:color w:val="auto"/>
          <w:szCs w:val="21"/>
          <w:highlight w:val="none"/>
          <w:lang w:val="en-US" w:eastAsia="zh-CN"/>
        </w:rPr>
        <w:tab/>
      </w:r>
    </w:p>
    <w:p w14:paraId="649F9B62">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9）2023年《广西壮族自治区安装工程消耗量及费用定额》；</w:t>
      </w:r>
      <w:r>
        <w:rPr>
          <w:rFonts w:hint="eastAsia" w:ascii="宋体" w:hAnsi="宋体" w:cs="宋体"/>
          <w:color w:val="auto"/>
          <w:szCs w:val="21"/>
          <w:highlight w:val="none"/>
          <w:lang w:val="en-US" w:eastAsia="zh-CN"/>
        </w:rPr>
        <w:tab/>
      </w:r>
    </w:p>
    <w:p w14:paraId="4A221897">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10）2024年《广西壮族自治区建筑工程拆除消耗量及费用定额》；</w:t>
      </w:r>
      <w:r>
        <w:rPr>
          <w:rFonts w:hint="eastAsia" w:ascii="宋体" w:hAnsi="宋体" w:cs="宋体"/>
          <w:color w:val="auto"/>
          <w:szCs w:val="21"/>
          <w:highlight w:val="none"/>
          <w:lang w:val="en-US" w:eastAsia="zh-CN"/>
        </w:rPr>
        <w:tab/>
      </w:r>
    </w:p>
    <w:p w14:paraId="1656B59B">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11）2013年《广西壮族自治区安装拆除工程消耗量及费用定额》；</w:t>
      </w:r>
      <w:r>
        <w:rPr>
          <w:rFonts w:hint="eastAsia" w:ascii="宋体" w:hAnsi="宋体" w:cs="宋体"/>
          <w:color w:val="auto"/>
          <w:szCs w:val="21"/>
          <w:highlight w:val="none"/>
          <w:lang w:val="en-US" w:eastAsia="zh-CN"/>
        </w:rPr>
        <w:tab/>
      </w:r>
    </w:p>
    <w:p w14:paraId="7BD02772">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12）《关于调整除税价计算适用增值税税率的通知》（桂造价【2019】10号）；</w:t>
      </w:r>
      <w:r>
        <w:rPr>
          <w:rFonts w:hint="eastAsia" w:ascii="宋体" w:hAnsi="宋体" w:cs="宋体"/>
          <w:color w:val="auto"/>
          <w:szCs w:val="21"/>
          <w:highlight w:val="none"/>
          <w:lang w:val="en-US" w:eastAsia="zh-CN"/>
        </w:rPr>
        <w:tab/>
      </w:r>
    </w:p>
    <w:p w14:paraId="0692806D">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13）《自治区住房城乡建设厅关于调整建设工程定额人工费及有关费率的通知》（桂建标【2023】7号）；</w:t>
      </w:r>
      <w:r>
        <w:rPr>
          <w:rFonts w:hint="eastAsia" w:ascii="宋体" w:hAnsi="宋体" w:cs="宋体"/>
          <w:color w:val="auto"/>
          <w:szCs w:val="21"/>
          <w:highlight w:val="none"/>
          <w:lang w:val="en-US" w:eastAsia="zh-CN"/>
        </w:rPr>
        <w:tab/>
      </w:r>
    </w:p>
    <w:p w14:paraId="02EC8C32">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14）桂建价【2024】2号《广西壮族自治区房屋建筑和市政基础设施工程安全生产责任保险费计价规定的通知》。</w:t>
      </w:r>
      <w:r>
        <w:rPr>
          <w:rFonts w:hint="eastAsia" w:ascii="宋体" w:hAnsi="宋体" w:cs="宋体"/>
          <w:color w:val="auto"/>
          <w:szCs w:val="21"/>
          <w:highlight w:val="none"/>
          <w:lang w:val="en-US" w:eastAsia="zh-CN"/>
        </w:rPr>
        <w:tab/>
      </w:r>
    </w:p>
    <w:p w14:paraId="30B518A4">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15）材料价格按2026年第6期《桂林市建设工程造价信息》桂林市信息价计取，桂林市灌阳县信息价没有的材料价格按同期桂林市信息价和其他市的信息价或者市场询价计取。</w:t>
      </w:r>
      <w:r>
        <w:rPr>
          <w:rFonts w:hint="eastAsia" w:ascii="宋体" w:hAnsi="宋体" w:cs="宋体"/>
          <w:color w:val="auto"/>
          <w:szCs w:val="21"/>
          <w:highlight w:val="none"/>
          <w:lang w:val="en-US" w:eastAsia="zh-CN"/>
        </w:rPr>
        <w:tab/>
      </w:r>
    </w:p>
    <w:p w14:paraId="60D70F74">
      <w:pPr>
        <w:pStyle w:val="12"/>
        <w:keepNext w:val="0"/>
        <w:keepLines w:val="0"/>
        <w:pageBreakBefore w:val="0"/>
        <w:widowControl w:val="0"/>
        <w:wordWrap/>
        <w:topLinePunct w:val="0"/>
        <w:bidi w:val="0"/>
        <w:spacing w:line="400" w:lineRule="exact"/>
        <w:rPr>
          <w:rFonts w:hint="eastAsia" w:hAnsi="宋体" w:cs="宋体"/>
          <w:b/>
          <w:color w:val="auto"/>
          <w:sz w:val="24"/>
          <w:szCs w:val="24"/>
          <w:highlight w:val="none"/>
        </w:rPr>
      </w:pPr>
      <w:r>
        <w:rPr>
          <w:rFonts w:hint="eastAsia" w:hAnsi="宋体" w:cs="宋体"/>
          <w:b/>
          <w:color w:val="auto"/>
          <w:sz w:val="24"/>
          <w:szCs w:val="24"/>
          <w:highlight w:val="none"/>
          <w:lang w:val="en-US" w:eastAsia="zh-CN"/>
        </w:rPr>
        <w:t>二</w:t>
      </w:r>
      <w:r>
        <w:rPr>
          <w:rFonts w:hint="eastAsia" w:hAnsi="宋体" w:cs="宋体"/>
          <w:b/>
          <w:color w:val="auto"/>
          <w:sz w:val="24"/>
          <w:szCs w:val="24"/>
          <w:highlight w:val="none"/>
        </w:rPr>
        <w:t>、</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报价说明</w:t>
      </w:r>
    </w:p>
    <w:p w14:paraId="17954399">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1、有价标的工程量清单中的每一细目须填入单价和合价，且只允许有一个报价。供应商没有填写单价和合价的细目，其费用应视为已分配在相关工程细目的单价与合价之中。</w:t>
      </w:r>
    </w:p>
    <w:p w14:paraId="70AFD1EB">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2、工程量清单中的任何算术性错误，磋商小组将按下述原则予以调整。</w:t>
      </w:r>
    </w:p>
    <w:p w14:paraId="091BFFEE">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（1）如果用数字表示的数额与用文字表示的数额不一致时，以文字数额为准。</w:t>
      </w:r>
    </w:p>
    <w:p w14:paraId="4F3B05AA">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（2）当单价与数量的乘积与总额之间不一致时，通常以标出的单价为准，除非磋商小组认为有明显的小数点出错，此时应以标出的总额为准，并修改单价。</w:t>
      </w:r>
    </w:p>
    <w:p w14:paraId="530635BC">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3、供应商在进行工程量清单报价时，应按照采购人（采购代理机构）提供的工程量清单进行报价。</w:t>
      </w:r>
    </w:p>
    <w:p w14:paraId="7755B6B4">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已标价工程量清单中项目编码、项目名称、项目特征、计量单位、工程量必须与招标工程量清单一致，供应商不得对招标工程量清单项目进行增减调整，否则响应文件无效。</w:t>
      </w:r>
    </w:p>
    <w:p w14:paraId="1B4086CF">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4、供应商应认真对照施工设计图纸等文件核对采购人颁布的工程预算控制价，发现工程预算控制价中计算存在明显误差或有遗漏的，必须在响应文件递交截止时间 2 天前向采购人（采购代理机构）提出书面异议或修正要求。</w:t>
      </w:r>
    </w:p>
    <w:p w14:paraId="17C11C5A">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5、供应商应对磋商文件中工程量清单所列的各项内容和要求作实质性响应，报价不得低于企业成本。</w:t>
      </w:r>
    </w:p>
    <w:p w14:paraId="61C31FA9">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6、供应商应采用综合单价进行工程量清单报价，不得采用总价让利或以百分比让利等形式进行报价。</w:t>
      </w:r>
    </w:p>
    <w:p w14:paraId="1C64EB81">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7、暂列金额的数量及拟用子目的说明（如有）：应按采购人在其他项目清单中列出的金额填写，不得变动。</w:t>
      </w:r>
    </w:p>
    <w:p w14:paraId="43305CD0">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8、暂估价的数量及拟用子目的说明（如有）：材料暂估价应按采购人在其他项目清单中列出的单价计入综合单价；专业工程暂估价应按采购人在其他项目清单中列出的金额填写。</w:t>
      </w:r>
    </w:p>
    <w:p w14:paraId="06714E6F">
      <w:pPr>
        <w:pStyle w:val="63"/>
        <w:spacing w:line="400" w:lineRule="exact"/>
        <w:rPr>
          <w:rFonts w:hint="eastAsia" w:ascii="宋体" w:hAnsi="宋体" w:cs="宋体"/>
          <w:color w:val="auto"/>
          <w:kern w:val="2"/>
          <w:sz w:val="21"/>
          <w:szCs w:val="21"/>
        </w:rPr>
      </w:pPr>
      <w:r>
        <w:rPr>
          <w:rFonts w:hint="eastAsia"/>
          <w:color w:val="auto"/>
        </w:rPr>
        <w:t xml:space="preserve">      </w:t>
      </w:r>
      <w:r>
        <w:rPr>
          <w:rFonts w:hint="eastAsia" w:ascii="宋体" w:hAnsi="宋体" w:cs="宋体"/>
          <w:color w:val="auto"/>
          <w:kern w:val="2"/>
          <w:sz w:val="21"/>
          <w:szCs w:val="21"/>
        </w:rPr>
        <w:t xml:space="preserve"> 9、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 </w:t>
      </w:r>
    </w:p>
    <w:p w14:paraId="7AC15CE5">
      <w:pPr>
        <w:pStyle w:val="12"/>
        <w:keepNext w:val="0"/>
        <w:keepLines w:val="0"/>
        <w:pageBreakBefore w:val="0"/>
        <w:widowControl w:val="0"/>
        <w:wordWrap/>
        <w:topLinePunct w:val="0"/>
        <w:bidi w:val="0"/>
        <w:spacing w:line="400" w:lineRule="exact"/>
        <w:rPr>
          <w:rFonts w:hint="eastAsia" w:hAnsi="宋体" w:cs="宋体"/>
          <w:b/>
          <w:color w:val="auto"/>
          <w:sz w:val="24"/>
          <w:szCs w:val="24"/>
          <w:highlight w:val="none"/>
        </w:rPr>
      </w:pPr>
      <w:r>
        <w:rPr>
          <w:rFonts w:hint="eastAsia" w:hAnsi="宋体" w:cs="宋体"/>
          <w:b/>
          <w:color w:val="auto"/>
          <w:sz w:val="24"/>
          <w:szCs w:val="24"/>
          <w:highlight w:val="none"/>
          <w:lang w:val="en-US" w:eastAsia="zh-CN"/>
        </w:rPr>
        <w:t>三、</w:t>
      </w:r>
      <w:r>
        <w:rPr>
          <w:rFonts w:hint="eastAsia" w:hAnsi="宋体" w:cs="宋体"/>
          <w:b/>
          <w:color w:val="auto"/>
          <w:sz w:val="24"/>
          <w:szCs w:val="24"/>
          <w:highlight w:val="none"/>
        </w:rPr>
        <w:t>注意事项及要求：</w:t>
      </w:r>
    </w:p>
    <w:p w14:paraId="6CC2D93B">
      <w:pPr>
        <w:keepNext w:val="0"/>
        <w:keepLines w:val="0"/>
        <w:pageBreakBefore w:val="0"/>
        <w:widowControl w:val="0"/>
        <w:tabs>
          <w:tab w:val="left" w:pos="210"/>
        </w:tabs>
        <w:wordWrap/>
        <w:topLinePunct w:val="0"/>
        <w:bidi w:val="0"/>
        <w:spacing w:line="360" w:lineRule="exact"/>
        <w:ind w:left="420"/>
        <w:rPr>
          <w:rFonts w:hint="eastAsia" w:ascii="宋体" w:hAnsi="宋体" w:cs="宋体"/>
          <w:color w:val="auto"/>
          <w:szCs w:val="21"/>
          <w:highlight w:val="none"/>
        </w:rPr>
      </w:pPr>
      <w:r>
        <w:rPr>
          <w:rFonts w:hint="eastAsia" w:ascii="宋体" w:hAnsi="宋体" w:cs="宋体"/>
          <w:color w:val="auto"/>
          <w:szCs w:val="21"/>
          <w:highlight w:val="none"/>
        </w:rPr>
        <w:t>1、严格按国家标准及本项目工程量清单、图纸要求施工；</w:t>
      </w:r>
    </w:p>
    <w:p w14:paraId="3BFA50F0">
      <w:pPr>
        <w:pStyle w:val="12"/>
        <w:keepNext w:val="0"/>
        <w:keepLines w:val="0"/>
        <w:pageBreakBefore w:val="0"/>
        <w:widowControl w:val="0"/>
        <w:wordWrap/>
        <w:topLinePunct w:val="0"/>
        <w:bidi w:val="0"/>
        <w:spacing w:line="360" w:lineRule="exact"/>
        <w:ind w:firstLine="420" w:firstLineChars="200"/>
        <w:rPr>
          <w:rFonts w:hint="eastAsia" w:hAnsi="宋体" w:cs="宋体"/>
          <w:color w:val="auto"/>
          <w:highlight w:val="none"/>
        </w:rPr>
      </w:pPr>
      <w:r>
        <w:rPr>
          <w:rFonts w:hint="eastAsia" w:hAnsi="宋体" w:cs="宋体"/>
          <w:color w:val="auto"/>
          <w:szCs w:val="21"/>
          <w:highlight w:val="none"/>
        </w:rPr>
        <w:t>2、</w:t>
      </w:r>
      <w:r>
        <w:rPr>
          <w:rFonts w:hint="eastAsia" w:hAnsi="宋体" w:cs="宋体"/>
          <w:color w:val="auto"/>
          <w:highlight w:val="none"/>
        </w:rPr>
        <w:t>要求工期</w:t>
      </w:r>
      <w:r>
        <w:rPr>
          <w:rFonts w:hint="eastAsia" w:ascii="宋体" w:hAnsi="宋体" w:eastAsia="宋体" w:cs="宋体"/>
          <w:color w:val="auto"/>
          <w:sz w:val="21"/>
          <w:szCs w:val="21"/>
          <w:highlight w:val="none"/>
        </w:rPr>
        <w:t>：</w:t>
      </w:r>
      <w:r>
        <w:rPr>
          <w:rFonts w:hint="eastAsia" w:hAnsi="宋体"/>
          <w:color w:val="auto"/>
          <w:szCs w:val="21"/>
          <w:highlight w:val="none"/>
          <w:lang w:val="en-US" w:eastAsia="zh-CN"/>
        </w:rPr>
        <w:t>自合同签订之日起120个日历天内完工</w:t>
      </w:r>
      <w:r>
        <w:rPr>
          <w:rFonts w:hint="eastAsia" w:ascii="宋体" w:hAnsi="宋体" w:eastAsia="宋体" w:cs="宋体"/>
          <w:i w:val="0"/>
          <w:iCs w:val="0"/>
          <w:color w:val="auto"/>
          <w:sz w:val="21"/>
          <w:szCs w:val="21"/>
          <w:highlight w:val="none"/>
          <w:lang w:val="en-US" w:eastAsia="zh-CN"/>
        </w:rPr>
        <w:t>。</w:t>
      </w:r>
      <w:r>
        <w:rPr>
          <w:rFonts w:hint="eastAsia" w:hAnsi="宋体" w:cs="宋体"/>
          <w:color w:val="auto"/>
          <w:highlight w:val="none"/>
        </w:rPr>
        <w:t xml:space="preserve"> </w:t>
      </w:r>
    </w:p>
    <w:p w14:paraId="7B99A721">
      <w:pPr>
        <w:keepNext w:val="0"/>
        <w:keepLines w:val="0"/>
        <w:pageBreakBefore w:val="0"/>
        <w:widowControl w:val="0"/>
        <w:tabs>
          <w:tab w:val="left" w:pos="210"/>
        </w:tabs>
        <w:wordWrap/>
        <w:topLinePunct w:val="0"/>
        <w:bidi w:val="0"/>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质量标准：</w:t>
      </w:r>
      <w:r>
        <w:rPr>
          <w:rFonts w:hint="eastAsia" w:ascii="宋体" w:hAnsi="宋体" w:cs="宋体"/>
          <w:color w:val="auto"/>
          <w:highlight w:val="none"/>
          <w:lang w:val="en-US" w:eastAsia="zh-CN"/>
        </w:rPr>
        <w:t>合格</w:t>
      </w:r>
      <w:r>
        <w:rPr>
          <w:rFonts w:hint="eastAsia" w:ascii="宋体" w:hAnsi="宋体" w:cs="宋体"/>
          <w:color w:val="auto"/>
          <w:highlight w:val="none"/>
        </w:rPr>
        <w:t>。</w:t>
      </w:r>
    </w:p>
    <w:p w14:paraId="510B9FD4">
      <w:pPr>
        <w:keepNext w:val="0"/>
        <w:keepLines w:val="0"/>
        <w:pageBreakBefore w:val="0"/>
        <w:widowControl w:val="0"/>
        <w:tabs>
          <w:tab w:val="left" w:pos="210"/>
        </w:tabs>
        <w:wordWrap/>
        <w:topLinePunct w:val="0"/>
        <w:bidi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highlight w:val="none"/>
        </w:rPr>
        <w:t>3、</w:t>
      </w:r>
      <w:r>
        <w:rPr>
          <w:rFonts w:hint="eastAsia" w:ascii="宋体" w:hAnsi="宋体" w:cs="宋体"/>
          <w:b/>
          <w:bCs/>
          <w:color w:val="auto"/>
          <w:szCs w:val="21"/>
          <w:highlight w:val="none"/>
        </w:rPr>
        <w:t>供应商承诺工程竣工后，供应商应按照采购人的要求免费对开工的工程场地进行清理及清洁。</w:t>
      </w:r>
    </w:p>
    <w:p w14:paraId="783E1308">
      <w:pPr>
        <w:keepNext w:val="0"/>
        <w:keepLines w:val="0"/>
        <w:pageBreakBefore w:val="0"/>
        <w:widowControl w:val="0"/>
        <w:wordWrap/>
        <w:topLinePunct w:val="0"/>
        <w:bidi w:val="0"/>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4、工程量不明确的，供应商在现场考察时详细测量，</w:t>
      </w:r>
      <w:r>
        <w:rPr>
          <w:rFonts w:hint="eastAsia" w:ascii="宋体" w:hAnsi="宋体" w:cs="宋体"/>
          <w:color w:val="auto"/>
          <w:highlight w:val="none"/>
          <w:lang w:val="en-US" w:eastAsia="zh-CN"/>
        </w:rPr>
        <w:t>磋商</w:t>
      </w:r>
      <w:r>
        <w:rPr>
          <w:rFonts w:hint="eastAsia" w:ascii="宋体" w:hAnsi="宋体" w:cs="宋体"/>
          <w:color w:val="auto"/>
          <w:highlight w:val="none"/>
        </w:rPr>
        <w:t>时必须详细列明所报工作范围，并在施工方案中保证工程完整、全面。</w:t>
      </w:r>
    </w:p>
    <w:p w14:paraId="69F3A92E">
      <w:pPr>
        <w:tabs>
          <w:tab w:val="left" w:pos="6720"/>
        </w:tabs>
        <w:spacing w:line="360" w:lineRule="auto"/>
        <w:ind w:firstLine="420" w:firstLineChars="200"/>
        <w:jc w:val="both"/>
        <w:rPr>
          <w:rFonts w:hint="eastAsia" w:ascii="宋体" w:hAnsi="宋体" w:cs="宋体"/>
          <w:color w:val="auto"/>
          <w:kern w:val="0"/>
          <w:szCs w:val="21"/>
        </w:rPr>
      </w:pPr>
      <w:r>
        <w:rPr>
          <w:rFonts w:hint="eastAsia" w:ascii="宋体" w:hAnsi="宋体" w:cs="宋体"/>
          <w:color w:val="auto"/>
          <w:highlight w:val="none"/>
        </w:rPr>
        <w:t>5、</w:t>
      </w:r>
      <w:r>
        <w:rPr>
          <w:rFonts w:hint="eastAsia" w:ascii="宋体" w:hAnsi="宋体" w:cs="宋体"/>
          <w:color w:val="auto"/>
          <w:kern w:val="0"/>
          <w:szCs w:val="21"/>
        </w:rPr>
        <w:t>本项目</w:t>
      </w:r>
      <w:r>
        <w:rPr>
          <w:rFonts w:hint="eastAsia" w:ascii="宋体" w:hAnsi="宋体" w:cs="宋体"/>
          <w:color w:val="auto"/>
          <w:kern w:val="0"/>
          <w:szCs w:val="21"/>
          <w:lang w:val="en-US" w:eastAsia="zh-CN"/>
        </w:rPr>
        <w:t>审定</w:t>
      </w:r>
      <w:r>
        <w:rPr>
          <w:rFonts w:hint="eastAsia" w:ascii="宋体" w:hAnsi="宋体" w:cs="宋体"/>
          <w:color w:val="auto"/>
          <w:kern w:val="0"/>
          <w:szCs w:val="21"/>
        </w:rPr>
        <w:t>预算总金额为</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eastAsia="zh-CN"/>
        </w:rPr>
        <w:t>1242231.01</w:t>
      </w:r>
      <w:r>
        <w:rPr>
          <w:rFonts w:hint="eastAsia" w:ascii="宋体" w:hAnsi="宋体" w:cs="宋体"/>
          <w:color w:val="auto"/>
          <w:kern w:val="0"/>
          <w:szCs w:val="21"/>
          <w:u w:val="single"/>
        </w:rPr>
        <w:t xml:space="preserve"> </w:t>
      </w:r>
      <w:r>
        <w:rPr>
          <w:rFonts w:hint="eastAsia" w:ascii="宋体" w:hAnsi="宋体" w:cs="宋体"/>
          <w:color w:val="auto"/>
          <w:kern w:val="0"/>
          <w:szCs w:val="21"/>
        </w:rPr>
        <w:t>元。</w:t>
      </w:r>
      <w:r>
        <w:rPr>
          <w:rFonts w:hint="eastAsia" w:ascii="宋体" w:hAnsi="宋体" w:eastAsia="宋体" w:cs="宋体"/>
          <w:color w:val="auto"/>
          <w:kern w:val="0"/>
          <w:szCs w:val="21"/>
          <w:lang w:val="en-US" w:eastAsia="zh-CN"/>
        </w:rPr>
        <w:t>本项目预算控制价（最高限价）为</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lang w:val="en-US" w:eastAsia="zh-CN"/>
        </w:rPr>
        <w:t>1242231.01</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kern w:val="0"/>
          <w:szCs w:val="21"/>
          <w:lang w:val="en-US" w:eastAsia="zh-CN"/>
        </w:rPr>
        <w:t>元。</w:t>
      </w:r>
    </w:p>
    <w:p w14:paraId="36AA9DFA">
      <w:pPr>
        <w:keepNext w:val="0"/>
        <w:keepLines w:val="0"/>
        <w:pageBreakBefore w:val="0"/>
        <w:widowControl w:val="0"/>
        <w:tabs>
          <w:tab w:val="left" w:pos="1305"/>
        </w:tabs>
        <w:wordWrap/>
        <w:topLinePunct w:val="0"/>
        <w:bidi w:val="0"/>
        <w:spacing w:line="400" w:lineRule="exact"/>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6、本项目所属行业：</w:t>
      </w:r>
      <w:r>
        <w:rPr>
          <w:rFonts w:hint="eastAsia" w:ascii="宋体" w:hAnsi="宋体" w:cs="宋体"/>
          <w:b/>
          <w:bCs/>
          <w:color w:val="auto"/>
          <w:kern w:val="0"/>
          <w:szCs w:val="21"/>
          <w:lang w:val="en-US" w:eastAsia="zh-CN"/>
        </w:rPr>
        <w:t>建筑业</w:t>
      </w:r>
      <w:r>
        <w:rPr>
          <w:rFonts w:hint="eastAsia" w:ascii="宋体" w:hAnsi="宋体" w:cs="宋体"/>
          <w:color w:val="auto"/>
          <w:kern w:val="0"/>
          <w:szCs w:val="21"/>
          <w:lang w:val="en-US" w:eastAsia="zh-CN"/>
        </w:rPr>
        <w:t>。</w:t>
      </w:r>
    </w:p>
    <w:p w14:paraId="4B042C66">
      <w:pPr>
        <w:keepNext w:val="0"/>
        <w:keepLines w:val="0"/>
        <w:pageBreakBefore w:val="0"/>
        <w:widowControl w:val="0"/>
        <w:wordWrap/>
        <w:topLinePunct w:val="0"/>
        <w:bidi w:val="0"/>
        <w:adjustRightInd w:val="0"/>
        <w:spacing w:line="400" w:lineRule="exact"/>
        <w:rPr>
          <w:rFonts w:hint="eastAsia" w:ascii="宋体" w:hAnsi="宋体" w:eastAsia="宋体" w:cs="宋体"/>
          <w:color w:val="auto"/>
          <w:sz w:val="32"/>
          <w:szCs w:val="32"/>
          <w:highlight w:val="none"/>
          <w:lang w:eastAsia="zh-CN"/>
        </w:rPr>
      </w:pPr>
      <w:r>
        <w:rPr>
          <w:rFonts w:hint="eastAsia" w:ascii="宋体" w:hAnsi="宋体" w:cs="宋体"/>
          <w:b/>
          <w:color w:val="auto"/>
          <w:sz w:val="24"/>
          <w:szCs w:val="24"/>
          <w:highlight w:val="none"/>
          <w:lang w:val="en-US" w:eastAsia="zh-CN"/>
        </w:rPr>
        <w:t>四</w:t>
      </w:r>
      <w:r>
        <w:rPr>
          <w:rFonts w:hint="eastAsia" w:ascii="宋体" w:hAnsi="宋体" w:cs="宋体"/>
          <w:b/>
          <w:color w:val="auto"/>
          <w:sz w:val="24"/>
          <w:szCs w:val="24"/>
          <w:highlight w:val="none"/>
        </w:rPr>
        <w:t>、工程量清单【另附（电子版自行下载）】，是本竞争</w:t>
      </w:r>
      <w:r>
        <w:rPr>
          <w:rFonts w:hint="eastAsia" w:ascii="宋体" w:hAnsi="宋体" w:cs="宋体"/>
          <w:b/>
          <w:color w:val="auto"/>
          <w:sz w:val="24"/>
          <w:szCs w:val="24"/>
          <w:highlight w:val="none"/>
          <w:lang w:val="en-US" w:eastAsia="zh-CN"/>
        </w:rPr>
        <w:t>性磋商</w:t>
      </w:r>
      <w:r>
        <w:rPr>
          <w:rFonts w:hint="eastAsia" w:ascii="宋体" w:hAnsi="宋体" w:cs="宋体"/>
          <w:b/>
          <w:color w:val="auto"/>
          <w:sz w:val="24"/>
          <w:szCs w:val="24"/>
          <w:highlight w:val="none"/>
        </w:rPr>
        <w:t>文件的一个重要组成部分</w:t>
      </w:r>
      <w:bookmarkEnd w:id="140"/>
      <w:r>
        <w:rPr>
          <w:rFonts w:hint="eastAsia" w:ascii="宋体" w:hAnsi="宋体" w:cs="宋体"/>
          <w:b/>
          <w:color w:val="auto"/>
          <w:sz w:val="24"/>
          <w:szCs w:val="24"/>
          <w:highlight w:val="none"/>
          <w:lang w:eastAsia="zh-CN"/>
        </w:rPr>
        <w:t>。</w:t>
      </w:r>
    </w:p>
    <w:p w14:paraId="2DD86995">
      <w:pP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48C7181F">
      <w:pPr>
        <w:pStyle w:val="2"/>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b/>
          <w:bCs/>
          <w:color w:val="auto"/>
          <w:highlight w:val="none"/>
        </w:rPr>
      </w:pPr>
      <w:bookmarkStart w:id="145" w:name="_Toc3036"/>
      <w:r>
        <w:rPr>
          <w:rFonts w:hint="eastAsia" w:ascii="宋体" w:hAnsi="宋体" w:eastAsia="宋体" w:cs="宋体"/>
          <w:color w:val="auto"/>
          <w:sz w:val="32"/>
          <w:szCs w:val="32"/>
          <w:highlight w:val="none"/>
          <w:lang w:eastAsia="zh-CN"/>
        </w:rPr>
        <w:t>第四章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评审办法</w:t>
      </w:r>
      <w:bookmarkEnd w:id="145"/>
    </w:p>
    <w:p w14:paraId="2405D3A1">
      <w:pPr>
        <w:pStyle w:val="12"/>
        <w:keepNext w:val="0"/>
        <w:keepLines w:val="0"/>
        <w:pageBreakBefore w:val="0"/>
        <w:widowControl w:val="0"/>
        <w:kinsoku/>
        <w:wordWrap/>
        <w:overflowPunct/>
        <w:topLinePunct w:val="0"/>
        <w:bidi w:val="0"/>
        <w:snapToGrid/>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一、评审依据及方式</w:t>
      </w:r>
    </w:p>
    <w:p w14:paraId="1C6CDA25">
      <w:pPr>
        <w:pStyle w:val="12"/>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1.评审依据：磋商小组以竞争性磋商文件和响应文件为评审依据，</w:t>
      </w:r>
      <w:r>
        <w:rPr>
          <w:rFonts w:hint="eastAsia" w:ascii="宋体" w:hAnsi="宋体" w:eastAsia="宋体" w:cs="宋体"/>
          <w:color w:val="auto"/>
          <w:highlight w:val="none"/>
          <w:lang w:val="en-US" w:eastAsia="zh-CN"/>
        </w:rPr>
        <w:t>对磋商供应商的响应文件按百分制打分</w:t>
      </w:r>
      <w:r>
        <w:rPr>
          <w:rFonts w:hint="eastAsia" w:ascii="宋体" w:hAnsi="宋体" w:eastAsia="宋体" w:cs="宋体"/>
          <w:color w:val="auto"/>
          <w:highlight w:val="none"/>
        </w:rPr>
        <w:t>。</w:t>
      </w:r>
    </w:p>
    <w:p w14:paraId="2C7A9489">
      <w:pPr>
        <w:pStyle w:val="12"/>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2.评审方式：以封闭方式进行评审。</w:t>
      </w:r>
    </w:p>
    <w:p w14:paraId="3D657A65">
      <w:pPr>
        <w:pStyle w:val="12"/>
        <w:keepNext w:val="0"/>
        <w:keepLines w:val="0"/>
        <w:pageBreakBefore w:val="0"/>
        <w:widowControl w:val="0"/>
        <w:kinsoku/>
        <w:wordWrap/>
        <w:overflowPunct/>
        <w:topLinePunct w:val="0"/>
        <w:bidi w:val="0"/>
        <w:snapToGrid/>
        <w:spacing w:line="440" w:lineRule="exact"/>
        <w:ind w:left="210" w:leftChars="100"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3.根据财库〔2012〕69号文规定，采购人和采购代理机构，磋商小组成员要严格遵守政府采购相关法律制度，依法履行各自职责，公正、客观、审慎地组织和参与评审工作。</w:t>
      </w:r>
    </w:p>
    <w:p w14:paraId="0C3312FA">
      <w:pPr>
        <w:pStyle w:val="12"/>
        <w:keepNext w:val="0"/>
        <w:keepLines w:val="0"/>
        <w:pageBreakBefore w:val="0"/>
        <w:widowControl w:val="0"/>
        <w:kinsoku/>
        <w:wordWrap/>
        <w:overflowPunct/>
        <w:topLinePunct w:val="0"/>
        <w:bidi w:val="0"/>
        <w:snapToGrid/>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二、评审办法</w:t>
      </w:r>
    </w:p>
    <w:p w14:paraId="5F6B17BF">
      <w:pPr>
        <w:pStyle w:val="12"/>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（一）本次评标采用综合评分法。</w:t>
      </w:r>
      <w:r>
        <w:rPr>
          <w:rFonts w:hint="eastAsia" w:hAnsi="宋体" w:eastAsia="宋体" w:cs="宋体"/>
          <w:bCs/>
          <w:color w:val="auto"/>
          <w:highlight w:val="none"/>
          <w:lang w:eastAsia="zh-CN"/>
        </w:rPr>
        <w:t>磋商小组</w:t>
      </w:r>
      <w:r>
        <w:rPr>
          <w:rFonts w:hint="eastAsia" w:ascii="宋体" w:hAnsi="宋体" w:eastAsia="宋体" w:cs="宋体"/>
          <w:bCs/>
          <w:color w:val="auto"/>
          <w:highlight w:val="none"/>
        </w:rPr>
        <w:t>会首先对</w:t>
      </w:r>
      <w:r>
        <w:rPr>
          <w:rFonts w:hint="eastAsia" w:hAnsi="宋体" w:eastAsia="宋体" w:cs="宋体"/>
          <w:bCs/>
          <w:color w:val="auto"/>
          <w:highlight w:val="none"/>
          <w:lang w:eastAsia="zh-CN"/>
        </w:rPr>
        <w:t>磋商供应商</w:t>
      </w:r>
      <w:r>
        <w:rPr>
          <w:rFonts w:hint="eastAsia" w:ascii="宋体" w:hAnsi="宋体" w:eastAsia="宋体" w:cs="宋体"/>
          <w:bCs/>
          <w:color w:val="auto"/>
          <w:highlight w:val="none"/>
        </w:rPr>
        <w:t>提交的响应文件进行资格性审查和符合性审查，只有通过了资格性审查和符合性审查才能进入详评。</w:t>
      </w:r>
    </w:p>
    <w:p w14:paraId="443B96FF">
      <w:pPr>
        <w:keepNext w:val="0"/>
        <w:keepLines w:val="0"/>
        <w:pageBreakBefore w:val="0"/>
        <w:widowControl w:val="0"/>
        <w:wordWrap/>
        <w:overflowPunct/>
        <w:topLinePunct w:val="0"/>
        <w:bidi w:val="0"/>
        <w:spacing w:line="500" w:lineRule="exact"/>
        <w:jc w:val="left"/>
        <w:rPr>
          <w:rFonts w:hint="eastAsia" w:ascii="宋体" w:hAnsi="宋体" w:eastAsia="宋体" w:cs="宋体"/>
          <w:b/>
          <w:color w:val="auto"/>
          <w:w w:val="99"/>
          <w:kern w:val="0"/>
          <w:sz w:val="24"/>
          <w:szCs w:val="24"/>
          <w:highlight w:val="none"/>
          <w:lang w:val="en-US" w:eastAsia="zh-CN"/>
        </w:rPr>
      </w:pPr>
      <w:r>
        <w:rPr>
          <w:rFonts w:hint="eastAsia" w:ascii="宋体" w:hAnsi="宋体" w:eastAsia="宋体" w:cs="宋体"/>
          <w:b/>
          <w:color w:val="auto"/>
          <w:w w:val="99"/>
          <w:kern w:val="0"/>
          <w:sz w:val="24"/>
          <w:szCs w:val="24"/>
          <w:highlight w:val="none"/>
          <w:lang w:val="en-US" w:eastAsia="zh-CN"/>
        </w:rPr>
        <w:t>初步评审：</w:t>
      </w:r>
    </w:p>
    <w:tbl>
      <w:tblPr>
        <w:tblStyle w:val="27"/>
        <w:tblW w:w="9948" w:type="dxa"/>
        <w:jc w:val="center"/>
        <w:tblLayout w:type="fixed"/>
        <w:tblCellMar>
          <w:top w:w="0" w:type="dxa"/>
          <w:left w:w="108" w:type="dxa"/>
          <w:bottom w:w="0" w:type="dxa"/>
          <w:right w:w="108" w:type="dxa"/>
        </w:tblCellMar>
      </w:tblPr>
      <w:tblGrid>
        <w:gridCol w:w="944"/>
        <w:gridCol w:w="1111"/>
        <w:gridCol w:w="1963"/>
        <w:gridCol w:w="5930"/>
      </w:tblGrid>
      <w:tr w14:paraId="33ADFE09">
        <w:tblPrEx>
          <w:tblCellMar>
            <w:top w:w="0" w:type="dxa"/>
            <w:left w:w="108" w:type="dxa"/>
            <w:bottom w:w="0" w:type="dxa"/>
            <w:right w:w="108" w:type="dxa"/>
          </w:tblCellMar>
        </w:tblPrEx>
        <w:trPr>
          <w:trHeight w:val="463" w:hRule="atLeast"/>
          <w:jc w:val="center"/>
        </w:trPr>
        <w:tc>
          <w:tcPr>
            <w:tcW w:w="944" w:type="dxa"/>
            <w:tcBorders>
              <w:top w:val="single" w:color="auto" w:sz="4" w:space="0"/>
              <w:left w:val="single" w:color="auto" w:sz="4" w:space="0"/>
              <w:bottom w:val="single" w:color="auto" w:sz="4" w:space="0"/>
              <w:right w:val="single" w:color="auto" w:sz="4" w:space="0"/>
            </w:tcBorders>
            <w:noWrap w:val="0"/>
            <w:vAlign w:val="center"/>
          </w:tcPr>
          <w:p w14:paraId="0A70C6AE">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cs="宋体"/>
                <w:b w:val="0"/>
                <w:bCs w:val="0"/>
                <w:color w:val="auto"/>
                <w:highlight w:val="none"/>
              </w:rPr>
            </w:pPr>
            <w:r>
              <w:rPr>
                <w:rFonts w:hint="eastAsia" w:ascii="宋体" w:hAnsi="宋体" w:cs="宋体"/>
                <w:b w:val="0"/>
                <w:bCs w:val="0"/>
                <w:color w:val="auto"/>
                <w:highlight w:val="none"/>
              </w:rPr>
              <w:t>条款号</w:t>
            </w:r>
          </w:p>
        </w:tc>
        <w:tc>
          <w:tcPr>
            <w:tcW w:w="9004" w:type="dxa"/>
            <w:gridSpan w:val="3"/>
            <w:tcBorders>
              <w:top w:val="single" w:color="auto" w:sz="4" w:space="0"/>
              <w:left w:val="single" w:color="auto" w:sz="4" w:space="0"/>
              <w:bottom w:val="single" w:color="auto" w:sz="4" w:space="0"/>
              <w:right w:val="single" w:color="auto" w:sz="4" w:space="0"/>
            </w:tcBorders>
            <w:noWrap w:val="0"/>
            <w:vAlign w:val="center"/>
          </w:tcPr>
          <w:p w14:paraId="70DCD343">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cs="宋体"/>
                <w:b w:val="0"/>
                <w:bCs w:val="0"/>
                <w:color w:val="auto"/>
                <w:highlight w:val="none"/>
              </w:rPr>
            </w:pPr>
            <w:r>
              <w:rPr>
                <w:rFonts w:hint="eastAsia" w:ascii="宋体" w:hAnsi="宋体" w:cs="宋体"/>
                <w:b w:val="0"/>
                <w:bCs w:val="0"/>
                <w:color w:val="auto"/>
                <w:highlight w:val="none"/>
              </w:rPr>
              <w:t>评审标准</w:t>
            </w:r>
          </w:p>
        </w:tc>
      </w:tr>
      <w:tr w14:paraId="0ACA240E">
        <w:tblPrEx>
          <w:tblCellMar>
            <w:top w:w="0" w:type="dxa"/>
            <w:left w:w="108" w:type="dxa"/>
            <w:bottom w:w="0" w:type="dxa"/>
            <w:right w:w="108" w:type="dxa"/>
          </w:tblCellMar>
        </w:tblPrEx>
        <w:trPr>
          <w:trHeight w:val="453" w:hRule="atLeast"/>
          <w:jc w:val="center"/>
        </w:trPr>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6068FFEB">
            <w:pPr>
              <w:keepNext w:val="0"/>
              <w:keepLines w:val="0"/>
              <w:pageBreakBefore w:val="0"/>
              <w:widowControl w:val="0"/>
              <w:kinsoku/>
              <w:wordWrap/>
              <w:overflowPunct/>
              <w:topLinePunct w:val="0"/>
              <w:bidi w:val="0"/>
              <w:spacing w:line="500" w:lineRule="exact"/>
              <w:jc w:val="center"/>
              <w:rPr>
                <w:rFonts w:hint="eastAsia" w:ascii="宋体" w:hAnsi="宋体" w:cs="宋体"/>
                <w:color w:val="auto"/>
                <w:highlight w:val="none"/>
              </w:rPr>
            </w:pPr>
            <w:r>
              <w:rPr>
                <w:rFonts w:hint="eastAsia" w:ascii="宋体" w:hAnsi="宋体" w:cs="宋体"/>
                <w:color w:val="auto"/>
                <w:highlight w:val="none"/>
              </w:rPr>
              <w:t>2.1.1</w:t>
            </w:r>
          </w:p>
        </w:tc>
        <w:tc>
          <w:tcPr>
            <w:tcW w:w="1111" w:type="dxa"/>
            <w:vMerge w:val="restart"/>
            <w:tcBorders>
              <w:top w:val="single" w:color="auto" w:sz="4" w:space="0"/>
              <w:left w:val="single" w:color="auto" w:sz="4" w:space="0"/>
              <w:bottom w:val="single" w:color="auto" w:sz="4" w:space="0"/>
              <w:right w:val="single" w:color="auto" w:sz="4" w:space="0"/>
            </w:tcBorders>
            <w:noWrap w:val="0"/>
            <w:vAlign w:val="center"/>
          </w:tcPr>
          <w:p w14:paraId="73A87871">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color w:val="auto"/>
                <w:spacing w:val="-6"/>
                <w:highlight w:val="none"/>
                <w:lang w:eastAsia="zh-CN"/>
              </w:rPr>
            </w:pPr>
            <w:r>
              <w:rPr>
                <w:rFonts w:hint="eastAsia" w:ascii="宋体" w:hAnsi="宋体" w:cs="宋体"/>
                <w:color w:val="auto"/>
                <w:highlight w:val="none"/>
              </w:rPr>
              <w:t>资格</w:t>
            </w:r>
            <w:r>
              <w:rPr>
                <w:rFonts w:hint="eastAsia" w:ascii="宋体" w:hAnsi="宋体" w:cs="宋体"/>
                <w:color w:val="auto"/>
                <w:highlight w:val="none"/>
                <w:lang w:eastAsia="zh-CN"/>
              </w:rPr>
              <w:t>评审</w:t>
            </w:r>
          </w:p>
          <w:p w14:paraId="105C8DFE">
            <w:pPr>
              <w:pStyle w:val="15"/>
              <w:keepNext w:val="0"/>
              <w:keepLines w:val="0"/>
              <w:pageBreakBefore w:val="0"/>
              <w:widowControl w:val="0"/>
              <w:kinsoku/>
              <w:wordWrap/>
              <w:overflowPunct/>
              <w:topLinePunct w:val="0"/>
              <w:bidi w:val="0"/>
              <w:snapToGrid w:val="0"/>
              <w:spacing w:line="500" w:lineRule="exact"/>
              <w:jc w:val="center"/>
              <w:rPr>
                <w:rFonts w:hint="eastAsia" w:ascii="宋体" w:hAnsi="宋体" w:cs="宋体"/>
                <w:color w:val="auto"/>
                <w:spacing w:val="-6"/>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2D61907">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cs="宋体"/>
                <w:b/>
                <w:color w:val="auto"/>
                <w:highlight w:val="none"/>
              </w:rPr>
            </w:pPr>
            <w:r>
              <w:rPr>
                <w:rFonts w:hint="eastAsia" w:ascii="宋体" w:hAnsi="宋体" w:cs="宋体"/>
                <w:b/>
                <w:color w:val="auto"/>
                <w:highlight w:val="none"/>
              </w:rPr>
              <w:t>评审因素</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95E709A">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cs="宋体"/>
                <w:b/>
                <w:color w:val="auto"/>
                <w:highlight w:val="none"/>
              </w:rPr>
            </w:pPr>
            <w:r>
              <w:rPr>
                <w:rFonts w:hint="eastAsia" w:ascii="宋体" w:hAnsi="宋体" w:cs="宋体"/>
                <w:b/>
                <w:color w:val="auto"/>
                <w:highlight w:val="none"/>
              </w:rPr>
              <w:t>评审标准</w:t>
            </w:r>
          </w:p>
          <w:p w14:paraId="6715F3BE">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cs="宋体"/>
                <w:b/>
                <w:color w:val="auto"/>
                <w:highlight w:val="none"/>
              </w:rPr>
            </w:pPr>
            <w:r>
              <w:rPr>
                <w:rFonts w:hint="eastAsia" w:ascii="宋体" w:hAnsi="宋体" w:cs="宋体"/>
                <w:b/>
                <w:bCs/>
                <w:color w:val="auto"/>
                <w:highlight w:val="none"/>
              </w:rPr>
              <w:t>（合格标准：缺少任何一项或有任何一项不合格者，其资格</w:t>
            </w:r>
            <w:r>
              <w:rPr>
                <w:rFonts w:hint="eastAsia" w:ascii="宋体" w:hAnsi="宋体" w:cs="宋体"/>
                <w:b/>
                <w:bCs/>
                <w:color w:val="auto"/>
                <w:highlight w:val="none"/>
                <w:lang w:eastAsia="zh-CN"/>
              </w:rPr>
              <w:t>评审</w:t>
            </w:r>
            <w:r>
              <w:rPr>
                <w:rFonts w:hint="eastAsia" w:ascii="宋体" w:hAnsi="宋体" w:cs="宋体"/>
                <w:b/>
                <w:bCs/>
                <w:color w:val="auto"/>
                <w:highlight w:val="none"/>
              </w:rPr>
              <w:t>视为不合格）</w:t>
            </w:r>
          </w:p>
        </w:tc>
      </w:tr>
      <w:tr w14:paraId="2FCD0FA7">
        <w:tblPrEx>
          <w:tblCellMar>
            <w:top w:w="0" w:type="dxa"/>
            <w:left w:w="108" w:type="dxa"/>
            <w:bottom w:w="0" w:type="dxa"/>
            <w:right w:w="108" w:type="dxa"/>
          </w:tblCellMar>
        </w:tblPrEx>
        <w:trPr>
          <w:trHeight w:val="53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031227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38A948A8">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3654F06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身份</w:t>
            </w:r>
            <w:r>
              <w:rPr>
                <w:rFonts w:hint="eastAsia" w:ascii="宋体" w:hAnsi="宋体" w:cs="宋体"/>
                <w:color w:val="auto"/>
                <w:szCs w:val="21"/>
                <w:highlight w:val="none"/>
                <w:lang w:eastAsia="zh-CN"/>
              </w:rPr>
              <w:t>证</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0AE5CAA">
            <w:pPr>
              <w:pStyle w:val="44"/>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cs="宋体"/>
                <w:color w:val="auto"/>
                <w:highlight w:val="none"/>
              </w:rPr>
            </w:pPr>
            <w:r>
              <w:rPr>
                <w:rFonts w:hint="eastAsia" w:ascii="宋体" w:hAnsi="宋体" w:eastAsia="宋体" w:cs="宋体"/>
                <w:color w:val="auto"/>
                <w:szCs w:val="21"/>
                <w:highlight w:val="none"/>
              </w:rPr>
              <w:t>供应商相应的法定代表人、负责人、自然人身份证正反两面复印件</w:t>
            </w:r>
            <w:r>
              <w:rPr>
                <w:rFonts w:hint="eastAsia" w:ascii="宋体" w:hAnsi="宋体" w:eastAsia="宋体" w:cs="宋体"/>
                <w:b/>
                <w:bCs/>
                <w:color w:val="auto"/>
                <w:szCs w:val="21"/>
                <w:highlight w:val="none"/>
              </w:rPr>
              <w:t>（必须提供）</w:t>
            </w:r>
          </w:p>
        </w:tc>
      </w:tr>
      <w:tr w14:paraId="015DAFDA">
        <w:tblPrEx>
          <w:tblCellMar>
            <w:top w:w="0" w:type="dxa"/>
            <w:left w:w="108" w:type="dxa"/>
            <w:bottom w:w="0" w:type="dxa"/>
            <w:right w:w="108" w:type="dxa"/>
          </w:tblCellMar>
        </w:tblPrEx>
        <w:trPr>
          <w:trHeight w:val="53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1F08880">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29B25196">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D5D1642">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委托代理人身份证</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rPr>
              <w:t>社保证明</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4A3115E">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val="en-US" w:eastAsia="zh-CN"/>
              </w:rPr>
            </w:pPr>
            <w:r>
              <w:rPr>
                <w:rFonts w:hint="eastAsia" w:ascii="宋体" w:hAnsi="宋体" w:eastAsia="宋体" w:cs="宋体"/>
                <w:color w:val="auto"/>
                <w:szCs w:val="21"/>
                <w:highlight w:val="none"/>
              </w:rPr>
              <w:t>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color w:val="auto"/>
                <w:szCs w:val="21"/>
                <w:highlight w:val="none"/>
                <w:lang w:eastAsia="zh-CN"/>
              </w:rPr>
              <w:t>半年内任意一个月</w:t>
            </w:r>
            <w:r>
              <w:rPr>
                <w:rFonts w:hint="eastAsia" w:ascii="宋体" w:hAnsi="宋体" w:eastAsia="宋体" w:cs="宋体"/>
                <w:color w:val="auto"/>
                <w:szCs w:val="21"/>
                <w:highlight w:val="none"/>
              </w:rPr>
              <w:t>社保证明复印件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（委托代理时必须提供）</w:t>
            </w:r>
          </w:p>
        </w:tc>
      </w:tr>
      <w:tr w14:paraId="6AF97420">
        <w:tblPrEx>
          <w:tblCellMar>
            <w:top w:w="0" w:type="dxa"/>
            <w:left w:w="108" w:type="dxa"/>
            <w:bottom w:w="0" w:type="dxa"/>
            <w:right w:w="108" w:type="dxa"/>
          </w:tblCellMar>
        </w:tblPrEx>
        <w:trPr>
          <w:trHeight w:val="53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C41C018">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47E28F11">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10C38595">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eastAsia="zh-CN"/>
              </w:rPr>
              <w:t>无重大违法记录的书面声明</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2D4D381">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tc>
      </w:tr>
      <w:tr w14:paraId="5424CB12">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5661C3A">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581AF903">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63E7B5D">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营业执照</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AE90A79">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tc>
      </w:tr>
      <w:tr w14:paraId="4F2739E8">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0102F2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742AEB44">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02A4535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资质证书</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lang w:eastAsia="zh-CN"/>
              </w:rPr>
              <w:t>安全生产许可证</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1B5EBFA">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val="en-US" w:eastAsia="zh-CN"/>
              </w:rPr>
            </w:pPr>
            <w:r>
              <w:rPr>
                <w:rFonts w:hint="eastAsia" w:ascii="宋体" w:hAnsi="宋体" w:cs="宋体"/>
                <w:bCs/>
                <w:color w:val="auto"/>
                <w:kern w:val="0"/>
                <w:szCs w:val="21"/>
                <w:highlight w:val="none"/>
                <w:lang w:val="en-US" w:eastAsia="zh-CN"/>
              </w:rPr>
              <w:t>供应商有效的资质证书复印件及</w:t>
            </w:r>
            <w:r>
              <w:rPr>
                <w:rFonts w:hint="eastAsia" w:ascii="宋体" w:hAnsi="宋体" w:eastAsia="宋体" w:cs="宋体"/>
                <w:bCs/>
                <w:color w:val="auto"/>
                <w:kern w:val="0"/>
                <w:szCs w:val="21"/>
                <w:highlight w:val="none"/>
                <w:lang w:val="en-US" w:eastAsia="zh-CN"/>
              </w:rPr>
              <w:t>供应商有效的安全生产许可证书复印件</w:t>
            </w:r>
            <w:r>
              <w:rPr>
                <w:rFonts w:hint="eastAsia" w:ascii="宋体" w:hAnsi="宋体" w:eastAsia="宋体" w:cs="宋体"/>
                <w:b/>
                <w:bCs w:val="0"/>
                <w:color w:val="auto"/>
                <w:kern w:val="0"/>
                <w:szCs w:val="21"/>
                <w:highlight w:val="none"/>
                <w:lang w:val="en-US" w:eastAsia="zh-CN"/>
              </w:rPr>
              <w:t>（必须提供）</w:t>
            </w:r>
          </w:p>
        </w:tc>
      </w:tr>
      <w:tr w14:paraId="2C765643">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D4CC7CE">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261D99C2">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856725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bCs/>
                <w:color w:val="auto"/>
                <w:kern w:val="0"/>
                <w:szCs w:val="21"/>
                <w:highlight w:val="none"/>
                <w:lang w:val="en-US" w:eastAsia="zh-CN"/>
              </w:rPr>
              <w:t>项目负责人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7642EF1">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拟派项目负责人的注册二级建造师证书复印件、安全生产考核B证证书复印件及项目经理无在建工程承诺书（格式自拟）</w:t>
            </w:r>
            <w:r>
              <w:rPr>
                <w:rFonts w:hint="eastAsia" w:ascii="宋体" w:hAnsi="宋体" w:eastAsia="宋体" w:cs="宋体"/>
                <w:b/>
                <w:bCs w:val="0"/>
                <w:color w:val="auto"/>
                <w:kern w:val="0"/>
                <w:szCs w:val="21"/>
                <w:highlight w:val="none"/>
                <w:lang w:val="en-US" w:eastAsia="zh-CN"/>
              </w:rPr>
              <w:t>（必须提供）</w:t>
            </w:r>
          </w:p>
        </w:tc>
      </w:tr>
      <w:tr w14:paraId="39ADAABC">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01F4B8E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72D551EE">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shd w:val="clear"/>
            <w:noWrap w:val="0"/>
            <w:vAlign w:val="center"/>
          </w:tcPr>
          <w:p w14:paraId="1399CCBB">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eastAsia="zh-CN"/>
              </w:rPr>
              <w:t>财务状况报告</w:t>
            </w:r>
          </w:p>
        </w:tc>
        <w:tc>
          <w:tcPr>
            <w:tcW w:w="5930" w:type="dxa"/>
            <w:tcBorders>
              <w:top w:val="single" w:color="auto" w:sz="4" w:space="0"/>
              <w:left w:val="single" w:color="auto" w:sz="4" w:space="0"/>
              <w:bottom w:val="single" w:color="auto" w:sz="4" w:space="0"/>
              <w:right w:val="single" w:color="auto" w:sz="4" w:space="0"/>
            </w:tcBorders>
            <w:shd w:val="clear"/>
            <w:noWrap w:val="0"/>
            <w:vAlign w:val="center"/>
          </w:tcPr>
          <w:p w14:paraId="015EE60F">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bCs/>
                <w:color w:val="auto"/>
                <w:kern w:val="0"/>
                <w:szCs w:val="21"/>
                <w:highlight w:val="none"/>
                <w:lang w:eastAsia="zh-CN"/>
              </w:rPr>
              <w:t>供应商2025年度财务状况报告</w:t>
            </w:r>
            <w:r>
              <w:rPr>
                <w:rFonts w:hint="eastAsia" w:ascii="宋体" w:hAnsi="宋体" w:eastAsia="宋体" w:cs="宋体"/>
                <w:b/>
                <w:bCs/>
                <w:color w:val="auto"/>
                <w:sz w:val="21"/>
                <w:szCs w:val="21"/>
                <w:highlight w:val="none"/>
                <w:lang w:val="en-US" w:eastAsia="zh-CN"/>
              </w:rPr>
              <w:t>（必须提供</w:t>
            </w:r>
            <w:r>
              <w:rPr>
                <w:rFonts w:hint="eastAsia" w:ascii="宋体" w:hAnsi="宋体" w:cs="宋体"/>
                <w:b/>
                <w:bCs/>
                <w:color w:val="auto"/>
                <w:szCs w:val="21"/>
                <w:highlight w:val="none"/>
                <w:lang w:eastAsia="zh-CN"/>
              </w:rPr>
              <w:t>，</w:t>
            </w:r>
            <w:r>
              <w:rPr>
                <w:rFonts w:ascii="宋体" w:hAnsi="宋体" w:cs="宋体"/>
                <w:b/>
                <w:bCs/>
                <w:color w:val="auto"/>
                <w:szCs w:val="21"/>
                <w:highlight w:val="none"/>
              </w:rPr>
              <w:t>可</w:t>
            </w:r>
            <w:r>
              <w:rPr>
                <w:rFonts w:hint="eastAsia" w:ascii="宋体" w:hAnsi="宋体" w:cs="宋体"/>
                <w:b/>
                <w:bCs/>
                <w:color w:val="auto"/>
                <w:szCs w:val="21"/>
                <w:highlight w:val="none"/>
                <w:lang w:eastAsia="zh-CN"/>
              </w:rPr>
              <w:t>以是磋商供应商</w:t>
            </w:r>
            <w:r>
              <w:rPr>
                <w:rFonts w:ascii="宋体" w:hAnsi="宋体" w:cs="宋体"/>
                <w:b/>
                <w:bCs/>
                <w:color w:val="auto"/>
                <w:szCs w:val="21"/>
                <w:highlight w:val="none"/>
              </w:rPr>
              <w:t>自行编制也可</w:t>
            </w:r>
            <w:r>
              <w:rPr>
                <w:rFonts w:hint="eastAsia" w:ascii="宋体" w:hAnsi="宋体" w:cs="宋体"/>
                <w:b/>
                <w:bCs/>
                <w:color w:val="auto"/>
                <w:szCs w:val="21"/>
                <w:highlight w:val="none"/>
                <w:lang w:eastAsia="zh-CN"/>
              </w:rPr>
              <w:t>是</w:t>
            </w:r>
            <w:r>
              <w:rPr>
                <w:rFonts w:ascii="宋体" w:hAnsi="宋体" w:cs="宋体"/>
                <w:b/>
                <w:bCs/>
                <w:color w:val="auto"/>
                <w:szCs w:val="21"/>
                <w:highlight w:val="none"/>
              </w:rPr>
              <w:t>通过</w:t>
            </w:r>
            <w:r>
              <w:rPr>
                <w:rFonts w:hint="eastAsia" w:ascii="宋体" w:hAnsi="宋体" w:cs="宋体"/>
                <w:b/>
                <w:bCs/>
                <w:color w:val="auto"/>
                <w:szCs w:val="21"/>
                <w:highlight w:val="none"/>
                <w:lang w:eastAsia="zh-CN"/>
              </w:rPr>
              <w:t>第三方</w:t>
            </w:r>
            <w:r>
              <w:rPr>
                <w:rFonts w:ascii="宋体" w:hAnsi="宋体" w:cs="宋体"/>
                <w:b/>
                <w:bCs/>
                <w:color w:val="auto"/>
                <w:szCs w:val="21"/>
                <w:highlight w:val="none"/>
              </w:rPr>
              <w:t>审计公司编制，如为自行编制至少须提供现金流量表、负债表及利润表</w:t>
            </w:r>
            <w:r>
              <w:rPr>
                <w:rFonts w:hint="eastAsia" w:ascii="宋体" w:hAnsi="宋体" w:eastAsia="宋体" w:cs="宋体"/>
                <w:b/>
                <w:bCs/>
                <w:color w:val="auto"/>
                <w:sz w:val="21"/>
                <w:szCs w:val="21"/>
                <w:highlight w:val="none"/>
                <w:lang w:val="en-US" w:eastAsia="zh-CN"/>
              </w:rPr>
              <w:t>）</w:t>
            </w:r>
          </w:p>
        </w:tc>
      </w:tr>
      <w:tr w14:paraId="5871A5B4">
        <w:tblPrEx>
          <w:tblCellMar>
            <w:top w:w="0" w:type="dxa"/>
            <w:left w:w="108" w:type="dxa"/>
            <w:bottom w:w="0" w:type="dxa"/>
            <w:right w:w="108" w:type="dxa"/>
          </w:tblCellMar>
        </w:tblPrEx>
        <w:trPr>
          <w:trHeight w:val="49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119A05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6CF12799">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shd w:val="clear"/>
            <w:noWrap w:val="0"/>
            <w:vAlign w:val="center"/>
          </w:tcPr>
          <w:p w14:paraId="4A598D63">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eastAsia="zh-CN"/>
              </w:rPr>
              <w:t>依法纳税证明材料</w:t>
            </w:r>
          </w:p>
        </w:tc>
        <w:tc>
          <w:tcPr>
            <w:tcW w:w="5930" w:type="dxa"/>
            <w:tcBorders>
              <w:top w:val="single" w:color="auto" w:sz="4" w:space="0"/>
              <w:left w:val="single" w:color="auto" w:sz="4" w:space="0"/>
              <w:bottom w:val="single" w:color="auto" w:sz="4" w:space="0"/>
              <w:right w:val="single" w:color="auto" w:sz="4" w:space="0"/>
            </w:tcBorders>
            <w:shd w:val="clear"/>
            <w:noWrap w:val="0"/>
            <w:vAlign w:val="center"/>
          </w:tcPr>
          <w:p w14:paraId="17F3AF77">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Cs w:val="21"/>
                <w:highlight w:val="none"/>
                <w:lang w:eastAsia="zh-CN"/>
              </w:rPr>
              <w:t>供应商近半年内任意一个月依法缴纳税收的证明材料[增值税缴纳发票(税收完税证明)或企业所得税完税证明或税务部门出具的免税证明]复印件</w:t>
            </w:r>
            <w:r>
              <w:rPr>
                <w:rFonts w:hint="eastAsia" w:ascii="宋体" w:hAnsi="宋体" w:eastAsia="宋体" w:cs="宋体"/>
                <w:color w:val="auto"/>
                <w:szCs w:val="21"/>
                <w:highlight w:val="none"/>
              </w:rPr>
              <w:t>(税收完税证明)或企业所得税完税证明或税务部门出具的免税证明</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复印件</w:t>
            </w:r>
            <w:r>
              <w:rPr>
                <w:rFonts w:hint="eastAsia" w:ascii="宋体" w:hAnsi="宋体" w:eastAsia="宋体" w:cs="宋体"/>
                <w:b/>
                <w:bCs/>
                <w:color w:val="auto"/>
                <w:szCs w:val="21"/>
                <w:highlight w:val="none"/>
              </w:rPr>
              <w:t>（必须提供）</w:t>
            </w:r>
          </w:p>
        </w:tc>
      </w:tr>
      <w:tr w14:paraId="621C4B93">
        <w:tblPrEx>
          <w:tblCellMar>
            <w:top w:w="0" w:type="dxa"/>
            <w:left w:w="108" w:type="dxa"/>
            <w:bottom w:w="0" w:type="dxa"/>
            <w:right w:w="108" w:type="dxa"/>
          </w:tblCellMar>
        </w:tblPrEx>
        <w:trPr>
          <w:trHeight w:val="560"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578BF72">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676806AD">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shd w:val="clear"/>
            <w:noWrap w:val="0"/>
            <w:vAlign w:val="center"/>
          </w:tcPr>
          <w:p w14:paraId="0EBA8483">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落实政府采购政策需满足的资格要求</w:t>
            </w:r>
          </w:p>
        </w:tc>
        <w:tc>
          <w:tcPr>
            <w:tcW w:w="5930" w:type="dxa"/>
            <w:tcBorders>
              <w:top w:val="single" w:color="auto" w:sz="4" w:space="0"/>
              <w:left w:val="single" w:color="auto" w:sz="4" w:space="0"/>
              <w:bottom w:val="single" w:color="auto" w:sz="4" w:space="0"/>
              <w:right w:val="single" w:color="auto" w:sz="4" w:space="0"/>
            </w:tcBorders>
            <w:shd w:val="clear"/>
            <w:noWrap w:val="0"/>
            <w:vAlign w:val="center"/>
          </w:tcPr>
          <w:p w14:paraId="2C871B71">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p>
        </w:tc>
      </w:tr>
      <w:tr w14:paraId="7A52A03F">
        <w:tblPrEx>
          <w:tblCellMar>
            <w:top w:w="0" w:type="dxa"/>
            <w:left w:w="108" w:type="dxa"/>
            <w:bottom w:w="0" w:type="dxa"/>
            <w:right w:w="108" w:type="dxa"/>
          </w:tblCellMar>
        </w:tblPrEx>
        <w:trPr>
          <w:trHeight w:val="487" w:hRule="atLeast"/>
          <w:jc w:val="center"/>
        </w:trPr>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539C202C">
            <w:pPr>
              <w:keepNext w:val="0"/>
              <w:keepLines w:val="0"/>
              <w:pageBreakBefore w:val="0"/>
              <w:widowControl w:val="0"/>
              <w:kinsoku/>
              <w:wordWrap/>
              <w:overflowPunct/>
              <w:topLinePunct w:val="0"/>
              <w:bidi w:val="0"/>
              <w:spacing w:line="500" w:lineRule="exact"/>
              <w:jc w:val="center"/>
              <w:rPr>
                <w:rFonts w:hint="eastAsia" w:ascii="宋体" w:hAnsi="宋体" w:cs="宋体"/>
                <w:b/>
                <w:color w:val="auto"/>
                <w:highlight w:val="none"/>
              </w:rPr>
            </w:pPr>
            <w:r>
              <w:rPr>
                <w:rFonts w:hint="eastAsia" w:ascii="宋体" w:hAnsi="宋体" w:cs="宋体"/>
                <w:bCs/>
                <w:color w:val="auto"/>
                <w:highlight w:val="none"/>
              </w:rPr>
              <w:t>2.1.2</w:t>
            </w:r>
          </w:p>
        </w:tc>
        <w:tc>
          <w:tcPr>
            <w:tcW w:w="1111" w:type="dxa"/>
            <w:vMerge w:val="restart"/>
            <w:tcBorders>
              <w:top w:val="single" w:color="auto" w:sz="4" w:space="0"/>
              <w:left w:val="single" w:color="auto" w:sz="4" w:space="0"/>
              <w:bottom w:val="single" w:color="auto" w:sz="4" w:space="0"/>
              <w:right w:val="single" w:color="auto" w:sz="4" w:space="0"/>
            </w:tcBorders>
            <w:noWrap w:val="0"/>
            <w:vAlign w:val="center"/>
          </w:tcPr>
          <w:p w14:paraId="337C2BCC">
            <w:pPr>
              <w:keepNext w:val="0"/>
              <w:keepLines w:val="0"/>
              <w:pageBreakBefore w:val="0"/>
              <w:widowControl w:val="0"/>
              <w:kinsoku/>
              <w:wordWrap/>
              <w:overflowPunct/>
              <w:topLinePunct w:val="0"/>
              <w:bidi w:val="0"/>
              <w:spacing w:line="500" w:lineRule="exact"/>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符合性评审</w:t>
            </w:r>
          </w:p>
        </w:tc>
        <w:tc>
          <w:tcPr>
            <w:tcW w:w="1963" w:type="dxa"/>
            <w:tcBorders>
              <w:top w:val="single" w:color="auto" w:sz="4" w:space="0"/>
              <w:left w:val="single" w:color="auto" w:sz="4" w:space="0"/>
              <w:bottom w:val="single" w:color="auto" w:sz="4" w:space="0"/>
              <w:right w:val="single" w:color="auto" w:sz="4" w:space="0"/>
            </w:tcBorders>
            <w:noWrap w:val="0"/>
            <w:vAlign w:val="center"/>
          </w:tcPr>
          <w:p w14:paraId="3212A3A9">
            <w:pPr>
              <w:keepNext w:val="0"/>
              <w:keepLines w:val="0"/>
              <w:pageBreakBefore w:val="0"/>
              <w:widowControl w:val="0"/>
              <w:kinsoku/>
              <w:wordWrap/>
              <w:overflowPunct/>
              <w:topLinePunct w:val="0"/>
              <w:bidi w:val="0"/>
              <w:spacing w:line="500" w:lineRule="exact"/>
              <w:jc w:val="center"/>
              <w:rPr>
                <w:rFonts w:hint="eastAsia" w:ascii="宋体" w:hAnsi="宋体" w:cs="宋体"/>
                <w:b/>
                <w:bCs/>
                <w:color w:val="auto"/>
                <w:highlight w:val="none"/>
              </w:rPr>
            </w:pPr>
            <w:r>
              <w:rPr>
                <w:rFonts w:hint="eastAsia" w:ascii="宋体" w:hAnsi="宋体" w:cs="宋体"/>
                <w:b/>
                <w:bCs/>
                <w:color w:val="auto"/>
                <w:highlight w:val="none"/>
              </w:rPr>
              <w:t>评审因素</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B4D59AF">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cs="宋体"/>
                <w:b/>
                <w:color w:val="auto"/>
                <w:highlight w:val="none"/>
              </w:rPr>
            </w:pPr>
            <w:r>
              <w:rPr>
                <w:rFonts w:hint="eastAsia" w:ascii="宋体" w:hAnsi="宋体" w:cs="宋体"/>
                <w:b/>
                <w:color w:val="auto"/>
                <w:highlight w:val="none"/>
              </w:rPr>
              <w:t>评审标准</w:t>
            </w:r>
          </w:p>
          <w:p w14:paraId="7EF34D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color w:val="auto"/>
                <w:highlight w:val="none"/>
              </w:rPr>
            </w:pPr>
            <w:r>
              <w:rPr>
                <w:rFonts w:hint="eastAsia" w:ascii="宋体" w:hAnsi="宋体" w:cs="宋体"/>
                <w:b/>
                <w:bCs/>
                <w:color w:val="auto"/>
                <w:highlight w:val="none"/>
              </w:rPr>
              <w:t>（合格标准：缺少任何一项或有任何一项不合格者，其资格</w:t>
            </w:r>
            <w:r>
              <w:rPr>
                <w:rFonts w:hint="eastAsia" w:ascii="宋体" w:hAnsi="宋体" w:cs="宋体"/>
                <w:b/>
                <w:bCs/>
                <w:color w:val="auto"/>
                <w:highlight w:val="none"/>
                <w:lang w:eastAsia="zh-CN"/>
              </w:rPr>
              <w:t>评审</w:t>
            </w:r>
            <w:r>
              <w:rPr>
                <w:rFonts w:hint="eastAsia" w:ascii="宋体" w:hAnsi="宋体" w:cs="宋体"/>
                <w:b/>
                <w:bCs/>
                <w:color w:val="auto"/>
                <w:highlight w:val="none"/>
              </w:rPr>
              <w:t>视为不合格）</w:t>
            </w:r>
          </w:p>
        </w:tc>
      </w:tr>
      <w:tr w14:paraId="58114D8B">
        <w:tblPrEx>
          <w:tblCellMar>
            <w:top w:w="0" w:type="dxa"/>
            <w:left w:w="108" w:type="dxa"/>
            <w:bottom w:w="0" w:type="dxa"/>
            <w:right w:w="108" w:type="dxa"/>
          </w:tblCellMar>
        </w:tblPrEx>
        <w:trPr>
          <w:trHeight w:val="515"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53316341">
            <w:pPr>
              <w:keepNext w:val="0"/>
              <w:keepLines w:val="0"/>
              <w:pageBreakBefore w:val="0"/>
              <w:widowControl w:val="0"/>
              <w:kinsoku/>
              <w:wordWrap/>
              <w:overflowPunct/>
              <w:topLinePunct w:val="0"/>
              <w:bidi w:val="0"/>
              <w:spacing w:line="500" w:lineRule="exac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230D0365">
            <w:pPr>
              <w:keepNext w:val="0"/>
              <w:keepLines w:val="0"/>
              <w:pageBreakBefore w:val="0"/>
              <w:widowControl w:val="0"/>
              <w:kinsoku/>
              <w:wordWrap/>
              <w:overflowPunct/>
              <w:topLinePunct w:val="0"/>
              <w:bidi w:val="0"/>
              <w:spacing w:line="500" w:lineRule="exact"/>
              <w:rPr>
                <w:rFonts w:hint="eastAsia" w:ascii="宋体" w:hAnsi="宋体" w:cs="宋体"/>
                <w:color w:val="auto"/>
                <w:highlight w:val="none"/>
              </w:rPr>
            </w:pPr>
          </w:p>
        </w:tc>
        <w:tc>
          <w:tcPr>
            <w:tcW w:w="1963" w:type="dxa"/>
            <w:tcBorders>
              <w:top w:val="single" w:color="auto" w:sz="4" w:space="0"/>
              <w:left w:val="single" w:color="000000" w:sz="4" w:space="0"/>
              <w:bottom w:val="single" w:color="000000" w:sz="4" w:space="0"/>
              <w:right w:val="single" w:color="000000" w:sz="4" w:space="0"/>
            </w:tcBorders>
            <w:noWrap w:val="0"/>
            <w:vAlign w:val="center"/>
          </w:tcPr>
          <w:p w14:paraId="3FB22D6C">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响应函</w:t>
            </w:r>
          </w:p>
        </w:tc>
        <w:tc>
          <w:tcPr>
            <w:tcW w:w="5930" w:type="dxa"/>
            <w:tcBorders>
              <w:top w:val="single" w:color="auto" w:sz="4" w:space="0"/>
              <w:left w:val="single" w:color="000000" w:sz="4" w:space="0"/>
              <w:bottom w:val="single" w:color="000000" w:sz="4" w:space="0"/>
              <w:right w:val="single" w:color="000000" w:sz="4" w:space="0"/>
            </w:tcBorders>
            <w:noWrap w:val="0"/>
            <w:vAlign w:val="center"/>
          </w:tcPr>
          <w:p w14:paraId="6346E722">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0BF14CEF">
        <w:tblPrEx>
          <w:tblCellMar>
            <w:top w:w="0" w:type="dxa"/>
            <w:left w:w="108" w:type="dxa"/>
            <w:bottom w:w="0" w:type="dxa"/>
            <w:right w:w="108" w:type="dxa"/>
          </w:tblCellMar>
        </w:tblPrEx>
        <w:trPr>
          <w:trHeight w:val="546"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7CE9E113">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5C2C7A11">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0247AE93">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工程报价汇总表</w:t>
            </w:r>
          </w:p>
        </w:tc>
        <w:tc>
          <w:tcPr>
            <w:tcW w:w="5930" w:type="dxa"/>
            <w:tcBorders>
              <w:top w:val="single" w:color="000000" w:sz="4" w:space="0"/>
              <w:left w:val="single" w:color="000000" w:sz="4" w:space="0"/>
              <w:bottom w:val="single" w:color="000000" w:sz="4" w:space="0"/>
              <w:right w:val="single" w:color="000000" w:sz="4" w:space="0"/>
            </w:tcBorders>
            <w:noWrap w:val="0"/>
            <w:vAlign w:val="center"/>
          </w:tcPr>
          <w:p w14:paraId="1CCF0C6C">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0CF682E8">
        <w:tblPrEx>
          <w:tblCellMar>
            <w:top w:w="0" w:type="dxa"/>
            <w:left w:w="108" w:type="dxa"/>
            <w:bottom w:w="0" w:type="dxa"/>
            <w:right w:w="108" w:type="dxa"/>
          </w:tblCellMar>
        </w:tblPrEx>
        <w:trPr>
          <w:trHeight w:val="525"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480D3CFB">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0B50044F">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auto" w:sz="4" w:space="0"/>
              <w:right w:val="single" w:color="000000" w:sz="4" w:space="0"/>
            </w:tcBorders>
            <w:noWrap w:val="0"/>
            <w:vAlign w:val="center"/>
          </w:tcPr>
          <w:p w14:paraId="6744E720">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已标价工程量清单</w:t>
            </w:r>
          </w:p>
        </w:tc>
        <w:tc>
          <w:tcPr>
            <w:tcW w:w="5930" w:type="dxa"/>
            <w:tcBorders>
              <w:top w:val="single" w:color="000000" w:sz="4" w:space="0"/>
              <w:left w:val="single" w:color="000000" w:sz="4" w:space="0"/>
              <w:bottom w:val="single" w:color="000000" w:sz="4" w:space="0"/>
              <w:right w:val="single" w:color="000000" w:sz="4" w:space="0"/>
            </w:tcBorders>
            <w:noWrap w:val="0"/>
            <w:vAlign w:val="center"/>
          </w:tcPr>
          <w:p w14:paraId="40337B9B">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107FD67F">
        <w:tblPrEx>
          <w:tblCellMar>
            <w:top w:w="0" w:type="dxa"/>
            <w:left w:w="108" w:type="dxa"/>
            <w:bottom w:w="0" w:type="dxa"/>
            <w:right w:w="108" w:type="dxa"/>
          </w:tblCellMar>
        </w:tblPrEx>
        <w:trPr>
          <w:trHeight w:val="491"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49EE3517">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7C93131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auto" w:sz="4" w:space="0"/>
              <w:left w:val="single" w:color="000000" w:sz="4" w:space="0"/>
              <w:bottom w:val="single" w:color="auto" w:sz="4" w:space="0"/>
              <w:right w:val="single" w:color="000000" w:sz="4" w:space="0"/>
            </w:tcBorders>
            <w:noWrap w:val="0"/>
            <w:vAlign w:val="center"/>
          </w:tcPr>
          <w:p w14:paraId="340263B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拟投入主要施工管理人员</w:t>
            </w:r>
          </w:p>
        </w:tc>
        <w:tc>
          <w:tcPr>
            <w:tcW w:w="5930" w:type="dxa"/>
            <w:tcBorders>
              <w:top w:val="single" w:color="000000" w:sz="4" w:space="0"/>
              <w:left w:val="single" w:color="000000" w:sz="4" w:space="0"/>
              <w:bottom w:val="single" w:color="auto" w:sz="4" w:space="0"/>
              <w:right w:val="single" w:color="000000" w:sz="4" w:space="0"/>
            </w:tcBorders>
            <w:noWrap w:val="0"/>
            <w:vAlign w:val="center"/>
          </w:tcPr>
          <w:p w14:paraId="26585F4B">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符合采购文件要求</w:t>
            </w:r>
          </w:p>
        </w:tc>
      </w:tr>
      <w:tr w14:paraId="257E9D7D">
        <w:tblPrEx>
          <w:tblCellMar>
            <w:top w:w="0" w:type="dxa"/>
            <w:left w:w="108" w:type="dxa"/>
            <w:bottom w:w="0" w:type="dxa"/>
            <w:right w:w="108" w:type="dxa"/>
          </w:tblCellMar>
        </w:tblPrEx>
        <w:trPr>
          <w:trHeight w:val="429"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64B6D14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75B80DB2">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210BB10E">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项目经理</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2DF3B953">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符合采购文件要求</w:t>
            </w:r>
          </w:p>
        </w:tc>
      </w:tr>
      <w:tr w14:paraId="669671EC">
        <w:tblPrEx>
          <w:tblCellMar>
            <w:top w:w="0" w:type="dxa"/>
            <w:left w:w="108" w:type="dxa"/>
            <w:bottom w:w="0" w:type="dxa"/>
            <w:right w:w="108" w:type="dxa"/>
          </w:tblCellMar>
        </w:tblPrEx>
        <w:trPr>
          <w:trHeight w:val="470"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1ABA2922">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7DB6898F">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486D3FC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施工组织方案</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6DF74282">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0A3FB8E8">
        <w:tblPrEx>
          <w:tblCellMar>
            <w:top w:w="0" w:type="dxa"/>
            <w:left w:w="108" w:type="dxa"/>
            <w:bottom w:w="0" w:type="dxa"/>
            <w:right w:w="108" w:type="dxa"/>
          </w:tblCellMar>
        </w:tblPrEx>
        <w:trPr>
          <w:trHeight w:val="523"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25F6ACB9">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2A31F275">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4DA376E0">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建设工程项目管理承诺书</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79B98522">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507B7114">
        <w:tblPrEx>
          <w:tblCellMar>
            <w:top w:w="0" w:type="dxa"/>
            <w:left w:w="108" w:type="dxa"/>
            <w:bottom w:w="0" w:type="dxa"/>
            <w:right w:w="108" w:type="dxa"/>
          </w:tblCellMar>
        </w:tblPrEx>
        <w:trPr>
          <w:trHeight w:val="577"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3857DE9F">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64E6E803">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7009358A">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Cs w:val="21"/>
                <w:highlight w:val="none"/>
                <w:lang w:eastAsia="zh-CN"/>
              </w:rPr>
              <w:t>渣土清运承诺书</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7C63D175">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highlight w:val="none"/>
                <w:lang w:eastAsia="zh-CN"/>
              </w:rPr>
              <w:t>必须提供</w:t>
            </w:r>
          </w:p>
        </w:tc>
      </w:tr>
    </w:tbl>
    <w:p w14:paraId="3D0F3788">
      <w:pPr>
        <w:pStyle w:val="1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highlight w:val="none"/>
        </w:rPr>
      </w:pPr>
      <w:r>
        <w:rPr>
          <w:rFonts w:hint="eastAsia" w:hAnsi="宋体" w:eastAsia="宋体" w:cs="宋体"/>
          <w:b/>
          <w:bCs w:val="0"/>
          <w:color w:val="auto"/>
          <w:sz w:val="24"/>
          <w:szCs w:val="24"/>
          <w:highlight w:val="none"/>
          <w:lang w:eastAsia="zh-CN"/>
        </w:rPr>
        <w:t>详细评审：</w:t>
      </w:r>
    </w:p>
    <w:p w14:paraId="1F248C9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highlight w:val="none"/>
        </w:rPr>
      </w:pPr>
      <w:r>
        <w:rPr>
          <w:rFonts w:hint="eastAsia" w:ascii="宋体" w:hAnsi="宋体" w:eastAsia="宋体" w:cs="宋体"/>
          <w:b/>
          <w:color w:val="auto"/>
          <w:kern w:val="0"/>
          <w:sz w:val="24"/>
          <w:szCs w:val="21"/>
          <w:highlight w:val="none"/>
          <w:lang w:val="en-US" w:eastAsia="zh-CN" w:bidi="ar-SA"/>
        </w:rPr>
        <w:t>1、价格分………………………………………………………………………………满分30分</w:t>
      </w:r>
    </w:p>
    <w:p w14:paraId="0FDB2301">
      <w:pPr>
        <w:keepNext w:val="0"/>
        <w:keepLines w:val="0"/>
        <w:pageBreakBefore w:val="0"/>
        <w:widowControl w:val="0"/>
        <w:kinsoku/>
        <w:wordWrap/>
        <w:overflowPunct/>
        <w:topLinePunct w:val="0"/>
        <w:bidi w:val="0"/>
        <w:snapToGrid/>
        <w:spacing w:line="440" w:lineRule="exact"/>
        <w:ind w:firstLine="210" w:firstLineChars="1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（1）以进入综合评分环节的最低的评审报价为基准价，基准价报价得分为30分。</w:t>
      </w:r>
    </w:p>
    <w:p w14:paraId="46FE61C9">
      <w:pPr>
        <w:keepNext w:val="0"/>
        <w:keepLines w:val="0"/>
        <w:pageBreakBefore w:val="0"/>
        <w:widowControl w:val="0"/>
        <w:kinsoku/>
        <w:wordWrap/>
        <w:overflowPunct/>
        <w:topLinePunct w:val="0"/>
        <w:bidi w:val="0"/>
        <w:snapToGrid/>
        <w:spacing w:line="440" w:lineRule="exact"/>
        <w:ind w:firstLine="210" w:firstLineChars="1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（2）</w:t>
      </w:r>
      <w:r>
        <w:rPr>
          <w:rFonts w:hint="eastAsia" w:ascii="宋体" w:hAnsi="宋体" w:cs="宋体"/>
          <w:b w:val="0"/>
          <w:bCs/>
          <w:color w:val="auto"/>
          <w:highlight w:val="none"/>
          <w:lang w:val="en-US" w:eastAsia="zh-CN"/>
        </w:rPr>
        <w:t>某</w:t>
      </w:r>
      <w:r>
        <w:rPr>
          <w:rFonts w:hint="eastAsia" w:ascii="宋体" w:hAnsi="宋体" w:eastAsia="宋体" w:cs="宋体"/>
          <w:b w:val="0"/>
          <w:bCs/>
          <w:color w:val="auto"/>
          <w:highlight w:val="none"/>
        </w:rPr>
        <w:t>供应商磋商报价得分=（磋商基准价/供应商的评审报价）×30分。</w:t>
      </w:r>
    </w:p>
    <w:p w14:paraId="56C6C8E6">
      <w:pPr>
        <w:keepNext w:val="0"/>
        <w:keepLines w:val="0"/>
        <w:pageBreakBefore w:val="0"/>
        <w:widowControl w:val="0"/>
        <w:kinsoku/>
        <w:wordWrap/>
        <w:overflowPunct/>
        <w:topLinePunct w:val="0"/>
        <w:bidi w:val="0"/>
        <w:snapToGrid/>
        <w:spacing w:line="440" w:lineRule="exact"/>
        <w:ind w:firstLine="211" w:firstLineChars="100"/>
        <w:textAlignment w:val="auto"/>
        <w:rPr>
          <w:rFonts w:hint="eastAsia" w:ascii="宋体" w:hAnsi="宋体" w:eastAsia="宋体" w:cs="宋体"/>
          <w:b w:val="0"/>
          <w:bCs/>
          <w:color w:val="auto"/>
          <w:highlight w:val="none"/>
          <w:lang w:eastAsia="zh-CN"/>
        </w:rPr>
      </w:pPr>
      <w:r>
        <w:rPr>
          <w:rFonts w:hint="eastAsia" w:hAnsi="宋体" w:cs="宋体"/>
          <w:b/>
          <w:color w:val="auto"/>
          <w:sz w:val="21"/>
          <w:szCs w:val="21"/>
        </w:rPr>
        <w:t>注：评审时，为了避免价格的恶性竞争，保证工程项目的整体质量达到合格标准，如某一供应商的报价明显低于其他通过符合性审查供应商的报价或经评标委员会认定为低于成本报价时，评标委员会可要求其在规定时间内予以澄清说明；</w:t>
      </w:r>
      <w:r>
        <w:rPr>
          <w:rFonts w:hint="eastAsia" w:hAnsi="宋体" w:cs="宋体"/>
          <w:b/>
          <w:color w:val="auto"/>
          <w:szCs w:val="21"/>
        </w:rPr>
        <w:t>供应商不能证明其报价合理性的</w:t>
      </w:r>
      <w:r>
        <w:rPr>
          <w:rFonts w:hint="eastAsia" w:hAnsi="宋体" w:cs="宋体"/>
          <w:b/>
          <w:color w:val="auto"/>
          <w:sz w:val="21"/>
          <w:szCs w:val="21"/>
        </w:rPr>
        <w:t>，视为以低于企业成本报价恶意报价，</w:t>
      </w:r>
      <w:r>
        <w:rPr>
          <w:rFonts w:hint="eastAsia" w:hAnsi="宋体" w:cs="宋体"/>
          <w:b/>
          <w:color w:val="auto"/>
          <w:szCs w:val="21"/>
        </w:rPr>
        <w:t>磋商小组应当将其作为无效响应文件处理</w:t>
      </w:r>
      <w:r>
        <w:rPr>
          <w:rFonts w:hint="eastAsia" w:hAnsi="宋体" w:cs="宋体"/>
          <w:b/>
          <w:color w:val="auto"/>
          <w:szCs w:val="21"/>
          <w:lang w:eastAsia="zh-CN"/>
        </w:rPr>
        <w:t>。</w:t>
      </w:r>
    </w:p>
    <w:p w14:paraId="2E77269C">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highlight w:val="none"/>
        </w:rPr>
      </w:pPr>
      <w:r>
        <w:rPr>
          <w:rFonts w:hint="eastAsia" w:ascii="宋体" w:hAnsi="宋体" w:eastAsia="宋体" w:cs="宋体"/>
          <w:b/>
          <w:color w:val="auto"/>
          <w:kern w:val="0"/>
          <w:sz w:val="24"/>
          <w:szCs w:val="21"/>
          <w:highlight w:val="none"/>
          <w:lang w:val="en-US" w:eastAsia="zh-CN" w:bidi="ar-SA"/>
        </w:rPr>
        <w:t>2、技术分（施工组织技术方案）……………………………………………………满分</w:t>
      </w:r>
      <w:r>
        <w:rPr>
          <w:rFonts w:hint="eastAsia" w:ascii="宋体" w:hAnsi="宋体" w:cs="宋体"/>
          <w:b/>
          <w:color w:val="auto"/>
          <w:kern w:val="0"/>
          <w:sz w:val="24"/>
          <w:szCs w:val="21"/>
          <w:highlight w:val="none"/>
          <w:lang w:val="en-US" w:eastAsia="zh-CN" w:bidi="ar-SA"/>
        </w:rPr>
        <w:t>61</w:t>
      </w:r>
      <w:r>
        <w:rPr>
          <w:rFonts w:hint="eastAsia" w:ascii="宋体" w:hAnsi="宋体" w:eastAsia="宋体" w:cs="宋体"/>
          <w:b/>
          <w:color w:val="auto"/>
          <w:kern w:val="0"/>
          <w:sz w:val="24"/>
          <w:szCs w:val="21"/>
          <w:highlight w:val="none"/>
          <w:lang w:val="en-US" w:eastAsia="zh-CN" w:bidi="ar-SA"/>
        </w:rPr>
        <w:t>分</w:t>
      </w:r>
    </w:p>
    <w:p w14:paraId="46AD863C">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highlight w:val="none"/>
        </w:rPr>
        <w:t>（1）</w:t>
      </w:r>
      <w:r>
        <w:rPr>
          <w:rFonts w:hint="eastAsia" w:ascii="宋体" w:hAnsi="宋体" w:eastAsia="宋体" w:cs="宋体"/>
          <w:b/>
          <w:bCs w:val="0"/>
          <w:color w:val="auto"/>
          <w:szCs w:val="21"/>
          <w:highlight w:val="none"/>
        </w:rPr>
        <w:t>总体概述</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6FA7C27C">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优</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7</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：对项目总体有深刻认识，表达清晰、完整、严谨、合理，措施先进、具体、有效、成熟；施工段划分清晰、合理，符合规范要求</w:t>
      </w:r>
      <w:r>
        <w:rPr>
          <w:rFonts w:hint="eastAsia" w:ascii="宋体" w:hAnsi="宋体" w:eastAsia="宋体" w:cs="宋体"/>
          <w:b w:val="0"/>
          <w:bCs/>
          <w:color w:val="auto"/>
          <w:kern w:val="0"/>
          <w:szCs w:val="21"/>
          <w:highlight w:val="none"/>
          <w:lang w:eastAsia="zh-CN"/>
        </w:rPr>
        <w:t>；</w:t>
      </w:r>
    </w:p>
    <w:p w14:paraId="607D117F">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良</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5</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：对项目总体有一定认识，表达清晰、完整，措施具体有效；施工段划分清晰，符合规范要求</w:t>
      </w:r>
      <w:r>
        <w:rPr>
          <w:rFonts w:hint="eastAsia" w:ascii="宋体" w:hAnsi="宋体" w:eastAsia="宋体" w:cs="宋体"/>
          <w:b w:val="0"/>
          <w:bCs/>
          <w:color w:val="auto"/>
          <w:kern w:val="0"/>
          <w:szCs w:val="21"/>
          <w:highlight w:val="none"/>
          <w:lang w:eastAsia="zh-CN"/>
        </w:rPr>
        <w:t>；</w:t>
      </w:r>
    </w:p>
    <w:p w14:paraId="722F2BAE">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中</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3</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：对项目总体有认识，有一定的措施但部分不具体；施工段划分较合理，符合规范要求</w:t>
      </w:r>
      <w:r>
        <w:rPr>
          <w:rFonts w:hint="eastAsia" w:ascii="宋体" w:hAnsi="宋体" w:eastAsia="宋体" w:cs="宋体"/>
          <w:b w:val="0"/>
          <w:bCs/>
          <w:color w:val="auto"/>
          <w:kern w:val="0"/>
          <w:szCs w:val="21"/>
          <w:highlight w:val="none"/>
          <w:lang w:eastAsia="zh-CN"/>
        </w:rPr>
        <w:t>；</w:t>
      </w:r>
    </w:p>
    <w:p w14:paraId="0C59109B">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差</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1</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：对项目认识不足，表达不清晰，措施不具体；施工段划分不合理。</w:t>
      </w:r>
    </w:p>
    <w:p w14:paraId="75A6515A">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（2）主要施工方法…………</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9</w:t>
      </w:r>
      <w:r>
        <w:rPr>
          <w:rFonts w:hint="eastAsia" w:ascii="宋体" w:hAnsi="宋体" w:eastAsia="宋体" w:cs="宋体"/>
          <w:b/>
          <w:bCs w:val="0"/>
          <w:color w:val="auto"/>
          <w:szCs w:val="21"/>
          <w:highlight w:val="none"/>
        </w:rPr>
        <w:t>分</w:t>
      </w:r>
    </w:p>
    <w:p w14:paraId="73334289">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9</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：各主要分部施工方法符合项目实际，有详尽的施工技术方案，工艺先进、方法科学合理、可行，能指导具体施工并确保安全；</w:t>
      </w:r>
    </w:p>
    <w:p w14:paraId="38DB6A90">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6</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：各主要分部施工方法符合项目实际，有较详尽的施工技术方案，工艺较好、方法科学合理、可行，能指导具体施工并确保安全；</w:t>
      </w:r>
    </w:p>
    <w:p w14:paraId="18844963">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：各主要分部施工方法能满足项目需求，有施工技术方案，能指导具体施工并确保安全；</w:t>
      </w:r>
    </w:p>
    <w:p w14:paraId="643D768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：各主要分部施工方法不能满足项目需求，没有施工技术方案，不能指导具体施工并确保安全。</w:t>
      </w:r>
    </w:p>
    <w:p w14:paraId="1A4CBB00">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highlight w:val="none"/>
        </w:rPr>
      </w:pPr>
      <w:r>
        <w:rPr>
          <w:rFonts w:hint="eastAsia" w:ascii="宋体" w:hAnsi="宋体" w:eastAsia="宋体" w:cs="宋体"/>
          <w:b/>
          <w:bCs w:val="0"/>
          <w:color w:val="auto"/>
          <w:szCs w:val="21"/>
          <w:highlight w:val="none"/>
        </w:rPr>
        <w:t>（3）施工进度计划和各阶段进度的保证措施</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9</w:t>
      </w:r>
      <w:r>
        <w:rPr>
          <w:rFonts w:hint="eastAsia" w:ascii="宋体" w:hAnsi="宋体" w:eastAsia="宋体" w:cs="宋体"/>
          <w:b/>
          <w:bCs w:val="0"/>
          <w:color w:val="auto"/>
          <w:szCs w:val="21"/>
          <w:highlight w:val="none"/>
        </w:rPr>
        <w:t>分</w:t>
      </w:r>
    </w:p>
    <w:p w14:paraId="6974B1E7">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9</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szCs w:val="21"/>
          <w:highlight w:val="none"/>
        </w:rPr>
        <w:t>：关键线路清晰、准确、完整，计划编制合理、可行，关键节点的控制措施有力、合理、可行</w:t>
      </w:r>
      <w:r>
        <w:rPr>
          <w:rFonts w:hint="eastAsia" w:ascii="宋体" w:hAnsi="宋体" w:eastAsia="宋体" w:cs="宋体"/>
          <w:b w:val="0"/>
          <w:bCs/>
          <w:color w:val="auto"/>
          <w:szCs w:val="21"/>
          <w:highlight w:val="none"/>
          <w:lang w:eastAsia="zh-CN"/>
        </w:rPr>
        <w:t>；</w:t>
      </w:r>
    </w:p>
    <w:p w14:paraId="3C6CDB5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6</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szCs w:val="21"/>
          <w:highlight w:val="none"/>
        </w:rPr>
        <w:t>：关键线路清晰、准确、完整，计划编制可行，关键节点的控制措施合理、可行</w:t>
      </w:r>
      <w:r>
        <w:rPr>
          <w:rFonts w:hint="eastAsia" w:ascii="宋体" w:hAnsi="宋体" w:eastAsia="宋体" w:cs="宋体"/>
          <w:b w:val="0"/>
          <w:bCs/>
          <w:color w:val="auto"/>
          <w:szCs w:val="21"/>
          <w:highlight w:val="none"/>
          <w:lang w:eastAsia="zh-CN"/>
        </w:rPr>
        <w:t>；</w:t>
      </w:r>
    </w:p>
    <w:p w14:paraId="648BEC91">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3</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szCs w:val="21"/>
          <w:highlight w:val="none"/>
        </w:rPr>
        <w:t>：关键线路基本准确，计划编制合理，关键节点的控制措施基本可行</w:t>
      </w:r>
      <w:r>
        <w:rPr>
          <w:rFonts w:hint="eastAsia" w:ascii="宋体" w:hAnsi="宋体" w:eastAsia="宋体" w:cs="宋体"/>
          <w:b w:val="0"/>
          <w:bCs/>
          <w:color w:val="auto"/>
          <w:szCs w:val="21"/>
          <w:highlight w:val="none"/>
          <w:lang w:eastAsia="zh-CN"/>
        </w:rPr>
        <w:t>；</w:t>
      </w:r>
    </w:p>
    <w:p w14:paraId="63F36C9A">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：关键线路不准确，计划编制不合理，关键节点的控制不可行。</w:t>
      </w:r>
    </w:p>
    <w:p w14:paraId="05B7E721">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highlight w:val="none"/>
        </w:rPr>
      </w:pPr>
      <w:r>
        <w:rPr>
          <w:rFonts w:hint="eastAsia" w:ascii="宋体" w:hAnsi="宋体" w:eastAsia="宋体" w:cs="宋体"/>
          <w:b/>
          <w:bCs w:val="0"/>
          <w:color w:val="auto"/>
          <w:szCs w:val="21"/>
          <w:highlight w:val="none"/>
        </w:rPr>
        <w:t>（4）劳动力和材料投入计划及其保证措施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hAnsi="宋体" w:cs="宋体"/>
          <w:b/>
          <w:color w:val="auto"/>
          <w:highlight w:val="none"/>
          <w:lang w:val="en-US" w:eastAsia="zh-CN"/>
        </w:rPr>
        <w:t>6</w:t>
      </w:r>
      <w:r>
        <w:rPr>
          <w:rFonts w:hint="eastAsia" w:ascii="宋体" w:hAnsi="宋体" w:eastAsia="宋体" w:cs="宋体"/>
          <w:b/>
          <w:bCs w:val="0"/>
          <w:color w:val="auto"/>
          <w:szCs w:val="21"/>
          <w:highlight w:val="none"/>
        </w:rPr>
        <w:t>分</w:t>
      </w:r>
    </w:p>
    <w:p w14:paraId="6F30935B">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6</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：投入计划与进度计划呼应，较好满足施工需要，调配投入计划合理、准确</w:t>
      </w:r>
      <w:r>
        <w:rPr>
          <w:rFonts w:hint="eastAsia" w:ascii="宋体" w:hAnsi="宋体" w:eastAsia="宋体" w:cs="宋体"/>
          <w:b w:val="0"/>
          <w:bCs/>
          <w:color w:val="auto"/>
          <w:szCs w:val="21"/>
          <w:highlight w:val="none"/>
          <w:lang w:eastAsia="zh-CN"/>
        </w:rPr>
        <w:t>；</w:t>
      </w:r>
    </w:p>
    <w:p w14:paraId="728F56F4">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4</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：投入计划与进度计划呼应，基本满足施工需要，调配投入计划基本合理、准确</w:t>
      </w:r>
      <w:r>
        <w:rPr>
          <w:rFonts w:hint="eastAsia" w:ascii="宋体" w:hAnsi="宋体" w:eastAsia="宋体" w:cs="宋体"/>
          <w:b w:val="0"/>
          <w:bCs/>
          <w:color w:val="auto"/>
          <w:szCs w:val="21"/>
          <w:highlight w:val="none"/>
          <w:lang w:eastAsia="zh-CN"/>
        </w:rPr>
        <w:t>；</w:t>
      </w:r>
    </w:p>
    <w:p w14:paraId="6E7BD71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：投入计划与进度计划呼应，基本满足施工需要，调配投入计划基本合理</w:t>
      </w:r>
      <w:r>
        <w:rPr>
          <w:rFonts w:hint="eastAsia" w:ascii="宋体" w:hAnsi="宋体" w:eastAsia="宋体" w:cs="宋体"/>
          <w:b w:val="0"/>
          <w:bCs/>
          <w:color w:val="auto"/>
          <w:szCs w:val="21"/>
          <w:highlight w:val="none"/>
          <w:lang w:eastAsia="zh-CN"/>
        </w:rPr>
        <w:t>；</w:t>
      </w:r>
    </w:p>
    <w:p w14:paraId="1F64391C">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eastAsia="宋体" w:cs="宋体"/>
          <w:b w:val="0"/>
          <w:bCs/>
          <w:color w:val="auto"/>
          <w:szCs w:val="21"/>
          <w:highlight w:val="none"/>
          <w:lang w:val="en-US" w:eastAsia="zh-CN"/>
        </w:rPr>
        <w:t>0</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：投入计划与进度计划不呼应，不能满足施工需要。</w:t>
      </w:r>
    </w:p>
    <w:p w14:paraId="7E50DD65">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（5）施工平面布置和临时设施布置</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3551E3CD">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：总体布置有针对性、合理，较好满足施工需要，符合安全、文明生产要求</w:t>
      </w:r>
      <w:r>
        <w:rPr>
          <w:rFonts w:hint="eastAsia" w:ascii="宋体" w:hAnsi="宋体" w:eastAsia="宋体" w:cs="宋体"/>
          <w:b w:val="0"/>
          <w:bCs/>
          <w:color w:val="auto"/>
          <w:szCs w:val="21"/>
          <w:highlight w:val="none"/>
          <w:lang w:eastAsia="zh-CN"/>
        </w:rPr>
        <w:t>；</w:t>
      </w:r>
    </w:p>
    <w:p w14:paraId="3DB64F3E">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：总体布置合理，能满足施工需要，基本符合安全、文明生产要求</w:t>
      </w:r>
      <w:r>
        <w:rPr>
          <w:rFonts w:hint="eastAsia" w:ascii="宋体" w:hAnsi="宋体" w:eastAsia="宋体" w:cs="宋体"/>
          <w:b w:val="0"/>
          <w:bCs/>
          <w:color w:val="auto"/>
          <w:szCs w:val="21"/>
          <w:highlight w:val="none"/>
          <w:lang w:eastAsia="zh-CN"/>
        </w:rPr>
        <w:t>；</w:t>
      </w:r>
    </w:p>
    <w:p w14:paraId="46CB23A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：总体布置基本合理，基本满足施工需要</w:t>
      </w:r>
      <w:r>
        <w:rPr>
          <w:rFonts w:hint="eastAsia" w:ascii="宋体" w:hAnsi="宋体" w:eastAsia="宋体" w:cs="宋体"/>
          <w:b w:val="0"/>
          <w:bCs/>
          <w:color w:val="auto"/>
          <w:szCs w:val="21"/>
          <w:highlight w:val="none"/>
          <w:lang w:eastAsia="zh-CN"/>
        </w:rPr>
        <w:t>；</w:t>
      </w:r>
    </w:p>
    <w:p w14:paraId="7F533B3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：总体布置不合理，不符合安全、文明生产要求。</w:t>
      </w:r>
    </w:p>
    <w:p w14:paraId="0F1D6F72">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（6）关键施工技术、工艺及工程实施的重点、难点和解决方案</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08A99777">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：对项目关键技术、工艺有深入的表达，对重点、难点有先进合理的施工措施并有可行的安全措施，解决方案完整、经济、安全、切实可行，措施得力。</w:t>
      </w:r>
    </w:p>
    <w:p w14:paraId="360613CF">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：对项目关键技术、工艺有深入的表达，对重点、难点有合理的建议，解决方案经济、安全、基本可行。</w:t>
      </w:r>
    </w:p>
    <w:p w14:paraId="240E6F96">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：对项目关键技术有一定了解，对重点、难点有建议，解决方案基本可行。</w:t>
      </w:r>
    </w:p>
    <w:p w14:paraId="4D51BE01">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：对项目关键技术有表述，对重点、难点有建议，解决方案不可行。</w:t>
      </w:r>
    </w:p>
    <w:p w14:paraId="66D82923">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kern w:val="0"/>
          <w:szCs w:val="21"/>
          <w:highlight w:val="none"/>
        </w:rPr>
        <w:t>（7）安全文明施工措施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szCs w:val="21"/>
          <w:highlight w:val="none"/>
          <w:lang w:val="en-US" w:eastAsia="zh-CN"/>
        </w:rPr>
        <w:t>7</w:t>
      </w:r>
      <w:r>
        <w:rPr>
          <w:rFonts w:hint="eastAsia" w:ascii="宋体" w:hAnsi="宋体" w:eastAsia="宋体" w:cs="宋体"/>
          <w:b/>
          <w:bCs w:val="0"/>
          <w:color w:val="auto"/>
          <w:szCs w:val="21"/>
          <w:highlight w:val="none"/>
        </w:rPr>
        <w:t>分</w:t>
      </w:r>
    </w:p>
    <w:p w14:paraId="2962874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：针对项目实际情况，有先进、具体、完整、可行的实施措施，采用规范正确、清晰。</w:t>
      </w:r>
    </w:p>
    <w:p w14:paraId="4BA99C00">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：针对项目实际情况，有合理的措施且具体、完整，采用规范正确。</w:t>
      </w:r>
    </w:p>
    <w:p w14:paraId="0A03E043">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：有基本合理的措施，采用规范正确。</w:t>
      </w:r>
    </w:p>
    <w:p w14:paraId="35449A1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：安全文明措施不得力，采用规范不正确。</w:t>
      </w:r>
    </w:p>
    <w:p w14:paraId="6ED15D14">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（8）质量保证与承诺</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5B92B94A">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：针对项目实际提出先进、可行、具体的保证措施，超过招标文件的质量要求及施工验收规范要求。</w:t>
      </w:r>
    </w:p>
    <w:p w14:paraId="191A8664">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：针对项目实际提出先进、可行、具体的保证措施，满足招标文件的质量要求。</w:t>
      </w:r>
    </w:p>
    <w:p w14:paraId="115B3923">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eastAsia="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：具体措施可行，满足招标文件的质量要求。</w:t>
      </w:r>
    </w:p>
    <w:p w14:paraId="387090DF">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0</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：措施不可行。</w:t>
      </w:r>
    </w:p>
    <w:p w14:paraId="6587035C">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（9）新技术应用与承诺</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hAnsi="宋体" w:cs="宋体"/>
          <w:b/>
          <w:bCs w:val="0"/>
          <w:color w:val="auto"/>
          <w:highlight w:val="none"/>
          <w:lang w:val="en-US" w:eastAsia="zh-CN"/>
        </w:rPr>
        <w:t>4</w:t>
      </w:r>
      <w:r>
        <w:rPr>
          <w:rFonts w:hint="eastAsia" w:ascii="宋体" w:hAnsi="宋体" w:eastAsia="宋体" w:cs="宋体"/>
          <w:b/>
          <w:bCs w:val="0"/>
          <w:color w:val="auto"/>
          <w:szCs w:val="21"/>
          <w:highlight w:val="none"/>
        </w:rPr>
        <w:t>分</w:t>
      </w:r>
    </w:p>
    <w:p w14:paraId="37A98EF1">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highlight w:val="none"/>
        </w:rPr>
      </w:pPr>
      <w:r>
        <w:rPr>
          <w:rFonts w:hint="eastAsia" w:ascii="宋体" w:hAnsi="宋体" w:eastAsia="宋体" w:cs="宋体"/>
          <w:color w:val="auto"/>
          <w:highlight w:val="none"/>
        </w:rPr>
        <w:t>优</w:t>
      </w:r>
      <w:r>
        <w:rPr>
          <w:rFonts w:hint="eastAsia" w:ascii="宋体" w:hAnsi="宋体" w:eastAsia="宋体" w:cs="宋体"/>
          <w:color w:val="auto"/>
          <w:highlight w:val="none"/>
          <w:lang w:eastAsia="zh-CN"/>
        </w:rPr>
        <w:t>（</w:t>
      </w:r>
      <w:r>
        <w:rPr>
          <w:rFonts w:hint="eastAsia" w:hAnsi="宋体" w:cs="宋体"/>
          <w:color w:val="auto"/>
          <w:highlight w:val="none"/>
          <w:lang w:val="en-US" w:eastAsia="zh-CN"/>
        </w:rPr>
        <w:t>4</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：针对项目实际，提出采用新技术的具体措施。新技术的验证材料可靠，对节约投资和工期的保证措施得力、具体、严谨。对采用新技术可能产生的风险预见充分，对新技术的实施有安全生产的可靠方案。</w:t>
      </w:r>
    </w:p>
    <w:p w14:paraId="78583ACB">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highlight w:val="none"/>
        </w:rPr>
      </w:pPr>
      <w:r>
        <w:rPr>
          <w:rFonts w:hint="eastAsia" w:ascii="宋体" w:hAnsi="宋体" w:eastAsia="宋体" w:cs="宋体"/>
          <w:color w:val="auto"/>
          <w:highlight w:val="none"/>
        </w:rPr>
        <w:t>良</w:t>
      </w:r>
      <w:r>
        <w:rPr>
          <w:rFonts w:hint="eastAsia" w:ascii="宋体" w:hAnsi="宋体" w:eastAsia="宋体" w:cs="宋体"/>
          <w:color w:val="auto"/>
          <w:highlight w:val="none"/>
          <w:lang w:eastAsia="zh-CN"/>
        </w:rPr>
        <w:t>（</w:t>
      </w:r>
      <w:r>
        <w:rPr>
          <w:rFonts w:hint="eastAsia"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：针对项目实际，提出采用新技术的具体措施。新技术的验证材料可靠，对节约投资和工期有保证措施。对采用新技术可能产生的风险有一定的预见。</w:t>
      </w:r>
    </w:p>
    <w:p w14:paraId="7060C71D">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sz w:val="21"/>
          <w:szCs w:val="21"/>
          <w:highlight w:val="none"/>
        </w:rPr>
      </w:pPr>
      <w:r>
        <w:rPr>
          <w:rFonts w:hint="eastAsia" w:ascii="宋体" w:hAnsi="宋体" w:eastAsia="宋体" w:cs="宋体"/>
          <w:color w:val="auto"/>
          <w:highlight w:val="none"/>
        </w:rPr>
        <w:t>中</w:t>
      </w:r>
      <w:r>
        <w:rPr>
          <w:rFonts w:hint="eastAsia" w:ascii="宋体" w:hAnsi="宋体" w:eastAsia="宋体" w:cs="宋体"/>
          <w:color w:val="auto"/>
          <w:highlight w:val="none"/>
          <w:lang w:eastAsia="zh-CN"/>
        </w:rPr>
        <w:t>（</w:t>
      </w:r>
      <w:r>
        <w:rPr>
          <w:rFonts w:hint="eastAsia" w:hAnsi="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：有新技术措施，但验证材料不充分，对节约投资和工期可能有一定收益，对</w:t>
      </w:r>
      <w:r>
        <w:rPr>
          <w:rFonts w:hint="eastAsia" w:ascii="宋体" w:hAnsi="宋体" w:eastAsia="宋体" w:cs="宋体"/>
          <w:color w:val="auto"/>
          <w:sz w:val="21"/>
          <w:szCs w:val="21"/>
          <w:highlight w:val="none"/>
        </w:rPr>
        <w:t>采用新技术可能产生的风险预见不足。</w:t>
      </w:r>
    </w:p>
    <w:p w14:paraId="48ECB79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：采用的新技术针对性不强或验证材料不可靠，对节约投资和工期没有具体收益。</w:t>
      </w:r>
    </w:p>
    <w:p w14:paraId="71A9CD03">
      <w:pPr>
        <w:keepNext w:val="0"/>
        <w:keepLines w:val="0"/>
        <w:pageBreakBefore w:val="0"/>
        <w:widowControl w:val="0"/>
        <w:kinsoku/>
        <w:wordWrap/>
        <w:overflowPunct/>
        <w:topLinePunct w:val="0"/>
        <w:bidi w:val="0"/>
        <w:snapToGrid/>
        <w:spacing w:line="440" w:lineRule="exact"/>
        <w:ind w:firstLine="316" w:firstLineChars="150"/>
        <w:textAlignment w:val="auto"/>
        <w:outlineLvl w:val="9"/>
        <w:rPr>
          <w:rFonts w:hint="eastAsia" w:ascii="宋体" w:hAnsi="宋体" w:eastAsia="宋体" w:cs="宋体"/>
          <w:b/>
          <w:bCs/>
          <w:color w:val="auto"/>
          <w:kern w:val="0"/>
          <w:sz w:val="21"/>
          <w:szCs w:val="21"/>
          <w:highlight w:val="none"/>
        </w:rPr>
      </w:pPr>
      <w:bookmarkStart w:id="146" w:name="_Toc7396"/>
      <w:r>
        <w:rPr>
          <w:rFonts w:hint="eastAsia" w:ascii="宋体" w:hAnsi="宋体" w:eastAsia="宋体" w:cs="宋体"/>
          <w:b/>
          <w:color w:val="auto"/>
          <w:kern w:val="0"/>
          <w:sz w:val="21"/>
          <w:szCs w:val="21"/>
          <w:highlight w:val="none"/>
        </w:rPr>
        <w:t>注：</w:t>
      </w:r>
      <w:r>
        <w:rPr>
          <w:rFonts w:hint="eastAsia" w:ascii="宋体" w:hAnsi="宋体" w:eastAsia="宋体" w:cs="宋体"/>
          <w:b/>
          <w:bCs/>
          <w:color w:val="auto"/>
          <w:kern w:val="0"/>
          <w:sz w:val="21"/>
          <w:szCs w:val="21"/>
          <w:highlight w:val="none"/>
        </w:rPr>
        <w:t>供应商未提供上述“施工组织技术方案”相应内容的，相应项不得分。</w:t>
      </w:r>
      <w:bookmarkEnd w:id="146"/>
    </w:p>
    <w:p w14:paraId="70B8C27C">
      <w:pPr>
        <w:keepNext w:val="0"/>
        <w:keepLines w:val="0"/>
        <w:pageBreakBefore w:val="0"/>
        <w:widowControl w:val="0"/>
        <w:kinsoku/>
        <w:wordWrap/>
        <w:overflowPunct/>
        <w:topLinePunct w:val="0"/>
        <w:bidi w:val="0"/>
        <w:snapToGrid/>
        <w:spacing w:line="440" w:lineRule="exact"/>
        <w:textAlignment w:val="auto"/>
        <w:rPr>
          <w:rFonts w:hint="eastAsia" w:cs="宋体"/>
          <w:b/>
          <w:color w:val="auto"/>
          <w:szCs w:val="21"/>
          <w:highlight w:val="none"/>
          <w:lang w:val="en-US" w:eastAsia="zh-CN"/>
        </w:rPr>
      </w:pPr>
      <w:r>
        <w:rPr>
          <w:rFonts w:hint="eastAsia" w:ascii="宋体" w:hAnsi="宋体" w:eastAsia="宋体" w:cs="宋体"/>
          <w:b/>
          <w:color w:val="auto"/>
          <w:kern w:val="0"/>
          <w:sz w:val="24"/>
          <w:szCs w:val="21"/>
          <w:highlight w:val="none"/>
          <w:lang w:val="en-US" w:eastAsia="zh-CN" w:bidi="ar-SA"/>
        </w:rPr>
        <w:t>3、业绩分</w:t>
      </w:r>
      <w:r>
        <w:rPr>
          <w:rFonts w:hint="eastAsia" w:ascii="宋体" w:hAnsi="宋体" w:eastAsia="宋体" w:cs="宋体"/>
          <w:b/>
          <w:color w:val="auto"/>
          <w:highlight w:val="none"/>
        </w:rPr>
        <w:t>……………………………………………………………………………</w:t>
      </w:r>
      <w:r>
        <w:rPr>
          <w:rFonts w:hint="eastAsia" w:ascii="宋体" w:hAnsi="宋体" w:eastAsia="宋体" w:cs="宋体"/>
          <w:b/>
          <w:color w:val="auto"/>
          <w:kern w:val="0"/>
          <w:sz w:val="24"/>
          <w:szCs w:val="21"/>
          <w:highlight w:val="none"/>
          <w:lang w:val="en-US" w:eastAsia="zh-CN" w:bidi="ar-SA"/>
        </w:rPr>
        <w:t>满分</w:t>
      </w:r>
      <w:r>
        <w:rPr>
          <w:rFonts w:hint="eastAsia" w:cs="宋体"/>
          <w:b/>
          <w:color w:val="auto"/>
          <w:kern w:val="0"/>
          <w:sz w:val="24"/>
          <w:szCs w:val="21"/>
          <w:highlight w:val="none"/>
          <w:lang w:val="en-US" w:eastAsia="zh-CN" w:bidi="ar-SA"/>
        </w:rPr>
        <w:t>9</w:t>
      </w:r>
      <w:r>
        <w:rPr>
          <w:rFonts w:hint="eastAsia" w:ascii="宋体" w:hAnsi="宋体" w:eastAsia="宋体" w:cs="宋体"/>
          <w:b/>
          <w:color w:val="auto"/>
          <w:kern w:val="0"/>
          <w:sz w:val="24"/>
          <w:szCs w:val="21"/>
          <w:highlight w:val="none"/>
          <w:lang w:val="en-US" w:eastAsia="zh-CN" w:bidi="ar-SA"/>
        </w:rPr>
        <w:t>分</w:t>
      </w:r>
    </w:p>
    <w:p w14:paraId="60120FF7">
      <w:pPr>
        <w:tabs>
          <w:tab w:val="left" w:pos="1305"/>
        </w:tabs>
        <w:spacing w:line="420" w:lineRule="exact"/>
        <w:ind w:firstLine="210" w:firstLineChars="100"/>
        <w:rPr>
          <w:rFonts w:hint="eastAsia" w:ascii="宋体" w:hAnsi="宋体" w:eastAsia="宋体" w:cs="宋体"/>
          <w:b/>
          <w:color w:val="auto"/>
          <w:kern w:val="0"/>
          <w:sz w:val="24"/>
          <w:szCs w:val="21"/>
          <w:highlight w:val="none"/>
          <w:lang w:val="en-US" w:eastAsia="zh-CN" w:bidi="ar-SA"/>
        </w:rPr>
      </w:pPr>
      <w:r>
        <w:rPr>
          <w:rFonts w:hint="eastAsia" w:ascii="宋体" w:hAnsi="宋体" w:cs="宋体"/>
          <w:bCs/>
          <w:color w:val="auto"/>
        </w:rPr>
        <w:t xml:space="preserve"> </w:t>
      </w:r>
      <w:r>
        <w:rPr>
          <w:rFonts w:hint="eastAsia" w:ascii="宋体" w:hAnsi="宋体" w:eastAsia="宋体" w:cs="宋体"/>
          <w:bCs/>
          <w:color w:val="auto"/>
          <w:kern w:val="2"/>
          <w:sz w:val="21"/>
          <w:szCs w:val="24"/>
          <w:lang w:val="en-US" w:eastAsia="zh-CN" w:bidi="ar-SA"/>
        </w:rPr>
        <w:t xml:space="preserve"> 供应商</w:t>
      </w:r>
      <w:r>
        <w:rPr>
          <w:rFonts w:hint="eastAsia" w:ascii="宋体" w:hAnsi="宋体" w:cs="宋体"/>
          <w:bCs/>
          <w:color w:val="auto"/>
          <w:lang w:val="en-US" w:eastAsia="zh-CN"/>
        </w:rPr>
        <w:t>2023年1月1日</w:t>
      </w:r>
      <w:r>
        <w:rPr>
          <w:rFonts w:hint="eastAsia" w:ascii="宋体" w:hAnsi="宋体" w:eastAsia="宋体" w:cs="宋体"/>
          <w:bCs/>
          <w:color w:val="auto"/>
          <w:kern w:val="2"/>
          <w:sz w:val="21"/>
          <w:szCs w:val="24"/>
          <w:lang w:val="en-US" w:eastAsia="zh-CN" w:bidi="ar-SA"/>
        </w:rPr>
        <w:t>以来具有类似工程业绩（无不良记录，以中标（成交）通知书或签订的合同或竣工证明文件为准，并能清晰反映项目的名称、采购内容、采购金额、签订时间，否则将不予评审，同一个编号的项目有两个或两个以上的分标中标的只算一次】,每提供1个得</w:t>
      </w:r>
      <w:r>
        <w:rPr>
          <w:rFonts w:hint="eastAsia" w:ascii="宋体" w:hAnsi="宋体" w:cs="宋体"/>
          <w:bCs/>
          <w:color w:val="auto"/>
          <w:kern w:val="2"/>
          <w:sz w:val="21"/>
          <w:szCs w:val="24"/>
          <w:lang w:val="en-US" w:eastAsia="zh-CN" w:bidi="ar-SA"/>
        </w:rPr>
        <w:t>3</w:t>
      </w:r>
      <w:r>
        <w:rPr>
          <w:rFonts w:hint="eastAsia" w:ascii="宋体" w:hAnsi="宋体" w:eastAsia="宋体" w:cs="宋体"/>
          <w:bCs/>
          <w:color w:val="auto"/>
          <w:kern w:val="2"/>
          <w:sz w:val="21"/>
          <w:szCs w:val="24"/>
          <w:lang w:val="en-US" w:eastAsia="zh-CN" w:bidi="ar-SA"/>
        </w:rPr>
        <w:t>分，最多得</w:t>
      </w:r>
      <w:r>
        <w:rPr>
          <w:rFonts w:hint="eastAsia" w:ascii="宋体" w:hAnsi="宋体" w:cs="宋体"/>
          <w:bCs/>
          <w:color w:val="auto"/>
          <w:kern w:val="2"/>
          <w:sz w:val="21"/>
          <w:szCs w:val="24"/>
          <w:lang w:val="en-US" w:eastAsia="zh-CN" w:bidi="ar-SA"/>
        </w:rPr>
        <w:t>9</w:t>
      </w:r>
      <w:r>
        <w:rPr>
          <w:rFonts w:hint="eastAsia" w:ascii="宋体" w:hAnsi="宋体" w:eastAsia="宋体" w:cs="宋体"/>
          <w:bCs/>
          <w:color w:val="auto"/>
          <w:kern w:val="2"/>
          <w:sz w:val="21"/>
          <w:szCs w:val="24"/>
          <w:lang w:val="en-US" w:eastAsia="zh-CN" w:bidi="ar-SA"/>
        </w:rPr>
        <w:t>分。</w:t>
      </w:r>
    </w:p>
    <w:p w14:paraId="649A7EF7">
      <w:pPr>
        <w:keepNext w:val="0"/>
        <w:keepLines w:val="0"/>
        <w:pageBreakBefore w:val="0"/>
        <w:widowControl w:val="0"/>
        <w:kinsoku/>
        <w:wordWrap/>
        <w:overflowPunct/>
        <w:topLinePunct w:val="0"/>
        <w:bidi w:val="0"/>
        <w:snapToGrid/>
        <w:spacing w:line="440" w:lineRule="exact"/>
        <w:textAlignment w:val="auto"/>
        <w:rPr>
          <w:rFonts w:hint="default" w:ascii="宋体" w:hAnsi="宋体" w:eastAsia="宋体" w:cs="宋体"/>
          <w:b/>
          <w:color w:val="auto"/>
          <w:kern w:val="0"/>
          <w:sz w:val="24"/>
          <w:szCs w:val="21"/>
          <w:highlight w:val="none"/>
          <w:lang w:val="en-US" w:eastAsia="zh-CN" w:bidi="ar-SA"/>
        </w:rPr>
      </w:pPr>
      <w:r>
        <w:rPr>
          <w:rFonts w:hint="eastAsia" w:ascii="宋体" w:hAnsi="宋体" w:cs="宋体"/>
          <w:b/>
          <w:color w:val="auto"/>
          <w:kern w:val="0"/>
          <w:sz w:val="24"/>
          <w:szCs w:val="21"/>
          <w:highlight w:val="none"/>
          <w:lang w:val="en-US" w:eastAsia="zh-CN" w:bidi="ar-SA"/>
        </w:rPr>
        <w:t>4</w:t>
      </w:r>
      <w:r>
        <w:rPr>
          <w:rFonts w:hint="eastAsia" w:ascii="宋体" w:hAnsi="宋体" w:eastAsia="宋体" w:cs="宋体"/>
          <w:b/>
          <w:color w:val="auto"/>
          <w:kern w:val="0"/>
          <w:sz w:val="24"/>
          <w:szCs w:val="21"/>
          <w:highlight w:val="none"/>
          <w:lang w:val="en-US" w:eastAsia="zh-CN" w:bidi="ar-SA"/>
        </w:rPr>
        <w:t>、综合得分＝1+2+3</w:t>
      </w:r>
    </w:p>
    <w:p w14:paraId="53FA7508">
      <w:pPr>
        <w:keepNext w:val="0"/>
        <w:keepLines w:val="0"/>
        <w:pageBreakBefore w:val="0"/>
        <w:widowControl w:val="0"/>
        <w:tabs>
          <w:tab w:val="left" w:pos="1305"/>
        </w:tabs>
        <w:kinsoku/>
        <w:wordWrap/>
        <w:overflowPunct/>
        <w:topLinePunct w:val="0"/>
        <w:bidi w:val="0"/>
        <w:snapToGrid/>
        <w:spacing w:line="440" w:lineRule="exact"/>
        <w:ind w:firstLine="211" w:firstLineChars="1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推荐成交候选人原则</w:t>
      </w:r>
    </w:p>
    <w:p w14:paraId="6E336FF9">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（1）磋商小组应当根据综合评分情况，按照综合得分由高到低顺序推荐三名成交候选供应商，并编写评审报告。磋商小组根据综合得分由高到低排列次序，若得分相同时，以最后报价由低到高顺序排列；</w:t>
      </w:r>
      <w:r>
        <w:rPr>
          <w:rFonts w:hint="eastAsia" w:ascii="宋体" w:hAnsi="宋体" w:eastAsia="宋体" w:cs="宋体"/>
          <w:color w:val="auto"/>
          <w:szCs w:val="21"/>
          <w:highlight w:val="none"/>
        </w:rPr>
        <w:t>若仍相同的，依次按技术分、</w:t>
      </w:r>
      <w:r>
        <w:rPr>
          <w:rFonts w:hint="eastAsia" w:ascii="宋体" w:hAnsi="宋体" w:eastAsia="宋体" w:cs="宋体"/>
          <w:color w:val="auto"/>
          <w:szCs w:val="21"/>
          <w:highlight w:val="none"/>
          <w:lang w:val="en-US" w:eastAsia="zh-CN"/>
        </w:rPr>
        <w:t>企业信誉实力</w:t>
      </w:r>
      <w:r>
        <w:rPr>
          <w:rFonts w:hint="eastAsia" w:ascii="宋体" w:hAnsi="宋体" w:eastAsia="宋体" w:cs="宋体"/>
          <w:color w:val="auto"/>
          <w:szCs w:val="21"/>
          <w:highlight w:val="none"/>
        </w:rPr>
        <w:t>分由高到低顺序排列并推荐成交候选供应商</w:t>
      </w:r>
      <w:r>
        <w:rPr>
          <w:rFonts w:hint="eastAsia" w:ascii="宋体" w:hAnsi="宋体" w:eastAsia="宋体" w:cs="宋体"/>
          <w:color w:val="auto"/>
          <w:sz w:val="21"/>
          <w:szCs w:val="21"/>
          <w:highlight w:val="none"/>
        </w:rPr>
        <w:t>。</w:t>
      </w:r>
    </w:p>
    <w:p w14:paraId="70E314DA">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（2）采购人应当确定磋商小组推荐排名第一的成交候选供应商为成交供应商。</w:t>
      </w:r>
    </w:p>
    <w:p w14:paraId="23802F71">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7CAE948B">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17A3191E">
      <w:pPr>
        <w:rPr>
          <w:rFonts w:hint="eastAsia"/>
          <w:color w:val="auto"/>
          <w:highlight w:val="none"/>
        </w:rPr>
      </w:pPr>
      <w:r>
        <w:rPr>
          <w:rFonts w:hint="eastAsia"/>
          <w:color w:val="auto"/>
          <w:highlight w:val="none"/>
        </w:rPr>
        <w:br w:type="page"/>
      </w:r>
    </w:p>
    <w:p w14:paraId="2200CCCC">
      <w:pPr>
        <w:pStyle w:val="2"/>
        <w:keepNext w:val="0"/>
        <w:keepLines w:val="0"/>
        <w:pageBreakBefore w:val="0"/>
        <w:widowControl w:val="0"/>
        <w:numPr>
          <w:ilvl w:val="0"/>
          <w:numId w:val="0"/>
        </w:numPr>
        <w:tabs>
          <w:tab w:val="left" w:pos="0"/>
        </w:tabs>
        <w:wordWrap/>
        <w:topLinePunct w:val="0"/>
        <w:autoSpaceDE w:val="0"/>
        <w:autoSpaceDN w:val="0"/>
        <w:bidi w:val="0"/>
        <w:adjustRightInd w:val="0"/>
        <w:spacing w:before="0" w:after="0" w:line="360" w:lineRule="auto"/>
        <w:jc w:val="center"/>
        <w:rPr>
          <w:rFonts w:hint="eastAsia" w:ascii="宋体" w:hAnsi="宋体" w:eastAsia="宋体" w:cs="宋体"/>
          <w:color w:val="auto"/>
          <w:sz w:val="32"/>
          <w:szCs w:val="32"/>
          <w:highlight w:val="none"/>
        </w:rPr>
      </w:pPr>
      <w:bookmarkStart w:id="147" w:name="_Toc8466"/>
      <w:bookmarkStart w:id="148" w:name="_Toc4774"/>
      <w:bookmarkStart w:id="149" w:name="_Toc25717"/>
      <w:bookmarkStart w:id="150" w:name="_Toc31422"/>
      <w:r>
        <w:rPr>
          <w:rFonts w:hint="eastAsia" w:ascii="宋体" w:hAnsi="宋体" w:eastAsia="宋体" w:cs="宋体"/>
          <w:color w:val="auto"/>
          <w:sz w:val="32"/>
          <w:szCs w:val="32"/>
          <w:highlight w:val="none"/>
          <w:lang w:eastAsia="zh-CN"/>
        </w:rPr>
        <w:t>第五章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采购合同（合同主要条款及格式）</w:t>
      </w:r>
      <w:bookmarkEnd w:id="147"/>
      <w:bookmarkEnd w:id="148"/>
      <w:bookmarkEnd w:id="149"/>
      <w:bookmarkEnd w:id="150"/>
    </w:p>
    <w:p w14:paraId="608C4868">
      <w:pPr>
        <w:pStyle w:val="46"/>
        <w:keepNext w:val="0"/>
        <w:keepLines w:val="0"/>
        <w:pageBreakBefore w:val="0"/>
        <w:widowControl w:val="0"/>
        <w:numPr>
          <w:ilvl w:val="0"/>
          <w:numId w:val="4"/>
        </w:numPr>
        <w:wordWrap/>
        <w:topLinePunct w:val="0"/>
        <w:bidi w:val="0"/>
        <w:spacing w:line="340" w:lineRule="exact"/>
        <w:jc w:val="center"/>
        <w:outlineLvl w:val="1"/>
        <w:rPr>
          <w:rFonts w:ascii="宋体"/>
          <w:color w:val="auto"/>
          <w:sz w:val="32"/>
          <w:highlight w:val="none"/>
        </w:rPr>
      </w:pPr>
      <w:bookmarkStart w:id="151" w:name="_Toc13895"/>
      <w:bookmarkStart w:id="152" w:name="_Toc256000031"/>
      <w:bookmarkStart w:id="153" w:name="_Toc25765"/>
      <w:bookmarkStart w:id="154" w:name="_Toc522201558"/>
      <w:bookmarkStart w:id="155" w:name="_Toc10014"/>
      <w:bookmarkStart w:id="156" w:name="_Toc24269"/>
      <w:r>
        <w:rPr>
          <w:rFonts w:ascii="宋体"/>
          <w:color w:val="auto"/>
          <w:sz w:val="32"/>
          <w:highlight w:val="none"/>
        </w:rPr>
        <w:t>合同协议书</w:t>
      </w:r>
      <w:bookmarkEnd w:id="151"/>
      <w:bookmarkEnd w:id="152"/>
      <w:bookmarkEnd w:id="153"/>
      <w:bookmarkEnd w:id="154"/>
    </w:p>
    <w:p w14:paraId="6491B0E7">
      <w:pPr>
        <w:pStyle w:val="46"/>
        <w:keepNext w:val="0"/>
        <w:keepLines w:val="0"/>
        <w:pageBreakBefore w:val="0"/>
        <w:widowControl w:val="0"/>
        <w:numPr>
          <w:ilvl w:val="0"/>
          <w:numId w:val="0"/>
        </w:numPr>
        <w:wordWrap/>
        <w:topLinePunct w:val="0"/>
        <w:bidi w:val="0"/>
        <w:spacing w:line="340" w:lineRule="exact"/>
        <w:jc w:val="both"/>
        <w:outlineLvl w:val="9"/>
        <w:rPr>
          <w:rFonts w:ascii="宋体"/>
          <w:color w:val="auto"/>
          <w:sz w:val="32"/>
          <w:highlight w:val="none"/>
        </w:rPr>
      </w:pPr>
    </w:p>
    <w:p w14:paraId="42841863">
      <w:pPr>
        <w:pStyle w:val="48"/>
        <w:keepNext w:val="0"/>
        <w:keepLines w:val="0"/>
        <w:pageBreakBefore w:val="0"/>
        <w:widowControl w:val="0"/>
        <w:wordWrap/>
        <w:topLinePunct w:val="0"/>
        <w:bidi w:val="0"/>
        <w:adjustRightInd w:val="0"/>
        <w:snapToGrid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发包人（全称）：</w:t>
      </w:r>
      <w:r>
        <w:rPr>
          <w:rFonts w:hint="eastAsia" w:ascii="宋体" w:hAnsi="宋体" w:cs="宋体"/>
          <w:color w:val="auto"/>
          <w:szCs w:val="21"/>
          <w:highlight w:val="none"/>
          <w:lang w:val="en-US" w:eastAsia="zh-CN"/>
        </w:rPr>
        <w:t xml:space="preserve"> </w:t>
      </w:r>
    </w:p>
    <w:p w14:paraId="744D56DB">
      <w:pPr>
        <w:pStyle w:val="48"/>
        <w:keepNext w:val="0"/>
        <w:keepLines w:val="0"/>
        <w:pageBreakBefore w:val="0"/>
        <w:widowControl w:val="0"/>
        <w:wordWrap/>
        <w:topLinePunct w:val="0"/>
        <w:bidi w:val="0"/>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5DB6CD0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w:t>
      </w:r>
      <w:r>
        <w:rPr>
          <w:rFonts w:hint="eastAsia" w:ascii="宋体" w:hAnsi="宋体" w:cs="宋体"/>
          <w:color w:val="auto"/>
          <w:szCs w:val="21"/>
          <w:highlight w:val="none"/>
          <w:lang w:eastAsia="zh-CN"/>
        </w:rPr>
        <w:t>民法典</w:t>
      </w:r>
      <w:r>
        <w:rPr>
          <w:rFonts w:hint="eastAsia" w:ascii="宋体" w:hAnsi="宋体" w:cs="宋体"/>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工程施工及有关事项协商一致，共同达成如下协议：</w:t>
      </w:r>
      <w:bookmarkStart w:id="157" w:name="_Toc351203481"/>
    </w:p>
    <w:p w14:paraId="0A65838D">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58" w:name="_Toc15791"/>
      <w:bookmarkStart w:id="159" w:name="_Toc406522028"/>
      <w:bookmarkStart w:id="160" w:name="_Toc522201559"/>
      <w:bookmarkStart w:id="161" w:name="_Toc406419153"/>
      <w:bookmarkStart w:id="162" w:name="_Toc20764"/>
      <w:r>
        <w:rPr>
          <w:rFonts w:hint="eastAsia" w:ascii="宋体" w:hAnsi="宋体" w:cs="宋体"/>
          <w:b/>
          <w:color w:val="auto"/>
          <w:highlight w:val="none"/>
        </w:rPr>
        <w:t>一、工程概况</w:t>
      </w:r>
      <w:bookmarkEnd w:id="157"/>
      <w:bookmarkEnd w:id="158"/>
      <w:bookmarkEnd w:id="159"/>
      <w:bookmarkEnd w:id="160"/>
      <w:bookmarkEnd w:id="161"/>
      <w:bookmarkEnd w:id="162"/>
    </w:p>
    <w:p w14:paraId="2E7F3A0F">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1.工程名称：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1F18247F">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2.工程地点：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00EFB184">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3.资金来源：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79F48277">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.工程内容：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0B38369C">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.工程承包范围：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056A1836">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63" w:name="_Toc406419154"/>
      <w:bookmarkStart w:id="164" w:name="_Toc522201560"/>
      <w:bookmarkStart w:id="165" w:name="_Toc349"/>
      <w:bookmarkStart w:id="166" w:name="_Toc3470"/>
      <w:bookmarkStart w:id="167" w:name="_Toc351203482"/>
      <w:bookmarkStart w:id="168" w:name="_Toc406522029"/>
      <w:r>
        <w:rPr>
          <w:rFonts w:hint="eastAsia" w:ascii="宋体" w:hAnsi="宋体" w:cs="宋体"/>
          <w:b/>
          <w:color w:val="auto"/>
          <w:highlight w:val="none"/>
        </w:rPr>
        <w:t>二、合同工期</w:t>
      </w:r>
      <w:bookmarkEnd w:id="163"/>
      <w:bookmarkEnd w:id="164"/>
      <w:bookmarkEnd w:id="165"/>
      <w:bookmarkEnd w:id="166"/>
      <w:bookmarkEnd w:id="167"/>
      <w:bookmarkEnd w:id="168"/>
    </w:p>
    <w:p w14:paraId="3CC0F2E8">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日。（实际开工日期以开工令为准）</w:t>
      </w:r>
    </w:p>
    <w:p w14:paraId="1D66043D">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C9F23CB">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天。工期总日历天数与根据前述计划开竣工日期计算的工期天数不一致的，以工期总日历天数为准。</w:t>
      </w:r>
    </w:p>
    <w:p w14:paraId="42A814CA">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69" w:name="_Toc522201561"/>
      <w:bookmarkStart w:id="170" w:name="_Toc15140"/>
      <w:bookmarkStart w:id="171" w:name="_Toc406419155"/>
      <w:bookmarkStart w:id="172" w:name="_Toc12638"/>
      <w:bookmarkStart w:id="173" w:name="_Toc351203483"/>
      <w:bookmarkStart w:id="174" w:name="_Toc406522030"/>
      <w:r>
        <w:rPr>
          <w:rFonts w:hint="eastAsia" w:ascii="宋体" w:hAnsi="宋体" w:cs="宋体"/>
          <w:b/>
          <w:color w:val="auto"/>
          <w:highlight w:val="none"/>
        </w:rPr>
        <w:t>三、质量标准</w:t>
      </w:r>
      <w:bookmarkEnd w:id="169"/>
      <w:bookmarkEnd w:id="170"/>
      <w:bookmarkEnd w:id="171"/>
      <w:bookmarkEnd w:id="172"/>
      <w:bookmarkEnd w:id="173"/>
      <w:bookmarkEnd w:id="174"/>
    </w:p>
    <w:p w14:paraId="70E6619E">
      <w:pPr>
        <w:keepNext w:val="0"/>
        <w:keepLines w:val="0"/>
        <w:pageBreakBefore w:val="0"/>
        <w:widowControl w:val="0"/>
        <w:tabs>
          <w:tab w:val="left" w:pos="210"/>
        </w:tabs>
        <w:wordWrap/>
        <w:topLinePunct w:val="0"/>
        <w:bidi w:val="0"/>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质量标准：合格</w:t>
      </w:r>
      <w:r>
        <w:rPr>
          <w:rFonts w:hint="eastAsia" w:ascii="宋体" w:hAnsi="宋体" w:cs="宋体"/>
          <w:color w:val="auto"/>
          <w:highlight w:val="none"/>
        </w:rPr>
        <w:t>。</w:t>
      </w:r>
    </w:p>
    <w:p w14:paraId="231E32D1">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75" w:name="_Toc406419156"/>
      <w:bookmarkStart w:id="176" w:name="_Toc351203484"/>
      <w:bookmarkStart w:id="177" w:name="_Toc522201562"/>
      <w:bookmarkStart w:id="178" w:name="_Toc406522031"/>
      <w:bookmarkStart w:id="179" w:name="_Toc31378"/>
      <w:bookmarkStart w:id="180" w:name="_Toc8031"/>
      <w:r>
        <w:rPr>
          <w:rFonts w:hint="eastAsia" w:ascii="宋体" w:hAnsi="宋体" w:cs="宋体"/>
          <w:b/>
          <w:color w:val="auto"/>
          <w:highlight w:val="none"/>
        </w:rPr>
        <w:t>四、签约合同价与合同价格形式</w:t>
      </w:r>
      <w:bookmarkEnd w:id="175"/>
      <w:bookmarkEnd w:id="176"/>
      <w:bookmarkEnd w:id="177"/>
      <w:bookmarkEnd w:id="178"/>
      <w:bookmarkEnd w:id="179"/>
      <w:bookmarkEnd w:id="180"/>
    </w:p>
    <w:p w14:paraId="0BCFB154">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 签约合同价为：</w:t>
      </w:r>
    </w:p>
    <w:p w14:paraId="6A57619F">
      <w:pPr>
        <w:pStyle w:val="48"/>
        <w:keepNext w:val="0"/>
        <w:keepLines w:val="0"/>
        <w:pageBreakBefore w:val="0"/>
        <w:widowControl w:val="0"/>
        <w:wordWrap/>
        <w:topLinePunct w:val="0"/>
        <w:bidi w:val="0"/>
        <w:adjustRightInd w:val="0"/>
        <w:snapToGrid w:val="0"/>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总价：人民币（大写）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75F57AEB">
      <w:pPr>
        <w:pStyle w:val="48"/>
        <w:keepNext w:val="0"/>
        <w:keepLines w:val="0"/>
        <w:pageBreakBefore w:val="0"/>
        <w:widowControl w:val="0"/>
        <w:wordWrap/>
        <w:topLinePunct w:val="0"/>
        <w:bidi w:val="0"/>
        <w:adjustRightInd w:val="0"/>
        <w:snapToGrid w:val="0"/>
        <w:spacing w:line="40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其中：</w:t>
      </w:r>
    </w:p>
    <w:p w14:paraId="435C7E9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投标报价（磋商报价）</w:t>
      </w:r>
      <w:r>
        <w:rPr>
          <w:rFonts w:hint="eastAsia" w:ascii="宋体" w:hAnsi="宋体" w:cs="宋体"/>
          <w:color w:val="auto"/>
          <w:szCs w:val="21"/>
          <w:highlight w:val="none"/>
        </w:rPr>
        <w:t>：</w:t>
      </w:r>
    </w:p>
    <w:p w14:paraId="3F8570BA">
      <w:pPr>
        <w:pStyle w:val="48"/>
        <w:keepNext w:val="0"/>
        <w:keepLines w:val="0"/>
        <w:pageBreakBefore w:val="0"/>
        <w:widowControl w:val="0"/>
        <w:wordWrap/>
        <w:topLinePunct w:val="0"/>
        <w:bidi w:val="0"/>
        <w:adjustRightInd w:val="0"/>
        <w:snapToGrid w:val="0"/>
        <w:spacing w:line="400" w:lineRule="exact"/>
        <w:ind w:firstLine="978" w:firstLineChars="46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2FEF542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（2）安全文明施工费：</w:t>
      </w:r>
    </w:p>
    <w:p w14:paraId="088938EC">
      <w:pPr>
        <w:pStyle w:val="48"/>
        <w:keepNext w:val="0"/>
        <w:keepLines w:val="0"/>
        <w:pageBreakBefore w:val="0"/>
        <w:widowControl w:val="0"/>
        <w:wordWrap/>
        <w:topLinePunct w:val="0"/>
        <w:bidi w:val="0"/>
        <w:adjustRightInd w:val="0"/>
        <w:snapToGrid w:val="0"/>
        <w:spacing w:line="400" w:lineRule="exact"/>
        <w:ind w:firstLine="978" w:firstLineChars="46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5CF9168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（3）规费：人民币（大写）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4E18D21E">
      <w:pPr>
        <w:pStyle w:val="48"/>
        <w:keepNext w:val="0"/>
        <w:keepLines w:val="0"/>
        <w:pageBreakBefore w:val="0"/>
        <w:widowControl w:val="0"/>
        <w:wordWrap/>
        <w:topLinePunct w:val="0"/>
        <w:bidi w:val="0"/>
        <w:adjustRightInd w:val="0"/>
        <w:snapToGrid w:val="0"/>
        <w:spacing w:line="400" w:lineRule="exact"/>
        <w:ind w:firstLine="1050" w:firstLineChars="500"/>
        <w:rPr>
          <w:rFonts w:ascii="宋体" w:hAnsi="宋体" w:cs="宋体"/>
          <w:color w:val="auto"/>
          <w:szCs w:val="21"/>
          <w:highlight w:val="none"/>
        </w:rPr>
      </w:pPr>
      <w:r>
        <w:rPr>
          <w:rFonts w:hint="eastAsia" w:ascii="宋体" w:hAnsi="宋体" w:cs="宋体"/>
          <w:color w:val="auto"/>
          <w:szCs w:val="21"/>
          <w:highlight w:val="none"/>
        </w:rPr>
        <w:t>其中社会保险费：</w:t>
      </w:r>
    </w:p>
    <w:p w14:paraId="6885935C">
      <w:pPr>
        <w:pStyle w:val="48"/>
        <w:keepNext w:val="0"/>
        <w:keepLines w:val="0"/>
        <w:pageBreakBefore w:val="0"/>
        <w:widowControl w:val="0"/>
        <w:wordWrap/>
        <w:topLinePunct w:val="0"/>
        <w:bidi w:val="0"/>
        <w:adjustRightInd w:val="0"/>
        <w:snapToGrid w:val="0"/>
        <w:spacing w:line="400" w:lineRule="exact"/>
        <w:ind w:left="420" w:leftChars="200" w:firstLine="638" w:firstLineChars="304"/>
        <w:rPr>
          <w:rFonts w:hint="eastAsia"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024A9C1F">
      <w:pPr>
        <w:pStyle w:val="48"/>
        <w:keepNext w:val="0"/>
        <w:keepLines w:val="0"/>
        <w:pageBreakBefore w:val="0"/>
        <w:widowControl w:val="0"/>
        <w:wordWrap/>
        <w:topLinePunct w:val="0"/>
        <w:bidi w:val="0"/>
        <w:adjustRightInd w:val="0"/>
        <w:snapToGrid w:val="0"/>
        <w:spacing w:line="400" w:lineRule="exact"/>
        <w:ind w:firstLine="945" w:firstLineChars="4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其他：</w:t>
      </w: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2CA73C38">
      <w:pPr>
        <w:pStyle w:val="48"/>
        <w:keepNext w:val="0"/>
        <w:keepLines w:val="0"/>
        <w:pageBreakBefore w:val="0"/>
        <w:widowControl w:val="0"/>
        <w:numPr>
          <w:ilvl w:val="0"/>
          <w:numId w:val="5"/>
        </w:numPr>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增值税：</w:t>
      </w:r>
    </w:p>
    <w:p w14:paraId="3AEED2B5">
      <w:pPr>
        <w:pStyle w:val="48"/>
        <w:keepNext w:val="0"/>
        <w:keepLines w:val="0"/>
        <w:pageBreakBefore w:val="0"/>
        <w:widowControl w:val="0"/>
        <w:wordWrap/>
        <w:topLinePunct w:val="0"/>
        <w:bidi w:val="0"/>
        <w:adjustRightInd w:val="0"/>
        <w:snapToGrid w:val="0"/>
        <w:spacing w:line="400" w:lineRule="exact"/>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5588CC56">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（5）材料和工程设备暂估价金额：</w:t>
      </w:r>
    </w:p>
    <w:p w14:paraId="7AB5DD5E">
      <w:pPr>
        <w:pStyle w:val="48"/>
        <w:keepNext w:val="0"/>
        <w:keepLines w:val="0"/>
        <w:pageBreakBefore w:val="0"/>
        <w:widowControl w:val="0"/>
        <w:wordWrap/>
        <w:topLinePunct w:val="0"/>
        <w:bidi w:val="0"/>
        <w:adjustRightInd w:val="0"/>
        <w:snapToGrid w:val="0"/>
        <w:spacing w:line="400" w:lineRule="exact"/>
        <w:ind w:firstLine="945" w:firstLineChars="45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5862D06E">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（6）专业工程暂估价金额：</w:t>
      </w:r>
    </w:p>
    <w:p w14:paraId="68125727">
      <w:pPr>
        <w:pStyle w:val="48"/>
        <w:keepNext w:val="0"/>
        <w:keepLines w:val="0"/>
        <w:pageBreakBefore w:val="0"/>
        <w:widowControl w:val="0"/>
        <w:wordWrap/>
        <w:topLinePunct w:val="0"/>
        <w:bidi w:val="0"/>
        <w:adjustRightInd w:val="0"/>
        <w:snapToGrid w:val="0"/>
        <w:spacing w:line="400" w:lineRule="exact"/>
        <w:ind w:firstLine="945" w:firstLineChars="45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181FCD12">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（7）暂列金额：</w:t>
      </w:r>
    </w:p>
    <w:p w14:paraId="0C049FC5">
      <w:pPr>
        <w:pStyle w:val="48"/>
        <w:keepNext w:val="0"/>
        <w:keepLines w:val="0"/>
        <w:pageBreakBefore w:val="0"/>
        <w:widowControl w:val="0"/>
        <w:wordWrap/>
        <w:topLinePunct w:val="0"/>
        <w:bidi w:val="0"/>
        <w:adjustRightInd w:val="0"/>
        <w:snapToGrid w:val="0"/>
        <w:spacing w:line="400" w:lineRule="exact"/>
        <w:ind w:firstLine="945" w:firstLineChars="45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2AFB0CF5">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rPr>
        <w:t>采用固定综合单价合同形式</w:t>
      </w:r>
      <w:r>
        <w:rPr>
          <w:rFonts w:hint="eastAsia" w:ascii="宋体" w:hAnsi="宋体" w:cs="宋体"/>
          <w:color w:val="auto"/>
          <w:szCs w:val="21"/>
          <w:highlight w:val="none"/>
        </w:rPr>
        <w:t>。</w:t>
      </w:r>
    </w:p>
    <w:p w14:paraId="63ED699E">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81" w:name="_Toc351203485"/>
      <w:bookmarkStart w:id="182" w:name="_Toc406522032"/>
      <w:bookmarkStart w:id="183" w:name="_Toc10860"/>
      <w:bookmarkStart w:id="184" w:name="_Toc29758"/>
      <w:bookmarkStart w:id="185" w:name="_Toc406419157"/>
      <w:bookmarkStart w:id="186" w:name="_Toc522201563"/>
      <w:r>
        <w:rPr>
          <w:rFonts w:hint="eastAsia" w:ascii="宋体" w:hAnsi="宋体" w:cs="宋体"/>
          <w:b/>
          <w:color w:val="auto"/>
          <w:highlight w:val="none"/>
        </w:rPr>
        <w:t>五、</w:t>
      </w:r>
      <w:bookmarkEnd w:id="181"/>
      <w:r>
        <w:rPr>
          <w:rFonts w:hint="eastAsia" w:ascii="宋体" w:hAnsi="宋体" w:cs="宋体"/>
          <w:b/>
          <w:color w:val="auto"/>
          <w:highlight w:val="none"/>
        </w:rPr>
        <w:t>项目经理</w:t>
      </w:r>
      <w:bookmarkEnd w:id="182"/>
      <w:bookmarkEnd w:id="183"/>
      <w:bookmarkEnd w:id="184"/>
      <w:bookmarkEnd w:id="185"/>
      <w:bookmarkEnd w:id="186"/>
    </w:p>
    <w:p w14:paraId="0AF4CAA9">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none"/>
          <w:lang w:val="en-US" w:eastAsia="zh-CN"/>
        </w:rPr>
        <w:t>联系方式：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6BAEE754">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87" w:name="_Toc351203486"/>
      <w:bookmarkStart w:id="188" w:name="_Toc406419158"/>
      <w:bookmarkStart w:id="189" w:name="_Toc23735"/>
      <w:bookmarkStart w:id="190" w:name="_Toc406522033"/>
      <w:bookmarkStart w:id="191" w:name="_Toc522201564"/>
      <w:bookmarkStart w:id="192" w:name="_Toc28117"/>
      <w:r>
        <w:rPr>
          <w:rFonts w:hint="eastAsia" w:ascii="宋体" w:hAnsi="宋体" w:cs="宋体"/>
          <w:b/>
          <w:color w:val="auto"/>
          <w:highlight w:val="none"/>
        </w:rPr>
        <w:t>六、合同文件构成</w:t>
      </w:r>
      <w:bookmarkEnd w:id="187"/>
      <w:bookmarkEnd w:id="188"/>
      <w:bookmarkEnd w:id="189"/>
      <w:bookmarkEnd w:id="190"/>
      <w:bookmarkEnd w:id="191"/>
      <w:bookmarkEnd w:id="192"/>
    </w:p>
    <w:p w14:paraId="442DB43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bookmarkStart w:id="193" w:name="_Toc406522034"/>
      <w:bookmarkStart w:id="194" w:name="_Toc351203487"/>
      <w:bookmarkStart w:id="195" w:name="_Toc406419159"/>
      <w:bookmarkStart w:id="196" w:name="_Toc7021"/>
      <w:r>
        <w:rPr>
          <w:rFonts w:hint="eastAsia" w:ascii="宋体" w:hAnsi="宋体" w:cs="宋体"/>
          <w:color w:val="auto"/>
          <w:szCs w:val="21"/>
          <w:highlight w:val="none"/>
        </w:rPr>
        <w:t>本协议书与下列文件一起构成合同文件：</w:t>
      </w:r>
    </w:p>
    <w:p w14:paraId="58E589DD">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（1）中标通知书（如果有）；</w:t>
      </w:r>
    </w:p>
    <w:p w14:paraId="230FE644">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投标（响应）函</w:t>
      </w:r>
      <w:r>
        <w:rPr>
          <w:rFonts w:hint="eastAsia" w:ascii="宋体" w:hAnsi="宋体" w:cs="宋体"/>
          <w:color w:val="auto"/>
          <w:szCs w:val="21"/>
          <w:highlight w:val="none"/>
        </w:rPr>
        <w:t xml:space="preserve">及其附录（如果有）； </w:t>
      </w:r>
    </w:p>
    <w:p w14:paraId="1972EEC8">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（3）专用合同条款及其附件；</w:t>
      </w:r>
    </w:p>
    <w:p w14:paraId="46BF7D22">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（4）通用合同条款；</w:t>
      </w:r>
    </w:p>
    <w:p w14:paraId="56F2AC60">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（5）技术标准和要求；</w:t>
      </w:r>
    </w:p>
    <w:p w14:paraId="1DA1B9D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（6）图纸；</w:t>
      </w:r>
    </w:p>
    <w:p w14:paraId="0B12481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（7）已标价工程量清单或预算书；</w:t>
      </w:r>
    </w:p>
    <w:p w14:paraId="5E4A1C79">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（8）其他合同文件。</w:t>
      </w:r>
    </w:p>
    <w:p w14:paraId="720709F0">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1095D5A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206A13FD">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97" w:name="_Toc522201565"/>
      <w:bookmarkStart w:id="198" w:name="_Toc23022"/>
      <w:r>
        <w:rPr>
          <w:rFonts w:hint="eastAsia" w:ascii="宋体" w:hAnsi="宋体" w:cs="宋体"/>
          <w:b/>
          <w:color w:val="auto"/>
          <w:highlight w:val="none"/>
        </w:rPr>
        <w:t>七、承诺</w:t>
      </w:r>
      <w:bookmarkEnd w:id="193"/>
      <w:bookmarkEnd w:id="194"/>
      <w:bookmarkEnd w:id="195"/>
      <w:bookmarkEnd w:id="196"/>
      <w:bookmarkEnd w:id="197"/>
      <w:bookmarkEnd w:id="198"/>
    </w:p>
    <w:p w14:paraId="78852701">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bookmarkStart w:id="199" w:name="_Toc406522035"/>
      <w:bookmarkStart w:id="200" w:name="_Toc11962"/>
      <w:bookmarkStart w:id="201" w:name="_Toc406419160"/>
      <w:bookmarkStart w:id="202" w:name="_Toc351203488"/>
      <w:r>
        <w:rPr>
          <w:rFonts w:hint="eastAsia" w:ascii="宋体" w:hAnsi="宋体" w:cs="宋体"/>
          <w:color w:val="auto"/>
          <w:szCs w:val="21"/>
          <w:highlight w:val="none"/>
        </w:rPr>
        <w:t>1.发包人承诺按照法律规定履行项目审批手续、筹集工程建设资金并按照合同约定的期限和方式支付合同价款。</w:t>
      </w:r>
    </w:p>
    <w:p w14:paraId="7A8F8101">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2.承包人承诺按照法律规定及合同约定组织完成工程施工，确保工程质量和安全，不进行转包及违法分包，并在缺陷责任期及保修期内承担相应的工程维修责任。</w:t>
      </w:r>
    </w:p>
    <w:p w14:paraId="66AA17AB">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3.发包人和承包人通过招投标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或政府采购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形式签订合同的，双方理解并承诺不再就同一工程另行签订与合同实质性内容相背离的协议。</w:t>
      </w:r>
    </w:p>
    <w:p w14:paraId="6771DA3B">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03" w:name="_Toc9465"/>
      <w:bookmarkStart w:id="204" w:name="_Toc522201566"/>
      <w:r>
        <w:rPr>
          <w:rFonts w:hint="eastAsia" w:ascii="宋体" w:hAnsi="宋体" w:cs="宋体"/>
          <w:b/>
          <w:color w:val="auto"/>
          <w:highlight w:val="none"/>
        </w:rPr>
        <w:t>八、词语含义</w:t>
      </w:r>
      <w:bookmarkEnd w:id="199"/>
      <w:bookmarkEnd w:id="200"/>
      <w:bookmarkEnd w:id="201"/>
      <w:bookmarkEnd w:id="202"/>
      <w:bookmarkEnd w:id="203"/>
      <w:bookmarkEnd w:id="204"/>
    </w:p>
    <w:p w14:paraId="27A6E6B5">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本协议书中词语含义与第二部分通用合同条款中赋予的含义相同。</w:t>
      </w:r>
    </w:p>
    <w:p w14:paraId="7B788569">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05" w:name="_Toc406419161"/>
      <w:bookmarkStart w:id="206" w:name="_Toc522201567"/>
      <w:bookmarkStart w:id="207" w:name="_Toc351203489"/>
      <w:bookmarkStart w:id="208" w:name="_Toc406522036"/>
      <w:bookmarkStart w:id="209" w:name="_Toc22011"/>
      <w:bookmarkStart w:id="210" w:name="_Toc2053"/>
      <w:r>
        <w:rPr>
          <w:rFonts w:hint="eastAsia" w:ascii="宋体" w:hAnsi="宋体" w:cs="宋体"/>
          <w:b/>
          <w:color w:val="auto"/>
          <w:highlight w:val="none"/>
        </w:rPr>
        <w:t>九、签订时间</w:t>
      </w:r>
      <w:bookmarkEnd w:id="205"/>
      <w:bookmarkEnd w:id="206"/>
      <w:bookmarkEnd w:id="207"/>
      <w:bookmarkEnd w:id="208"/>
      <w:bookmarkEnd w:id="209"/>
      <w:bookmarkEnd w:id="210"/>
    </w:p>
    <w:p w14:paraId="5200569D">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3D13BB12">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11" w:name="_Toc3692"/>
      <w:bookmarkStart w:id="212" w:name="_Toc351203490"/>
      <w:bookmarkStart w:id="213" w:name="_Toc31694"/>
      <w:bookmarkStart w:id="214" w:name="_Toc522201568"/>
      <w:bookmarkStart w:id="215" w:name="_Toc406419162"/>
      <w:bookmarkStart w:id="216" w:name="_Toc406522037"/>
      <w:r>
        <w:rPr>
          <w:rFonts w:hint="eastAsia" w:ascii="宋体" w:hAnsi="宋体" w:cs="宋体"/>
          <w:b/>
          <w:color w:val="auto"/>
          <w:highlight w:val="none"/>
        </w:rPr>
        <w:t>十、签订地点</w:t>
      </w:r>
      <w:bookmarkEnd w:id="211"/>
      <w:bookmarkEnd w:id="212"/>
      <w:bookmarkEnd w:id="213"/>
      <w:bookmarkEnd w:id="214"/>
      <w:bookmarkEnd w:id="215"/>
      <w:bookmarkEnd w:id="216"/>
    </w:p>
    <w:p w14:paraId="3F075480">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广西桂林市</w:t>
      </w:r>
      <w:r>
        <w:rPr>
          <w:rFonts w:hint="eastAsia" w:ascii="宋体" w:hAnsi="宋体" w:cs="宋体"/>
          <w:bCs/>
          <w:color w:val="auto"/>
          <w:szCs w:val="21"/>
          <w:highlight w:val="none"/>
          <w:u w:val="single"/>
          <w:lang w:val="en-US" w:eastAsia="zh-CN"/>
        </w:rPr>
        <w:t>灌阳县</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42BB7168">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17" w:name="_Toc406522038"/>
      <w:bookmarkStart w:id="218" w:name="_Toc351203491"/>
      <w:bookmarkStart w:id="219" w:name="_Toc406419163"/>
      <w:bookmarkStart w:id="220" w:name="_Toc19804"/>
      <w:bookmarkStart w:id="221" w:name="_Toc9576"/>
      <w:bookmarkStart w:id="222" w:name="_Toc522201569"/>
      <w:r>
        <w:rPr>
          <w:rFonts w:hint="eastAsia" w:ascii="宋体" w:hAnsi="宋体" w:eastAsia="宋体" w:cs="宋体"/>
          <w:b/>
          <w:color w:val="auto"/>
          <w:highlight w:val="none"/>
        </w:rPr>
        <w:t>十一</w:t>
      </w:r>
      <w:r>
        <w:rPr>
          <w:rFonts w:hint="eastAsia" w:ascii="宋体" w:hAnsi="宋体" w:cs="宋体"/>
          <w:b/>
          <w:color w:val="auto"/>
          <w:highlight w:val="none"/>
        </w:rPr>
        <w:t>、补充协议</w:t>
      </w:r>
      <w:bookmarkEnd w:id="217"/>
      <w:bookmarkEnd w:id="218"/>
      <w:bookmarkEnd w:id="219"/>
      <w:bookmarkEnd w:id="220"/>
      <w:bookmarkEnd w:id="221"/>
      <w:bookmarkEnd w:id="222"/>
    </w:p>
    <w:p w14:paraId="54FF8A8B">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128F1E24">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23" w:name="_Toc32443"/>
      <w:bookmarkStart w:id="224" w:name="_Toc406419164"/>
      <w:bookmarkStart w:id="225" w:name="_Toc1768"/>
      <w:bookmarkStart w:id="226" w:name="_Toc406522039"/>
      <w:bookmarkStart w:id="227" w:name="_Toc351203492"/>
      <w:bookmarkStart w:id="228" w:name="_Toc522201570"/>
      <w:r>
        <w:rPr>
          <w:rFonts w:hint="eastAsia" w:ascii="宋体" w:hAnsi="宋体" w:cs="宋体"/>
          <w:b/>
          <w:color w:val="auto"/>
          <w:highlight w:val="none"/>
        </w:rPr>
        <w:t>十二、合同生效</w:t>
      </w:r>
      <w:bookmarkEnd w:id="223"/>
      <w:bookmarkEnd w:id="224"/>
      <w:bookmarkEnd w:id="225"/>
      <w:bookmarkEnd w:id="226"/>
      <w:bookmarkEnd w:id="227"/>
      <w:bookmarkEnd w:id="228"/>
    </w:p>
    <w:p w14:paraId="55A56759">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双方法定代表人或其委托代理人签字或盖章并加盖单位</w:t>
      </w:r>
      <w:r>
        <w:rPr>
          <w:rFonts w:hint="eastAsia" w:ascii="宋体" w:hAnsi="宋体" w:cs="宋体"/>
          <w:color w:val="auto"/>
          <w:szCs w:val="21"/>
          <w:highlight w:val="none"/>
          <w:u w:val="single"/>
          <w:lang w:eastAsia="zh-CN"/>
        </w:rPr>
        <w:t>公</w:t>
      </w:r>
      <w:r>
        <w:rPr>
          <w:rFonts w:hint="eastAsia" w:ascii="宋体" w:hAnsi="宋体" w:cs="宋体"/>
          <w:color w:val="auto"/>
          <w:szCs w:val="21"/>
          <w:highlight w:val="none"/>
          <w:u w:val="single"/>
        </w:rPr>
        <w:t>章后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6E515FF4">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29" w:name="_Toc28880"/>
      <w:bookmarkStart w:id="230" w:name="_Toc406419165"/>
      <w:bookmarkStart w:id="231" w:name="_Toc14945"/>
      <w:bookmarkStart w:id="232" w:name="_Toc351203493"/>
      <w:bookmarkStart w:id="233" w:name="_Toc522201571"/>
      <w:bookmarkStart w:id="234" w:name="_Toc406522040"/>
      <w:r>
        <w:rPr>
          <w:rFonts w:hint="eastAsia" w:ascii="宋体" w:hAnsi="宋体" w:eastAsia="宋体" w:cs="宋体"/>
          <w:b/>
          <w:color w:val="auto"/>
          <w:highlight w:val="none"/>
        </w:rPr>
        <w:t>十三</w:t>
      </w:r>
      <w:r>
        <w:rPr>
          <w:rFonts w:hint="eastAsia" w:ascii="宋体" w:hAnsi="宋体" w:cs="宋体"/>
          <w:b/>
          <w:color w:val="auto"/>
          <w:highlight w:val="none"/>
        </w:rPr>
        <w:t>、合同份数</w:t>
      </w:r>
      <w:bookmarkEnd w:id="229"/>
      <w:bookmarkEnd w:id="230"/>
      <w:bookmarkEnd w:id="231"/>
      <w:bookmarkEnd w:id="232"/>
      <w:bookmarkEnd w:id="233"/>
      <w:bookmarkEnd w:id="234"/>
    </w:p>
    <w:p w14:paraId="33EC4B61">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份，招标代理机构执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w:t>
      </w:r>
    </w:p>
    <w:p w14:paraId="2F9B17A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p>
    <w:tbl>
      <w:tblPr>
        <w:tblStyle w:val="28"/>
        <w:tblW w:w="8900"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03"/>
        <w:gridCol w:w="4597"/>
      </w:tblGrid>
      <w:tr w14:paraId="2BDE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7018445">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发包人：（公章）</w:t>
            </w:r>
          </w:p>
          <w:p w14:paraId="0AF120D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c>
          <w:tcPr>
            <w:tcW w:w="4597" w:type="dxa"/>
            <w:noWrap w:val="0"/>
            <w:vAlign w:val="top"/>
          </w:tcPr>
          <w:p w14:paraId="601C73A3">
            <w:pPr>
              <w:keepNext w:val="0"/>
              <w:keepLines w:val="0"/>
              <w:pageBreakBefore w:val="0"/>
              <w:widowControl w:val="0"/>
              <w:wordWrap/>
              <w:topLinePunct w:val="0"/>
              <w:bidi w:val="0"/>
              <w:spacing w:line="360" w:lineRule="auto"/>
              <w:rPr>
                <w:rFonts w:hint="eastAsia"/>
                <w:color w:val="auto"/>
                <w:highlight w:val="none"/>
                <w:lang w:val="en-US" w:eastAsia="zh-CN"/>
              </w:rPr>
            </w:pPr>
            <w:r>
              <w:rPr>
                <w:rFonts w:hint="eastAsia"/>
                <w:color w:val="auto"/>
                <w:highlight w:val="none"/>
                <w:lang w:val="en-US" w:eastAsia="zh-CN"/>
              </w:rPr>
              <w:t>承包人：（公章）</w:t>
            </w:r>
          </w:p>
          <w:p w14:paraId="1587D2B5">
            <w:pPr>
              <w:pStyle w:val="9"/>
              <w:keepNext w:val="0"/>
              <w:keepLines w:val="0"/>
              <w:pageBreakBefore w:val="0"/>
              <w:widowControl w:val="0"/>
              <w:wordWrap/>
              <w:topLinePunct w:val="0"/>
              <w:bidi w:val="0"/>
              <w:rPr>
                <w:rFonts w:hint="eastAsia"/>
                <w:color w:val="auto"/>
                <w:highlight w:val="none"/>
                <w:lang w:val="en-US" w:eastAsia="zh-CN"/>
              </w:rPr>
            </w:pPr>
          </w:p>
        </w:tc>
      </w:tr>
      <w:tr w14:paraId="315C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544C44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p>
        </w:tc>
        <w:tc>
          <w:tcPr>
            <w:tcW w:w="4597" w:type="dxa"/>
            <w:noWrap w:val="0"/>
            <w:vAlign w:val="top"/>
          </w:tcPr>
          <w:p w14:paraId="6A1D639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r>
      <w:tr w14:paraId="46195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8A90BBA">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7AE6A054">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c>
          <w:tcPr>
            <w:tcW w:w="4597" w:type="dxa"/>
            <w:noWrap w:val="0"/>
            <w:vAlign w:val="top"/>
          </w:tcPr>
          <w:p w14:paraId="5D880CA6">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302EFC4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r>
      <w:tr w14:paraId="3294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303" w:type="dxa"/>
            <w:noWrap w:val="0"/>
            <w:vAlign w:val="top"/>
          </w:tcPr>
          <w:p w14:paraId="26B74CD9">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统一社会信用代码：</w:t>
            </w:r>
          </w:p>
        </w:tc>
        <w:tc>
          <w:tcPr>
            <w:tcW w:w="4597" w:type="dxa"/>
            <w:noWrap w:val="0"/>
            <w:vAlign w:val="top"/>
          </w:tcPr>
          <w:p w14:paraId="2B862D2B">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统一社会信用代码： </w:t>
            </w:r>
          </w:p>
        </w:tc>
      </w:tr>
      <w:tr w14:paraId="3D41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CE505F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p>
        </w:tc>
        <w:tc>
          <w:tcPr>
            <w:tcW w:w="4597" w:type="dxa"/>
            <w:noWrap w:val="0"/>
            <w:vAlign w:val="top"/>
          </w:tcPr>
          <w:p w14:paraId="245B906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r>
              <w:rPr>
                <w:rFonts w:hint="eastAsia" w:ascii="宋体" w:hAnsi="宋体" w:eastAsia="宋体" w:cs="宋体"/>
                <w:color w:val="auto"/>
                <w:sz w:val="21"/>
                <w:szCs w:val="21"/>
                <w:highlight w:val="none"/>
                <w:u w:val="none"/>
                <w:lang w:val="en-US" w:eastAsia="zh-CN"/>
              </w:rPr>
              <w:t xml:space="preserve"> </w:t>
            </w:r>
          </w:p>
        </w:tc>
      </w:tr>
      <w:tr w14:paraId="549C6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9CEDC3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邮政编码：</w:t>
            </w:r>
          </w:p>
        </w:tc>
        <w:tc>
          <w:tcPr>
            <w:tcW w:w="4597" w:type="dxa"/>
            <w:noWrap w:val="0"/>
            <w:vAlign w:val="top"/>
          </w:tcPr>
          <w:p w14:paraId="772FCBEA">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邮政编码： </w:t>
            </w:r>
          </w:p>
        </w:tc>
      </w:tr>
      <w:tr w14:paraId="3153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641E8E2">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c>
          <w:tcPr>
            <w:tcW w:w="4597" w:type="dxa"/>
            <w:noWrap w:val="0"/>
            <w:vAlign w:val="top"/>
          </w:tcPr>
          <w:p w14:paraId="3B2B556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r>
      <w:tr w14:paraId="313F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738B30D">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电话：</w:t>
            </w:r>
          </w:p>
        </w:tc>
        <w:tc>
          <w:tcPr>
            <w:tcW w:w="4597" w:type="dxa"/>
            <w:noWrap w:val="0"/>
            <w:vAlign w:val="top"/>
          </w:tcPr>
          <w:p w14:paraId="261CD0C9">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电话： </w:t>
            </w:r>
          </w:p>
        </w:tc>
      </w:tr>
      <w:tr w14:paraId="43EB4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D3D5F0A">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传真：</w:t>
            </w:r>
          </w:p>
        </w:tc>
        <w:tc>
          <w:tcPr>
            <w:tcW w:w="4597" w:type="dxa"/>
            <w:noWrap w:val="0"/>
            <w:vAlign w:val="top"/>
          </w:tcPr>
          <w:p w14:paraId="31525421">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传真： </w:t>
            </w:r>
          </w:p>
        </w:tc>
      </w:tr>
      <w:tr w14:paraId="3FDF4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830165C">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电子信箱：</w:t>
            </w:r>
          </w:p>
        </w:tc>
        <w:tc>
          <w:tcPr>
            <w:tcW w:w="4597" w:type="dxa"/>
            <w:noWrap w:val="0"/>
            <w:vAlign w:val="top"/>
          </w:tcPr>
          <w:p w14:paraId="38A702C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电子信箱： </w:t>
            </w:r>
          </w:p>
        </w:tc>
      </w:tr>
      <w:tr w14:paraId="4A134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EE2CBB0">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开户银行：</w:t>
            </w:r>
          </w:p>
        </w:tc>
        <w:tc>
          <w:tcPr>
            <w:tcW w:w="4597" w:type="dxa"/>
            <w:noWrap w:val="0"/>
            <w:vAlign w:val="top"/>
          </w:tcPr>
          <w:p w14:paraId="1E4F4FF1">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开户银行： </w:t>
            </w:r>
          </w:p>
        </w:tc>
      </w:tr>
      <w:tr w14:paraId="1ABCB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F76D709">
            <w:pPr>
              <w:keepNext w:val="0"/>
              <w:keepLines w:val="0"/>
              <w:pageBreakBefore w:val="0"/>
              <w:widowControl w:val="0"/>
              <w:wordWrap/>
              <w:topLinePunct w:val="0"/>
              <w:bidi w:val="0"/>
              <w:spacing w:line="360" w:lineRule="auto"/>
              <w:rPr>
                <w:rFonts w:hint="default"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c>
          <w:tcPr>
            <w:tcW w:w="4597" w:type="dxa"/>
            <w:noWrap w:val="0"/>
            <w:vAlign w:val="top"/>
          </w:tcPr>
          <w:p w14:paraId="149F253D">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r>
      <w:tr w14:paraId="02908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FC75115">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账号：</w:t>
            </w:r>
          </w:p>
        </w:tc>
        <w:tc>
          <w:tcPr>
            <w:tcW w:w="4597" w:type="dxa"/>
            <w:noWrap w:val="0"/>
            <w:vAlign w:val="top"/>
          </w:tcPr>
          <w:p w14:paraId="317D1898">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 xml:space="preserve">账号： </w:t>
            </w:r>
          </w:p>
        </w:tc>
      </w:tr>
    </w:tbl>
    <w:p w14:paraId="68665A5C">
      <w:pPr>
        <w:pStyle w:val="48"/>
        <w:keepNext w:val="0"/>
        <w:keepLines w:val="0"/>
        <w:pageBreakBefore w:val="0"/>
        <w:widowControl w:val="0"/>
        <w:wordWrap/>
        <w:topLinePunct w:val="0"/>
        <w:bidi w:val="0"/>
        <w:adjustRightInd w:val="0"/>
        <w:snapToGrid w:val="0"/>
        <w:spacing w:line="400" w:lineRule="exact"/>
        <w:jc w:val="center"/>
        <w:rPr>
          <w:rFonts w:ascii="宋体" w:hAnsi="宋体" w:cs="宋体"/>
          <w:b/>
          <w:bCs/>
          <w:color w:val="auto"/>
          <w:szCs w:val="21"/>
          <w:highlight w:val="none"/>
        </w:rPr>
      </w:pPr>
    </w:p>
    <w:p w14:paraId="2EEF7EEA">
      <w:pPr>
        <w:pStyle w:val="46"/>
        <w:keepNext w:val="0"/>
        <w:keepLines w:val="0"/>
        <w:pageBreakBefore w:val="0"/>
        <w:widowControl w:val="0"/>
        <w:wordWrap/>
        <w:topLinePunct w:val="0"/>
        <w:bidi w:val="0"/>
        <w:jc w:val="center"/>
        <w:outlineLvl w:val="1"/>
        <w:rPr>
          <w:rFonts w:eastAsia="黑体"/>
          <w:b w:val="0"/>
          <w:bCs w:val="0"/>
          <w:color w:val="auto"/>
          <w:sz w:val="32"/>
          <w:szCs w:val="32"/>
          <w:highlight w:val="none"/>
        </w:rPr>
      </w:pPr>
      <w:r>
        <w:rPr>
          <w:b w:val="0"/>
          <w:bCs w:val="0"/>
          <w:color w:val="auto"/>
          <w:highlight w:val="none"/>
        </w:rPr>
        <w:br w:type="page"/>
      </w:r>
      <w:bookmarkStart w:id="235" w:name="_Toc522201572"/>
      <w:bookmarkStart w:id="236" w:name="_Toc2370"/>
      <w:bookmarkStart w:id="237" w:name="_Toc19427"/>
      <w:bookmarkStart w:id="238" w:name="_Toc351203494"/>
      <w:bookmarkStart w:id="239" w:name="_Toc256000032"/>
      <w:bookmarkStart w:id="240" w:name="_Toc6868"/>
      <w:r>
        <w:rPr>
          <w:rFonts w:ascii="宋体"/>
          <w:color w:val="auto"/>
          <w:sz w:val="32"/>
          <w:highlight w:val="none"/>
        </w:rPr>
        <w:t>第二部分 通用合同条款</w:t>
      </w:r>
      <w:bookmarkEnd w:id="235"/>
      <w:bookmarkEnd w:id="236"/>
      <w:bookmarkEnd w:id="237"/>
      <w:bookmarkEnd w:id="238"/>
      <w:bookmarkEnd w:id="239"/>
      <w:bookmarkEnd w:id="240"/>
      <w:bookmarkStart w:id="241" w:name="_Toc337558727"/>
    </w:p>
    <w:bookmarkEnd w:id="241"/>
    <w:p w14:paraId="5936C3FD">
      <w:pPr>
        <w:keepNext w:val="0"/>
        <w:keepLines w:val="0"/>
        <w:pageBreakBefore w:val="0"/>
        <w:widowControl w:val="0"/>
        <w:kinsoku/>
        <w:wordWrap/>
        <w:overflowPunct/>
        <w:topLinePunct w:val="0"/>
        <w:bidi w:val="0"/>
        <w:snapToGrid/>
        <w:spacing w:line="360" w:lineRule="exact"/>
        <w:ind w:left="0" w:leftChars="0" w:right="0" w:rightChars="0"/>
        <w:jc w:val="center"/>
        <w:outlineLvl w:val="9"/>
        <w:rPr>
          <w:rFonts w:hint="eastAsia" w:ascii="宋体" w:hAnsi="宋体" w:eastAsia="宋体" w:cs="宋体"/>
          <w:b w:val="0"/>
          <w:bCs w:val="0"/>
          <w:color w:val="auto"/>
          <w:sz w:val="28"/>
          <w:szCs w:val="28"/>
          <w:highlight w:val="none"/>
        </w:rPr>
      </w:pPr>
      <w:bookmarkStart w:id="242" w:name="_Toc16978"/>
    </w:p>
    <w:p w14:paraId="5B9491E1">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3618DE58">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4199E629">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058398EF">
      <w:pPr>
        <w:keepNext w:val="0"/>
        <w:keepLines w:val="0"/>
        <w:widowControl/>
        <w:suppressLineNumbers w:val="0"/>
        <w:jc w:val="center"/>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采用《建设工程施工合同（示范文本）》（GF—2017—0201）通用条款。</w:t>
      </w:r>
    </w:p>
    <w:p w14:paraId="1DCB64A4">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70132838">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bookmarkEnd w:id="242"/>
    <w:p w14:paraId="2C251C7C">
      <w:pPr>
        <w:pStyle w:val="20"/>
        <w:keepNext w:val="0"/>
        <w:keepLines w:val="0"/>
        <w:pageBreakBefore w:val="0"/>
        <w:widowControl w:val="0"/>
        <w:wordWrap/>
        <w:topLinePunct w:val="0"/>
        <w:bidi w:val="0"/>
        <w:ind w:left="63" w:right="63"/>
        <w:rPr>
          <w:color w:val="auto"/>
          <w:highlight w:val="none"/>
        </w:rPr>
        <w:sectPr>
          <w:footerReference r:id="rId7" w:type="default"/>
          <w:pgSz w:w="11906" w:h="16838"/>
          <w:pgMar w:top="1304" w:right="1134" w:bottom="1191" w:left="1247" w:header="851" w:footer="992" w:gutter="0"/>
          <w:pgNumType w:fmt="decimal"/>
          <w:cols w:space="720" w:num="1"/>
          <w:docGrid w:type="lines" w:linePitch="312" w:charSpace="0"/>
        </w:sectPr>
      </w:pPr>
    </w:p>
    <w:p w14:paraId="448376F2">
      <w:pPr>
        <w:pStyle w:val="46"/>
        <w:keepNext w:val="0"/>
        <w:keepLines w:val="0"/>
        <w:pageBreakBefore w:val="0"/>
        <w:widowControl w:val="0"/>
        <w:wordWrap/>
        <w:topLinePunct w:val="0"/>
        <w:bidi w:val="0"/>
        <w:jc w:val="center"/>
        <w:outlineLvl w:val="1"/>
        <w:rPr>
          <w:color w:val="auto"/>
          <w:highlight w:val="none"/>
        </w:rPr>
      </w:pPr>
      <w:bookmarkStart w:id="243" w:name="_Toc256000171"/>
      <w:bookmarkStart w:id="244" w:name="_Toc6905"/>
      <w:bookmarkStart w:id="245" w:name="_Toc25460"/>
      <w:r>
        <w:rPr>
          <w:rFonts w:ascii="宋体"/>
          <w:color w:val="auto"/>
          <w:sz w:val="32"/>
          <w:highlight w:val="none"/>
        </w:rPr>
        <w:t>第</w:t>
      </w:r>
      <w:r>
        <w:rPr>
          <w:rFonts w:hint="eastAsia" w:ascii="宋体"/>
          <w:color w:val="auto"/>
          <w:sz w:val="32"/>
          <w:highlight w:val="none"/>
        </w:rPr>
        <w:t>三</w:t>
      </w:r>
      <w:r>
        <w:rPr>
          <w:rFonts w:ascii="宋体"/>
          <w:color w:val="auto"/>
          <w:sz w:val="32"/>
          <w:highlight w:val="none"/>
        </w:rPr>
        <w:t>部分 专用合同条款</w:t>
      </w:r>
      <w:bookmarkEnd w:id="243"/>
      <w:bookmarkEnd w:id="244"/>
      <w:bookmarkEnd w:id="245"/>
    </w:p>
    <w:p w14:paraId="1F8B7FE1">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246" w:name="_Toc418752235"/>
      <w:bookmarkStart w:id="247" w:name="_Toc351203633"/>
      <w:bookmarkStart w:id="248" w:name="_Toc497747171"/>
      <w:bookmarkStart w:id="249" w:name="_Toc522201723"/>
      <w:bookmarkStart w:id="250" w:name="_Toc406522213"/>
      <w:bookmarkStart w:id="251" w:name="_Toc418751789"/>
      <w:bookmarkStart w:id="252" w:name="_Toc256000172"/>
      <w:bookmarkStart w:id="253" w:name="_Toc19640"/>
      <w:bookmarkStart w:id="254" w:name="_Toc497746774"/>
      <w:bookmarkStart w:id="255" w:name="_Toc484024116"/>
      <w:r>
        <w:rPr>
          <w:rFonts w:hint="eastAsia" w:ascii="宋体" w:cs="宋体"/>
          <w:color w:val="auto"/>
          <w:highlight w:val="none"/>
        </w:rPr>
        <w:t>1</w:t>
      </w:r>
      <w:bookmarkStart w:id="256" w:name="_Toc296890984"/>
      <w:bookmarkStart w:id="257" w:name="_Toc296346657"/>
      <w:bookmarkStart w:id="258" w:name="_Toc297120456"/>
      <w:bookmarkStart w:id="259" w:name="_Toc292559361"/>
      <w:bookmarkStart w:id="260" w:name="_Toc296347155"/>
      <w:bookmarkStart w:id="261" w:name="_Toc296891196"/>
      <w:bookmarkStart w:id="262" w:name="_Toc292559866"/>
      <w:bookmarkStart w:id="263" w:name="_Toc296944495"/>
      <w:bookmarkStart w:id="264" w:name="_Toc296503156"/>
      <w:bookmarkStart w:id="265" w:name="_Toc297048342"/>
      <w:r>
        <w:rPr>
          <w:rFonts w:hint="eastAsia" w:ascii="宋体" w:cs="宋体"/>
          <w:color w:val="auto"/>
          <w:highlight w:val="none"/>
        </w:rPr>
        <w:t>. 一般约定</w:t>
      </w:r>
      <w:bookmarkEnd w:id="246"/>
      <w:bookmarkEnd w:id="247"/>
      <w:bookmarkEnd w:id="248"/>
      <w:bookmarkEnd w:id="249"/>
      <w:bookmarkEnd w:id="250"/>
      <w:bookmarkEnd w:id="251"/>
      <w:bookmarkEnd w:id="252"/>
      <w:bookmarkEnd w:id="253"/>
      <w:bookmarkEnd w:id="254"/>
    </w:p>
    <w:bookmarkEnd w:id="256"/>
    <w:bookmarkEnd w:id="257"/>
    <w:bookmarkEnd w:id="258"/>
    <w:bookmarkEnd w:id="259"/>
    <w:bookmarkEnd w:id="260"/>
    <w:bookmarkEnd w:id="261"/>
    <w:bookmarkEnd w:id="262"/>
    <w:bookmarkEnd w:id="263"/>
    <w:bookmarkEnd w:id="264"/>
    <w:bookmarkEnd w:id="265"/>
    <w:p w14:paraId="5E4E7FD9">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66" w:name="_Toc256000173"/>
      <w:bookmarkStart w:id="267" w:name="_Toc406522214"/>
      <w:bookmarkStart w:id="268" w:name="_Toc497746775"/>
      <w:bookmarkStart w:id="269" w:name="_Toc497747172"/>
      <w:bookmarkStart w:id="270" w:name="_Toc418751790"/>
      <w:bookmarkStart w:id="271" w:name="_Toc418752236"/>
      <w:bookmarkStart w:id="272" w:name="_Toc522201724"/>
      <w:bookmarkStart w:id="273" w:name="_Toc23204"/>
      <w:r>
        <w:rPr>
          <w:rFonts w:hint="eastAsia" w:ascii="宋体" w:cs="宋体"/>
          <w:color w:val="auto"/>
          <w:highlight w:val="none"/>
        </w:rPr>
        <w:t>1.1 词语定义</w:t>
      </w:r>
      <w:bookmarkEnd w:id="266"/>
      <w:bookmarkEnd w:id="267"/>
      <w:bookmarkEnd w:id="268"/>
      <w:bookmarkEnd w:id="269"/>
      <w:bookmarkEnd w:id="270"/>
      <w:bookmarkEnd w:id="271"/>
      <w:bookmarkEnd w:id="272"/>
      <w:bookmarkEnd w:id="273"/>
    </w:p>
    <w:p w14:paraId="778CE4B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1.1.1合同</w:t>
      </w:r>
    </w:p>
    <w:p w14:paraId="3C75BEA5">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1.1.1.10其他合同文件包括：</w:t>
      </w:r>
      <w:r>
        <w:rPr>
          <w:rFonts w:hint="eastAsia" w:ascii="宋体" w:hAnsi="宋体" w:cs="宋体"/>
          <w:color w:val="auto"/>
          <w:highlight w:val="none"/>
          <w:u w:val="single"/>
        </w:rPr>
        <w:t>（1）本合同协议书；（2）中标通知书；（3）</w:t>
      </w:r>
      <w:r>
        <w:rPr>
          <w:rFonts w:hint="eastAsia" w:ascii="宋体" w:hAnsi="宋体" w:cs="宋体"/>
          <w:color w:val="auto"/>
          <w:highlight w:val="none"/>
          <w:u w:val="single"/>
          <w:lang w:eastAsia="zh-CN"/>
        </w:rPr>
        <w:t>投标书（响应文件）</w:t>
      </w:r>
      <w:r>
        <w:rPr>
          <w:rFonts w:hint="eastAsia" w:ascii="宋体" w:hAnsi="宋体" w:cs="宋体"/>
          <w:color w:val="auto"/>
          <w:highlight w:val="none"/>
          <w:u w:val="single"/>
        </w:rPr>
        <w:t>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cs="宋体"/>
          <w:color w:val="auto"/>
          <w:highlight w:val="none"/>
        </w:rPr>
        <w:t>。</w:t>
      </w:r>
    </w:p>
    <w:p w14:paraId="4AC11DD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1.1.2 合同当事人及其他相关方</w:t>
      </w:r>
    </w:p>
    <w:p w14:paraId="1F7263C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1.1.2.4监理人：</w:t>
      </w:r>
    </w:p>
    <w:p w14:paraId="3348159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AE51ED1">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8376D3">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4246E7D">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lang w:val="en-US" w:eastAsia="zh-CN"/>
        </w:rPr>
        <w:t xml:space="preserve"> 中标（成交）后填写 </w:t>
      </w:r>
      <w:r>
        <w:rPr>
          <w:rFonts w:hint="eastAsia" w:ascii="宋体" w:hAnsi="宋体" w:cs="宋体"/>
          <w:color w:val="auto"/>
          <w:highlight w:val="none"/>
        </w:rPr>
        <w:t>；</w:t>
      </w:r>
    </w:p>
    <w:p w14:paraId="7DBF5542">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中标（成交）后填写 </w:t>
      </w:r>
      <w:r>
        <w:rPr>
          <w:rFonts w:hint="eastAsia" w:ascii="宋体" w:hAnsi="宋体" w:cs="宋体"/>
          <w:color w:val="auto"/>
          <w:highlight w:val="none"/>
        </w:rPr>
        <w:t>。</w:t>
      </w:r>
    </w:p>
    <w:p w14:paraId="1BB1988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1.1.2.5 设计人：</w:t>
      </w:r>
    </w:p>
    <w:p w14:paraId="48D6DC8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2A1D8D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791A2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1F4664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6CB7E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2BDD2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 工程和设备</w:t>
      </w:r>
    </w:p>
    <w:p w14:paraId="6B86D7D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1A029B5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1.1.3.9 永久占地包括：</w:t>
      </w:r>
      <w:r>
        <w:rPr>
          <w:rFonts w:hint="eastAsia" w:ascii="宋体" w:hAnsi="宋体" w:cs="宋体"/>
          <w:color w:val="auto"/>
          <w:highlight w:val="none"/>
          <w:u w:val="single"/>
        </w:rPr>
        <w:t xml:space="preserve">  为实施工程需永久占用的土地</w:t>
      </w:r>
      <w:r>
        <w:rPr>
          <w:rFonts w:ascii="宋体" w:hAnsi="宋体" w:cs="宋体"/>
          <w:color w:val="auto"/>
          <w:highlight w:val="none"/>
          <w:u w:val="single"/>
        </w:rPr>
        <w:t></w:t>
      </w:r>
      <w:r>
        <w:rPr>
          <w:rFonts w:hint="eastAsia" w:ascii="宋体" w:hAnsi="宋体" w:cs="宋体"/>
          <w:color w:val="auto"/>
          <w:highlight w:val="none"/>
        </w:rPr>
        <w:t>。</w:t>
      </w:r>
    </w:p>
    <w:p w14:paraId="74E4B158">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1.1.3.10 临时占地包括：</w:t>
      </w:r>
      <w:r>
        <w:rPr>
          <w:rFonts w:hint="eastAsia" w:ascii="宋体" w:hAnsi="宋体" w:cs="宋体"/>
          <w:color w:val="auto"/>
          <w:highlight w:val="none"/>
          <w:u w:val="single"/>
        </w:rPr>
        <w:t xml:space="preserve"> 为实施工程需临时占用的土地 </w:t>
      </w:r>
      <w:r>
        <w:rPr>
          <w:rFonts w:hint="eastAsia" w:ascii="宋体" w:hAnsi="宋体" w:cs="宋体"/>
          <w:color w:val="auto"/>
          <w:highlight w:val="none"/>
        </w:rPr>
        <w:t>。</w:t>
      </w:r>
    </w:p>
    <w:p w14:paraId="5E61409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74" w:name="_Toc256000174"/>
      <w:bookmarkStart w:id="275" w:name="_Toc1749"/>
      <w:bookmarkStart w:id="276" w:name="_Toc497746776"/>
      <w:bookmarkStart w:id="277" w:name="_Toc418751791"/>
      <w:bookmarkStart w:id="278" w:name="_Toc406522215"/>
      <w:bookmarkStart w:id="279" w:name="_Toc522201725"/>
      <w:bookmarkStart w:id="280" w:name="_Toc497747173"/>
      <w:bookmarkStart w:id="281" w:name="_Toc418752237"/>
      <w:r>
        <w:rPr>
          <w:rFonts w:hint="eastAsia" w:ascii="宋体" w:cs="宋体"/>
          <w:color w:val="auto"/>
          <w:highlight w:val="none"/>
        </w:rPr>
        <w:t>1.3法律</w:t>
      </w:r>
      <w:bookmarkEnd w:id="274"/>
      <w:bookmarkEnd w:id="275"/>
      <w:bookmarkEnd w:id="276"/>
      <w:bookmarkEnd w:id="277"/>
      <w:bookmarkEnd w:id="278"/>
      <w:bookmarkEnd w:id="279"/>
      <w:bookmarkEnd w:id="280"/>
      <w:bookmarkEnd w:id="281"/>
      <w:r>
        <w:rPr>
          <w:rFonts w:hint="eastAsia" w:ascii="宋体" w:cs="宋体"/>
          <w:color w:val="auto"/>
          <w:highlight w:val="none"/>
        </w:rPr>
        <w:t xml:space="preserve"> </w:t>
      </w:r>
    </w:p>
    <w:p w14:paraId="3A983780">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适用于合同的其他规范性文件：</w:t>
      </w:r>
      <w:r>
        <w:rPr>
          <w:rFonts w:hint="eastAsia" w:ascii="宋体" w:hAnsi="宋体" w:cs="宋体"/>
          <w:color w:val="auto"/>
          <w:highlight w:val="none"/>
          <w:u w:val="single"/>
        </w:rPr>
        <w:t>同通用条款</w:t>
      </w:r>
      <w:r>
        <w:rPr>
          <w:rFonts w:hint="eastAsia" w:ascii="宋体" w:hAnsi="宋体" w:cs="宋体"/>
          <w:color w:val="auto"/>
          <w:highlight w:val="none"/>
        </w:rPr>
        <w:t>。</w:t>
      </w:r>
    </w:p>
    <w:p w14:paraId="60A5ECC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82" w:name="_Toc418752238"/>
      <w:bookmarkStart w:id="283" w:name="_Toc497747174"/>
      <w:bookmarkStart w:id="284" w:name="_Toc418751792"/>
      <w:bookmarkStart w:id="285" w:name="_Toc531"/>
      <w:bookmarkStart w:id="286" w:name="_Toc497746777"/>
      <w:bookmarkStart w:id="287" w:name="_Toc522201726"/>
      <w:bookmarkStart w:id="288" w:name="_Toc256000175"/>
      <w:bookmarkStart w:id="289" w:name="_Toc406522216"/>
      <w:r>
        <w:rPr>
          <w:rFonts w:hint="eastAsia" w:ascii="宋体" w:cs="宋体"/>
          <w:color w:val="auto"/>
          <w:highlight w:val="none"/>
        </w:rPr>
        <w:t>1.4 标准和规范</w:t>
      </w:r>
      <w:bookmarkEnd w:id="282"/>
      <w:bookmarkEnd w:id="283"/>
      <w:bookmarkEnd w:id="284"/>
      <w:bookmarkEnd w:id="285"/>
      <w:bookmarkEnd w:id="286"/>
      <w:bookmarkEnd w:id="287"/>
      <w:bookmarkEnd w:id="288"/>
      <w:bookmarkEnd w:id="289"/>
    </w:p>
    <w:p w14:paraId="1EBC8C7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1.4.1适用于工程的标准规范包括：</w:t>
      </w:r>
      <w:r>
        <w:rPr>
          <w:rFonts w:hint="eastAsia" w:ascii="宋体" w:hAnsi="宋体" w:cs="宋体"/>
          <w:color w:val="auto"/>
          <w:highlight w:val="none"/>
          <w:u w:val="single"/>
        </w:rPr>
        <w:t>现行国家、地方、部门有关标准规范</w:t>
      </w:r>
      <w:r>
        <w:rPr>
          <w:rFonts w:hint="eastAsia" w:ascii="宋体" w:hAnsi="宋体" w:cs="宋体"/>
          <w:color w:val="auto"/>
          <w:highlight w:val="none"/>
        </w:rPr>
        <w:t>。</w:t>
      </w:r>
    </w:p>
    <w:p w14:paraId="4E31076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1.4.2 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B83A500">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发包人提供国外标准、规范的份数：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2EB8579">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7AA8837B">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1.4.3发包人对工程的技术标准和功能要求的特殊要求：</w:t>
      </w:r>
      <w:r>
        <w:rPr>
          <w:rFonts w:hint="eastAsia" w:ascii="宋体" w:hAnsi="宋体" w:cs="宋体"/>
          <w:color w:val="auto"/>
          <w:highlight w:val="none"/>
          <w:u w:val="single"/>
        </w:rPr>
        <w:t xml:space="preserve">无 </w:t>
      </w:r>
      <w:r>
        <w:rPr>
          <w:rFonts w:hint="eastAsia" w:ascii="宋体" w:hAnsi="宋体" w:cs="宋体"/>
          <w:color w:val="auto"/>
          <w:highlight w:val="none"/>
        </w:rPr>
        <w:t>。</w:t>
      </w:r>
    </w:p>
    <w:p w14:paraId="510AC83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90" w:name="_Toc418751793"/>
      <w:bookmarkStart w:id="291" w:name="_Toc19412"/>
      <w:bookmarkStart w:id="292" w:name="_Toc497747175"/>
      <w:bookmarkStart w:id="293" w:name="_Toc497746778"/>
      <w:bookmarkStart w:id="294" w:name="_Toc418752239"/>
      <w:bookmarkStart w:id="295" w:name="_Toc522201727"/>
      <w:bookmarkStart w:id="296" w:name="_Toc256000176"/>
      <w:bookmarkStart w:id="297" w:name="_Toc406522217"/>
      <w:r>
        <w:rPr>
          <w:rFonts w:hint="eastAsia" w:ascii="宋体" w:cs="宋体"/>
          <w:color w:val="auto"/>
          <w:highlight w:val="none"/>
        </w:rPr>
        <w:t>1.5 合同文件的优先顺序</w:t>
      </w:r>
      <w:bookmarkEnd w:id="290"/>
      <w:bookmarkEnd w:id="291"/>
      <w:bookmarkEnd w:id="292"/>
      <w:bookmarkEnd w:id="293"/>
      <w:bookmarkEnd w:id="294"/>
      <w:bookmarkEnd w:id="295"/>
      <w:bookmarkEnd w:id="296"/>
      <w:bookmarkEnd w:id="297"/>
    </w:p>
    <w:p w14:paraId="2E80A411">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合同文件组成及优先顺序为：</w:t>
      </w:r>
    </w:p>
    <w:p w14:paraId="4E64DD8F">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14:paraId="092BF91E">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（2）中标通知书（如果有）；</w:t>
      </w:r>
    </w:p>
    <w:p w14:paraId="1BC84E6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投标（响应）函</w:t>
      </w:r>
      <w:r>
        <w:rPr>
          <w:rFonts w:hint="eastAsia" w:ascii="宋体" w:hAnsi="宋体" w:cs="宋体"/>
          <w:color w:val="auto"/>
          <w:kern w:val="0"/>
          <w:szCs w:val="21"/>
          <w:highlight w:val="none"/>
        </w:rPr>
        <w:t>及其附录（如果有）；</w:t>
      </w:r>
    </w:p>
    <w:p w14:paraId="5D1B8418">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（4）专用合同条款及其附件；</w:t>
      </w:r>
    </w:p>
    <w:p w14:paraId="63D958E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14:paraId="31E2E90B">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（6）技术标准和要求 ；</w:t>
      </w:r>
    </w:p>
    <w:p w14:paraId="73D514A8">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（7）图纸（含图纸修改通知单及图纸设计变更文件） ；</w:t>
      </w:r>
    </w:p>
    <w:p w14:paraId="4EF09921">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（8）已标价工程量清单 ；</w:t>
      </w:r>
    </w:p>
    <w:p w14:paraId="2853467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（9）其他合同文件（包括本工程预算控制价造价成果文件、招标文件等文件）；</w:t>
      </w:r>
    </w:p>
    <w:p w14:paraId="20FAB01C">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10）《建设工程工程量清单计价规范（GB5050-2013）》及其广西实施细则及《关于建筑业实施营业税改征增值税后广西壮族自治区建设工程计价依据调整的通知》（桂建标〔2016〕17号）、《建设工程工程量清单计算规范（</w:t>
      </w:r>
      <w:r>
        <w:rPr>
          <w:rFonts w:hint="eastAsia" w:ascii="宋体" w:hAnsi="宋体" w:cs="宋体"/>
          <w:color w:val="auto"/>
          <w:kern w:val="0"/>
          <w:szCs w:val="21"/>
          <w:highlight w:val="none"/>
          <w:lang w:eastAsia="zh-CN"/>
        </w:rPr>
        <w:t>GB50854</w:t>
      </w:r>
      <w:r>
        <w:rPr>
          <w:rFonts w:hint="eastAsia" w:ascii="宋体" w:hAnsi="宋体" w:cs="宋体"/>
          <w:color w:val="auto"/>
          <w:kern w:val="0"/>
          <w:szCs w:val="21"/>
          <w:highlight w:val="none"/>
        </w:rPr>
        <w:t>～50862-2013）》及其广西实施细则（修订本）。</w:t>
      </w:r>
    </w:p>
    <w:p w14:paraId="58CBCC1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kern w:val="0"/>
          <w:highlight w:val="none"/>
        </w:rPr>
      </w:pPr>
      <w:bookmarkStart w:id="298" w:name="_Toc256000177"/>
      <w:bookmarkStart w:id="299" w:name="_Toc19283"/>
      <w:bookmarkStart w:id="300" w:name="_Toc497747176"/>
      <w:bookmarkStart w:id="301" w:name="_Toc406522218"/>
      <w:bookmarkStart w:id="302" w:name="_Toc418752240"/>
      <w:bookmarkStart w:id="303" w:name="_Toc418751794"/>
      <w:bookmarkStart w:id="304" w:name="_Toc522201728"/>
      <w:bookmarkStart w:id="305" w:name="_Toc497746779"/>
      <w:r>
        <w:rPr>
          <w:rFonts w:hint="eastAsia" w:ascii="宋体" w:cs="宋体"/>
          <w:color w:val="auto"/>
          <w:kern w:val="0"/>
          <w:highlight w:val="none"/>
        </w:rPr>
        <w:t>说明：（6）、（7）、（8）、（9）填空内容分别限于技术标准和要求、图纸、已标价工程量清单或预算书、其他合同文件四者之一，其优先顺序可根据采取的不同合同方式由双方约定。</w:t>
      </w:r>
      <w:bookmarkEnd w:id="298"/>
      <w:bookmarkEnd w:id="299"/>
    </w:p>
    <w:p w14:paraId="706AAF7A">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06" w:name="_Toc256000178"/>
      <w:bookmarkStart w:id="307" w:name="_Toc18690"/>
      <w:r>
        <w:rPr>
          <w:rFonts w:hint="eastAsia" w:ascii="宋体" w:cs="宋体"/>
          <w:color w:val="auto"/>
          <w:highlight w:val="none"/>
        </w:rPr>
        <w:t>1.6 图纸和承包人文件</w:t>
      </w:r>
      <w:bookmarkEnd w:id="300"/>
      <w:bookmarkEnd w:id="301"/>
      <w:bookmarkEnd w:id="302"/>
      <w:bookmarkEnd w:id="303"/>
      <w:bookmarkEnd w:id="304"/>
      <w:bookmarkEnd w:id="305"/>
      <w:bookmarkEnd w:id="306"/>
      <w:bookmarkEnd w:id="307"/>
      <w:r>
        <w:rPr>
          <w:rFonts w:hint="eastAsia" w:ascii="宋体" w:cs="宋体"/>
          <w:color w:val="auto"/>
          <w:highlight w:val="none"/>
        </w:rPr>
        <w:tab/>
      </w:r>
    </w:p>
    <w:p w14:paraId="0BC865E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1.6.1 图纸的提供</w:t>
      </w:r>
    </w:p>
    <w:p w14:paraId="66A97358">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发包人向承包人提供图纸的期限：</w:t>
      </w:r>
      <w:r>
        <w:rPr>
          <w:rFonts w:hint="eastAsia" w:ascii="宋体" w:hAnsi="宋体" w:cs="宋体"/>
          <w:color w:val="auto"/>
          <w:szCs w:val="21"/>
          <w:highlight w:val="none"/>
          <w:u w:val="single"/>
        </w:rPr>
        <w:t>合同签订生效后7天内</w:t>
      </w:r>
      <w:r>
        <w:rPr>
          <w:rFonts w:hint="eastAsia" w:ascii="宋体" w:hAnsi="宋体" w:cs="宋体"/>
          <w:color w:val="auto"/>
          <w:szCs w:val="21"/>
          <w:highlight w:val="none"/>
        </w:rPr>
        <w:t>；</w:t>
      </w:r>
    </w:p>
    <w:p w14:paraId="7595CDD9">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发包人向承包人提供图纸的数量：</w:t>
      </w:r>
      <w:r>
        <w:rPr>
          <w:rFonts w:hint="eastAsia" w:ascii="宋体" w:hAnsi="宋体" w:cs="宋体"/>
          <w:color w:val="auto"/>
          <w:szCs w:val="21"/>
          <w:highlight w:val="none"/>
          <w:u w:val="single"/>
        </w:rPr>
        <w:t>贰份，上述图纸及技术资料，未经监理工程师和发包人同意，承包人不得提供给与本工程无关的第三方。承包人需要增加图纸套数的，承包人自行复制，复制费用由承包人承担。</w:t>
      </w:r>
    </w:p>
    <w:p w14:paraId="3D04DE36">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发包人向承包人提供图纸的内容：</w:t>
      </w:r>
      <w:r>
        <w:rPr>
          <w:rFonts w:hint="eastAsia" w:ascii="宋体" w:hAnsi="宋体" w:cs="宋体"/>
          <w:color w:val="auto"/>
          <w:highlight w:val="none"/>
          <w:u w:val="single"/>
        </w:rPr>
        <w:t>与本项目相关</w:t>
      </w:r>
      <w:r>
        <w:rPr>
          <w:rFonts w:hint="eastAsia" w:ascii="宋体" w:hAnsi="宋体" w:cs="宋体"/>
          <w:color w:val="auto"/>
          <w:szCs w:val="21"/>
          <w:highlight w:val="none"/>
        </w:rPr>
        <w:t>。</w:t>
      </w:r>
    </w:p>
    <w:p w14:paraId="7FBE35D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 承包人文件</w:t>
      </w:r>
    </w:p>
    <w:p w14:paraId="2EA2525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需要由承包人提供的文件，包括：</w:t>
      </w:r>
      <w:r>
        <w:rPr>
          <w:rFonts w:hint="eastAsia" w:ascii="宋体" w:hAnsi="宋体" w:cs="宋体"/>
          <w:color w:val="auto"/>
          <w:highlight w:val="none"/>
          <w:u w:val="single"/>
        </w:rPr>
        <w:t>1、施工组织设计；2、工程进度计划；3、管理人员名单、职称、职务、上岗证等；4、安全文明施工措施；5、质量保证体系；6、施工图以外的大样图、加工图、标准图等（</w:t>
      </w:r>
      <w:r>
        <w:rPr>
          <w:rFonts w:hint="eastAsia" w:ascii="宋体" w:hAnsi="宋体" w:cs="宋体"/>
          <w:color w:val="auto"/>
          <w:kern w:val="0"/>
          <w:highlight w:val="none"/>
          <w:u w:val="single"/>
        </w:rPr>
        <w:t>与工程施工有关的文件</w:t>
      </w:r>
      <w:r>
        <w:rPr>
          <w:rFonts w:hint="eastAsia" w:ascii="宋体" w:hAnsi="宋体" w:cs="宋体"/>
          <w:color w:val="auto"/>
          <w:highlight w:val="none"/>
          <w:u w:val="single"/>
        </w:rPr>
        <w:t>）；</w:t>
      </w:r>
    </w:p>
    <w:p w14:paraId="5015B026">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承包人提供的文件的期限为：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开始施工前7天内  </w:t>
      </w:r>
      <w:r>
        <w:rPr>
          <w:rFonts w:hint="eastAsia" w:ascii="宋体" w:hAnsi="宋体" w:cs="宋体"/>
          <w:color w:val="auto"/>
          <w:szCs w:val="21"/>
          <w:highlight w:val="none"/>
        </w:rPr>
        <w:t>；</w:t>
      </w:r>
    </w:p>
    <w:p w14:paraId="0A9F6120">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承包人提供的文件的数量为：</w:t>
      </w:r>
      <w:r>
        <w:rPr>
          <w:rFonts w:hint="eastAsia" w:ascii="宋体" w:hAnsi="宋体" w:cs="宋体"/>
          <w:color w:val="auto"/>
          <w:szCs w:val="21"/>
          <w:highlight w:val="none"/>
          <w:u w:val="single"/>
        </w:rPr>
        <w:t xml:space="preserve">  6</w:t>
      </w:r>
      <w:r>
        <w:rPr>
          <w:rFonts w:hint="eastAsia" w:ascii="宋体" w:hAnsi="宋体" w:cs="宋体"/>
          <w:color w:val="auto"/>
          <w:kern w:val="0"/>
          <w:szCs w:val="21"/>
          <w:highlight w:val="none"/>
          <w:u w:val="single"/>
        </w:rPr>
        <w:t>份</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209AC4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承包人提供的文件的形式为：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纸质版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B46B0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收到承包人提供的文件后七天内 </w:t>
      </w:r>
      <w:r>
        <w:rPr>
          <w:rFonts w:hint="eastAsia" w:ascii="宋体" w:hAnsi="宋体" w:cs="宋体"/>
          <w:color w:val="auto"/>
          <w:highlight w:val="none"/>
        </w:rPr>
        <w:t>。</w:t>
      </w:r>
    </w:p>
    <w:p w14:paraId="7D48ED40">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1.6.5 现场图纸准备</w:t>
      </w:r>
    </w:p>
    <w:p w14:paraId="018FB1D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关于现场图纸准备的约定：</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1BD383C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08" w:name="_Toc418752241"/>
      <w:bookmarkStart w:id="309" w:name="_Toc25636"/>
      <w:bookmarkStart w:id="310" w:name="_Toc406522219"/>
      <w:bookmarkStart w:id="311" w:name="_Toc522201729"/>
      <w:bookmarkStart w:id="312" w:name="_Toc497747177"/>
      <w:bookmarkStart w:id="313" w:name="_Toc497746780"/>
      <w:bookmarkStart w:id="314" w:name="_Toc256000179"/>
      <w:bookmarkStart w:id="315" w:name="_Toc418751795"/>
      <w:r>
        <w:rPr>
          <w:rFonts w:hint="eastAsia" w:ascii="宋体" w:cs="宋体"/>
          <w:color w:val="auto"/>
          <w:highlight w:val="none"/>
        </w:rPr>
        <w:t>1.7 联络</w:t>
      </w:r>
      <w:bookmarkEnd w:id="308"/>
      <w:bookmarkEnd w:id="309"/>
      <w:bookmarkEnd w:id="310"/>
      <w:bookmarkEnd w:id="311"/>
      <w:bookmarkEnd w:id="312"/>
      <w:bookmarkEnd w:id="313"/>
      <w:bookmarkEnd w:id="314"/>
      <w:bookmarkEnd w:id="315"/>
    </w:p>
    <w:p w14:paraId="21293A3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1.7.1发包人和承包人应当在</w:t>
      </w:r>
      <w:r>
        <w:rPr>
          <w:rFonts w:hint="eastAsia" w:ascii="宋体" w:hAnsi="宋体" w:cs="宋体"/>
          <w:color w:val="auto"/>
          <w:highlight w:val="none"/>
          <w:u w:val="single"/>
        </w:rPr>
        <w:t xml:space="preserve">  7 </w:t>
      </w:r>
      <w:r>
        <w:rPr>
          <w:rFonts w:hint="eastAsia" w:ascii="宋体" w:hAnsi="宋体" w:cs="宋体"/>
          <w:color w:val="auto"/>
          <w:highlight w:val="none"/>
        </w:rPr>
        <w:t>天内将与合同有关的通知、批准、证明、证书、指示、指令、要求、请求、同意、意见、确定和决定等书面函件送达对方当事人。</w:t>
      </w:r>
    </w:p>
    <w:p w14:paraId="0E68B108">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1.7.2发包人接收文件的地点：</w:t>
      </w:r>
      <w:r>
        <w:rPr>
          <w:rFonts w:hint="eastAsia" w:ascii="宋体" w:hAnsi="宋体" w:cs="宋体"/>
          <w:color w:val="auto"/>
          <w:szCs w:val="21"/>
          <w:highlight w:val="none"/>
          <w:u w:val="single"/>
        </w:rPr>
        <w:t xml:space="preserve"> </w:t>
      </w:r>
      <w:r>
        <w:rPr>
          <w:rFonts w:hint="eastAsia" w:ascii="宋体" w:hAnsi="宋体"/>
          <w:color w:val="auto"/>
          <w:highlight w:val="none"/>
          <w:u w:val="single"/>
        </w:rPr>
        <w:t>双方按实际情况现场约定</w:t>
      </w:r>
      <w:r>
        <w:rPr>
          <w:rFonts w:hint="eastAsia" w:ascii="宋体" w:hAnsi="宋体" w:cs="宋体"/>
          <w:color w:val="auto"/>
          <w:kern w:val="0"/>
          <w:szCs w:val="21"/>
          <w:highlight w:val="none"/>
        </w:rPr>
        <w:t>；</w:t>
      </w:r>
    </w:p>
    <w:p w14:paraId="3127E0B6">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C62362B">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施工现场项目部</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2B122F10">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41C0BBE6">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1CB6A99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监理人指定的接收人为：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4F7F9CC">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16" w:name="_Toc497746781"/>
      <w:bookmarkStart w:id="317" w:name="_Toc418751796"/>
      <w:bookmarkStart w:id="318" w:name="_Toc418752242"/>
      <w:bookmarkStart w:id="319" w:name="_Toc256000180"/>
      <w:bookmarkStart w:id="320" w:name="_Toc406522220"/>
      <w:bookmarkStart w:id="321" w:name="_Toc497747178"/>
      <w:bookmarkStart w:id="322" w:name="_Toc31771"/>
      <w:bookmarkStart w:id="323" w:name="_Toc522201730"/>
      <w:r>
        <w:rPr>
          <w:rFonts w:hint="eastAsia" w:ascii="宋体" w:cs="宋体"/>
          <w:color w:val="auto"/>
          <w:highlight w:val="none"/>
        </w:rPr>
        <w:t>1.10 交通运输</w:t>
      </w:r>
      <w:bookmarkEnd w:id="316"/>
      <w:bookmarkEnd w:id="317"/>
      <w:bookmarkEnd w:id="318"/>
      <w:bookmarkEnd w:id="319"/>
      <w:bookmarkEnd w:id="320"/>
      <w:bookmarkEnd w:id="321"/>
      <w:bookmarkEnd w:id="322"/>
      <w:bookmarkEnd w:id="323"/>
    </w:p>
    <w:p w14:paraId="0A92621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w:t>
      </w:r>
      <w:bookmarkStart w:id="324" w:name="_Toc318581155"/>
      <w:bookmarkStart w:id="325" w:name="_Toc303539100"/>
      <w:bookmarkStart w:id="326" w:name="_Toc300934943"/>
      <w:bookmarkStart w:id="327" w:name="_Toc312677986"/>
      <w:bookmarkStart w:id="328" w:name="_Toc304295521"/>
      <w:r>
        <w:rPr>
          <w:rFonts w:hint="eastAsia" w:ascii="宋体" w:hAnsi="宋体" w:cs="宋体"/>
          <w:color w:val="auto"/>
          <w:highlight w:val="none"/>
        </w:rPr>
        <w:t>.10.1 出入现场的权利</w:t>
      </w:r>
    </w:p>
    <w:p w14:paraId="3B573D4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关于出入现场的权利的约定：</w:t>
      </w:r>
      <w:r>
        <w:rPr>
          <w:rFonts w:hint="eastAsia" w:ascii="宋体" w:hAnsi="宋体" w:cs="宋体"/>
          <w:color w:val="auto"/>
          <w:highlight w:val="none"/>
          <w:u w:val="single"/>
        </w:rPr>
        <w:t xml:space="preserve"> 除正常施工涉及的人员及车辆外，其他人员及车辆进出场内须经过发包人同意，且由承包人进行管理登记 </w:t>
      </w:r>
      <w:r>
        <w:rPr>
          <w:rFonts w:hint="eastAsia" w:ascii="宋体" w:hAnsi="宋体" w:cs="宋体"/>
          <w:color w:val="auto"/>
          <w:highlight w:val="none"/>
        </w:rPr>
        <w:t>。</w:t>
      </w:r>
    </w:p>
    <w:bookmarkEnd w:id="324"/>
    <w:bookmarkEnd w:id="325"/>
    <w:bookmarkEnd w:id="326"/>
    <w:bookmarkEnd w:id="327"/>
    <w:bookmarkEnd w:id="328"/>
    <w:p w14:paraId="24271B99">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w:t>
      </w:r>
      <w:bookmarkStart w:id="329" w:name="_Toc304295522"/>
      <w:bookmarkStart w:id="330" w:name="_Toc303539101"/>
      <w:bookmarkStart w:id="331" w:name="_Toc312677987"/>
      <w:bookmarkStart w:id="332" w:name="_Toc300934944"/>
      <w:bookmarkStart w:id="333" w:name="_Toc318581156"/>
      <w:r>
        <w:rPr>
          <w:rFonts w:hint="eastAsia" w:ascii="宋体" w:hAnsi="宋体" w:cs="宋体"/>
          <w:color w:val="auto"/>
          <w:highlight w:val="none"/>
        </w:rPr>
        <w:t>.10.3 场内交通</w:t>
      </w:r>
    </w:p>
    <w:p w14:paraId="00DCFE5B">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关于场外交通和场内交通的边界的约定：</w:t>
      </w:r>
      <w:r>
        <w:rPr>
          <w:rFonts w:hint="eastAsia" w:ascii="宋体" w:hAnsi="宋体" w:cs="宋体"/>
          <w:color w:val="auto"/>
          <w:highlight w:val="none"/>
          <w:u w:val="single"/>
        </w:rPr>
        <w:t xml:space="preserve">  规划批复总平用地红线  </w:t>
      </w:r>
      <w:r>
        <w:rPr>
          <w:rFonts w:hint="eastAsia" w:ascii="宋体" w:hAnsi="宋体" w:cs="宋体"/>
          <w:color w:val="auto"/>
          <w:highlight w:val="none"/>
        </w:rPr>
        <w:t>。</w:t>
      </w:r>
    </w:p>
    <w:p w14:paraId="5914511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cs="宋体"/>
          <w:color w:val="auto"/>
          <w:highlight w:val="none"/>
          <w:u w:val="single"/>
        </w:rPr>
        <w:t>承包人负责场内道路和交通设施的修建并承担相应费用</w:t>
      </w:r>
      <w:r>
        <w:rPr>
          <w:rFonts w:hint="eastAsia" w:ascii="宋体" w:hAnsi="宋体" w:cs="宋体"/>
          <w:color w:val="auto"/>
          <w:highlight w:val="none"/>
        </w:rPr>
        <w:t>。</w:t>
      </w:r>
      <w:bookmarkEnd w:id="329"/>
      <w:bookmarkEnd w:id="330"/>
      <w:bookmarkEnd w:id="331"/>
      <w:bookmarkEnd w:id="332"/>
      <w:bookmarkEnd w:id="333"/>
      <w:r>
        <w:rPr>
          <w:rFonts w:hint="eastAsia" w:ascii="宋体" w:hAnsi="宋体" w:cs="宋体"/>
          <w:color w:val="auto"/>
          <w:highlight w:val="none"/>
        </w:rPr>
        <w:t xml:space="preserve">  </w:t>
      </w:r>
      <w:bookmarkStart w:id="334" w:name="_Toc318581157"/>
    </w:p>
    <w:p w14:paraId="3F16037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1.10.4超大件和超重件的运输</w:t>
      </w:r>
    </w:p>
    <w:p w14:paraId="24D5B76C">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运输超大件或超重件所需的道路和桥梁临时加固改造费用和其他有关费用由</w:t>
      </w:r>
      <w:r>
        <w:rPr>
          <w:rFonts w:hint="eastAsia" w:ascii="宋体" w:hAnsi="宋体" w:cs="宋体"/>
          <w:color w:val="auto"/>
          <w:highlight w:val="none"/>
          <w:u w:val="single"/>
        </w:rPr>
        <w:t>承包人</w:t>
      </w:r>
      <w:r>
        <w:rPr>
          <w:rFonts w:hint="eastAsia" w:ascii="宋体" w:hAnsi="宋体" w:cs="宋体"/>
          <w:color w:val="auto"/>
          <w:highlight w:val="none"/>
        </w:rPr>
        <w:t>承担。</w:t>
      </w:r>
    </w:p>
    <w:bookmarkEnd w:id="334"/>
    <w:p w14:paraId="0114CFF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35" w:name="_Toc256000181"/>
      <w:bookmarkStart w:id="336" w:name="_Toc522201731"/>
      <w:bookmarkStart w:id="337" w:name="_Toc497746782"/>
      <w:bookmarkStart w:id="338" w:name="_Toc497747179"/>
      <w:bookmarkStart w:id="339" w:name="_Toc406522221"/>
      <w:bookmarkStart w:id="340" w:name="_Toc418752243"/>
      <w:bookmarkStart w:id="341" w:name="_Toc418751797"/>
      <w:bookmarkStart w:id="342" w:name="_Toc17997"/>
      <w:r>
        <w:rPr>
          <w:rFonts w:hint="eastAsia" w:ascii="宋体" w:cs="宋体"/>
          <w:color w:val="auto"/>
          <w:highlight w:val="none"/>
        </w:rPr>
        <w:t>1.11 知识产权</w:t>
      </w:r>
      <w:bookmarkEnd w:id="335"/>
      <w:bookmarkEnd w:id="336"/>
      <w:bookmarkEnd w:id="337"/>
      <w:bookmarkEnd w:id="338"/>
      <w:bookmarkEnd w:id="339"/>
      <w:bookmarkEnd w:id="340"/>
      <w:bookmarkEnd w:id="341"/>
      <w:bookmarkEnd w:id="342"/>
    </w:p>
    <w:p w14:paraId="258A5848">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highlight w:val="none"/>
          <w:u w:val="single"/>
        </w:rPr>
        <w:t>著作权属于发包人</w:t>
      </w:r>
      <w:r>
        <w:rPr>
          <w:rFonts w:hint="eastAsia" w:ascii="宋体" w:hAnsi="宋体" w:cs="宋体"/>
          <w:color w:val="auto"/>
          <w:highlight w:val="none"/>
        </w:rPr>
        <w:t>。</w:t>
      </w:r>
    </w:p>
    <w:p w14:paraId="08F11D4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关于发包人提供的上述文件的使用限制的要求：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6FA5F199">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1.11.2 关于承包人为实施工程所编制文件的著作权的归属：</w:t>
      </w:r>
      <w:r>
        <w:rPr>
          <w:rFonts w:hint="eastAsia" w:ascii="宋体" w:hAnsi="宋体" w:cs="宋体"/>
          <w:color w:val="auto"/>
          <w:highlight w:val="none"/>
          <w:u w:val="single"/>
        </w:rPr>
        <w:t>除署名以外著作权属于发包人</w:t>
      </w:r>
      <w:r>
        <w:rPr>
          <w:rFonts w:hint="eastAsia" w:ascii="宋体" w:hAnsi="宋体" w:cs="宋体"/>
          <w:color w:val="auto"/>
          <w:highlight w:val="none"/>
        </w:rPr>
        <w:t>。</w:t>
      </w:r>
    </w:p>
    <w:p w14:paraId="28DB8DA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关于承包人提供的上述文件的使用限制的要求：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3356688A">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1.11.4 承包人在施工过程中所采用的专利、专有技术、技术秘密的使用费的承担方式：</w:t>
      </w:r>
      <w:r>
        <w:rPr>
          <w:rFonts w:hint="eastAsia" w:ascii="宋体" w:hAnsi="宋体" w:cs="宋体"/>
          <w:color w:val="auto"/>
          <w:highlight w:val="none"/>
          <w:u w:val="single"/>
        </w:rPr>
        <w:t>由承包人承担</w:t>
      </w:r>
      <w:r>
        <w:rPr>
          <w:rFonts w:hint="eastAsia" w:ascii="宋体" w:hAnsi="宋体" w:cs="宋体"/>
          <w:color w:val="auto"/>
          <w:highlight w:val="none"/>
        </w:rPr>
        <w:t>。</w:t>
      </w:r>
    </w:p>
    <w:p w14:paraId="495B8EB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1.13工程量清单错误的修正</w:t>
      </w:r>
    </w:p>
    <w:p w14:paraId="18848206">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出现工程量清单错误时，是否调整合同价格：</w:t>
      </w:r>
      <w:r>
        <w:rPr>
          <w:rFonts w:hint="eastAsia" w:ascii="宋体" w:hAnsi="宋体" w:cs="宋体"/>
          <w:color w:val="auto"/>
          <w:highlight w:val="none"/>
          <w:u w:val="single"/>
        </w:rPr>
        <w:t>按《建设工程工程量清单计价规范（GB5050-2013）》及其广西实施细则、《建设工程工程量清单计算规范（</w:t>
      </w:r>
      <w:r>
        <w:rPr>
          <w:rFonts w:hint="eastAsia" w:ascii="宋体" w:hAnsi="宋体" w:cs="宋体"/>
          <w:color w:val="auto"/>
          <w:highlight w:val="none"/>
          <w:u w:val="single"/>
          <w:lang w:eastAsia="zh-CN"/>
        </w:rPr>
        <w:t>GB50854</w:t>
      </w:r>
      <w:r>
        <w:rPr>
          <w:rFonts w:hint="eastAsia" w:ascii="宋体" w:hAnsi="宋体" w:cs="宋体"/>
          <w:color w:val="auto"/>
          <w:highlight w:val="none"/>
          <w:u w:val="single"/>
        </w:rPr>
        <w:t>～50862-2013）》及其广西实施细则（修订本）等规定。</w:t>
      </w:r>
    </w:p>
    <w:p w14:paraId="7BCD995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 xml:space="preserve">允许调整合同价格的工程量偏差范围： </w:t>
      </w:r>
      <w:r>
        <w:rPr>
          <w:rFonts w:hint="eastAsia" w:ascii="宋体" w:hAnsi="宋体" w:cs="宋体"/>
          <w:color w:val="auto"/>
          <w:highlight w:val="none"/>
          <w:u w:val="single"/>
        </w:rPr>
        <w:t>按《建设工程工程量清单计价规范（GB5050-2013）》及其广西实施细则、《建设工程工程量清单计算规范（</w:t>
      </w:r>
      <w:r>
        <w:rPr>
          <w:rFonts w:hint="eastAsia" w:ascii="宋体" w:hAnsi="宋体" w:cs="宋体"/>
          <w:color w:val="auto"/>
          <w:highlight w:val="none"/>
          <w:u w:val="single"/>
          <w:lang w:eastAsia="zh-CN"/>
        </w:rPr>
        <w:t>GB50854</w:t>
      </w:r>
      <w:r>
        <w:rPr>
          <w:rFonts w:hint="eastAsia" w:ascii="宋体" w:hAnsi="宋体" w:cs="宋体"/>
          <w:color w:val="auto"/>
          <w:highlight w:val="none"/>
          <w:u w:val="single"/>
        </w:rPr>
        <w:t>～50862-2013）》及其广西实施细则（修订本）等规定</w:t>
      </w:r>
      <w:r>
        <w:rPr>
          <w:rFonts w:hint="eastAsia" w:ascii="宋体" w:hAnsi="宋体" w:cs="宋体"/>
          <w:color w:val="auto"/>
          <w:highlight w:val="none"/>
        </w:rPr>
        <w:t>。</w:t>
      </w:r>
    </w:p>
    <w:p w14:paraId="4390F8CC">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343" w:name="_Toc256000182"/>
      <w:bookmarkStart w:id="344" w:name="_Toc522201732"/>
      <w:bookmarkStart w:id="345" w:name="_Toc418751798"/>
      <w:bookmarkStart w:id="346" w:name="_Toc406522222"/>
      <w:bookmarkStart w:id="347" w:name="_Toc351203634"/>
      <w:bookmarkStart w:id="348" w:name="_Toc497747180"/>
      <w:bookmarkStart w:id="349" w:name="_Toc497746783"/>
      <w:bookmarkStart w:id="350" w:name="_Toc1764"/>
      <w:bookmarkStart w:id="351" w:name="_Toc418752244"/>
      <w:r>
        <w:rPr>
          <w:rFonts w:hint="eastAsia" w:ascii="宋体" w:cs="宋体"/>
          <w:color w:val="auto"/>
          <w:highlight w:val="none"/>
        </w:rPr>
        <w:t>2</w:t>
      </w:r>
      <w:bookmarkStart w:id="352" w:name="_Toc297048343"/>
      <w:bookmarkStart w:id="353" w:name="_Toc296891197"/>
      <w:bookmarkStart w:id="354" w:name="_Toc296890985"/>
      <w:bookmarkStart w:id="355" w:name="_Toc296347156"/>
      <w:bookmarkStart w:id="356" w:name="_Toc296346658"/>
      <w:bookmarkStart w:id="357" w:name="_Toc297120457"/>
      <w:bookmarkStart w:id="358" w:name="_Toc296503157"/>
      <w:bookmarkStart w:id="359" w:name="_Toc292559867"/>
      <w:bookmarkStart w:id="360" w:name="_Toc292559362"/>
      <w:bookmarkStart w:id="361" w:name="_Toc296944496"/>
      <w:r>
        <w:rPr>
          <w:rFonts w:hint="eastAsia" w:ascii="宋体" w:cs="宋体"/>
          <w:color w:val="auto"/>
          <w:highlight w:val="none"/>
        </w:rPr>
        <w:t>. 发包人</w:t>
      </w:r>
      <w:bookmarkEnd w:id="343"/>
      <w:bookmarkEnd w:id="344"/>
      <w:bookmarkEnd w:id="345"/>
      <w:bookmarkEnd w:id="346"/>
      <w:bookmarkEnd w:id="347"/>
      <w:bookmarkEnd w:id="348"/>
      <w:bookmarkEnd w:id="349"/>
      <w:bookmarkEnd w:id="350"/>
      <w:bookmarkEnd w:id="351"/>
    </w:p>
    <w:bookmarkEnd w:id="352"/>
    <w:bookmarkEnd w:id="353"/>
    <w:bookmarkEnd w:id="354"/>
    <w:bookmarkEnd w:id="355"/>
    <w:bookmarkEnd w:id="356"/>
    <w:bookmarkEnd w:id="357"/>
    <w:bookmarkEnd w:id="358"/>
    <w:bookmarkEnd w:id="359"/>
    <w:bookmarkEnd w:id="360"/>
    <w:bookmarkEnd w:id="361"/>
    <w:p w14:paraId="632F27CD">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62" w:name="_Toc497747181"/>
      <w:bookmarkStart w:id="363" w:name="_Toc522201733"/>
      <w:bookmarkStart w:id="364" w:name="_Toc418751799"/>
      <w:bookmarkStart w:id="365" w:name="_Toc10058"/>
      <w:bookmarkStart w:id="366" w:name="_Toc497746784"/>
      <w:bookmarkStart w:id="367" w:name="_Toc418752245"/>
      <w:bookmarkStart w:id="368" w:name="_Toc406522223"/>
      <w:bookmarkStart w:id="369" w:name="_Toc256000183"/>
      <w:r>
        <w:rPr>
          <w:rFonts w:hint="eastAsia" w:ascii="宋体" w:cs="宋体"/>
          <w:color w:val="auto"/>
          <w:highlight w:val="none"/>
        </w:rPr>
        <w:t>2.2 发包人代表</w:t>
      </w:r>
      <w:bookmarkEnd w:id="362"/>
      <w:bookmarkEnd w:id="363"/>
      <w:bookmarkEnd w:id="364"/>
      <w:bookmarkEnd w:id="365"/>
      <w:bookmarkEnd w:id="366"/>
      <w:bookmarkEnd w:id="367"/>
      <w:bookmarkEnd w:id="368"/>
      <w:bookmarkEnd w:id="369"/>
    </w:p>
    <w:p w14:paraId="4D7C9E15">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发包人代表：</w:t>
      </w:r>
    </w:p>
    <w:p w14:paraId="1C618C88">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8FD1B2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B2316BE">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D911A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2A4365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中标（成交）后填写 </w:t>
      </w:r>
      <w:r>
        <w:rPr>
          <w:rFonts w:hint="eastAsia" w:ascii="宋体" w:hAnsi="宋体" w:cs="宋体"/>
          <w:color w:val="auto"/>
          <w:highlight w:val="none"/>
        </w:rPr>
        <w:t>。</w:t>
      </w:r>
    </w:p>
    <w:p w14:paraId="49B54CCA">
      <w:pPr>
        <w:pStyle w:val="51"/>
        <w:keepNext w:val="0"/>
        <w:keepLines w:val="0"/>
        <w:pageBreakBefore w:val="0"/>
        <w:widowControl w:val="0"/>
        <w:wordWrap/>
        <w:topLinePunct w:val="0"/>
        <w:bidi w:val="0"/>
        <w:spacing w:line="380" w:lineRule="exact"/>
        <w:rPr>
          <w:rFonts w:ascii="宋体" w:hAnsi="宋体" w:cs="宋体"/>
          <w:b/>
          <w:color w:val="auto"/>
          <w:highlight w:val="none"/>
        </w:rPr>
      </w:pPr>
      <w:r>
        <w:rPr>
          <w:rFonts w:hint="eastAsia" w:ascii="宋体" w:hAnsi="宋体" w:cs="宋体"/>
          <w:color w:val="auto"/>
          <w:highlight w:val="none"/>
        </w:rPr>
        <w:t>发包人对发包人代表的授权范围如下：</w:t>
      </w:r>
      <w:r>
        <w:rPr>
          <w:rFonts w:hint="eastAsia" w:ascii="宋体" w:hAnsi="宋体" w:cs="宋体"/>
          <w:color w:val="auto"/>
          <w:highlight w:val="none"/>
          <w:u w:val="single"/>
        </w:rPr>
        <w:t>对工程进度、质量进行监督、办理中间交工工程验收手续，负责现场签证，解决由发包人授权处理的事宜</w:t>
      </w:r>
      <w:r>
        <w:rPr>
          <w:rFonts w:hint="eastAsia" w:ascii="宋体" w:hAnsi="宋体" w:cs="宋体"/>
          <w:color w:val="auto"/>
          <w:highlight w:val="none"/>
        </w:rPr>
        <w:t>。</w:t>
      </w:r>
    </w:p>
    <w:p w14:paraId="1A0C3DC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70" w:name="_Toc418752246"/>
      <w:bookmarkStart w:id="371" w:name="_Toc418751800"/>
      <w:bookmarkStart w:id="372" w:name="_Toc522201734"/>
      <w:bookmarkStart w:id="373" w:name="_Toc497746785"/>
      <w:bookmarkStart w:id="374" w:name="_Toc406522224"/>
      <w:bookmarkStart w:id="375" w:name="_Toc8326"/>
      <w:bookmarkStart w:id="376" w:name="_Toc256000184"/>
      <w:bookmarkStart w:id="377" w:name="_Toc497747182"/>
      <w:r>
        <w:rPr>
          <w:rFonts w:hint="eastAsia" w:ascii="宋体" w:cs="宋体"/>
          <w:color w:val="auto"/>
          <w:highlight w:val="none"/>
        </w:rPr>
        <w:t>2.4 施工现场、施工条件和基础资料的提供</w:t>
      </w:r>
      <w:bookmarkEnd w:id="370"/>
      <w:bookmarkEnd w:id="371"/>
      <w:bookmarkEnd w:id="372"/>
      <w:bookmarkEnd w:id="373"/>
      <w:bookmarkEnd w:id="374"/>
      <w:bookmarkEnd w:id="375"/>
      <w:bookmarkEnd w:id="376"/>
      <w:bookmarkEnd w:id="377"/>
    </w:p>
    <w:p w14:paraId="17C2E31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2.4.1 提供施工现场</w:t>
      </w:r>
    </w:p>
    <w:p w14:paraId="09ADACA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关于发包人移交施工现场的期限要求：</w:t>
      </w:r>
      <w:r>
        <w:rPr>
          <w:rFonts w:hint="eastAsia" w:ascii="宋体" w:hAnsi="宋体" w:cs="宋体"/>
          <w:color w:val="auto"/>
          <w:highlight w:val="none"/>
          <w:u w:val="single"/>
        </w:rPr>
        <w:t xml:space="preserve"> 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ascii="宋体" w:hAnsi="宋体" w:cs="宋体"/>
          <w:color w:val="auto"/>
          <w:highlight w:val="none"/>
        </w:rPr>
        <w:t>。</w:t>
      </w:r>
    </w:p>
    <w:p w14:paraId="1962BBE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2.4.2 提供施工条件</w:t>
      </w:r>
    </w:p>
    <w:p w14:paraId="725111AF">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关于发包人应负责提供施工所需要的条件，包括：</w:t>
      </w:r>
      <w:r>
        <w:rPr>
          <w:rFonts w:hint="eastAsia" w:ascii="宋体" w:hAnsi="宋体" w:cs="宋体"/>
          <w:color w:val="auto"/>
          <w:highlight w:val="none"/>
          <w:u w:val="single"/>
        </w:rPr>
        <w:t>发包人可配合承包人办理开工所需手续及相关申请，费用由承包人自行解决，施工场地与公共道路的通道，由承包人负责实施，费用已包含在合同价中</w:t>
      </w:r>
      <w:r>
        <w:rPr>
          <w:rFonts w:hint="eastAsia" w:ascii="宋体" w:hAnsi="宋体" w:cs="宋体"/>
          <w:color w:val="auto"/>
          <w:highlight w:val="none"/>
        </w:rPr>
        <w:t>。</w:t>
      </w:r>
    </w:p>
    <w:p w14:paraId="5658780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78" w:name="_Toc418751801"/>
      <w:bookmarkStart w:id="379" w:name="_Toc497746786"/>
      <w:bookmarkStart w:id="380" w:name="_Toc497747183"/>
      <w:bookmarkStart w:id="381" w:name="_Toc256000185"/>
      <w:bookmarkStart w:id="382" w:name="_Toc25273"/>
      <w:bookmarkStart w:id="383" w:name="_Toc406522225"/>
      <w:bookmarkStart w:id="384" w:name="_Toc522201735"/>
      <w:bookmarkStart w:id="385" w:name="_Toc418752247"/>
      <w:r>
        <w:rPr>
          <w:rFonts w:hint="eastAsia" w:ascii="宋体" w:cs="宋体"/>
          <w:color w:val="auto"/>
          <w:highlight w:val="none"/>
        </w:rPr>
        <w:t>2.5 资金来源证明及支付担保</w:t>
      </w:r>
      <w:bookmarkEnd w:id="378"/>
      <w:bookmarkEnd w:id="379"/>
      <w:bookmarkEnd w:id="380"/>
      <w:bookmarkEnd w:id="381"/>
      <w:bookmarkEnd w:id="382"/>
      <w:bookmarkEnd w:id="383"/>
      <w:bookmarkEnd w:id="384"/>
      <w:bookmarkEnd w:id="385"/>
    </w:p>
    <w:p w14:paraId="67DB2662">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发包人提供资金来源证明的期限要求：</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52895F6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发包人是否提供支付担保：</w:t>
      </w:r>
      <w:r>
        <w:rPr>
          <w:rFonts w:hint="eastAsia" w:ascii="宋体" w:hAnsi="宋体" w:cs="宋体"/>
          <w:color w:val="auto"/>
          <w:highlight w:val="none"/>
          <w:u w:val="single"/>
        </w:rPr>
        <w:t xml:space="preserve">    否　　　   </w:t>
      </w:r>
      <w:r>
        <w:rPr>
          <w:rFonts w:hint="eastAsia" w:ascii="宋体" w:hAnsi="宋体" w:cs="宋体"/>
          <w:color w:val="auto"/>
          <w:highlight w:val="none"/>
        </w:rPr>
        <w:t>。</w:t>
      </w:r>
    </w:p>
    <w:p w14:paraId="49CEDCE2">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发包人提供支付担保的形式：</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7DB61268">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386" w:name="_Toc522201736"/>
      <w:bookmarkStart w:id="387" w:name="_Toc418751802"/>
      <w:bookmarkStart w:id="388" w:name="_Toc406522226"/>
      <w:bookmarkStart w:id="389" w:name="_Toc497747184"/>
      <w:bookmarkStart w:id="390" w:name="_Toc351203635"/>
      <w:bookmarkStart w:id="391" w:name="_Toc497746787"/>
      <w:bookmarkStart w:id="392" w:name="_Toc418752248"/>
      <w:bookmarkStart w:id="393" w:name="_Toc256000186"/>
      <w:bookmarkStart w:id="394" w:name="_Toc6875"/>
      <w:r>
        <w:rPr>
          <w:rFonts w:hint="eastAsia" w:ascii="宋体" w:cs="宋体"/>
          <w:color w:val="auto"/>
          <w:highlight w:val="none"/>
        </w:rPr>
        <w:t>3</w:t>
      </w:r>
      <w:bookmarkStart w:id="395" w:name="_Toc297120458"/>
      <w:bookmarkStart w:id="396" w:name="_Toc296891198"/>
      <w:bookmarkStart w:id="397" w:name="_Toc292559363"/>
      <w:bookmarkStart w:id="398" w:name="_Toc296347157"/>
      <w:bookmarkStart w:id="399" w:name="_Toc292559868"/>
      <w:bookmarkStart w:id="400" w:name="_Toc296503158"/>
      <w:bookmarkStart w:id="401" w:name="_Toc297048344"/>
      <w:bookmarkStart w:id="402" w:name="_Toc296944497"/>
      <w:bookmarkStart w:id="403" w:name="_Toc296890986"/>
      <w:bookmarkStart w:id="404" w:name="_Toc296346659"/>
      <w:r>
        <w:rPr>
          <w:rFonts w:hint="eastAsia" w:ascii="宋体" w:cs="宋体"/>
          <w:color w:val="auto"/>
          <w:highlight w:val="none"/>
        </w:rPr>
        <w:t>. 承包人</w:t>
      </w:r>
      <w:bookmarkEnd w:id="386"/>
      <w:bookmarkEnd w:id="387"/>
      <w:bookmarkEnd w:id="388"/>
      <w:bookmarkEnd w:id="389"/>
      <w:bookmarkEnd w:id="390"/>
      <w:bookmarkEnd w:id="391"/>
      <w:bookmarkEnd w:id="392"/>
      <w:bookmarkEnd w:id="393"/>
      <w:bookmarkEnd w:id="394"/>
    </w:p>
    <w:bookmarkEnd w:id="395"/>
    <w:bookmarkEnd w:id="396"/>
    <w:bookmarkEnd w:id="397"/>
    <w:bookmarkEnd w:id="398"/>
    <w:bookmarkEnd w:id="399"/>
    <w:bookmarkEnd w:id="400"/>
    <w:bookmarkEnd w:id="401"/>
    <w:bookmarkEnd w:id="402"/>
    <w:bookmarkEnd w:id="403"/>
    <w:bookmarkEnd w:id="404"/>
    <w:p w14:paraId="1F9F507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05" w:name="_Toc497746788"/>
      <w:bookmarkStart w:id="406" w:name="_Toc418752249"/>
      <w:bookmarkStart w:id="407" w:name="_Toc7415"/>
      <w:bookmarkStart w:id="408" w:name="_Toc256000187"/>
      <w:bookmarkStart w:id="409" w:name="_Toc418751803"/>
      <w:bookmarkStart w:id="410" w:name="_Toc406522227"/>
      <w:bookmarkStart w:id="411" w:name="_Toc522201737"/>
      <w:bookmarkStart w:id="412" w:name="_Toc497747185"/>
      <w:r>
        <w:rPr>
          <w:rFonts w:hint="eastAsia" w:ascii="宋体" w:cs="宋体"/>
          <w:color w:val="auto"/>
          <w:highlight w:val="none"/>
        </w:rPr>
        <w:t>3.1 承包人的一般义务</w:t>
      </w:r>
      <w:bookmarkEnd w:id="405"/>
      <w:bookmarkEnd w:id="406"/>
      <w:bookmarkEnd w:id="407"/>
      <w:bookmarkEnd w:id="408"/>
      <w:bookmarkEnd w:id="409"/>
      <w:bookmarkEnd w:id="410"/>
      <w:bookmarkEnd w:id="411"/>
      <w:bookmarkEnd w:id="412"/>
    </w:p>
    <w:p w14:paraId="616E2DB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（9）</w:t>
      </w:r>
      <w:r>
        <w:rPr>
          <w:rFonts w:hint="eastAsia" w:ascii="宋体" w:hAnsi="宋体" w:cs="宋体"/>
          <w:color w:val="auto"/>
          <w:szCs w:val="21"/>
          <w:highlight w:val="none"/>
        </w:rPr>
        <w:t>承包人提交的竣工资料的内容：</w:t>
      </w:r>
      <w:r>
        <w:rPr>
          <w:rFonts w:hint="eastAsia" w:ascii="宋体" w:hAnsi="宋体" w:cs="宋体"/>
          <w:color w:val="auto"/>
          <w:szCs w:val="21"/>
          <w:highlight w:val="none"/>
          <w:u w:val="single"/>
        </w:rPr>
        <w:t>工程具备竣工验收条件，承包人按工程竣工验收有关规定，向发包人提交符合《建设工程文件归档整理规范》内容装订成册的完整竣工资料及竣工验收报告、工程竣工图</w:t>
      </w:r>
      <w:r>
        <w:rPr>
          <w:rFonts w:hint="eastAsia" w:ascii="宋体" w:hAnsi="宋体" w:cs="宋体"/>
          <w:color w:val="auto"/>
          <w:szCs w:val="21"/>
          <w:highlight w:val="none"/>
        </w:rPr>
        <w:t>。</w:t>
      </w:r>
    </w:p>
    <w:p w14:paraId="77795D8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承包人需要提交的竣工资料套数：</w:t>
      </w:r>
      <w:r>
        <w:rPr>
          <w:rFonts w:hint="eastAsia" w:ascii="宋体" w:hAnsi="宋体" w:cs="宋体"/>
          <w:color w:val="auto"/>
          <w:szCs w:val="21"/>
          <w:highlight w:val="none"/>
          <w:u w:val="single"/>
        </w:rPr>
        <w:t xml:space="preserve">  承包人向发包人提交竣工档案份数为一式四份；备案资料一式两份；建设工程质量监督档案一式两份  </w:t>
      </w:r>
      <w:r>
        <w:rPr>
          <w:rFonts w:hint="eastAsia" w:ascii="宋体" w:hAnsi="宋体" w:cs="宋体"/>
          <w:color w:val="auto"/>
          <w:szCs w:val="21"/>
          <w:highlight w:val="none"/>
        </w:rPr>
        <w:t>。</w:t>
      </w:r>
    </w:p>
    <w:p w14:paraId="689AD9F0">
      <w:pPr>
        <w:pStyle w:val="21"/>
        <w:keepNext w:val="0"/>
        <w:keepLines w:val="0"/>
        <w:pageBreakBefore w:val="0"/>
        <w:widowControl w:val="0"/>
        <w:wordWrap/>
        <w:topLinePunct w:val="0"/>
        <w:bidi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承包人提交的竣工资料的费用承担：</w:t>
      </w:r>
      <w:r>
        <w:rPr>
          <w:rFonts w:hint="eastAsia" w:ascii="宋体" w:hAnsi="宋体" w:cs="宋体"/>
          <w:color w:val="auto"/>
          <w:szCs w:val="21"/>
          <w:highlight w:val="none"/>
          <w:u w:val="single"/>
        </w:rPr>
        <w:t xml:space="preserve">  由承包人承担相关费用 </w:t>
      </w:r>
      <w:r>
        <w:rPr>
          <w:rFonts w:hint="eastAsia" w:ascii="宋体" w:hAnsi="宋体" w:cs="宋体"/>
          <w:color w:val="auto"/>
          <w:szCs w:val="21"/>
          <w:highlight w:val="none"/>
        </w:rPr>
        <w:t>。</w:t>
      </w:r>
    </w:p>
    <w:p w14:paraId="2C75C6B3">
      <w:pPr>
        <w:pStyle w:val="21"/>
        <w:keepNext w:val="0"/>
        <w:keepLines w:val="0"/>
        <w:pageBreakBefore w:val="0"/>
        <w:widowControl w:val="0"/>
        <w:wordWrap/>
        <w:topLinePunct w:val="0"/>
        <w:bidi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承包人提交的竣工资料移交时间：</w:t>
      </w:r>
      <w:r>
        <w:rPr>
          <w:rFonts w:hint="eastAsia" w:ascii="宋体" w:hAnsi="宋体" w:cs="宋体"/>
          <w:color w:val="auto"/>
          <w:szCs w:val="21"/>
          <w:highlight w:val="none"/>
          <w:u w:val="single"/>
        </w:rPr>
        <w:t xml:space="preserve">  工程竣工验收合格后30天内  </w:t>
      </w:r>
      <w:r>
        <w:rPr>
          <w:rFonts w:hint="eastAsia" w:ascii="宋体" w:hAnsi="宋体" w:cs="宋体"/>
          <w:color w:val="auto"/>
          <w:szCs w:val="21"/>
          <w:highlight w:val="none"/>
        </w:rPr>
        <w:t>。</w:t>
      </w:r>
    </w:p>
    <w:p w14:paraId="6404843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承包人提交的竣工资料形式要求：</w:t>
      </w:r>
      <w:r>
        <w:rPr>
          <w:rFonts w:hint="eastAsia" w:ascii="宋体" w:hAnsi="宋体" w:cs="宋体"/>
          <w:color w:val="auto"/>
          <w:szCs w:val="21"/>
          <w:highlight w:val="none"/>
          <w:u w:val="single"/>
        </w:rPr>
        <w:t>竣工档案（竣工档案的内容：施工单位竣工验收文件、施工文件、竣工图（按城市建设档案馆要求整理，相关费用由承包人承担）、备案资料（应由承包人提供的部分按</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rPr>
        <w:t>住建局要求整理）、建设工程质量监督档案（应由承包人提供的部分按</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rPr>
        <w:t>建设工程质量监督管理站要求整理）</w:t>
      </w:r>
      <w:r>
        <w:rPr>
          <w:rFonts w:hint="eastAsia" w:ascii="宋体" w:hAnsi="宋体" w:cs="宋体"/>
          <w:color w:val="auto"/>
          <w:szCs w:val="21"/>
          <w:highlight w:val="none"/>
        </w:rPr>
        <w:t>。</w:t>
      </w:r>
    </w:p>
    <w:p w14:paraId="45CFC551">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（10）承包人应履行的其他义务：</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1 \* GB3 \* MERGEFORMAT </w:instrText>
      </w:r>
      <w:r>
        <w:rPr>
          <w:rFonts w:hint="eastAsia" w:ascii="宋体" w:hAnsi="宋体" w:cs="宋体"/>
          <w:color w:val="auto"/>
          <w:kern w:val="0"/>
          <w:highlight w:val="none"/>
          <w:u w:val="single"/>
        </w:rPr>
        <w:fldChar w:fldCharType="separate"/>
      </w:r>
      <w:r>
        <w:rPr>
          <w:color w:val="auto"/>
          <w:u w:val="single"/>
        </w:rPr>
        <w:t>①</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、承包人应主动配合发包人协调与施工现场周边农村及村民的关系，确保项目施工顺利进行；</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2 \* GB3 \* MERGEFORMAT </w:instrText>
      </w:r>
      <w:r>
        <w:rPr>
          <w:rFonts w:hint="eastAsia" w:ascii="宋体" w:hAnsi="宋体" w:cs="宋体"/>
          <w:color w:val="auto"/>
          <w:kern w:val="0"/>
          <w:highlight w:val="none"/>
          <w:u w:val="single"/>
        </w:rPr>
        <w:fldChar w:fldCharType="separate"/>
      </w:r>
      <w:r>
        <w:rPr>
          <w:color w:val="auto"/>
          <w:u w:val="single"/>
        </w:rPr>
        <w:t>②</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、发包人按节点足额支付工程款后，农民工工资按桂人社规[2021]16号文件执行，承包人应按时支付农民工工资；</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3 \* GB3 \* MERGEFORMAT </w:instrText>
      </w:r>
      <w:r>
        <w:rPr>
          <w:rFonts w:hint="eastAsia" w:ascii="宋体" w:hAnsi="宋体" w:cs="宋体"/>
          <w:color w:val="auto"/>
          <w:kern w:val="0"/>
          <w:highlight w:val="none"/>
          <w:u w:val="single"/>
        </w:rPr>
        <w:fldChar w:fldCharType="separate"/>
      </w:r>
      <w:r>
        <w:rPr>
          <w:color w:val="auto"/>
          <w:u w:val="single"/>
        </w:rPr>
        <w:t>③</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承包人应积极主动核对图纸中的标高、轴线等技术数据，充分理解设计意图。若由于明显的设计图纸问题（例如尺寸标注不闭合、文字标识相互矛盾等）和发包人（包括监理）不正确的指令，承包人发现后有书面告知义务，否则造成工程质量、安全、进度损失，也不能免除承包人的责任。</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4 \* GB3 \* MERGEFORMAT </w:instrText>
      </w:r>
      <w:r>
        <w:rPr>
          <w:rFonts w:hint="eastAsia" w:ascii="宋体" w:hAnsi="宋体" w:cs="宋体"/>
          <w:color w:val="auto"/>
          <w:kern w:val="0"/>
          <w:highlight w:val="none"/>
          <w:u w:val="single"/>
        </w:rPr>
        <w:fldChar w:fldCharType="separate"/>
      </w:r>
      <w:r>
        <w:rPr>
          <w:color w:val="auto"/>
          <w:u w:val="single"/>
        </w:rPr>
        <w:t>④</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承包人负责办理施工有关的环卫和噪音等审批手续，并承担费用。承包人负责对施工场地内的化石、文物具有保护责任，费用由发包人承担，发包人对此予以必要协助。承包人负责满足施工期间政府职能部门对工地消防设施有关要求，并承担相关费用</w:t>
      </w:r>
      <w:r>
        <w:rPr>
          <w:rFonts w:hint="eastAsia" w:ascii="宋体" w:hAnsi="宋体" w:cs="宋体"/>
          <w:color w:val="auto"/>
          <w:highlight w:val="none"/>
        </w:rPr>
        <w:t>。</w:t>
      </w:r>
    </w:p>
    <w:p w14:paraId="3C22731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13" w:name="_Toc418061319"/>
      <w:bookmarkStart w:id="414" w:name="_Toc373227708"/>
      <w:bookmarkStart w:id="415" w:name="_Toc403578942"/>
      <w:bookmarkStart w:id="416" w:name="_Toc418751804"/>
      <w:bookmarkStart w:id="417" w:name="_Toc418518118"/>
      <w:bookmarkStart w:id="418" w:name="_Toc389065274"/>
      <w:bookmarkStart w:id="419" w:name="_Toc256000188"/>
      <w:bookmarkStart w:id="420" w:name="_Toc522201738"/>
      <w:bookmarkStart w:id="421" w:name="_Toc497746789"/>
      <w:bookmarkStart w:id="422" w:name="_Toc418518354"/>
      <w:bookmarkStart w:id="423" w:name="_Toc373478355"/>
      <w:bookmarkStart w:id="424" w:name="_Toc418752250"/>
      <w:bookmarkStart w:id="425" w:name="_Toc497747186"/>
      <w:bookmarkStart w:id="426" w:name="_Toc25355"/>
      <w:r>
        <w:rPr>
          <w:rFonts w:hint="eastAsia" w:ascii="宋体" w:cs="宋体"/>
          <w:color w:val="auto"/>
          <w:highlight w:val="none"/>
        </w:rPr>
        <w:t>3.2 项目经理</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62AA2758">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 xml:space="preserve">3.2.1 </w:t>
      </w:r>
      <w:r>
        <w:rPr>
          <w:rFonts w:hint="eastAsia" w:ascii="宋体" w:hAnsi="宋体" w:cs="宋体"/>
          <w:color w:val="auto"/>
          <w:szCs w:val="21"/>
          <w:highlight w:val="none"/>
        </w:rPr>
        <w:t>项目经理：</w:t>
      </w:r>
    </w:p>
    <w:p w14:paraId="74E80F19">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A111F6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AD0BE8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建造师执业资格等级：</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F9CD25">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建造师注册证书号：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0A8415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建造师执业印章号：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771F21">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安全生产考核合格证书号：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EE9140B">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50B0976">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D338F7">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FC883EE">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承包人对项目经理的授权范围如下： </w:t>
      </w:r>
      <w:r>
        <w:rPr>
          <w:rFonts w:hint="eastAsia" w:ascii="宋体" w:hAnsi="宋体" w:cs="宋体"/>
          <w:color w:val="auto"/>
          <w:highlight w:val="none"/>
          <w:u w:val="single"/>
        </w:rPr>
        <w:t xml:space="preserve"> 以承包人名义参加本项目的投标及合同的执行、完成，并以承包人名义处理一切与之有关的事务</w:t>
      </w:r>
      <w:r>
        <w:rPr>
          <w:rFonts w:hint="eastAsia" w:ascii="宋体" w:hAnsi="宋体" w:cs="宋体"/>
          <w:color w:val="auto"/>
          <w:highlight w:val="none"/>
        </w:rPr>
        <w:t>。</w:t>
      </w:r>
      <w:r>
        <w:rPr>
          <w:rFonts w:hint="eastAsia" w:ascii="宋体" w:hAnsi="宋体" w:cs="宋体"/>
          <w:color w:val="auto"/>
          <w:highlight w:val="none"/>
          <w:u w:val="single"/>
        </w:rPr>
        <w:t xml:space="preserve">但未经承包人盖章同意不得以承包人名义向外融资、采购材料设备、租用建筑周转材料、雇佣劳动力、签订分包合同等从事一切为承包人设立义务或责任的行为  </w:t>
      </w:r>
      <w:r>
        <w:rPr>
          <w:rFonts w:hint="eastAsia" w:ascii="宋体" w:hAnsi="宋体" w:cs="宋体"/>
          <w:color w:val="auto"/>
          <w:szCs w:val="21"/>
          <w:highlight w:val="none"/>
        </w:rPr>
        <w:t>。</w:t>
      </w:r>
    </w:p>
    <w:p w14:paraId="08BFCD4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关于项目经理每月在施工现场的时间要求：</w:t>
      </w:r>
      <w:r>
        <w:rPr>
          <w:rFonts w:hint="eastAsia" w:ascii="宋体" w:hAnsi="宋体" w:cs="宋体"/>
          <w:color w:val="auto"/>
          <w:szCs w:val="21"/>
          <w:highlight w:val="none"/>
          <w:u w:val="single"/>
        </w:rPr>
        <w:t xml:space="preserve">  不少于22个工作日,若项目经理每月在岗时间少于22个工作日，发包人有权更换项目经理，由此造成的一切损失由承包人承担</w:t>
      </w:r>
      <w:r>
        <w:rPr>
          <w:rFonts w:hint="eastAsia" w:ascii="宋体" w:hAnsi="宋体" w:cs="宋体"/>
          <w:color w:val="auto"/>
          <w:szCs w:val="21"/>
          <w:highlight w:val="none"/>
        </w:rPr>
        <w:t>。</w:t>
      </w:r>
    </w:p>
    <w:p w14:paraId="4336713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承包人未提交劳动合同，以及没有为项目经理缴纳社会保险证明的违约责任：</w:t>
      </w:r>
      <w:r>
        <w:rPr>
          <w:rFonts w:hint="eastAsia" w:ascii="宋体" w:hAnsi="宋体" w:cs="宋体"/>
          <w:color w:val="auto"/>
          <w:szCs w:val="21"/>
          <w:highlight w:val="none"/>
          <w:u w:val="single"/>
        </w:rPr>
        <w:t>承包人不提交上述文件的，项目经理无权履行职责，发包人有权要求更换项目经理，由此增加的费用和延误的工期由承包人承担</w:t>
      </w:r>
      <w:r>
        <w:rPr>
          <w:rFonts w:hint="eastAsia" w:ascii="宋体" w:hAnsi="宋体" w:cs="宋体"/>
          <w:color w:val="auto"/>
          <w:szCs w:val="21"/>
          <w:highlight w:val="none"/>
        </w:rPr>
        <w:t>。</w:t>
      </w:r>
    </w:p>
    <w:p w14:paraId="1C577A9F">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项目经理未经批准，擅自离开施工现场的违约责任：</w:t>
      </w:r>
      <w:r>
        <w:rPr>
          <w:rFonts w:hint="eastAsia" w:ascii="宋体" w:hAnsi="宋体" w:cs="宋体"/>
          <w:color w:val="auto"/>
          <w:szCs w:val="21"/>
          <w:highlight w:val="none"/>
          <w:u w:val="single"/>
        </w:rPr>
        <w:t>项目经理每月在岗带班时间不得少于22天。未经发包人同意或正当理由，项目经理每月在岗带班时间少于22天的，少在岗带班一天，发包人有权处违约金 500元/日（人民币）</w:t>
      </w:r>
      <w:r>
        <w:rPr>
          <w:rFonts w:hint="eastAsia" w:ascii="宋体" w:hAnsi="宋体" w:cs="宋体"/>
          <w:color w:val="auto"/>
          <w:szCs w:val="21"/>
          <w:highlight w:val="none"/>
        </w:rPr>
        <w:t>。</w:t>
      </w:r>
    </w:p>
    <w:p w14:paraId="21E87A3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3.2.3 承包人擅自更换项目经理的违约责任：</w:t>
      </w:r>
      <w:r>
        <w:rPr>
          <w:rFonts w:hint="eastAsia" w:ascii="宋体" w:hAnsi="宋体" w:cs="宋体"/>
          <w:color w:val="auto"/>
          <w:szCs w:val="21"/>
          <w:highlight w:val="none"/>
          <w:u w:val="single"/>
        </w:rPr>
        <w:t>承包人项目经理必须与承包人投标</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响应文件中</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时所承诺的人员一致，并在（开工日期）前到任。在监理人向承包人颁发（竣工证明材料名称）前，项目经理不得同时兼任其他任何项目的项目经理（符合《广西壮族自治区建筑市场诚信卡管理暂行办法》第十六条第一款及桂建管﹝2016﹞70号、桂建管〔2019〕26号和桂建管〔2020〕11号文除外）。未经发包人书面同意，承包人擅自更换项目经理的视为违约，违约金处10000元/人•次（人民币）</w:t>
      </w:r>
      <w:r>
        <w:rPr>
          <w:rFonts w:hint="eastAsia" w:ascii="宋体" w:hAnsi="宋体" w:cs="宋体"/>
          <w:color w:val="auto"/>
          <w:szCs w:val="21"/>
          <w:highlight w:val="none"/>
        </w:rPr>
        <w:t>。</w:t>
      </w:r>
    </w:p>
    <w:p w14:paraId="0134FFDE">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3.2.4 承包人无正当理由拒绝更换项目经理的违约责任：</w:t>
      </w:r>
      <w:r>
        <w:rPr>
          <w:rFonts w:hint="eastAsia" w:ascii="宋体" w:hAnsi="宋体" w:cs="宋体"/>
          <w:color w:val="auto"/>
          <w:szCs w:val="21"/>
          <w:highlight w:val="none"/>
          <w:u w:val="single"/>
        </w:rPr>
        <w:t>因承包人项目经理不称职，发包人要求调换而未及时调换的，视为承包人违约，必须向发包人交纳处罚金5000元/人•次（人民币）</w:t>
      </w:r>
      <w:r>
        <w:rPr>
          <w:rFonts w:hint="eastAsia" w:ascii="宋体" w:hAnsi="宋体" w:cs="宋体"/>
          <w:color w:val="auto"/>
          <w:szCs w:val="21"/>
          <w:highlight w:val="none"/>
        </w:rPr>
        <w:t>。</w:t>
      </w:r>
    </w:p>
    <w:p w14:paraId="4B9F101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27" w:name="_Toc418061320"/>
      <w:bookmarkStart w:id="428" w:name="_Toc497747187"/>
      <w:bookmarkStart w:id="429" w:name="_Toc522201739"/>
      <w:bookmarkStart w:id="430" w:name="_Toc418518119"/>
      <w:bookmarkStart w:id="431" w:name="_Toc418518355"/>
      <w:bookmarkStart w:id="432" w:name="_Toc389065275"/>
      <w:bookmarkStart w:id="433" w:name="_Toc497746790"/>
      <w:bookmarkStart w:id="434" w:name="_Toc1988"/>
      <w:bookmarkStart w:id="435" w:name="_Toc403578943"/>
      <w:bookmarkStart w:id="436" w:name="_Toc418752251"/>
      <w:bookmarkStart w:id="437" w:name="_Toc418751805"/>
      <w:bookmarkStart w:id="438" w:name="_Toc373227709"/>
      <w:bookmarkStart w:id="439" w:name="_Toc256000189"/>
      <w:bookmarkStart w:id="440" w:name="_Toc373478356"/>
      <w:r>
        <w:rPr>
          <w:rFonts w:hint="eastAsia" w:ascii="宋体" w:cs="宋体"/>
          <w:color w:val="auto"/>
          <w:highlight w:val="none"/>
        </w:rPr>
        <w:t>3.3 承包人人员</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F1C28D5">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承包人提交项目管理机构及施工现场管理人员安排报告（格式见合同附件6）的期限：</w:t>
      </w:r>
      <w:r>
        <w:rPr>
          <w:rFonts w:hint="eastAsia" w:ascii="宋体" w:hAnsi="宋体" w:cs="宋体"/>
          <w:color w:val="auto"/>
          <w:szCs w:val="21"/>
          <w:highlight w:val="none"/>
          <w:u w:val="single"/>
        </w:rPr>
        <w:t>开工前7日内</w:t>
      </w:r>
      <w:r>
        <w:rPr>
          <w:rFonts w:hint="eastAsia" w:ascii="宋体" w:hAnsi="宋体" w:cs="宋体"/>
          <w:color w:val="auto"/>
          <w:szCs w:val="21"/>
          <w:highlight w:val="none"/>
        </w:rPr>
        <w:t>。</w:t>
      </w:r>
    </w:p>
    <w:p w14:paraId="6D0DAF9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3.3.3 承包人无正当理由拒绝撤换主要施工管理人员的违约责任：</w:t>
      </w:r>
      <w:r>
        <w:rPr>
          <w:rFonts w:hint="eastAsia" w:ascii="宋体" w:hAnsi="宋体" w:cs="宋体"/>
          <w:color w:val="auto"/>
          <w:highlight w:val="none"/>
          <w:u w:val="single"/>
        </w:rPr>
        <w:t xml:space="preserve">  承包人主要施工管理人员因不称职，发包人要求调换而无正当理由拒绝撤换或未及时调换的，视为承包人违约，必须向发包人交纳处罚金，处罚标准：技术负责人800元/人•次(人民币)；专业工程师500元/人•次(人民币)  </w:t>
      </w:r>
      <w:r>
        <w:rPr>
          <w:rFonts w:hint="eastAsia" w:ascii="宋体" w:hAnsi="宋体" w:cs="宋体"/>
          <w:color w:val="auto"/>
          <w:szCs w:val="21"/>
          <w:highlight w:val="none"/>
        </w:rPr>
        <w:t>。</w:t>
      </w:r>
    </w:p>
    <w:p w14:paraId="6683EE8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经建设单位及监理单位</w:t>
      </w:r>
      <w:r>
        <w:rPr>
          <w:rFonts w:hint="eastAsia" w:ascii="宋体" w:hAnsi="宋体" w:cs="宋体"/>
          <w:color w:val="auto"/>
          <w:kern w:val="0"/>
          <w:highlight w:val="none"/>
          <w:u w:val="single"/>
        </w:rPr>
        <w:t>书面</w:t>
      </w:r>
      <w:r>
        <w:rPr>
          <w:rFonts w:hint="eastAsia" w:ascii="宋体" w:hAnsi="宋体" w:cs="宋体"/>
          <w:color w:val="auto"/>
          <w:szCs w:val="21"/>
          <w:highlight w:val="none"/>
          <w:u w:val="single"/>
        </w:rPr>
        <w:t>批准同意后</w:t>
      </w:r>
      <w:r>
        <w:rPr>
          <w:rFonts w:hint="eastAsia" w:ascii="宋体" w:hAnsi="宋体" w:cs="宋体"/>
          <w:color w:val="auto"/>
          <w:szCs w:val="21"/>
          <w:highlight w:val="none"/>
        </w:rPr>
        <w:t>。</w:t>
      </w:r>
    </w:p>
    <w:p w14:paraId="134E763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3.3.5 承包人擅自更换主要施工管理人员的违约责任：</w:t>
      </w:r>
      <w:r>
        <w:rPr>
          <w:rFonts w:hint="eastAsia" w:ascii="宋体" w:hAnsi="宋体" w:cs="宋体"/>
          <w:color w:val="auto"/>
          <w:highlight w:val="none"/>
          <w:u w:val="single"/>
        </w:rPr>
        <w:t>项目技术负责人、专职安全员及其承诺的其它地场管理人员未经发包人书面同意不准擅自更换，擅自更换项目技术负责人处1000元/人•次(人民币)违约金；擅自更换专职安全员处500元/人•次(人民币)违约金；擅自更换其它在场管理人员处300元/人•次(人民币)违约金</w:t>
      </w:r>
      <w:r>
        <w:rPr>
          <w:rFonts w:hint="eastAsia" w:ascii="宋体" w:hAnsi="宋体" w:cs="宋体"/>
          <w:color w:val="auto"/>
          <w:highlight w:val="none"/>
        </w:rPr>
        <w:t>。</w:t>
      </w:r>
    </w:p>
    <w:p w14:paraId="4D07A82F">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承包人主要施工管理人员擅自离开施工现场的违约责任：</w:t>
      </w:r>
      <w:r>
        <w:rPr>
          <w:rFonts w:hint="eastAsia" w:ascii="宋体" w:hAnsi="宋体" w:cs="宋体"/>
          <w:color w:val="auto"/>
          <w:szCs w:val="21"/>
          <w:highlight w:val="none"/>
          <w:u w:val="single"/>
        </w:rPr>
        <w:t>未经发包人同意，项目技术负责人擅自离岗的，视为承包人违约，发包人有权处违约金500元/人•次（人民币）；未经发包人同意，专职安全员擅自离岗的，视为承包人违约，发包人有权处违约金500元/人•次（人民币）；其它在场管理人员擅自离岗的，视为承包人违约，发包人有权处违约金300元/人•次（人民币）</w:t>
      </w:r>
      <w:r>
        <w:rPr>
          <w:rFonts w:hint="eastAsia" w:ascii="宋体" w:hAnsi="宋体" w:cs="宋体"/>
          <w:color w:val="auto"/>
          <w:szCs w:val="21"/>
          <w:highlight w:val="none"/>
        </w:rPr>
        <w:t>。</w:t>
      </w:r>
    </w:p>
    <w:p w14:paraId="2176D4C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41" w:name="_Toc373227710"/>
      <w:bookmarkStart w:id="442" w:name="_Toc256000190"/>
      <w:bookmarkStart w:id="443" w:name="_Toc418752252"/>
      <w:bookmarkStart w:id="444" w:name="_Toc418061321"/>
      <w:bookmarkStart w:id="445" w:name="_Toc403578944"/>
      <w:bookmarkStart w:id="446" w:name="_Toc497746791"/>
      <w:bookmarkStart w:id="447" w:name="_Toc418751806"/>
      <w:bookmarkStart w:id="448" w:name="_Toc418518356"/>
      <w:bookmarkStart w:id="449" w:name="_Toc389065276"/>
      <w:bookmarkStart w:id="450" w:name="_Toc24620"/>
      <w:bookmarkStart w:id="451" w:name="_Toc497747188"/>
      <w:bookmarkStart w:id="452" w:name="_Toc418518120"/>
      <w:bookmarkStart w:id="453" w:name="_Toc373478357"/>
      <w:bookmarkStart w:id="454" w:name="_Toc522201740"/>
      <w:r>
        <w:rPr>
          <w:rFonts w:hint="eastAsia" w:ascii="宋体" w:cs="宋体"/>
          <w:color w:val="auto"/>
          <w:highlight w:val="none"/>
        </w:rPr>
        <w:t>3</w:t>
      </w:r>
      <w:bookmarkStart w:id="455" w:name="_Toc296346660"/>
      <w:bookmarkStart w:id="456" w:name="_Toc292559364"/>
      <w:bookmarkStart w:id="457" w:name="_Toc300934945"/>
      <w:bookmarkStart w:id="458" w:name="_Toc297120459"/>
      <w:bookmarkStart w:id="459" w:name="_Toc296347158"/>
      <w:bookmarkStart w:id="460" w:name="_Toc292559869"/>
      <w:bookmarkStart w:id="461" w:name="_Toc304295523"/>
      <w:bookmarkStart w:id="462" w:name="_Toc296944498"/>
      <w:bookmarkStart w:id="463" w:name="_Toc303539102"/>
      <w:bookmarkStart w:id="464" w:name="_Toc297048345"/>
      <w:bookmarkStart w:id="465" w:name="_Toc296890987"/>
      <w:bookmarkStart w:id="466" w:name="_Toc296503159"/>
      <w:bookmarkStart w:id="467" w:name="_Toc297216151"/>
      <w:bookmarkStart w:id="468" w:name="_Toc296891199"/>
      <w:bookmarkStart w:id="469" w:name="_Toc297123492"/>
      <w:bookmarkStart w:id="470" w:name="_Toc312677988"/>
      <w:r>
        <w:rPr>
          <w:rFonts w:hint="eastAsia" w:ascii="宋体" w:cs="宋体"/>
          <w:color w:val="auto"/>
          <w:highlight w:val="none"/>
        </w:rPr>
        <w:t>.5 分包</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14:paraId="2618525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bookmarkStart w:id="471" w:name="_Toc296890988"/>
      <w:bookmarkStart w:id="472" w:name="_Toc296944499"/>
      <w:bookmarkStart w:id="473" w:name="_Toc304295524"/>
      <w:bookmarkStart w:id="474" w:name="_Toc297120460"/>
      <w:bookmarkStart w:id="475" w:name="_Toc297216152"/>
      <w:bookmarkStart w:id="476" w:name="_Toc312677989"/>
      <w:bookmarkStart w:id="477" w:name="_Toc303539103"/>
      <w:bookmarkStart w:id="478" w:name="_Toc296891200"/>
      <w:bookmarkStart w:id="479" w:name="_Toc296346661"/>
      <w:bookmarkStart w:id="480" w:name="_Toc297048346"/>
      <w:bookmarkStart w:id="481" w:name="_Toc292559365"/>
      <w:bookmarkStart w:id="482" w:name="_Toc297123493"/>
      <w:bookmarkStart w:id="483" w:name="_Toc296347159"/>
      <w:bookmarkStart w:id="484" w:name="_Toc296503160"/>
      <w:bookmarkStart w:id="485" w:name="_Toc318581158"/>
      <w:bookmarkStart w:id="486" w:name="_Toc292559870"/>
      <w:bookmarkStart w:id="487" w:name="_Toc300934946"/>
      <w:r>
        <w:rPr>
          <w:rFonts w:hint="eastAsia" w:ascii="宋体" w:hAnsi="宋体" w:cs="宋体"/>
          <w:color w:val="auto"/>
          <w:szCs w:val="21"/>
          <w:highlight w:val="none"/>
        </w:rPr>
        <w:t>.5.1 分包的一般约定</w:t>
      </w:r>
    </w:p>
    <w:p w14:paraId="175AFD9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禁止分包的工程包括：</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除劳务工程外 </w:t>
      </w:r>
      <w:r>
        <w:rPr>
          <w:rFonts w:hint="eastAsia" w:ascii="宋体" w:hAnsi="宋体" w:cs="宋体"/>
          <w:color w:val="auto"/>
          <w:szCs w:val="21"/>
          <w:highlight w:val="none"/>
        </w:rPr>
        <w:t>。</w:t>
      </w:r>
    </w:p>
    <w:p w14:paraId="536FFC2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主体结构、关键性工作的范围：</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禁止分包  </w:t>
      </w:r>
      <w:r>
        <w:rPr>
          <w:rFonts w:hint="eastAsia" w:ascii="宋体" w:hAnsi="宋体" w:cs="宋体"/>
          <w:color w:val="auto"/>
          <w:szCs w:val="21"/>
          <w:highlight w:val="none"/>
        </w:rPr>
        <w:t>。</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52E38DE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bookmarkStart w:id="488" w:name="_Toc312677990"/>
      <w:bookmarkStart w:id="489" w:name="_Toc318581159"/>
      <w:r>
        <w:rPr>
          <w:rFonts w:hint="eastAsia" w:ascii="宋体" w:hAnsi="宋体" w:cs="宋体"/>
          <w:color w:val="auto"/>
          <w:szCs w:val="21"/>
          <w:highlight w:val="none"/>
        </w:rPr>
        <w:t>.5.2 分包的确定</w:t>
      </w:r>
    </w:p>
    <w:p w14:paraId="3124790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允许分包的专业工程包括：</w:t>
      </w:r>
      <w:r>
        <w:rPr>
          <w:rFonts w:hint="eastAsia" w:ascii="宋体" w:hAnsi="宋体" w:cs="宋体"/>
          <w:color w:val="auto"/>
          <w:szCs w:val="21"/>
          <w:highlight w:val="none"/>
          <w:u w:val="single"/>
        </w:rPr>
        <w:t xml:space="preserve">劳务工程  </w:t>
      </w:r>
      <w:r>
        <w:rPr>
          <w:rFonts w:hint="eastAsia" w:ascii="宋体" w:hAnsi="宋体" w:cs="宋体"/>
          <w:color w:val="auto"/>
          <w:szCs w:val="21"/>
          <w:highlight w:val="none"/>
        </w:rPr>
        <w:t>。</w:t>
      </w:r>
    </w:p>
    <w:p w14:paraId="41ADA6F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其他关于分包的约定：</w:t>
      </w:r>
    </w:p>
    <w:p w14:paraId="74FC7DE5">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7。</w:t>
      </w:r>
    </w:p>
    <w:p w14:paraId="28FD2ECC">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（2）在相关分包合同签订并报送有关建设行政主管部门备案后7天内，承包人应当将一份副本提交给监理人，承包人应保障分包工作不得再次分包。</w:t>
      </w:r>
    </w:p>
    <w:p w14:paraId="13AFC2D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（3）未经承包人和监理人审批同意的分包工程和分包人，承包人有权拒绝验收分包工程和支付相应款项，由此引起的发包人费用增加和(或)延误的工期由发包人承担。</w:t>
      </w:r>
    </w:p>
    <w:p w14:paraId="4729B39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3.5.4 分包合同价款 </w:t>
      </w:r>
    </w:p>
    <w:p w14:paraId="0BB8EF5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关于分包合同价款支付的约定：</w:t>
      </w:r>
      <w:r>
        <w:rPr>
          <w:rFonts w:hint="eastAsia" w:ascii="宋体" w:hAnsi="宋体" w:cs="宋体"/>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bookmarkEnd w:id="488"/>
    <w:bookmarkEnd w:id="489"/>
    <w:p w14:paraId="49853439">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90" w:name="_Toc497746792"/>
      <w:bookmarkStart w:id="491" w:name="_Toc418061322"/>
      <w:bookmarkStart w:id="492" w:name="_Toc418752253"/>
      <w:bookmarkStart w:id="493" w:name="_Toc373227711"/>
      <w:bookmarkStart w:id="494" w:name="_Toc418518357"/>
      <w:bookmarkStart w:id="495" w:name="_Toc418518121"/>
      <w:bookmarkStart w:id="496" w:name="_Toc373478358"/>
      <w:bookmarkStart w:id="497" w:name="_Toc389065277"/>
      <w:bookmarkStart w:id="498" w:name="_Toc522201741"/>
      <w:bookmarkStart w:id="499" w:name="_Toc16618"/>
      <w:bookmarkStart w:id="500" w:name="_Toc418751807"/>
      <w:bookmarkStart w:id="501" w:name="_Toc256000191"/>
      <w:bookmarkStart w:id="502" w:name="_Toc497747189"/>
      <w:bookmarkStart w:id="503" w:name="_Toc403578945"/>
      <w:r>
        <w:rPr>
          <w:rFonts w:hint="eastAsia" w:ascii="宋体" w:cs="宋体"/>
          <w:color w:val="auto"/>
          <w:highlight w:val="none"/>
        </w:rPr>
        <w:t>3.6 工程照管与成品、半成品保护</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64317CAC">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承包人负责照管工程及工程相关的材料、工程设备的起始时间：</w:t>
      </w:r>
      <w:r>
        <w:rPr>
          <w:rFonts w:hint="eastAsia" w:ascii="宋体" w:hAnsi="宋体" w:cs="宋体"/>
          <w:color w:val="auto"/>
          <w:szCs w:val="21"/>
          <w:highlight w:val="none"/>
          <w:u w:val="single"/>
        </w:rPr>
        <w:t>自发包人向承包人移交施工现场之日起，到颁发工程接收证书之日止</w:t>
      </w:r>
      <w:r>
        <w:rPr>
          <w:rFonts w:hint="eastAsia" w:ascii="宋体" w:hAnsi="宋体" w:cs="宋体"/>
          <w:color w:val="auto"/>
          <w:kern w:val="0"/>
          <w:szCs w:val="21"/>
          <w:highlight w:val="none"/>
        </w:rPr>
        <w:t>。</w:t>
      </w:r>
    </w:p>
    <w:p w14:paraId="28532E8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承包人负责照管工程及工程相关的材料、工程设备的范围：</w:t>
      </w:r>
      <w:r>
        <w:rPr>
          <w:rFonts w:hint="eastAsia" w:ascii="宋体" w:hAnsi="宋体" w:cs="宋体"/>
          <w:color w:val="auto"/>
          <w:highlight w:val="none"/>
          <w:u w:val="single"/>
        </w:rPr>
        <w:t>除承包人自身承包范围内的材料、工程设备外，也有义务照管与本项目相关的由发包人另行发包的其他专业工程设备。并有义务避免因自身的原因造成对其他承包人的成品、半成品的损坏、污染</w:t>
      </w:r>
      <w:r>
        <w:rPr>
          <w:rFonts w:hint="eastAsia" w:ascii="宋体" w:hAnsi="宋体" w:cs="宋体"/>
          <w:color w:val="auto"/>
          <w:highlight w:val="none"/>
        </w:rPr>
        <w:t>。</w:t>
      </w:r>
    </w:p>
    <w:p w14:paraId="630A615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04" w:name="_Toc418751808"/>
      <w:bookmarkStart w:id="505" w:name="_Toc418752254"/>
      <w:bookmarkStart w:id="506" w:name="_Toc497747190"/>
      <w:bookmarkStart w:id="507" w:name="_Toc418061323"/>
      <w:bookmarkStart w:id="508" w:name="_Toc373478359"/>
      <w:bookmarkStart w:id="509" w:name="_Toc522201742"/>
      <w:bookmarkStart w:id="510" w:name="_Toc373227712"/>
      <w:bookmarkStart w:id="511" w:name="_Toc403578946"/>
      <w:bookmarkStart w:id="512" w:name="_Toc418518358"/>
      <w:bookmarkStart w:id="513" w:name="_Toc389065278"/>
      <w:bookmarkStart w:id="514" w:name="_Toc497746793"/>
      <w:bookmarkStart w:id="515" w:name="_Toc418518122"/>
      <w:bookmarkStart w:id="516" w:name="_Toc256000192"/>
      <w:bookmarkStart w:id="517" w:name="_Toc26561"/>
      <w:r>
        <w:rPr>
          <w:rFonts w:hint="eastAsia" w:ascii="宋体" w:cs="宋体"/>
          <w:color w:val="auto"/>
          <w:highlight w:val="none"/>
        </w:rPr>
        <w:t>3.7 履约</w:t>
      </w:r>
      <w:bookmarkEnd w:id="504"/>
      <w:bookmarkEnd w:id="505"/>
      <w:bookmarkEnd w:id="506"/>
      <w:bookmarkEnd w:id="507"/>
      <w:bookmarkEnd w:id="508"/>
      <w:bookmarkEnd w:id="509"/>
      <w:bookmarkEnd w:id="510"/>
      <w:bookmarkEnd w:id="511"/>
      <w:bookmarkEnd w:id="512"/>
      <w:bookmarkEnd w:id="513"/>
      <w:bookmarkEnd w:id="514"/>
      <w:bookmarkEnd w:id="515"/>
      <w:r>
        <w:rPr>
          <w:rFonts w:hint="eastAsia" w:ascii="宋体" w:cs="宋体"/>
          <w:color w:val="auto"/>
          <w:highlight w:val="none"/>
        </w:rPr>
        <w:t>担保</w:t>
      </w:r>
      <w:bookmarkEnd w:id="516"/>
      <w:bookmarkEnd w:id="517"/>
    </w:p>
    <w:p w14:paraId="5503E746">
      <w:pPr>
        <w:pStyle w:val="51"/>
        <w:keepNext w:val="0"/>
        <w:keepLines w:val="0"/>
        <w:pageBreakBefore w:val="0"/>
        <w:widowControl w:val="0"/>
        <w:wordWrap/>
        <w:topLinePunct w:val="0"/>
        <w:bidi w:val="0"/>
        <w:spacing w:line="380" w:lineRule="exact"/>
        <w:rPr>
          <w:rFonts w:ascii="宋体" w:hAnsi="宋体" w:cs="宋体"/>
          <w:color w:val="auto"/>
          <w:highlight w:val="none"/>
        </w:rPr>
      </w:pPr>
      <w:bookmarkStart w:id="518" w:name="_Toc418751809"/>
      <w:bookmarkStart w:id="519" w:name="_Toc403578947"/>
      <w:bookmarkStart w:id="520" w:name="_Toc418518123"/>
      <w:bookmarkStart w:id="521" w:name="_Toc418518359"/>
      <w:bookmarkStart w:id="522" w:name="_Toc373478360"/>
      <w:bookmarkStart w:id="523" w:name="_Toc373227713"/>
      <w:bookmarkStart w:id="524" w:name="_Toc418061324"/>
      <w:bookmarkStart w:id="525" w:name="_Toc418752255"/>
      <w:bookmarkStart w:id="526" w:name="_Toc351203636"/>
      <w:bookmarkStart w:id="527" w:name="_Toc389065279"/>
      <w:r>
        <w:rPr>
          <w:rFonts w:hint="eastAsia" w:ascii="宋体" w:hAnsi="宋体" w:cs="宋体"/>
          <w:color w:val="auto"/>
          <w:highlight w:val="none"/>
        </w:rPr>
        <w:t>承包人是否提供履约担保：</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否</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4718A05">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承包人提供履约担保的形式、金额及期限的：</w:t>
      </w:r>
      <w:r>
        <w:rPr>
          <w:rFonts w:hint="eastAsia" w:ascii="宋体" w:hAnsi="宋体" w:cs="宋体"/>
          <w:color w:val="auto"/>
          <w:kern w:val="0"/>
          <w:szCs w:val="21"/>
          <w:highlight w:val="none"/>
          <w:lang w:val="en-US" w:eastAsia="zh-CN"/>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w:t>
      </w:r>
    </w:p>
    <w:p w14:paraId="5EC82193">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工程竣工验收合格并对验收发现的问题完成整改后的7个日历天内，</w:t>
      </w:r>
      <w:r>
        <w:rPr>
          <w:rFonts w:hint="eastAsia" w:ascii="宋体" w:hAnsi="宋体" w:cs="宋体"/>
          <w:color w:val="auto"/>
          <w:szCs w:val="21"/>
          <w:highlight w:val="none"/>
        </w:rPr>
        <w:t>承包人可向发包人申请退还履约保证金。发包人应在收到申请之日起28个日历天内</w:t>
      </w:r>
      <w:r>
        <w:rPr>
          <w:rFonts w:hint="eastAsia" w:ascii="宋体" w:hAnsi="宋体" w:cs="宋体"/>
          <w:color w:val="auto"/>
          <w:kern w:val="0"/>
          <w:szCs w:val="21"/>
          <w:highlight w:val="none"/>
        </w:rPr>
        <w:t>扣减承包人赔偿金和其他应从承包人扣回的款项后，</w:t>
      </w:r>
      <w:r>
        <w:rPr>
          <w:rFonts w:hint="eastAsia" w:ascii="宋体" w:hAnsi="宋体" w:cs="宋体"/>
          <w:color w:val="auto"/>
          <w:szCs w:val="21"/>
          <w:highlight w:val="none"/>
        </w:rPr>
        <w:t>将履约保证金退还给承包人（无息）。</w:t>
      </w:r>
    </w:p>
    <w:p w14:paraId="2C0999D1">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签订合同前承包人必须按市财建（2018）73号文规定将农民工工资保障金存入帐户。工程竣工验收结算经审定后，按照规定程序，将农民工工资保障金没有使用或剩余的金额退还给承包人。</w:t>
      </w:r>
    </w:p>
    <w:p w14:paraId="698326E5">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528" w:name="_Toc497746794"/>
      <w:bookmarkStart w:id="529" w:name="_Toc522201743"/>
      <w:bookmarkStart w:id="530" w:name="_Toc256000193"/>
      <w:bookmarkStart w:id="531" w:name="_Toc17209"/>
      <w:bookmarkStart w:id="532" w:name="_Toc497747191"/>
      <w:r>
        <w:rPr>
          <w:rFonts w:hint="eastAsia" w:ascii="宋体" w:cs="宋体"/>
          <w:color w:val="auto"/>
          <w:highlight w:val="none"/>
        </w:rPr>
        <w:t>4</w:t>
      </w:r>
      <w:bookmarkStart w:id="533" w:name="_Toc297048348"/>
      <w:bookmarkStart w:id="534" w:name="_Toc296503162"/>
      <w:bookmarkStart w:id="535" w:name="_Toc296891202"/>
      <w:bookmarkStart w:id="536" w:name="_Toc296944501"/>
      <w:bookmarkStart w:id="537" w:name="_Toc292559366"/>
      <w:bookmarkStart w:id="538" w:name="_Toc296346663"/>
      <w:bookmarkStart w:id="539" w:name="_Toc267251413"/>
      <w:bookmarkStart w:id="540" w:name="_Toc297120462"/>
      <w:bookmarkStart w:id="541" w:name="_Toc296347161"/>
      <w:bookmarkStart w:id="542" w:name="_Toc296890990"/>
      <w:bookmarkStart w:id="543" w:name="_Toc292559871"/>
      <w:r>
        <w:rPr>
          <w:rFonts w:hint="eastAsia" w:ascii="宋体" w:cs="宋体"/>
          <w:color w:val="auto"/>
          <w:highlight w:val="none"/>
        </w:rPr>
        <w:t>. 监</w:t>
      </w:r>
      <w:bookmarkEnd w:id="533"/>
      <w:bookmarkEnd w:id="534"/>
      <w:bookmarkEnd w:id="535"/>
      <w:bookmarkEnd w:id="536"/>
      <w:bookmarkEnd w:id="537"/>
      <w:bookmarkEnd w:id="538"/>
      <w:bookmarkEnd w:id="539"/>
      <w:bookmarkEnd w:id="540"/>
      <w:bookmarkEnd w:id="541"/>
      <w:bookmarkEnd w:id="542"/>
      <w:bookmarkEnd w:id="543"/>
      <w:r>
        <w:rPr>
          <w:rFonts w:hint="eastAsia" w:ascii="宋体" w:cs="宋体"/>
          <w:color w:val="auto"/>
          <w:highlight w:val="none"/>
        </w:rPr>
        <w:t>理人</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1837F75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44" w:name="_Toc497746795"/>
      <w:bookmarkStart w:id="545" w:name="_Toc418518360"/>
      <w:bookmarkStart w:id="546" w:name="_Toc418752256"/>
      <w:bookmarkStart w:id="547" w:name="_Toc497747192"/>
      <w:bookmarkStart w:id="548" w:name="_Toc418751810"/>
      <w:bookmarkStart w:id="549" w:name="_Toc418518124"/>
      <w:bookmarkStart w:id="550" w:name="_Toc256000194"/>
      <w:bookmarkStart w:id="551" w:name="_Toc373478361"/>
      <w:bookmarkStart w:id="552" w:name="_Toc403578948"/>
      <w:bookmarkStart w:id="553" w:name="_Toc522201744"/>
      <w:bookmarkStart w:id="554" w:name="_Toc32585"/>
      <w:bookmarkStart w:id="555" w:name="_Toc418061325"/>
      <w:bookmarkStart w:id="556" w:name="_Toc373227714"/>
      <w:bookmarkStart w:id="557" w:name="_Toc389065280"/>
      <w:r>
        <w:rPr>
          <w:rFonts w:hint="eastAsia" w:ascii="宋体" w:cs="宋体"/>
          <w:color w:val="auto"/>
          <w:highlight w:val="none"/>
        </w:rPr>
        <w:t>4.1 监理人的一般规定</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0C694DB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关于监理人的监理内容：</w:t>
      </w:r>
      <w:r>
        <w:rPr>
          <w:rFonts w:hint="eastAsia" w:ascii="宋体" w:hAnsi="宋体" w:cs="宋体"/>
          <w:color w:val="auto"/>
          <w:szCs w:val="21"/>
          <w:highlight w:val="none"/>
          <w:u w:val="single"/>
        </w:rPr>
        <w:t xml:space="preserve"> 检查施工承包人工程质量，安全生产管理制度及组织机构人员资格；审查施工承包人员提交的施工进度计划及工程施工范围内所有内容。</w:t>
      </w:r>
    </w:p>
    <w:p w14:paraId="5795D18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关于监理人的监理权限：</w:t>
      </w:r>
      <w:r>
        <w:rPr>
          <w:rFonts w:hint="eastAsia" w:ascii="宋体" w:hAnsi="宋体" w:cs="宋体"/>
          <w:color w:val="auto"/>
          <w:szCs w:val="21"/>
          <w:highlight w:val="none"/>
          <w:u w:val="single"/>
        </w:rPr>
        <w:t>代表发包人对工程施工相关事项进行检查、查验、审核、验收，并签发相关指示，但监理人无权修改合同，且无权减轻或免除合同约定的承包人的任何责任与义务</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 xml:space="preserve"> 1、在发出施工进度计划和施工方案说明以及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不管通用合同条款如何约定，监理人履行须经发包人批准行使的权利时，应当向承包人出示其行使该权利已经取得发包人批准的文件或者其他合法有效的证明 。</w:t>
      </w:r>
      <w:r>
        <w:rPr>
          <w:rFonts w:hint="eastAsia" w:ascii="宋体" w:hAnsi="宋体" w:cs="宋体"/>
          <w:color w:val="auto"/>
          <w:szCs w:val="21"/>
          <w:highlight w:val="none"/>
        </w:rPr>
        <w:t xml:space="preserve">  </w:t>
      </w:r>
    </w:p>
    <w:p w14:paraId="4DA47D9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关于监理人在施工现场的办公场所、生活场所的提供和费用承担的约定：</w:t>
      </w:r>
      <w:r>
        <w:rPr>
          <w:rFonts w:hint="eastAsia" w:ascii="宋体" w:hAnsi="宋体" w:cs="宋体"/>
          <w:color w:val="auto"/>
          <w:szCs w:val="21"/>
          <w:highlight w:val="none"/>
          <w:u w:val="single"/>
        </w:rPr>
        <w:t>由承包人为发包人、监理单位免费提供三间办公室</w:t>
      </w:r>
      <w:r>
        <w:rPr>
          <w:rFonts w:hint="eastAsia" w:ascii="宋体" w:hAnsi="宋体"/>
          <w:color w:val="auto"/>
          <w:szCs w:val="21"/>
          <w:highlight w:val="none"/>
          <w:u w:val="single"/>
        </w:rPr>
        <w:t>并承担相关费用</w:t>
      </w:r>
      <w:r>
        <w:rPr>
          <w:rFonts w:hint="eastAsia" w:ascii="宋体" w:hAnsi="宋体" w:cs="宋体"/>
          <w:color w:val="auto"/>
          <w:szCs w:val="21"/>
          <w:highlight w:val="none"/>
        </w:rPr>
        <w:t>。</w:t>
      </w:r>
    </w:p>
    <w:p w14:paraId="34C25B8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58" w:name="_Toc389065281"/>
      <w:bookmarkStart w:id="559" w:name="_Toc497746796"/>
      <w:bookmarkStart w:id="560" w:name="_Toc403578949"/>
      <w:bookmarkStart w:id="561" w:name="_Toc418752257"/>
      <w:bookmarkStart w:id="562" w:name="_Toc373478362"/>
      <w:bookmarkStart w:id="563" w:name="_Toc497747193"/>
      <w:bookmarkStart w:id="564" w:name="_Toc418061326"/>
      <w:bookmarkStart w:id="565" w:name="_Toc418751811"/>
      <w:bookmarkStart w:id="566" w:name="_Toc522201745"/>
      <w:bookmarkStart w:id="567" w:name="_Toc256000195"/>
      <w:bookmarkStart w:id="568" w:name="_Toc418518125"/>
      <w:bookmarkStart w:id="569" w:name="_Toc25694"/>
      <w:bookmarkStart w:id="570" w:name="_Toc418518361"/>
      <w:bookmarkStart w:id="571" w:name="_Toc373227715"/>
      <w:r>
        <w:rPr>
          <w:rFonts w:hint="eastAsia" w:ascii="宋体" w:cs="宋体"/>
          <w:color w:val="auto"/>
          <w:highlight w:val="none"/>
        </w:rPr>
        <w:t>4.2 监理人员</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43C1C4EF">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总监理工程师：</w:t>
      </w:r>
    </w:p>
    <w:p w14:paraId="74264DEE">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6CCA3F55">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2300421">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监理工程师执业资格证书号：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D83CC8">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362F1FF5">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2AAAB89B">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3AECF9E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关于监理人的其他约定：</w:t>
      </w:r>
      <w:r>
        <w:rPr>
          <w:rFonts w:hint="eastAsia" w:ascii="宋体" w:hAnsi="宋体" w:cs="宋体"/>
          <w:color w:val="auto"/>
          <w:szCs w:val="21"/>
          <w:highlight w:val="none"/>
          <w:u w:val="single"/>
        </w:rPr>
        <w:t xml:space="preserve"> 见监理合同</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4F3E134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72" w:name="_Toc418518362"/>
      <w:bookmarkStart w:id="573" w:name="_Toc373227716"/>
      <w:bookmarkStart w:id="574" w:name="_Toc6980"/>
      <w:bookmarkStart w:id="575" w:name="_Toc418751812"/>
      <w:bookmarkStart w:id="576" w:name="_Toc389065282"/>
      <w:bookmarkStart w:id="577" w:name="_Toc418061327"/>
      <w:bookmarkStart w:id="578" w:name="_Toc418752258"/>
      <w:bookmarkStart w:id="579" w:name="_Toc256000196"/>
      <w:bookmarkStart w:id="580" w:name="_Toc373478363"/>
      <w:bookmarkStart w:id="581" w:name="_Toc418518126"/>
      <w:bookmarkStart w:id="582" w:name="_Toc522201746"/>
      <w:bookmarkStart w:id="583" w:name="_Toc403578950"/>
      <w:bookmarkStart w:id="584" w:name="_Toc497746797"/>
      <w:bookmarkStart w:id="585" w:name="_Toc497747194"/>
      <w:r>
        <w:rPr>
          <w:rFonts w:hint="eastAsia" w:ascii="宋体" w:cs="宋体"/>
          <w:color w:val="auto"/>
          <w:highlight w:val="none"/>
        </w:rPr>
        <w:t>4.4 商定或确定</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0F90A0B7">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bookmarkStart w:id="586" w:name="_Toc267251418"/>
      <w:r>
        <w:rPr>
          <w:rFonts w:hint="eastAsia" w:ascii="宋体" w:hAnsi="宋体" w:cs="宋体"/>
          <w:color w:val="auto"/>
          <w:szCs w:val="21"/>
          <w:highlight w:val="none"/>
        </w:rPr>
        <w:t>在发包人和承包人不能通过协商达成一致意见时，发包人授权监理人对以下事项进行确定：</w:t>
      </w:r>
      <w:r>
        <w:rPr>
          <w:rFonts w:hint="eastAsia" w:ascii="宋体" w:hAnsi="宋体" w:cs="宋体"/>
          <w:color w:val="auto"/>
          <w:kern w:val="0"/>
          <w:szCs w:val="21"/>
          <w:highlight w:val="none"/>
          <w:u w:val="single"/>
        </w:rPr>
        <w:t>无</w:t>
      </w:r>
      <w:r>
        <w:rPr>
          <w:rFonts w:hint="eastAsia" w:ascii="宋体" w:hAnsi="宋体" w:cs="宋体"/>
          <w:color w:val="auto"/>
          <w:szCs w:val="21"/>
          <w:highlight w:val="none"/>
        </w:rPr>
        <w:t>；</w:t>
      </w:r>
    </w:p>
    <w:p w14:paraId="4E9B1F9A">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587" w:name="_Toc418751813"/>
      <w:bookmarkStart w:id="588" w:name="_Toc522201747"/>
      <w:bookmarkStart w:id="589" w:name="_Toc497746798"/>
      <w:bookmarkStart w:id="590" w:name="_Toc351203637"/>
      <w:bookmarkStart w:id="591" w:name="_Toc418518363"/>
      <w:bookmarkStart w:id="592" w:name="_Toc256000197"/>
      <w:bookmarkStart w:id="593" w:name="_Toc403578951"/>
      <w:bookmarkStart w:id="594" w:name="_Toc28243"/>
      <w:bookmarkStart w:id="595" w:name="_Toc373478364"/>
      <w:bookmarkStart w:id="596" w:name="_Toc418752259"/>
      <w:bookmarkStart w:id="597" w:name="_Toc373227717"/>
      <w:bookmarkStart w:id="598" w:name="_Toc418518127"/>
      <w:bookmarkStart w:id="599" w:name="_Toc418061328"/>
      <w:bookmarkStart w:id="600" w:name="_Toc389065283"/>
      <w:bookmarkStart w:id="601" w:name="_Toc497747195"/>
      <w:r>
        <w:rPr>
          <w:rFonts w:hint="eastAsia" w:ascii="宋体" w:cs="宋体"/>
          <w:color w:val="auto"/>
          <w:highlight w:val="none"/>
        </w:rPr>
        <w:t>5</w:t>
      </w:r>
      <w:bookmarkEnd w:id="586"/>
      <w:bookmarkStart w:id="602" w:name="_Toc292559367"/>
      <w:bookmarkStart w:id="603" w:name="_Toc297048349"/>
      <w:bookmarkStart w:id="604" w:name="_Toc296347162"/>
      <w:bookmarkStart w:id="605" w:name="_Toc296503163"/>
      <w:bookmarkStart w:id="606" w:name="_Toc296944502"/>
      <w:bookmarkStart w:id="607" w:name="_Toc296891203"/>
      <w:bookmarkStart w:id="608" w:name="_Toc297120463"/>
      <w:bookmarkStart w:id="609" w:name="_Toc296346664"/>
      <w:bookmarkStart w:id="610" w:name="_Toc296890991"/>
      <w:bookmarkStart w:id="611" w:name="_Toc292559872"/>
      <w:r>
        <w:rPr>
          <w:rFonts w:hint="eastAsia" w:ascii="宋体" w:hAnsi="宋体" w:eastAsia="宋体" w:cs="宋体"/>
          <w:color w:val="auto"/>
          <w:highlight w:val="none"/>
        </w:rPr>
        <w:t xml:space="preserve">. </w:t>
      </w:r>
      <w:r>
        <w:rPr>
          <w:rFonts w:hint="eastAsia" w:ascii="宋体" w:cs="宋体"/>
          <w:color w:val="auto"/>
          <w:highlight w:val="none"/>
        </w:rPr>
        <w:t>工程质量</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507FAC3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612" w:name="_Toc497746799"/>
      <w:bookmarkStart w:id="613" w:name="_Toc418061329"/>
      <w:bookmarkStart w:id="614" w:name="_Toc418752260"/>
      <w:bookmarkStart w:id="615" w:name="_Toc403578952"/>
      <w:bookmarkStart w:id="616" w:name="_Toc418518128"/>
      <w:bookmarkStart w:id="617" w:name="_Toc256000198"/>
      <w:bookmarkStart w:id="618" w:name="_Toc20307"/>
      <w:bookmarkStart w:id="619" w:name="_Toc497747196"/>
      <w:bookmarkStart w:id="620" w:name="_Toc389065284"/>
      <w:bookmarkStart w:id="621" w:name="_Toc373227718"/>
      <w:bookmarkStart w:id="622" w:name="_Toc418518364"/>
      <w:bookmarkStart w:id="623" w:name="_Toc522201748"/>
      <w:bookmarkStart w:id="624" w:name="_Toc373478365"/>
      <w:bookmarkStart w:id="625" w:name="_Toc418751814"/>
      <w:r>
        <w:rPr>
          <w:rFonts w:hint="eastAsia" w:ascii="宋体" w:cs="宋体"/>
          <w:color w:val="auto"/>
          <w:highlight w:val="none"/>
        </w:rPr>
        <w:t>5.1 质量要求</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7D9330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5</w:t>
      </w:r>
      <w:bookmarkStart w:id="626" w:name="_Toc303539106"/>
      <w:bookmarkStart w:id="627" w:name="_Toc312677997"/>
      <w:bookmarkStart w:id="628" w:name="_Toc304295527"/>
      <w:bookmarkStart w:id="629" w:name="_Toc300934949"/>
      <w:bookmarkStart w:id="630" w:name="_Toc297216155"/>
      <w:bookmarkStart w:id="631" w:name="_Toc318581164"/>
      <w:bookmarkStart w:id="632" w:name="_Toc297123496"/>
      <w:r>
        <w:rPr>
          <w:rFonts w:hint="eastAsia" w:ascii="宋体" w:hAnsi="宋体" w:cs="宋体"/>
          <w:color w:val="auto"/>
          <w:szCs w:val="21"/>
          <w:highlight w:val="none"/>
        </w:rPr>
        <w:t>.1.1 特殊质量标准和要求：</w:t>
      </w:r>
      <w:r>
        <w:rPr>
          <w:rFonts w:hint="eastAsia" w:ascii="宋体" w:hAnsi="宋体" w:cs="宋体"/>
          <w:color w:val="auto"/>
          <w:szCs w:val="21"/>
          <w:highlight w:val="none"/>
          <w:u w:val="single"/>
        </w:rPr>
        <w:t xml:space="preserve"> 工程质量达到国家验收合格标准 </w:t>
      </w:r>
      <w:r>
        <w:rPr>
          <w:rFonts w:hint="eastAsia" w:ascii="宋体" w:hAnsi="宋体" w:cs="宋体"/>
          <w:color w:val="auto"/>
          <w:szCs w:val="21"/>
          <w:highlight w:val="none"/>
        </w:rPr>
        <w:t>。</w:t>
      </w:r>
    </w:p>
    <w:p w14:paraId="58EEF13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关于工程奖项的约定：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0B2F314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5.3 隐蔽工程检查</w:t>
      </w:r>
    </w:p>
    <w:p w14:paraId="717F15E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5.3.2承包人提前通知监理人隐蔽工程检查的期限的约定：</w:t>
      </w:r>
      <w:r>
        <w:rPr>
          <w:rFonts w:hint="eastAsia" w:ascii="宋体" w:hAnsi="宋体" w:cs="宋体"/>
          <w:color w:val="auto"/>
          <w:kern w:val="0"/>
          <w:szCs w:val="21"/>
          <w:highlight w:val="none"/>
          <w:u w:val="single"/>
        </w:rPr>
        <w:t>任何部位的隐蔽工程需要覆盖或隐蔽前，承包人均应提前 48 小时通知发包人、监理工程师和质量监督站进行中间验收并拍照，没有发包人、监理工程师和质量监督站的批准，均不得隐蔽或验收。对相关单位所提出涉及工程质量、安全管理等存在问题时，必须进行整改，承包人应在监理人及相关人员指示的时间内修正返工后，由监理人及相关人员重新检查。否则发包人按规定有权进行经济处罚</w:t>
      </w:r>
      <w:r>
        <w:rPr>
          <w:rFonts w:hint="eastAsia" w:ascii="宋体" w:hAnsi="宋体" w:cs="宋体"/>
          <w:bCs/>
          <w:color w:val="auto"/>
          <w:szCs w:val="21"/>
          <w:highlight w:val="none"/>
          <w:u w:val="single"/>
        </w:rPr>
        <w:t>。</w:t>
      </w:r>
    </w:p>
    <w:p w14:paraId="47DF247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监理人不能按时进行检查时，应提前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3824872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6B0E1F68">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633" w:name="_Toc373478366"/>
      <w:bookmarkStart w:id="634" w:name="_Toc522201749"/>
      <w:bookmarkStart w:id="635" w:name="_Toc6529"/>
      <w:bookmarkStart w:id="636" w:name="_Toc418752261"/>
      <w:bookmarkStart w:id="637" w:name="_Toc418061330"/>
      <w:bookmarkStart w:id="638" w:name="_Toc351203638"/>
      <w:bookmarkStart w:id="639" w:name="_Toc497746800"/>
      <w:bookmarkStart w:id="640" w:name="_Toc389065285"/>
      <w:bookmarkStart w:id="641" w:name="_Toc497747197"/>
      <w:bookmarkStart w:id="642" w:name="_Toc418518365"/>
      <w:bookmarkStart w:id="643" w:name="_Toc256000199"/>
      <w:bookmarkStart w:id="644" w:name="_Toc418518129"/>
      <w:bookmarkStart w:id="645" w:name="_Toc403578953"/>
      <w:bookmarkStart w:id="646" w:name="_Toc373227719"/>
      <w:bookmarkStart w:id="647" w:name="_Toc418751815"/>
      <w:r>
        <w:rPr>
          <w:rFonts w:hint="eastAsia" w:ascii="宋体" w:cs="宋体"/>
          <w:color w:val="auto"/>
          <w:highlight w:val="none"/>
        </w:rPr>
        <w:t>6. 安全文明施工与环境保护</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39F36A6A">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648" w:name="_Toc389065286"/>
      <w:bookmarkStart w:id="649" w:name="_Toc418061331"/>
      <w:bookmarkStart w:id="650" w:name="_Toc418751816"/>
      <w:bookmarkStart w:id="651" w:name="_Toc403578954"/>
      <w:bookmarkStart w:id="652" w:name="_Toc16475"/>
      <w:bookmarkStart w:id="653" w:name="_Toc373478367"/>
      <w:bookmarkStart w:id="654" w:name="_Toc418518130"/>
      <w:bookmarkStart w:id="655" w:name="_Toc497746801"/>
      <w:bookmarkStart w:id="656" w:name="_Toc418518366"/>
      <w:bookmarkStart w:id="657" w:name="_Toc418752262"/>
      <w:bookmarkStart w:id="658" w:name="_Toc373227720"/>
      <w:bookmarkStart w:id="659" w:name="_Toc522201750"/>
      <w:bookmarkStart w:id="660" w:name="_Toc497747198"/>
      <w:bookmarkStart w:id="661" w:name="_Toc256000200"/>
      <w:r>
        <w:rPr>
          <w:rFonts w:hint="eastAsia" w:ascii="宋体" w:cs="宋体"/>
          <w:color w:val="auto"/>
          <w:highlight w:val="none"/>
        </w:rPr>
        <w:t>6.1 安全文明施工</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7841EB4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6.1.1 项目安全生产的达标目标及相应事项的约定：</w:t>
      </w:r>
      <w:r>
        <w:rPr>
          <w:rFonts w:hint="eastAsia" w:ascii="宋体" w:hAnsi="宋体" w:cs="宋体"/>
          <w:color w:val="auto"/>
          <w:szCs w:val="21"/>
          <w:highlight w:val="none"/>
          <w:u w:val="single"/>
        </w:rPr>
        <w:t xml:space="preserve"> 按照国家及地方安全文明施工的有关规定执行 </w:t>
      </w:r>
      <w:r>
        <w:rPr>
          <w:rFonts w:hint="eastAsia" w:ascii="宋体" w:hAnsi="宋体" w:cs="宋体"/>
          <w:color w:val="auto"/>
          <w:szCs w:val="21"/>
          <w:highlight w:val="none"/>
        </w:rPr>
        <w:t>。</w:t>
      </w:r>
    </w:p>
    <w:p w14:paraId="77DF9BD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关于安全文明施工奖项的约定：</w:t>
      </w:r>
      <w:r>
        <w:rPr>
          <w:rFonts w:hint="eastAsia" w:ascii="宋体" w:hAnsi="宋体" w:cs="宋体"/>
          <w:color w:val="auto"/>
          <w:szCs w:val="21"/>
          <w:highlight w:val="none"/>
          <w:u w:val="single"/>
        </w:rPr>
        <w:t xml:space="preserve">  承包人应当负责统一管理施工场地的治安保卫事项，履行合同工程的治安保卫职责  </w:t>
      </w:r>
      <w:r>
        <w:rPr>
          <w:rFonts w:hint="eastAsia" w:ascii="宋体" w:hAnsi="宋体" w:cs="宋体"/>
          <w:color w:val="auto"/>
          <w:szCs w:val="21"/>
          <w:highlight w:val="none"/>
        </w:rPr>
        <w:t>。</w:t>
      </w:r>
    </w:p>
    <w:p w14:paraId="29E2DF4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6.1.4 关于治安保卫的特别约定：</w:t>
      </w:r>
      <w:r>
        <w:rPr>
          <w:rFonts w:hint="eastAsia" w:ascii="宋体" w:hAnsi="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rPr>
        <w:t>。</w:t>
      </w:r>
    </w:p>
    <w:p w14:paraId="44BA119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关于编制施工场地治安管理计划的约定：</w:t>
      </w:r>
      <w:r>
        <w:rPr>
          <w:rFonts w:hint="eastAsia" w:ascii="宋体" w:hAnsi="宋体" w:cs="宋体"/>
          <w:color w:val="auto"/>
          <w:szCs w:val="21"/>
          <w:highlight w:val="none"/>
          <w:u w:val="single"/>
        </w:rPr>
        <w:t>开工前7天内承包人编制施工场地治安管理计划和突发治安事件紧急预案</w:t>
      </w:r>
      <w:r>
        <w:rPr>
          <w:rFonts w:hint="eastAsia" w:ascii="宋体" w:hAnsi="宋体" w:cs="宋体"/>
          <w:color w:val="auto"/>
          <w:szCs w:val="21"/>
          <w:highlight w:val="none"/>
        </w:rPr>
        <w:t>。</w:t>
      </w:r>
    </w:p>
    <w:p w14:paraId="689CCCA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6.1.5 文明施工</w:t>
      </w:r>
    </w:p>
    <w:p w14:paraId="28B2A9D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合同当事人对文明施工的要求：</w:t>
      </w:r>
      <w:r>
        <w:rPr>
          <w:rFonts w:hint="eastAsia" w:ascii="宋体" w:hAnsi="宋体" w:cs="宋体"/>
          <w:color w:val="auto"/>
          <w:szCs w:val="21"/>
          <w:highlight w:val="none"/>
          <w:u w:val="single"/>
        </w:rPr>
        <w:t>按照国家及地方安全文明施工的有关规定执行</w:t>
      </w:r>
      <w:r>
        <w:rPr>
          <w:rFonts w:hint="eastAsia" w:ascii="宋体" w:hAnsi="宋体" w:cs="宋体"/>
          <w:color w:val="auto"/>
          <w:szCs w:val="21"/>
          <w:highlight w:val="none"/>
        </w:rPr>
        <w:t>。</w:t>
      </w:r>
    </w:p>
    <w:p w14:paraId="09D186BF">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宋体"/>
          <w:color w:val="auto"/>
          <w:kern w:val="0"/>
          <w:highlight w:val="none"/>
        </w:rPr>
      </w:pPr>
      <w:r>
        <w:rPr>
          <w:rFonts w:hint="eastAsia" w:ascii="宋体" w:hAnsi="宋体" w:cs="宋体"/>
          <w:color w:val="auto"/>
          <w:szCs w:val="21"/>
          <w:highlight w:val="none"/>
        </w:rPr>
        <w:t>6.1.6 关于安全文明施工费支付比例和支付期限的约定：</w:t>
      </w:r>
      <w:r>
        <w:rPr>
          <w:rFonts w:hint="eastAsia" w:ascii="宋体" w:hAnsi="宋体" w:cs="宋体"/>
          <w:color w:val="auto"/>
          <w:kern w:val="0"/>
          <w:highlight w:val="none"/>
          <w:u w:val="single"/>
        </w:rPr>
        <w:t>专款专用</w:t>
      </w:r>
      <w:r>
        <w:rPr>
          <w:rFonts w:hint="eastAsia" w:ascii="宋体" w:hAnsi="宋体" w:cs="宋体"/>
          <w:color w:val="auto"/>
          <w:kern w:val="0"/>
          <w:highlight w:val="none"/>
        </w:rPr>
        <w:t>。具体</w:t>
      </w:r>
      <w:r>
        <w:rPr>
          <w:rFonts w:hint="eastAsia" w:ascii="宋体" w:hAnsi="宋体" w:cs="宋体"/>
          <w:color w:val="auto"/>
          <w:kern w:val="0"/>
          <w:highlight w:val="none"/>
          <w:u w:val="single"/>
        </w:rPr>
        <w:t>按</w:t>
      </w:r>
      <w:r>
        <w:rPr>
          <w:rFonts w:hint="eastAsia" w:ascii="宋体" w:hAnsi="宋体" w:cs="宋体"/>
          <w:color w:val="auto"/>
          <w:kern w:val="0"/>
          <w:highlight w:val="none"/>
          <w:u w:val="single"/>
          <w:lang w:eastAsia="zh-CN"/>
        </w:rPr>
        <w:t>《广西壮族自治区建设工程安全文明施工费使用管理细则》（桂建质[2015] 16号）</w:t>
      </w:r>
      <w:r>
        <w:rPr>
          <w:rFonts w:hint="eastAsia" w:ascii="宋体" w:hAnsi="宋体" w:cs="宋体"/>
          <w:color w:val="auto"/>
          <w:kern w:val="0"/>
          <w:highlight w:val="none"/>
          <w:u w:val="single"/>
        </w:rPr>
        <w:t>和</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u w:val="single"/>
        </w:rPr>
        <w:t>桂林市</w:t>
      </w:r>
      <w:r>
        <w:rPr>
          <w:rFonts w:hint="eastAsia" w:ascii="宋体" w:hAnsi="宋体" w:cs="宋体"/>
          <w:color w:val="auto"/>
          <w:szCs w:val="24"/>
          <w:highlight w:val="none"/>
          <w:u w:val="single"/>
          <w:lang w:val="en-US" w:eastAsia="zh-CN"/>
        </w:rPr>
        <w:t xml:space="preserve">  </w:t>
      </w:r>
      <w:r>
        <w:rPr>
          <w:rFonts w:hint="eastAsia" w:ascii="宋体" w:hAnsi="宋体" w:cs="宋体"/>
          <w:color w:val="auto"/>
          <w:kern w:val="0"/>
          <w:highlight w:val="none"/>
        </w:rPr>
        <w:t>相关规定执行。</w:t>
      </w:r>
    </w:p>
    <w:p w14:paraId="7C7EA50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（3）支付约定：</w:t>
      </w:r>
      <w:r>
        <w:rPr>
          <w:rFonts w:hint="eastAsia" w:cs="宋体"/>
          <w:color w:val="auto"/>
          <w:kern w:val="0"/>
          <w:highlight w:val="none"/>
        </w:rPr>
        <w:t>在本合同签订后</w:t>
      </w:r>
      <w:r>
        <w:rPr>
          <w:color w:val="auto"/>
          <w:kern w:val="0"/>
          <w:highlight w:val="none"/>
          <w:u w:val="single"/>
        </w:rPr>
        <w:t xml:space="preserve">    </w:t>
      </w:r>
      <w:r>
        <w:rPr>
          <w:rFonts w:hint="eastAsia" w:cs="宋体"/>
          <w:color w:val="auto"/>
          <w:kern w:val="0"/>
          <w:highlight w:val="none"/>
        </w:rPr>
        <w:t>个工作日内，预付安全文明施工费总额的</w:t>
      </w:r>
      <w:r>
        <w:rPr>
          <w:rFonts w:hint="eastAsia" w:cs="宋体"/>
          <w:color w:val="auto"/>
          <w:kern w:val="0"/>
          <w:highlight w:val="none"/>
          <w:u w:val="single"/>
        </w:rPr>
        <w:t xml:space="preserve">  </w:t>
      </w:r>
      <w:r>
        <w:rPr>
          <w:rFonts w:hint="eastAsia" w:cs="宋体"/>
          <w:color w:val="auto"/>
          <w:kern w:val="0"/>
          <w:highlight w:val="none"/>
          <w:u w:val="single"/>
          <w:lang w:val="en-US" w:eastAsia="zh-CN"/>
        </w:rPr>
        <w:t xml:space="preserve">  </w:t>
      </w:r>
      <w:r>
        <w:rPr>
          <w:rFonts w:hint="eastAsia" w:cs="宋体"/>
          <w:color w:val="auto"/>
          <w:kern w:val="0"/>
          <w:highlight w:val="none"/>
        </w:rPr>
        <w:t>%，其余部分与进度款同期支付，安全文明施工费预付款在工程进度款累计金额超过合同价的</w:t>
      </w:r>
      <w:r>
        <w:rPr>
          <w:rFonts w:hint="eastAsia" w:cs="宋体"/>
          <w:color w:val="auto"/>
          <w:kern w:val="0"/>
          <w:highlight w:val="none"/>
          <w:u w:val="single"/>
        </w:rPr>
        <w:t xml:space="preserve">  </w:t>
      </w:r>
      <w:r>
        <w:rPr>
          <w:rFonts w:hint="eastAsia" w:cs="宋体"/>
          <w:color w:val="auto"/>
          <w:kern w:val="0"/>
          <w:highlight w:val="none"/>
          <w:u w:val="single"/>
          <w:lang w:val="en-US" w:eastAsia="zh-CN"/>
        </w:rPr>
        <w:t xml:space="preserve">  </w:t>
      </w:r>
      <w:r>
        <w:rPr>
          <w:rFonts w:hint="eastAsia" w:cs="宋体"/>
          <w:color w:val="auto"/>
          <w:kern w:val="0"/>
          <w:highlight w:val="none"/>
        </w:rPr>
        <w:t>%时开始起扣，每月从支付给承包商的工程款内按安全文明预付款占合同总价的同一百分比扣回</w:t>
      </w:r>
      <w:r>
        <w:rPr>
          <w:rFonts w:hint="eastAsia" w:hAnsi="宋体" w:cs="宋体"/>
          <w:color w:val="auto"/>
          <w:kern w:val="0"/>
          <w:highlight w:val="none"/>
        </w:rPr>
        <w:t>。</w:t>
      </w:r>
      <w:r>
        <w:rPr>
          <w:rFonts w:hint="eastAsia" w:ascii="宋体" w:hAnsi="宋体" w:cs="宋体"/>
          <w:color w:val="auto"/>
          <w:szCs w:val="21"/>
          <w:highlight w:val="none"/>
        </w:rPr>
        <w:t xml:space="preserve">  </w:t>
      </w:r>
    </w:p>
    <w:p w14:paraId="372929A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662" w:name="_Toc373227721"/>
      <w:bookmarkStart w:id="663" w:name="_Toc418518367"/>
      <w:bookmarkStart w:id="664" w:name="_Toc497746802"/>
      <w:bookmarkStart w:id="665" w:name="_Toc497747199"/>
      <w:bookmarkStart w:id="666" w:name="_Toc418751817"/>
      <w:bookmarkStart w:id="667" w:name="_Toc418061332"/>
      <w:bookmarkStart w:id="668" w:name="_Toc403578955"/>
      <w:bookmarkStart w:id="669" w:name="_Toc418752263"/>
      <w:bookmarkStart w:id="670" w:name="_Toc418518131"/>
      <w:bookmarkStart w:id="671" w:name="_Toc389065287"/>
      <w:bookmarkStart w:id="672" w:name="_Toc373478368"/>
      <w:r>
        <w:rPr>
          <w:rFonts w:hint="eastAsia" w:ascii="宋体" w:hAnsi="宋体" w:cs="宋体"/>
          <w:color w:val="auto"/>
          <w:szCs w:val="21"/>
          <w:highlight w:val="none"/>
        </w:rPr>
        <w:t xml:space="preserve"> </w:t>
      </w:r>
      <w:r>
        <w:rPr>
          <w:rFonts w:hint="eastAsia" w:ascii="宋体" w:hAnsi="宋体" w:eastAsia="宋体" w:cs="宋体"/>
          <w:b/>
          <w:bCs/>
          <w:color w:val="auto"/>
          <w:kern w:val="44"/>
          <w:sz w:val="21"/>
          <w:szCs w:val="21"/>
          <w:highlight w:val="none"/>
          <w:lang w:val="en-US" w:eastAsia="zh-CN" w:bidi="ar-SA"/>
        </w:rPr>
        <w:t xml:space="preserve">6.3 </w:t>
      </w:r>
      <w:r>
        <w:rPr>
          <w:rFonts w:hint="eastAsia" w:ascii="宋体" w:hAnsi="宋体" w:cs="宋体"/>
          <w:color w:val="auto"/>
          <w:szCs w:val="21"/>
          <w:highlight w:val="none"/>
        </w:rPr>
        <w:t>环境保护</w:t>
      </w:r>
      <w:bookmarkEnd w:id="662"/>
      <w:bookmarkEnd w:id="663"/>
      <w:bookmarkEnd w:id="664"/>
      <w:bookmarkEnd w:id="665"/>
      <w:bookmarkEnd w:id="666"/>
      <w:bookmarkEnd w:id="667"/>
      <w:bookmarkEnd w:id="668"/>
      <w:bookmarkEnd w:id="669"/>
      <w:bookmarkEnd w:id="670"/>
      <w:bookmarkEnd w:id="671"/>
      <w:bookmarkEnd w:id="672"/>
      <w:r>
        <w:rPr>
          <w:rFonts w:hint="eastAsia" w:ascii="宋体" w:hAnsi="宋体" w:cs="宋体"/>
          <w:color w:val="auto"/>
          <w:szCs w:val="21"/>
          <w:highlight w:val="none"/>
        </w:rPr>
        <w:t>因施工需要，经发包人批准，由承包人办理有关施工场地交通、环卫和施工噪音管理等手续，费用由承包人负责。</w:t>
      </w:r>
    </w:p>
    <w:p w14:paraId="63EAFBF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经过城市道路的施工车辆，必须按交警、城管、运输等部门相关规定执行。由于施工车辆造成的道路、环境等污染，其责任和费用均由承包人承担。</w:t>
      </w:r>
    </w:p>
    <w:p w14:paraId="5636E63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环保工作的约定：</w:t>
      </w:r>
      <w:r>
        <w:rPr>
          <w:rFonts w:hint="eastAsia" w:ascii="宋体" w:hAnsi="宋体" w:cs="宋体"/>
          <w:color w:val="auto"/>
          <w:highlight w:val="none"/>
          <w:u w:val="single"/>
        </w:rPr>
        <w:t>承包人负责办理有关环保报批手续，并承担相应的费用。在施工期间对环境主要影响是机械声和废水、废渣、尘埃，对此承包人应采取相应的防治措施和严格管理，严格控制污染物排放，污染物排放前必须处理，达到排污标准后再排放。严禁把污染物直接排入江中。控制标准：《地面环境质量标准》GB3838-88Ⅱ。施工完毕后，承包人应及时将被破坏的场地，遵照监理工程师的指示进行清理、修正，并根据实际情况将场地恢复到原有状态，费用自理。</w:t>
      </w:r>
    </w:p>
    <w:bookmarkEnd w:id="626"/>
    <w:bookmarkEnd w:id="627"/>
    <w:bookmarkEnd w:id="628"/>
    <w:bookmarkEnd w:id="629"/>
    <w:bookmarkEnd w:id="630"/>
    <w:bookmarkEnd w:id="631"/>
    <w:bookmarkEnd w:id="632"/>
    <w:p w14:paraId="79F35C49">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673" w:name="_Toc497747200"/>
      <w:bookmarkStart w:id="674" w:name="_Toc418752264"/>
      <w:bookmarkStart w:id="675" w:name="_Toc389065288"/>
      <w:bookmarkStart w:id="676" w:name="_Toc418061333"/>
      <w:bookmarkStart w:id="677" w:name="_Toc418518368"/>
      <w:bookmarkStart w:id="678" w:name="_Toc373227722"/>
      <w:bookmarkStart w:id="679" w:name="_Toc351203639"/>
      <w:bookmarkStart w:id="680" w:name="_Toc418751818"/>
      <w:bookmarkStart w:id="681" w:name="_Toc256000201"/>
      <w:bookmarkStart w:id="682" w:name="_Toc403578956"/>
      <w:bookmarkStart w:id="683" w:name="_Toc418518132"/>
      <w:bookmarkStart w:id="684" w:name="_Toc373478369"/>
      <w:bookmarkStart w:id="685" w:name="_Toc5327"/>
      <w:bookmarkStart w:id="686" w:name="_Toc522201751"/>
      <w:bookmarkStart w:id="687" w:name="_Toc497746803"/>
      <w:r>
        <w:rPr>
          <w:rFonts w:hint="eastAsia" w:ascii="宋体" w:cs="宋体"/>
          <w:color w:val="auto"/>
          <w:highlight w:val="none"/>
        </w:rPr>
        <w:t>7</w:t>
      </w:r>
      <w:r>
        <w:rPr>
          <w:rFonts w:hint="eastAsia" w:ascii="宋体" w:hAnsi="宋体" w:eastAsia="宋体" w:cs="宋体"/>
          <w:color w:val="auto"/>
          <w:highlight w:val="none"/>
        </w:rPr>
        <w:t xml:space="preserve">. </w:t>
      </w:r>
      <w:r>
        <w:rPr>
          <w:rFonts w:hint="eastAsia" w:ascii="宋体" w:cs="宋体"/>
          <w:color w:val="auto"/>
          <w:highlight w:val="none"/>
        </w:rPr>
        <w:t>工期和进度</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18B2371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688" w:name="_Toc403578957"/>
      <w:bookmarkStart w:id="689" w:name="_Toc373478370"/>
      <w:bookmarkStart w:id="690" w:name="_Toc256000202"/>
      <w:bookmarkStart w:id="691" w:name="_Toc418518369"/>
      <w:bookmarkStart w:id="692" w:name="_Toc418752265"/>
      <w:bookmarkStart w:id="693" w:name="_Toc28893"/>
      <w:bookmarkStart w:id="694" w:name="_Toc418061334"/>
      <w:bookmarkStart w:id="695" w:name="_Toc418751819"/>
      <w:bookmarkStart w:id="696" w:name="_Toc389065289"/>
      <w:bookmarkStart w:id="697" w:name="_Toc418518133"/>
      <w:bookmarkStart w:id="698" w:name="_Toc373227723"/>
      <w:bookmarkStart w:id="699" w:name="_Toc522201752"/>
      <w:bookmarkStart w:id="700" w:name="_Toc497746804"/>
      <w:bookmarkStart w:id="701" w:name="_Toc497747201"/>
      <w:r>
        <w:rPr>
          <w:rFonts w:hint="eastAsia" w:ascii="宋体" w:cs="宋体"/>
          <w:color w:val="auto"/>
          <w:highlight w:val="none"/>
        </w:rPr>
        <w:t>7.1 施工组织设计</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7FEE7D64">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7.1.1 合同当事人约定的施工组织设计应包括的其他内容：</w:t>
      </w:r>
      <w:r>
        <w:rPr>
          <w:rFonts w:hint="eastAsia" w:ascii="宋体" w:hAnsi="宋体" w:cs="宋体"/>
          <w:color w:val="auto"/>
          <w:highlight w:val="none"/>
          <w:u w:val="single"/>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24B855CD">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 xml:space="preserve">7.1.2 </w:t>
      </w:r>
      <w:r>
        <w:rPr>
          <w:rFonts w:hint="eastAsia" w:ascii="宋体" w:hAnsi="宋体" w:cs="宋体"/>
          <w:color w:val="auto"/>
          <w:kern w:val="0"/>
          <w:szCs w:val="21"/>
          <w:highlight w:val="none"/>
        </w:rPr>
        <w:t>施工组织设计的提交和修改</w:t>
      </w:r>
    </w:p>
    <w:p w14:paraId="0A484D0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承包人提交详细施工组织设计的期限的约定：</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合同签订后14天内，最迟不得晚于开工通知载明的开工日期前7天</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E7987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收到施工组织设计后7天内确认或提出修改意见。</w:t>
      </w:r>
    </w:p>
    <w:p w14:paraId="5682ECB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02" w:name="_Toc522201753"/>
      <w:bookmarkStart w:id="703" w:name="_Toc373478371"/>
      <w:bookmarkStart w:id="704" w:name="_Toc418751820"/>
      <w:bookmarkStart w:id="705" w:name="_Toc389065290"/>
      <w:bookmarkStart w:id="706" w:name="_Toc418061335"/>
      <w:bookmarkStart w:id="707" w:name="_Toc29479"/>
      <w:bookmarkStart w:id="708" w:name="_Toc403578958"/>
      <w:bookmarkStart w:id="709" w:name="_Toc256000203"/>
      <w:bookmarkStart w:id="710" w:name="_Toc418518134"/>
      <w:bookmarkStart w:id="711" w:name="_Toc497747202"/>
      <w:bookmarkStart w:id="712" w:name="_Toc497746805"/>
      <w:bookmarkStart w:id="713" w:name="_Toc373227724"/>
      <w:bookmarkStart w:id="714" w:name="_Toc418518370"/>
      <w:bookmarkStart w:id="715" w:name="_Toc418752266"/>
      <w:r>
        <w:rPr>
          <w:rFonts w:hint="eastAsia" w:ascii="宋体" w:cs="宋体"/>
          <w:color w:val="auto"/>
          <w:highlight w:val="none"/>
        </w:rPr>
        <w:t>7</w:t>
      </w:r>
      <w:bookmarkStart w:id="716" w:name="_Toc312677479"/>
      <w:bookmarkStart w:id="717" w:name="_Toc303539123"/>
      <w:bookmarkStart w:id="718" w:name="_Toc297216173"/>
      <w:bookmarkStart w:id="719" w:name="_Toc312678005"/>
      <w:bookmarkStart w:id="720" w:name="_Toc304295541"/>
      <w:bookmarkStart w:id="721" w:name="_Toc297123514"/>
      <w:bookmarkStart w:id="722" w:name="_Toc300934966"/>
      <w:r>
        <w:rPr>
          <w:rFonts w:hint="eastAsia" w:ascii="宋体" w:cs="宋体"/>
          <w:color w:val="auto"/>
          <w:highlight w:val="none"/>
        </w:rPr>
        <w:t>.2 施工进度计划</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5D722B9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7.2.2 施工进度计划的修订</w:t>
      </w:r>
    </w:p>
    <w:p w14:paraId="37A698D8">
      <w:pPr>
        <w:pStyle w:val="21"/>
        <w:keepNext w:val="0"/>
        <w:keepLines w:val="0"/>
        <w:pageBreakBefore w:val="0"/>
        <w:widowControl w:val="0"/>
        <w:wordWrap/>
        <w:topLinePunct w:val="0"/>
        <w:bidi w:val="0"/>
        <w:spacing w:line="38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（1）发包人和监理人在收到修订的施工进度计划后确认或提出修改意见的期限：</w:t>
      </w:r>
      <w:r>
        <w:rPr>
          <w:rFonts w:hint="eastAsia" w:ascii="宋体" w:hAnsi="宋体" w:cs="宋体"/>
          <w:color w:val="auto"/>
          <w:szCs w:val="21"/>
          <w:highlight w:val="none"/>
          <w:u w:val="single"/>
        </w:rPr>
        <w:t>自监理人收到承包人报送的相关进度计划后 7天内。</w:t>
      </w:r>
    </w:p>
    <w:p w14:paraId="0EF13936">
      <w:pPr>
        <w:pStyle w:val="21"/>
        <w:keepNext w:val="0"/>
        <w:keepLines w:val="0"/>
        <w:pageBreakBefore w:val="0"/>
        <w:widowControl w:val="0"/>
        <w:wordWrap/>
        <w:topLinePunct w:val="0"/>
        <w:bidi w:val="0"/>
        <w:spacing w:line="38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（2）承包人编制分阶段或分项施工进度计划和施工方案说明的内容：</w:t>
      </w:r>
      <w:r>
        <w:rPr>
          <w:rFonts w:hint="eastAsia" w:ascii="宋体" w:hAnsi="宋体" w:cs="宋体"/>
          <w:color w:val="auto"/>
          <w:szCs w:val="21"/>
          <w:highlight w:val="none"/>
          <w:u w:val="single"/>
        </w:rPr>
        <w:t>包含但不限于月进度计划、原地面测量方案、不良地基处理方案等。</w:t>
      </w:r>
    </w:p>
    <w:p w14:paraId="52560C0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 承包人报送分阶段或分项施工进度计划和施工方案说明的期限： </w:t>
      </w:r>
      <w:r>
        <w:rPr>
          <w:rFonts w:hint="eastAsia" w:ascii="宋体" w:hAnsi="宋体" w:cs="宋体"/>
          <w:color w:val="auto"/>
          <w:szCs w:val="21"/>
          <w:highlight w:val="none"/>
          <w:u w:val="single"/>
        </w:rPr>
        <w:t>月进度计划于上月 30 日前提交，分项施工进度计划和施工方案说明应不迟于该分项工程施工前14 天提交。</w:t>
      </w:r>
    </w:p>
    <w:p w14:paraId="028B0D8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23" w:name="_Toc389065291"/>
      <w:bookmarkStart w:id="724" w:name="_Toc373227725"/>
      <w:bookmarkStart w:id="725" w:name="_Toc216"/>
      <w:bookmarkStart w:id="726" w:name="_Toc418518135"/>
      <w:bookmarkStart w:id="727" w:name="_Toc497747203"/>
      <w:bookmarkStart w:id="728" w:name="_Toc418061336"/>
      <w:bookmarkStart w:id="729" w:name="_Toc497746806"/>
      <w:bookmarkStart w:id="730" w:name="_Toc418518371"/>
      <w:bookmarkStart w:id="731" w:name="_Toc522201754"/>
      <w:bookmarkStart w:id="732" w:name="_Toc403578959"/>
      <w:bookmarkStart w:id="733" w:name="_Toc256000204"/>
      <w:bookmarkStart w:id="734" w:name="_Toc418752267"/>
      <w:bookmarkStart w:id="735" w:name="_Toc373478372"/>
      <w:bookmarkStart w:id="736" w:name="_Toc418751821"/>
      <w:r>
        <w:rPr>
          <w:rFonts w:hint="eastAsia" w:ascii="宋体" w:cs="宋体"/>
          <w:color w:val="auto"/>
          <w:highlight w:val="none"/>
        </w:rPr>
        <w:t>7.3 开工</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7EBDF63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7.3.1 开工准备</w:t>
      </w:r>
    </w:p>
    <w:p w14:paraId="13EA3596">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2384BC61">
      <w:pPr>
        <w:pStyle w:val="21"/>
        <w:keepNext w:val="0"/>
        <w:keepLines w:val="0"/>
        <w:pageBreakBefore w:val="0"/>
        <w:widowControl w:val="0"/>
        <w:wordWrap/>
        <w:topLinePunct w:val="0"/>
        <w:bidi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关于发包人应完成的其他开工准备工作及期限：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613469E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关于承包人应完成的其他开工准备工作及期限：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0759A41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7.3.2 开工通知</w:t>
      </w:r>
    </w:p>
    <w:p w14:paraId="114D366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因发包人原因造成监理人未能在计划开工日期之日起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天内发出开工通知的，承包人有权提出价格调整要求，或者解除合同。</w:t>
      </w:r>
    </w:p>
    <w:bookmarkEnd w:id="716"/>
    <w:bookmarkEnd w:id="717"/>
    <w:bookmarkEnd w:id="718"/>
    <w:bookmarkEnd w:id="719"/>
    <w:bookmarkEnd w:id="720"/>
    <w:bookmarkEnd w:id="721"/>
    <w:bookmarkEnd w:id="722"/>
    <w:p w14:paraId="44AEE5D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37" w:name="_Toc21060"/>
      <w:bookmarkStart w:id="738" w:name="_Toc418752268"/>
      <w:bookmarkStart w:id="739" w:name="_Toc418061337"/>
      <w:bookmarkStart w:id="740" w:name="_Toc403578960"/>
      <w:bookmarkStart w:id="741" w:name="_Toc373227726"/>
      <w:bookmarkStart w:id="742" w:name="_Toc418518372"/>
      <w:bookmarkStart w:id="743" w:name="_Toc373478373"/>
      <w:bookmarkStart w:id="744" w:name="_Toc497746807"/>
      <w:bookmarkStart w:id="745" w:name="_Toc389065292"/>
      <w:bookmarkStart w:id="746" w:name="_Toc522201755"/>
      <w:bookmarkStart w:id="747" w:name="_Toc418518136"/>
      <w:bookmarkStart w:id="748" w:name="_Toc418751822"/>
      <w:bookmarkStart w:id="749" w:name="_Toc256000205"/>
      <w:bookmarkStart w:id="750" w:name="_Toc497747204"/>
      <w:r>
        <w:rPr>
          <w:rFonts w:hint="eastAsia" w:ascii="宋体" w:cs="宋体"/>
          <w:color w:val="auto"/>
          <w:highlight w:val="none"/>
        </w:rPr>
        <w:t>7.4 测量放线</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6B6F8D4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7.4.1发包人通过监理人向承包人提供测量基准点、基准线和水准点及其书面资料的期限：</w:t>
      </w:r>
      <w:r>
        <w:rPr>
          <w:rFonts w:hint="eastAsia" w:ascii="宋体" w:hAnsi="宋体" w:cs="宋体"/>
          <w:color w:val="auto"/>
          <w:szCs w:val="21"/>
          <w:highlight w:val="none"/>
          <w:u w:val="single"/>
        </w:rPr>
        <w:t>开工通知载明的开工日前 7 天。</w:t>
      </w:r>
    </w:p>
    <w:p w14:paraId="5E1D43ED">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51" w:name="_Toc418518137"/>
      <w:bookmarkStart w:id="752" w:name="_Toc418751823"/>
      <w:bookmarkStart w:id="753" w:name="_Toc497746808"/>
      <w:bookmarkStart w:id="754" w:name="_Toc1523"/>
      <w:bookmarkStart w:id="755" w:name="_Toc373227727"/>
      <w:bookmarkStart w:id="756" w:name="_Toc418061338"/>
      <w:bookmarkStart w:id="757" w:name="_Toc373478374"/>
      <w:bookmarkStart w:id="758" w:name="_Toc403578961"/>
      <w:bookmarkStart w:id="759" w:name="_Toc256000206"/>
      <w:bookmarkStart w:id="760" w:name="_Toc522201756"/>
      <w:bookmarkStart w:id="761" w:name="_Toc418518373"/>
      <w:bookmarkStart w:id="762" w:name="_Toc389065293"/>
      <w:bookmarkStart w:id="763" w:name="_Toc418752269"/>
      <w:bookmarkStart w:id="764" w:name="_Toc497747205"/>
      <w:r>
        <w:rPr>
          <w:rFonts w:hint="eastAsia" w:ascii="宋体" w:cs="宋体"/>
          <w:color w:val="auto"/>
          <w:highlight w:val="none"/>
        </w:rPr>
        <w:t>7</w:t>
      </w:r>
      <w:bookmarkStart w:id="765" w:name="_Toc300934968"/>
      <w:bookmarkStart w:id="766" w:name="_Toc303539125"/>
      <w:bookmarkStart w:id="767" w:name="_Toc312677484"/>
      <w:bookmarkStart w:id="768" w:name="_Toc304295546"/>
      <w:bookmarkStart w:id="769" w:name="_Toc312678010"/>
      <w:bookmarkStart w:id="770" w:name="_Toc297123516"/>
      <w:bookmarkStart w:id="771" w:name="_Toc297216175"/>
      <w:r>
        <w:rPr>
          <w:rFonts w:hint="eastAsia" w:ascii="宋体" w:cs="宋体"/>
          <w:color w:val="auto"/>
          <w:highlight w:val="none"/>
        </w:rPr>
        <w:t>.5 工期延误</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bookmarkEnd w:id="765"/>
    <w:bookmarkEnd w:id="766"/>
    <w:bookmarkEnd w:id="767"/>
    <w:bookmarkEnd w:id="768"/>
    <w:bookmarkEnd w:id="769"/>
    <w:bookmarkEnd w:id="770"/>
    <w:bookmarkEnd w:id="771"/>
    <w:p w14:paraId="61AC596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7.5.1 因发包人原因导致工期延误</w:t>
      </w:r>
    </w:p>
    <w:p w14:paraId="797C0B0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（7）因发包人原因导致工期延误的其他情形：</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p w14:paraId="0418B0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bookmarkStart w:id="772" w:name="_Toc318581169"/>
      <w:bookmarkStart w:id="773" w:name="_Toc312678012"/>
      <w:bookmarkStart w:id="774" w:name="_Toc312677486"/>
      <w:bookmarkStart w:id="775" w:name="_Toc303539127"/>
      <w:bookmarkStart w:id="776" w:name="_Toc300934970"/>
      <w:bookmarkStart w:id="777" w:name="_Toc297216177"/>
      <w:bookmarkStart w:id="778" w:name="_Toc304295548"/>
      <w:bookmarkStart w:id="779" w:name="_Toc297123518"/>
      <w:r>
        <w:rPr>
          <w:rFonts w:hint="eastAsia" w:ascii="宋体" w:hAnsi="宋体" w:cs="宋体"/>
          <w:color w:val="auto"/>
          <w:szCs w:val="21"/>
          <w:highlight w:val="none"/>
        </w:rPr>
        <w:t>.5.2 因承包人原因导致工期延误</w:t>
      </w:r>
    </w:p>
    <w:bookmarkEnd w:id="772"/>
    <w:bookmarkEnd w:id="773"/>
    <w:bookmarkEnd w:id="774"/>
    <w:p w14:paraId="2E54AE0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双方约定经监理工程师确认，工期相应顺延的情况：</w:t>
      </w:r>
      <w:r>
        <w:rPr>
          <w:rFonts w:hint="eastAsia" w:ascii="宋体" w:hAnsi="宋体" w:cs="宋体"/>
          <w:color w:val="auto"/>
          <w:szCs w:val="21"/>
          <w:highlight w:val="none"/>
          <w:u w:val="single"/>
        </w:rPr>
        <w:t xml:space="preserve"> 非承包人原因导致的工期延误，合同工期相应顺延</w:t>
      </w:r>
      <w:r>
        <w:rPr>
          <w:rFonts w:hint="eastAsia" w:ascii="宋体" w:hAnsi="宋体" w:cs="宋体"/>
          <w:color w:val="auto"/>
          <w:szCs w:val="21"/>
          <w:highlight w:val="none"/>
        </w:rPr>
        <w:t>。</w:t>
      </w:r>
    </w:p>
    <w:p w14:paraId="5CA8A83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w:t>
      </w:r>
      <w:bookmarkStart w:id="780" w:name="_Toc312678013"/>
      <w:bookmarkStart w:id="781" w:name="_Toc312677487"/>
      <w:bookmarkStart w:id="782" w:name="_Toc318581170"/>
      <w:r>
        <w:rPr>
          <w:rFonts w:hint="eastAsia" w:ascii="宋体" w:hAnsi="宋体" w:cs="宋体"/>
          <w:color w:val="auto"/>
          <w:szCs w:val="21"/>
          <w:highlight w:val="none"/>
        </w:rPr>
        <w:t>承包人原因造成工期延误，逾期竣工违约金的计算方法为：</w:t>
      </w:r>
      <w:r>
        <w:rPr>
          <w:rFonts w:hint="eastAsia" w:ascii="宋体" w:hAnsi="宋体" w:cs="宋体"/>
          <w:color w:val="auto"/>
          <w:szCs w:val="21"/>
          <w:highlight w:val="none"/>
          <w:u w:val="single"/>
        </w:rPr>
        <w:t xml:space="preserve">非上述原因，承包人不能按合同约定的时间竣工，承包人应承担违约责任，并应向发包人支付误期赔偿费（每天赔偿金额为合同价款扣除社会保险费、发包人材料价款、暂估专业工程、暂列金额后的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有权中止合同，并依法追究承包人的违约责任，由此造成的一切损失均由责任人负责。 </w:t>
      </w:r>
    </w:p>
    <w:bookmarkEnd w:id="775"/>
    <w:bookmarkEnd w:id="776"/>
    <w:bookmarkEnd w:id="777"/>
    <w:bookmarkEnd w:id="778"/>
    <w:bookmarkEnd w:id="779"/>
    <w:bookmarkEnd w:id="780"/>
    <w:bookmarkEnd w:id="781"/>
    <w:bookmarkEnd w:id="782"/>
    <w:p w14:paraId="7ACB667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因承包人原因造成工期延误，逾</w:t>
      </w:r>
      <w:bookmarkStart w:id="783" w:name="_Toc318581171"/>
      <w:bookmarkStart w:id="784" w:name="_Toc312678014"/>
      <w:r>
        <w:rPr>
          <w:rFonts w:hint="eastAsia" w:ascii="宋体" w:hAnsi="宋体" w:cs="宋体"/>
          <w:color w:val="auto"/>
          <w:szCs w:val="21"/>
          <w:highlight w:val="none"/>
        </w:rPr>
        <w:t>期竣工违约金的上限：</w:t>
      </w:r>
      <w:r>
        <w:rPr>
          <w:rFonts w:hint="eastAsia" w:ascii="宋体" w:hAnsi="宋体" w:cs="宋体"/>
          <w:color w:val="auto"/>
          <w:szCs w:val="21"/>
          <w:highlight w:val="none"/>
          <w:u w:val="single"/>
          <w:lang w:eastAsia="zh-CN"/>
        </w:rPr>
        <w:t>结算</w:t>
      </w:r>
      <w:r>
        <w:rPr>
          <w:rFonts w:hint="eastAsia" w:ascii="宋体" w:hAnsi="宋体" w:cs="宋体"/>
          <w:color w:val="auto"/>
          <w:szCs w:val="21"/>
          <w:highlight w:val="none"/>
          <w:u w:val="single"/>
        </w:rPr>
        <w:t>价扣除社会保险费、发包人材料价款、暂估专业工程、暂列金额后的</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bookmarkEnd w:id="783"/>
    <w:bookmarkEnd w:id="784"/>
    <w:p w14:paraId="1745598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85" w:name="_Toc27840"/>
      <w:bookmarkStart w:id="786" w:name="_Toc256000207"/>
      <w:bookmarkStart w:id="787" w:name="_Toc389065294"/>
      <w:bookmarkStart w:id="788" w:name="_Toc373227728"/>
      <w:bookmarkStart w:id="789" w:name="_Toc497747206"/>
      <w:bookmarkStart w:id="790" w:name="_Toc418061339"/>
      <w:bookmarkStart w:id="791" w:name="_Toc418518138"/>
      <w:bookmarkStart w:id="792" w:name="_Toc418752270"/>
      <w:bookmarkStart w:id="793" w:name="_Toc418518374"/>
      <w:bookmarkStart w:id="794" w:name="_Toc403578962"/>
      <w:bookmarkStart w:id="795" w:name="_Toc522201757"/>
      <w:bookmarkStart w:id="796" w:name="_Toc497746809"/>
      <w:bookmarkStart w:id="797" w:name="_Toc373478375"/>
      <w:bookmarkStart w:id="798" w:name="_Toc418751824"/>
      <w:r>
        <w:rPr>
          <w:rFonts w:hint="eastAsia" w:ascii="宋体" w:cs="宋体"/>
          <w:color w:val="auto"/>
          <w:highlight w:val="none"/>
        </w:rPr>
        <w:t>7</w:t>
      </w:r>
      <w:bookmarkStart w:id="799" w:name="_Toc312678015"/>
      <w:bookmarkStart w:id="800" w:name="_Toc303539128"/>
      <w:bookmarkStart w:id="801" w:name="_Toc297216178"/>
      <w:bookmarkStart w:id="802" w:name="_Toc304295549"/>
      <w:bookmarkStart w:id="803" w:name="_Toc300934971"/>
      <w:bookmarkStart w:id="804" w:name="_Toc297123519"/>
      <w:r>
        <w:rPr>
          <w:rFonts w:hint="eastAsia" w:ascii="宋体" w:cs="宋体"/>
          <w:color w:val="auto"/>
          <w:highlight w:val="none"/>
        </w:rPr>
        <w:t>.6 不</w:t>
      </w:r>
      <w:bookmarkEnd w:id="799"/>
      <w:bookmarkEnd w:id="800"/>
      <w:bookmarkEnd w:id="801"/>
      <w:bookmarkEnd w:id="802"/>
      <w:bookmarkEnd w:id="803"/>
      <w:bookmarkEnd w:id="804"/>
      <w:r>
        <w:rPr>
          <w:rFonts w:hint="eastAsia" w:ascii="宋体" w:cs="宋体"/>
          <w:color w:val="auto"/>
          <w:highlight w:val="none"/>
        </w:rPr>
        <w:t>利物质条件</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229F1EE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bookmarkStart w:id="805" w:name="_Toc303539129"/>
      <w:bookmarkStart w:id="806" w:name="_Toc312678016"/>
      <w:bookmarkStart w:id="807" w:name="_Toc318581172"/>
      <w:bookmarkStart w:id="808" w:name="_Toc297216179"/>
      <w:bookmarkStart w:id="809" w:name="_Toc304295550"/>
      <w:bookmarkStart w:id="810" w:name="_Toc297123520"/>
      <w:bookmarkStart w:id="811" w:name="_Toc300934972"/>
      <w:r>
        <w:rPr>
          <w:rFonts w:hint="eastAsia" w:ascii="宋体" w:hAnsi="宋体" w:cs="宋体"/>
          <w:color w:val="auto"/>
          <w:szCs w:val="21"/>
          <w:highlight w:val="none"/>
        </w:rPr>
        <w:t>不利物质条件的其他情形和有关约定：</w:t>
      </w:r>
      <w:r>
        <w:rPr>
          <w:rFonts w:hint="eastAsia" w:ascii="宋体" w:hAnsi="宋体" w:cs="宋体"/>
          <w:color w:val="auto"/>
          <w:szCs w:val="21"/>
          <w:highlight w:val="none"/>
          <w:u w:val="single"/>
        </w:rPr>
        <w:t xml:space="preserve">  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cs="宋体"/>
          <w:color w:val="auto"/>
          <w:szCs w:val="21"/>
          <w:highlight w:val="none"/>
        </w:rPr>
        <w:t>。</w:t>
      </w:r>
    </w:p>
    <w:bookmarkEnd w:id="805"/>
    <w:bookmarkEnd w:id="806"/>
    <w:bookmarkEnd w:id="807"/>
    <w:bookmarkEnd w:id="808"/>
    <w:bookmarkEnd w:id="809"/>
    <w:bookmarkEnd w:id="810"/>
    <w:bookmarkEnd w:id="811"/>
    <w:p w14:paraId="7B5BCFD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12" w:name="_Toc418752271"/>
      <w:bookmarkStart w:id="813" w:name="_Toc497747207"/>
      <w:bookmarkStart w:id="814" w:name="_Toc1472"/>
      <w:bookmarkStart w:id="815" w:name="_Toc497746810"/>
      <w:bookmarkStart w:id="816" w:name="_Toc373478376"/>
      <w:bookmarkStart w:id="817" w:name="_Toc418518139"/>
      <w:bookmarkStart w:id="818" w:name="_Toc522201758"/>
      <w:bookmarkStart w:id="819" w:name="_Toc418518375"/>
      <w:bookmarkStart w:id="820" w:name="_Toc389065295"/>
      <w:bookmarkStart w:id="821" w:name="_Toc418061340"/>
      <w:bookmarkStart w:id="822" w:name="_Toc418751825"/>
      <w:bookmarkStart w:id="823" w:name="_Toc403578963"/>
      <w:bookmarkStart w:id="824" w:name="_Toc373227729"/>
      <w:bookmarkStart w:id="825" w:name="_Toc256000208"/>
      <w:r>
        <w:rPr>
          <w:rFonts w:hint="eastAsia" w:ascii="宋体" w:cs="宋体"/>
          <w:color w:val="auto"/>
          <w:highlight w:val="none"/>
        </w:rPr>
        <w:t>7</w:t>
      </w:r>
      <w:bookmarkStart w:id="826" w:name="_Toc297123521"/>
      <w:bookmarkStart w:id="827" w:name="_Toc304295551"/>
      <w:bookmarkStart w:id="828" w:name="_Toc300934973"/>
      <w:bookmarkStart w:id="829" w:name="_Toc303539130"/>
      <w:bookmarkStart w:id="830" w:name="_Toc312678017"/>
      <w:bookmarkStart w:id="831" w:name="_Toc297216180"/>
      <w:r>
        <w:rPr>
          <w:rFonts w:hint="eastAsia" w:ascii="宋体" w:cs="宋体"/>
          <w:color w:val="auto"/>
          <w:highlight w:val="none"/>
        </w:rPr>
        <w:t>.7 异常恶劣的气候条件</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bookmarkEnd w:id="826"/>
    <w:bookmarkEnd w:id="827"/>
    <w:bookmarkEnd w:id="828"/>
    <w:bookmarkEnd w:id="829"/>
    <w:bookmarkEnd w:id="830"/>
    <w:bookmarkEnd w:id="831"/>
    <w:p w14:paraId="2D2672D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发包人和承包人同意以下情形视为异常恶劣的气候条件：</w:t>
      </w:r>
    </w:p>
    <w:p w14:paraId="6CBBA6C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bookmarkStart w:id="832" w:name="_Toc497747208"/>
      <w:bookmarkStart w:id="833" w:name="_Toc418518376"/>
      <w:bookmarkStart w:id="834" w:name="_Toc418518140"/>
      <w:bookmarkStart w:id="835" w:name="_Toc389065296"/>
      <w:bookmarkStart w:id="836" w:name="_Toc418752272"/>
      <w:bookmarkStart w:id="837" w:name="_Toc418061341"/>
      <w:bookmarkStart w:id="838" w:name="_Toc497746811"/>
      <w:bookmarkStart w:id="839" w:name="_Toc418751826"/>
      <w:bookmarkStart w:id="840" w:name="_Toc373227730"/>
      <w:bookmarkStart w:id="841" w:name="_Toc403578964"/>
      <w:bookmarkStart w:id="842" w:name="_Toc373478377"/>
      <w:r>
        <w:rPr>
          <w:rFonts w:hint="eastAsia" w:ascii="宋体" w:hAnsi="宋体" w:cs="宋体"/>
          <w:color w:val="auto"/>
          <w:szCs w:val="21"/>
          <w:highlight w:val="none"/>
        </w:rPr>
        <w:t>（1）</w:t>
      </w:r>
      <w:r>
        <w:rPr>
          <w:rFonts w:hint="eastAsia" w:ascii="宋体" w:hAnsi="宋体" w:cs="宋体"/>
          <w:color w:val="auto"/>
          <w:szCs w:val="21"/>
          <w:highlight w:val="none"/>
          <w:u w:val="single"/>
        </w:rPr>
        <w:t>10级以上持续1天的大风；</w:t>
      </w:r>
    </w:p>
    <w:p w14:paraId="0C805EDC">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暴雨级以上持续2天的大雨；</w:t>
      </w:r>
    </w:p>
    <w:p w14:paraId="5C0A1E7C">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olor w:val="auto"/>
          <w:szCs w:val="21"/>
          <w:highlight w:val="none"/>
          <w:u w:val="single"/>
        </w:rPr>
        <w:t>当地6级以上的破坏性地震；</w:t>
      </w:r>
    </w:p>
    <w:p w14:paraId="50134497">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50年以上未发生过的持续2天的高温天气；</w:t>
      </w:r>
    </w:p>
    <w:p w14:paraId="3D8D51C1">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50年以上未发生的持续2天的低温天气。</w:t>
      </w:r>
    </w:p>
    <w:p w14:paraId="33C01213">
      <w:pPr>
        <w:pStyle w:val="21"/>
        <w:keepNext w:val="0"/>
        <w:keepLines w:val="0"/>
        <w:pageBreakBefore w:val="0"/>
        <w:widowControl w:val="0"/>
        <w:wordWrap/>
        <w:topLinePunct w:val="0"/>
        <w:bidi w:val="0"/>
        <w:spacing w:line="38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u w:val="single"/>
        </w:rPr>
        <w:t>施工场地受淹超过发包人提供设计图纸指明的设计洪水位以及因天气原因无法施工并经监理确认引起延误的情况。承包人有权要求发包人延长工期,但对上述几种情形，对工程施工造成影响和灾害的，需提供政府相关部门对不可抗力认定的证明材料为依据。</w:t>
      </w:r>
    </w:p>
    <w:p w14:paraId="43168568">
      <w:pPr>
        <w:pStyle w:val="21"/>
        <w:keepNext w:val="0"/>
        <w:keepLines w:val="0"/>
        <w:pageBreakBefore w:val="0"/>
        <w:widowControl w:val="0"/>
        <w:wordWrap/>
        <w:topLinePunct w:val="0"/>
        <w:bidi w:val="0"/>
        <w:spacing w:line="380" w:lineRule="exact"/>
        <w:jc w:val="left"/>
        <w:rPr>
          <w:rFonts w:ascii="宋体" w:hAnsi="宋体" w:cs="宋体"/>
          <w:b/>
          <w:bCs/>
          <w:color w:val="auto"/>
          <w:szCs w:val="21"/>
          <w:highlight w:val="none"/>
        </w:rPr>
      </w:pPr>
      <w:r>
        <w:rPr>
          <w:rFonts w:hint="eastAsia" w:ascii="宋体" w:hAnsi="宋体" w:cs="宋体"/>
          <w:b/>
          <w:bCs/>
          <w:color w:val="auto"/>
          <w:szCs w:val="21"/>
          <w:highlight w:val="none"/>
        </w:rPr>
        <w:t>7.8暂停施工</w:t>
      </w:r>
    </w:p>
    <w:p w14:paraId="4ECDD840">
      <w:pPr>
        <w:pStyle w:val="51"/>
        <w:keepNext w:val="0"/>
        <w:keepLines w:val="0"/>
        <w:pageBreakBefore w:val="0"/>
        <w:widowControl w:val="0"/>
        <w:wordWrap/>
        <w:topLinePunct w:val="0"/>
        <w:bidi w:val="0"/>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7.8.2承包人原因引起的暂停施工</w:t>
      </w:r>
    </w:p>
    <w:p w14:paraId="077EA1B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承包人承担暂停施工责任的其他情形：</w:t>
      </w:r>
      <w:r>
        <w:rPr>
          <w:rFonts w:hint="eastAsia" w:ascii="宋体" w:hAnsi="宋体" w:cs="宋体"/>
          <w:color w:val="auto"/>
          <w:szCs w:val="21"/>
          <w:highlight w:val="none"/>
          <w:u w:val="single"/>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13168BB7">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u w:val="single"/>
        </w:rPr>
        <w:t>因承包人责任暂停施工延误施工时机而导致遭遇不利条件物质条件和异常恶劣的气候条件、不可抗力造成的工期延误和费用增加由承包人承担。</w:t>
      </w:r>
    </w:p>
    <w:p w14:paraId="46C9FE87">
      <w:pPr>
        <w:pStyle w:val="51"/>
        <w:keepNext w:val="0"/>
        <w:keepLines w:val="0"/>
        <w:pageBreakBefore w:val="0"/>
        <w:widowControl w:val="0"/>
        <w:wordWrap/>
        <w:topLinePunct w:val="0"/>
        <w:bidi w:val="0"/>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7.8.5暂停施工后的复工</w:t>
      </w:r>
    </w:p>
    <w:p w14:paraId="3CF74AE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u w:val="single"/>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0D333E0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43" w:name="_Toc6583"/>
      <w:bookmarkStart w:id="844" w:name="_Toc522201759"/>
      <w:bookmarkStart w:id="845" w:name="_Toc256000209"/>
      <w:r>
        <w:rPr>
          <w:rFonts w:hint="eastAsia" w:ascii="宋体" w:cs="宋体"/>
          <w:color w:val="auto"/>
          <w:highlight w:val="none"/>
        </w:rPr>
        <w:t>7.9 提前竣工</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0BF8BAD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7.9.2提前竣工的奖励：</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04642BFE">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846" w:name="_Toc373227731"/>
      <w:bookmarkStart w:id="847" w:name="_Toc11098"/>
      <w:bookmarkStart w:id="848" w:name="_Toc418752273"/>
      <w:bookmarkStart w:id="849" w:name="_Toc403578965"/>
      <w:bookmarkStart w:id="850" w:name="_Toc418751827"/>
      <w:bookmarkStart w:id="851" w:name="_Toc351203640"/>
      <w:bookmarkStart w:id="852" w:name="_Toc522201760"/>
      <w:bookmarkStart w:id="853" w:name="_Toc418518377"/>
      <w:bookmarkStart w:id="854" w:name="_Toc418061342"/>
      <w:bookmarkStart w:id="855" w:name="_Toc256000210"/>
      <w:bookmarkStart w:id="856" w:name="_Toc373478378"/>
      <w:bookmarkStart w:id="857" w:name="_Toc418518141"/>
      <w:bookmarkStart w:id="858" w:name="_Toc497746812"/>
      <w:bookmarkStart w:id="859" w:name="_Toc389065297"/>
      <w:bookmarkStart w:id="860" w:name="_Toc497747209"/>
      <w:r>
        <w:rPr>
          <w:rFonts w:hint="eastAsia" w:ascii="宋体" w:cs="宋体"/>
          <w:color w:val="auto"/>
          <w:highlight w:val="none"/>
          <w:lang w:val="en-US" w:eastAsia="zh-CN"/>
        </w:rPr>
        <w:t>8.</w:t>
      </w:r>
      <w:r>
        <w:rPr>
          <w:rFonts w:hint="eastAsia" w:ascii="宋体" w:cs="宋体"/>
          <w:color w:val="auto"/>
          <w:highlight w:val="none"/>
        </w:rPr>
        <w:t>材料与设备</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14:paraId="1561A02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ascii="宋体" w:hAnsi="宋体" w:cs="宋体"/>
          <w:color w:val="auto"/>
          <w:highlight w:val="none"/>
        </w:rPr>
        <w:t>承包人采购材料和设备的约定：</w:t>
      </w:r>
    </w:p>
    <w:bookmarkEnd w:id="602"/>
    <w:bookmarkEnd w:id="603"/>
    <w:bookmarkEnd w:id="604"/>
    <w:bookmarkEnd w:id="605"/>
    <w:bookmarkEnd w:id="606"/>
    <w:bookmarkEnd w:id="607"/>
    <w:bookmarkEnd w:id="608"/>
    <w:bookmarkEnd w:id="609"/>
    <w:bookmarkEnd w:id="610"/>
    <w:bookmarkEnd w:id="611"/>
    <w:p w14:paraId="737C2CB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61" w:name="_Toc418518142"/>
      <w:bookmarkStart w:id="862" w:name="_Toc389065298"/>
      <w:bookmarkStart w:id="863" w:name="_Toc522201761"/>
      <w:bookmarkStart w:id="864" w:name="_Toc497746813"/>
      <w:bookmarkStart w:id="865" w:name="_Toc3719"/>
      <w:bookmarkStart w:id="866" w:name="_Toc497747210"/>
      <w:bookmarkStart w:id="867" w:name="_Toc256000211"/>
      <w:bookmarkStart w:id="868" w:name="_Toc418518378"/>
      <w:bookmarkStart w:id="869" w:name="_Toc418752274"/>
      <w:bookmarkStart w:id="870" w:name="_Toc373478379"/>
      <w:bookmarkStart w:id="871" w:name="_Toc418751828"/>
      <w:bookmarkStart w:id="872" w:name="_Toc373227732"/>
      <w:bookmarkStart w:id="873" w:name="_Toc403578966"/>
      <w:bookmarkStart w:id="874" w:name="_Toc418061343"/>
      <w:r>
        <w:rPr>
          <w:rFonts w:hint="eastAsia" w:ascii="宋体" w:cs="宋体"/>
          <w:color w:val="auto"/>
          <w:highlight w:val="none"/>
        </w:rPr>
        <w:t>8.2 承包人采购材料与工程设备</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14:paraId="62061C8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Cs w:val="21"/>
          <w:highlight w:val="none"/>
        </w:rPr>
        <w:t>承包人提供主要材料和工程设备一览表》</w:t>
      </w:r>
      <w:r>
        <w:rPr>
          <w:rFonts w:hint="eastAsia" w:ascii="宋体" w:hAnsi="宋体" w:cs="宋体"/>
          <w:color w:val="auto"/>
          <w:kern w:val="0"/>
          <w:szCs w:val="21"/>
          <w:highlight w:val="none"/>
        </w:rPr>
        <w:t>（表-22）见已标价工程量清单。</w:t>
      </w:r>
    </w:p>
    <w:p w14:paraId="58E9B2A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75" w:name="_Toc418518379"/>
      <w:bookmarkStart w:id="876" w:name="_Toc497747211"/>
      <w:bookmarkStart w:id="877" w:name="_Toc373227733"/>
      <w:bookmarkStart w:id="878" w:name="_Toc256000212"/>
      <w:bookmarkStart w:id="879" w:name="_Toc522201762"/>
      <w:bookmarkStart w:id="880" w:name="_Toc403578967"/>
      <w:bookmarkStart w:id="881" w:name="_Toc418751829"/>
      <w:bookmarkStart w:id="882" w:name="_Toc373478380"/>
      <w:bookmarkStart w:id="883" w:name="_Toc418752275"/>
      <w:bookmarkStart w:id="884" w:name="_Toc418518143"/>
      <w:bookmarkStart w:id="885" w:name="_Toc23212"/>
      <w:bookmarkStart w:id="886" w:name="_Toc389065299"/>
      <w:bookmarkStart w:id="887" w:name="_Toc497746814"/>
      <w:bookmarkStart w:id="888" w:name="_Toc418061344"/>
      <w:r>
        <w:rPr>
          <w:rFonts w:hint="eastAsia" w:ascii="宋体" w:cs="宋体"/>
          <w:color w:val="auto"/>
          <w:highlight w:val="none"/>
        </w:rPr>
        <w:t>8</w:t>
      </w:r>
      <w:bookmarkStart w:id="889" w:name="_Toc280868654"/>
      <w:bookmarkStart w:id="890" w:name="_Toc300934979"/>
      <w:bookmarkStart w:id="891" w:name="_Toc304295556"/>
      <w:bookmarkStart w:id="892" w:name="_Toc312678019"/>
      <w:bookmarkStart w:id="893" w:name="_Toc296347166"/>
      <w:bookmarkStart w:id="894" w:name="_Toc292559372"/>
      <w:bookmarkStart w:id="895" w:name="_Toc297216186"/>
      <w:bookmarkStart w:id="896" w:name="_Toc296944506"/>
      <w:bookmarkStart w:id="897" w:name="_Toc296346668"/>
      <w:bookmarkStart w:id="898" w:name="_Toc296891207"/>
      <w:bookmarkStart w:id="899" w:name="_Toc297048353"/>
      <w:bookmarkStart w:id="900" w:name="_Toc296890995"/>
      <w:bookmarkStart w:id="901" w:name="_Toc292559877"/>
      <w:bookmarkStart w:id="902" w:name="_Toc297123527"/>
      <w:bookmarkStart w:id="903" w:name="_Toc303539136"/>
      <w:bookmarkStart w:id="904" w:name="_Toc297120467"/>
      <w:bookmarkStart w:id="905" w:name="_Toc296503167"/>
      <w:bookmarkStart w:id="906" w:name="_Toc312677493"/>
      <w:bookmarkStart w:id="907" w:name="_Toc267251424"/>
      <w:bookmarkStart w:id="908" w:name="_Toc280868656"/>
      <w:bookmarkStart w:id="909" w:name="_Toc280868655"/>
      <w:r>
        <w:rPr>
          <w:rFonts w:hint="eastAsia" w:ascii="宋体" w:cs="宋体"/>
          <w:color w:val="auto"/>
          <w:highlight w:val="none"/>
        </w:rPr>
        <w:t>.4 材料与工程设备的保管与使用</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14:paraId="60CE20D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8</w:t>
      </w:r>
      <w:bookmarkStart w:id="910" w:name="_Toc292559373"/>
      <w:bookmarkStart w:id="911" w:name="_Toc292559878"/>
      <w:bookmarkStart w:id="912" w:name="_Toc296890996"/>
      <w:bookmarkStart w:id="913" w:name="_Toc312677494"/>
      <w:bookmarkStart w:id="914" w:name="_Toc297048354"/>
      <w:bookmarkStart w:id="915" w:name="_Toc300934980"/>
      <w:bookmarkStart w:id="916" w:name="_Toc312678020"/>
      <w:bookmarkStart w:id="917" w:name="_Toc296503168"/>
      <w:bookmarkStart w:id="918" w:name="_Toc296347167"/>
      <w:bookmarkStart w:id="919" w:name="_Toc297216187"/>
      <w:bookmarkStart w:id="920" w:name="_Toc297123528"/>
      <w:bookmarkStart w:id="921" w:name="_Toc296891208"/>
      <w:bookmarkStart w:id="922" w:name="_Toc318581173"/>
      <w:bookmarkStart w:id="923" w:name="_Toc297120468"/>
      <w:bookmarkStart w:id="924" w:name="_Toc304295557"/>
      <w:bookmarkStart w:id="925" w:name="_Toc296944507"/>
      <w:bookmarkStart w:id="926" w:name="_Toc296346669"/>
      <w:bookmarkStart w:id="927" w:name="_Toc303539137"/>
      <w:r>
        <w:rPr>
          <w:rFonts w:hint="eastAsia" w:ascii="宋体" w:hAnsi="宋体" w:cs="宋体"/>
          <w:color w:val="auto"/>
          <w:szCs w:val="21"/>
          <w:highlight w:val="none"/>
        </w:rPr>
        <w:t>.4.1发包人供应的材料设备的保管费用的承担：</w:t>
      </w:r>
      <w:r>
        <w:rPr>
          <w:rFonts w:hint="eastAsia" w:ascii="宋体" w:hAnsi="宋体" w:cs="宋体"/>
          <w:color w:val="auto"/>
          <w:szCs w:val="21"/>
          <w:highlight w:val="none"/>
          <w:u w:val="single"/>
        </w:rPr>
        <w:t>发包人供应的材料和设备经三方验收合格后，保管费用由承包人承担</w:t>
      </w:r>
      <w:r>
        <w:rPr>
          <w:rFonts w:hint="eastAsia" w:ascii="宋体" w:hAnsi="宋体" w:cs="宋体"/>
          <w:color w:val="auto"/>
          <w:szCs w:val="21"/>
          <w:highlight w:val="none"/>
        </w:rPr>
        <w:t>。</w:t>
      </w:r>
    </w:p>
    <w:bookmarkEnd w:id="910"/>
    <w:bookmarkEnd w:id="911"/>
    <w:p w14:paraId="08AEC39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928" w:name="_Toc418752276"/>
      <w:bookmarkStart w:id="929" w:name="_Toc7018"/>
      <w:bookmarkStart w:id="930" w:name="_Toc497746815"/>
      <w:bookmarkStart w:id="931" w:name="_Toc497747212"/>
      <w:bookmarkStart w:id="932" w:name="_Toc418518144"/>
      <w:bookmarkStart w:id="933" w:name="_Toc373227734"/>
      <w:bookmarkStart w:id="934" w:name="_Toc403578968"/>
      <w:bookmarkStart w:id="935" w:name="_Toc522201763"/>
      <w:bookmarkStart w:id="936" w:name="_Toc373478381"/>
      <w:bookmarkStart w:id="937" w:name="_Toc256000213"/>
      <w:bookmarkStart w:id="938" w:name="_Toc418751830"/>
      <w:bookmarkStart w:id="939" w:name="_Toc389065300"/>
      <w:bookmarkStart w:id="940" w:name="_Toc418061345"/>
      <w:bookmarkStart w:id="941" w:name="_Toc418518380"/>
      <w:r>
        <w:rPr>
          <w:rFonts w:hint="eastAsia" w:ascii="宋体" w:cs="宋体"/>
          <w:color w:val="auto"/>
          <w:highlight w:val="none"/>
        </w:rPr>
        <w:t>8.6 样品</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11C907D2">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8.6.1 样品的报送与封存</w:t>
      </w:r>
    </w:p>
    <w:p w14:paraId="0DF42FD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color w:val="auto"/>
          <w:szCs w:val="21"/>
          <w:highlight w:val="none"/>
          <w:u w:val="single"/>
        </w:rPr>
        <w:t>主要材料涉及品种、款式、颜色等方面内容的，承包人在进货前需将货物样品报送监理或发包人现场办公室，待设计及发包人确认样品，并封存样品后，承包人方可订货。除上述材料外招标文件和招标工程量清单中对材料、设备有档次或质量要求的，按招标文件和招标工程量清单确定；其他由合同各方协商确定。</w:t>
      </w:r>
    </w:p>
    <w:p w14:paraId="0E9B385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942" w:name="_Toc418752277"/>
      <w:bookmarkStart w:id="943" w:name="_Toc418518381"/>
      <w:bookmarkStart w:id="944" w:name="_Toc373478382"/>
      <w:bookmarkStart w:id="945" w:name="_Toc418061346"/>
      <w:bookmarkStart w:id="946" w:name="_Toc418751831"/>
      <w:bookmarkStart w:id="947" w:name="_Toc418518145"/>
      <w:bookmarkStart w:id="948" w:name="_Toc256000214"/>
      <w:bookmarkStart w:id="949" w:name="_Toc497747213"/>
      <w:bookmarkStart w:id="950" w:name="_Toc497746816"/>
      <w:bookmarkStart w:id="951" w:name="_Toc5914"/>
      <w:bookmarkStart w:id="952" w:name="_Toc389065301"/>
      <w:bookmarkStart w:id="953" w:name="_Toc522201764"/>
      <w:bookmarkStart w:id="954" w:name="_Toc403578969"/>
      <w:bookmarkStart w:id="955" w:name="_Toc373227735"/>
      <w:r>
        <w:rPr>
          <w:rFonts w:hint="eastAsia" w:ascii="宋体" w:cs="宋体"/>
          <w:color w:val="auto"/>
          <w:highlight w:val="none"/>
        </w:rPr>
        <w:t>8.8 施工设备和临时设施</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3DEA0EC6">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8.8.1 承包人提供的施工设备和临时设施</w:t>
      </w:r>
    </w:p>
    <w:p w14:paraId="68CA9C4A">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35ECD4B8">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关于修建临时设施费用承担的约定：</w:t>
      </w:r>
    </w:p>
    <w:p w14:paraId="56D0F837">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中综合考虑。 </w:t>
      </w:r>
    </w:p>
    <w:p w14:paraId="2F91BA5E">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②承包人负责合同实施期间其合同段内临时交通道路和交通设施的修建、维修、养护和交通管理工作，并承担一切费用。 </w:t>
      </w:r>
    </w:p>
    <w:p w14:paraId="3629391B">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6DE6383D">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307F92D7">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8.8.2 发包人提供的施工设备和临时设施</w:t>
      </w:r>
    </w:p>
    <w:p w14:paraId="4969D344">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6A9D5418">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发包人提供的施工设备和临时设施的运行、维护、拆除、清运费用的承担人：</w:t>
      </w:r>
      <w:r>
        <w:rPr>
          <w:rFonts w:hint="eastAsia" w:ascii="宋体" w:hAnsi="宋体" w:cs="宋体"/>
          <w:color w:val="auto"/>
          <w:szCs w:val="21"/>
          <w:highlight w:val="none"/>
          <w:u w:val="single"/>
        </w:rPr>
        <w:t xml:space="preserve">  承包人  </w:t>
      </w:r>
      <w:r>
        <w:rPr>
          <w:rFonts w:hint="eastAsia" w:ascii="宋体" w:hAnsi="宋体" w:cs="宋体"/>
          <w:color w:val="auto"/>
          <w:szCs w:val="21"/>
          <w:highlight w:val="none"/>
        </w:rPr>
        <w:t>。</w:t>
      </w:r>
    </w:p>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14:paraId="132A06BA">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956" w:name="_Toc418518382"/>
      <w:bookmarkStart w:id="957" w:name="_Toc389065302"/>
      <w:bookmarkStart w:id="958" w:name="_Toc373227736"/>
      <w:bookmarkStart w:id="959" w:name="_Toc418518146"/>
      <w:bookmarkStart w:id="960" w:name="_Toc418751832"/>
      <w:bookmarkStart w:id="961" w:name="_Toc418061347"/>
      <w:bookmarkStart w:id="962" w:name="_Toc373478383"/>
      <w:bookmarkStart w:id="963" w:name="_Toc497747214"/>
      <w:bookmarkStart w:id="964" w:name="_Toc418752278"/>
      <w:bookmarkStart w:id="965" w:name="_Toc522201765"/>
      <w:bookmarkStart w:id="966" w:name="_Toc8701"/>
      <w:bookmarkStart w:id="967" w:name="_Toc256000215"/>
      <w:bookmarkStart w:id="968" w:name="_Toc351203641"/>
      <w:bookmarkStart w:id="969" w:name="_Toc497746817"/>
      <w:bookmarkStart w:id="970" w:name="_Toc403578970"/>
      <w:r>
        <w:rPr>
          <w:rFonts w:hint="eastAsia" w:ascii="宋体" w:cs="宋体"/>
          <w:color w:val="auto"/>
          <w:highlight w:val="none"/>
        </w:rPr>
        <w:t>9</w:t>
      </w:r>
      <w:bookmarkEnd w:id="907"/>
      <w:bookmarkEnd w:id="908"/>
      <w:bookmarkEnd w:id="909"/>
      <w:bookmarkStart w:id="971" w:name="_Toc312678021"/>
      <w:bookmarkStart w:id="972" w:name="_Toc297123533"/>
      <w:bookmarkStart w:id="973" w:name="_Toc297216192"/>
      <w:bookmarkStart w:id="974" w:name="_Toc304295559"/>
      <w:bookmarkStart w:id="975" w:name="_Toc300934982"/>
      <w:bookmarkStart w:id="976" w:name="_Toc303539139"/>
      <w:bookmarkStart w:id="977" w:name="_Toc312677495"/>
      <w:bookmarkStart w:id="978" w:name="_Toc296346674"/>
      <w:bookmarkStart w:id="979" w:name="_Toc296891213"/>
      <w:bookmarkStart w:id="980" w:name="_Toc292559378"/>
      <w:bookmarkStart w:id="981" w:name="_Toc296347172"/>
      <w:bookmarkStart w:id="982" w:name="_Toc297048359"/>
      <w:bookmarkStart w:id="983" w:name="_Toc267251427"/>
      <w:bookmarkStart w:id="984" w:name="_Toc296944512"/>
      <w:bookmarkStart w:id="985" w:name="_Toc296503173"/>
      <w:bookmarkStart w:id="986" w:name="_Toc297120473"/>
      <w:bookmarkStart w:id="987" w:name="_Toc267251428"/>
      <w:bookmarkStart w:id="988" w:name="_Toc296891001"/>
      <w:bookmarkStart w:id="989" w:name="_Toc292559883"/>
      <w:r>
        <w:rPr>
          <w:rFonts w:hint="eastAsia" w:ascii="宋体" w:cs="宋体"/>
          <w:color w:val="auto"/>
          <w:highlight w:val="none"/>
        </w:rPr>
        <w:t xml:space="preserve">. </w:t>
      </w:r>
      <w:r>
        <w:rPr>
          <w:rFonts w:hint="eastAsia" w:ascii="宋体" w:hAnsi="宋体" w:eastAsia="宋体" w:cs="宋体"/>
          <w:color w:val="auto"/>
          <w:highlight w:val="none"/>
        </w:rPr>
        <w:t>试验</w:t>
      </w:r>
      <w:r>
        <w:rPr>
          <w:rFonts w:hint="eastAsia" w:ascii="宋体" w:cs="宋体"/>
          <w:color w:val="auto"/>
          <w:highlight w:val="none"/>
        </w:rPr>
        <w:t>与检验</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bookmarkEnd w:id="971"/>
    <w:bookmarkEnd w:id="972"/>
    <w:bookmarkEnd w:id="973"/>
    <w:bookmarkEnd w:id="974"/>
    <w:bookmarkEnd w:id="975"/>
    <w:bookmarkEnd w:id="976"/>
    <w:bookmarkEnd w:id="977"/>
    <w:p w14:paraId="5F09C4E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990" w:name="_Toc497747215"/>
      <w:bookmarkStart w:id="991" w:name="_Toc256000216"/>
      <w:bookmarkStart w:id="992" w:name="_Toc373478384"/>
      <w:bookmarkStart w:id="993" w:name="_Toc418061348"/>
      <w:bookmarkStart w:id="994" w:name="_Toc373227737"/>
      <w:bookmarkStart w:id="995" w:name="_Toc418518383"/>
      <w:bookmarkStart w:id="996" w:name="_Toc403578971"/>
      <w:bookmarkStart w:id="997" w:name="_Toc497746818"/>
      <w:bookmarkStart w:id="998" w:name="_Toc418751833"/>
      <w:bookmarkStart w:id="999" w:name="_Toc418752279"/>
      <w:bookmarkStart w:id="1000" w:name="_Toc522201766"/>
      <w:bookmarkStart w:id="1001" w:name="_Toc418518147"/>
      <w:bookmarkStart w:id="1002" w:name="_Toc8303"/>
      <w:bookmarkStart w:id="1003" w:name="_Toc389065303"/>
      <w:r>
        <w:rPr>
          <w:rFonts w:hint="eastAsia" w:ascii="宋体" w:cs="宋体"/>
          <w:color w:val="auto"/>
          <w:highlight w:val="none"/>
        </w:rPr>
        <w:t>9</w:t>
      </w:r>
      <w:bookmarkStart w:id="1004" w:name="_Toc312677496"/>
      <w:bookmarkStart w:id="1005" w:name="_Toc297216193"/>
      <w:bookmarkStart w:id="1006" w:name="_Toc300934983"/>
      <w:bookmarkStart w:id="1007" w:name="_Toc297123534"/>
      <w:bookmarkStart w:id="1008" w:name="_Toc312678022"/>
      <w:bookmarkStart w:id="1009" w:name="_Toc303539140"/>
      <w:bookmarkStart w:id="1010" w:name="_Toc304295560"/>
      <w:r>
        <w:rPr>
          <w:rFonts w:hint="eastAsia" w:ascii="宋体" w:cs="宋体"/>
          <w:color w:val="auto"/>
          <w:highlight w:val="none"/>
        </w:rPr>
        <w:t>.1 试验设备与试验人员</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bookmarkEnd w:id="1004"/>
    <w:bookmarkEnd w:id="1005"/>
    <w:bookmarkEnd w:id="1006"/>
    <w:bookmarkEnd w:id="1007"/>
    <w:bookmarkEnd w:id="1008"/>
    <w:bookmarkEnd w:id="1009"/>
    <w:bookmarkEnd w:id="1010"/>
    <w:p w14:paraId="64F3ED6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bookmarkStart w:id="1011" w:name="_Toc312678023"/>
      <w:bookmarkStart w:id="1012" w:name="_Toc312677497"/>
      <w:bookmarkStart w:id="1013" w:name="_Toc297123535"/>
      <w:bookmarkStart w:id="1014" w:name="_Toc297216194"/>
      <w:bookmarkStart w:id="1015" w:name="_Toc300934984"/>
      <w:bookmarkStart w:id="1016" w:name="_Toc303539141"/>
      <w:bookmarkStart w:id="1017" w:name="_Toc304295561"/>
      <w:bookmarkStart w:id="1018" w:name="_Toc318581174"/>
      <w:r>
        <w:rPr>
          <w:rFonts w:hint="eastAsia" w:ascii="宋体" w:hAnsi="宋体" w:cs="宋体"/>
          <w:color w:val="auto"/>
          <w:szCs w:val="21"/>
          <w:highlight w:val="none"/>
        </w:rPr>
        <w:t>.1.2 试验设备</w:t>
      </w:r>
    </w:p>
    <w:bookmarkEnd w:id="1011"/>
    <w:bookmarkEnd w:id="1012"/>
    <w:bookmarkEnd w:id="1013"/>
    <w:bookmarkEnd w:id="1014"/>
    <w:bookmarkEnd w:id="1015"/>
    <w:bookmarkEnd w:id="1016"/>
    <w:bookmarkEnd w:id="1017"/>
    <w:p w14:paraId="31104C3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019" w:name="_Toc297123536"/>
      <w:bookmarkStart w:id="1020" w:name="_Toc312678024"/>
      <w:bookmarkStart w:id="1021" w:name="_Toc300934985"/>
      <w:bookmarkStart w:id="1022" w:name="_Toc304295562"/>
      <w:bookmarkStart w:id="1023" w:name="_Toc303539142"/>
      <w:bookmarkStart w:id="1024" w:name="_Toc297216195"/>
      <w:bookmarkStart w:id="1025" w:name="_Toc312677498"/>
      <w:r>
        <w:rPr>
          <w:rFonts w:hint="eastAsia" w:ascii="宋体" w:hAnsi="宋体" w:cs="宋体"/>
          <w:color w:val="auto"/>
          <w:szCs w:val="21"/>
          <w:highlight w:val="none"/>
        </w:rPr>
        <w:t>施工现场需要配置的试验场所：</w:t>
      </w:r>
      <w:r>
        <w:rPr>
          <w:rFonts w:hint="eastAsia" w:ascii="宋体" w:hAnsi="宋体" w:cs="宋体"/>
          <w:color w:val="auto"/>
          <w:szCs w:val="21"/>
          <w:highlight w:val="none"/>
          <w:u w:val="single"/>
        </w:rPr>
        <w:t xml:space="preserve"> 由承包人承担，所需费用包含在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 xml:space="preserve">。 </w:t>
      </w:r>
    </w:p>
    <w:p w14:paraId="5F9C713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施工现场需要配备的试验设备：</w:t>
      </w:r>
      <w:r>
        <w:rPr>
          <w:rFonts w:hint="eastAsia" w:ascii="宋体" w:hAnsi="宋体" w:cs="宋体"/>
          <w:color w:val="auto"/>
          <w:szCs w:val="21"/>
          <w:highlight w:val="none"/>
          <w:u w:val="single"/>
        </w:rPr>
        <w:t xml:space="preserve"> 由承包人承担，所需费用包含在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w:t>
      </w:r>
    </w:p>
    <w:p w14:paraId="788E6A5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施工现场需要具备的其他试验条件：</w:t>
      </w:r>
      <w:r>
        <w:rPr>
          <w:rFonts w:hint="eastAsia" w:ascii="宋体" w:hAnsi="宋体" w:cs="宋体"/>
          <w:color w:val="auto"/>
          <w:szCs w:val="21"/>
          <w:highlight w:val="none"/>
          <w:u w:val="single"/>
        </w:rPr>
        <w:t xml:space="preserve"> 由承包人承担，所需费用包含在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w:t>
      </w:r>
    </w:p>
    <w:p w14:paraId="227020C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026" w:name="_Toc373227738"/>
      <w:bookmarkStart w:id="1027" w:name="_Toc418752280"/>
      <w:bookmarkStart w:id="1028" w:name="_Toc418518148"/>
      <w:bookmarkStart w:id="1029" w:name="_Toc403578972"/>
      <w:bookmarkStart w:id="1030" w:name="_Toc497746819"/>
      <w:bookmarkStart w:id="1031" w:name="_Toc522201767"/>
      <w:bookmarkStart w:id="1032" w:name="_Toc389065304"/>
      <w:bookmarkStart w:id="1033" w:name="_Toc15606"/>
      <w:bookmarkStart w:id="1034" w:name="_Toc256000217"/>
      <w:bookmarkStart w:id="1035" w:name="_Toc373478385"/>
      <w:bookmarkStart w:id="1036" w:name="_Toc418061349"/>
      <w:bookmarkStart w:id="1037" w:name="_Toc418518384"/>
      <w:bookmarkStart w:id="1038" w:name="_Toc497747216"/>
      <w:bookmarkStart w:id="1039" w:name="_Toc418751834"/>
      <w:r>
        <w:rPr>
          <w:rFonts w:hint="eastAsia" w:ascii="宋体" w:cs="宋体"/>
          <w:color w:val="auto"/>
          <w:highlight w:val="none"/>
        </w:rPr>
        <w:t>9.4 现场工艺试验</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r>
        <w:rPr>
          <w:rFonts w:hint="eastAsia" w:ascii="宋体" w:cs="宋体"/>
          <w:color w:val="auto"/>
          <w:highlight w:val="none"/>
        </w:rPr>
        <w:t xml:space="preserve"> </w:t>
      </w:r>
    </w:p>
    <w:p w14:paraId="1E81F47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现场工艺试验的有关约定：</w:t>
      </w:r>
      <w:r>
        <w:rPr>
          <w:rFonts w:hint="eastAsia" w:ascii="宋体" w:hAnsi="宋体" w:cs="宋体"/>
          <w:color w:val="auto"/>
          <w:szCs w:val="21"/>
          <w:highlight w:val="none"/>
          <w:u w:val="single"/>
        </w:rPr>
        <w:t xml:space="preserve">  按通用条款执行</w:t>
      </w:r>
      <w:r>
        <w:rPr>
          <w:rFonts w:hint="eastAsia" w:ascii="宋体" w:hAnsi="宋体" w:cs="宋体"/>
          <w:color w:val="auto"/>
          <w:szCs w:val="21"/>
          <w:highlight w:val="none"/>
        </w:rPr>
        <w:t>。</w:t>
      </w:r>
      <w:bookmarkStart w:id="1040" w:name="_Toc406522259"/>
      <w:bookmarkStart w:id="1041" w:name="_Toc406420990"/>
      <w:bookmarkStart w:id="1042" w:name="_Toc395382541"/>
      <w:bookmarkStart w:id="1043" w:name="OLE_LINK1"/>
    </w:p>
    <w:p w14:paraId="6D4E7567">
      <w:pPr>
        <w:pStyle w:val="21"/>
        <w:keepNext w:val="0"/>
        <w:keepLines w:val="0"/>
        <w:pageBreakBefore w:val="0"/>
        <w:widowControl w:val="0"/>
        <w:wordWrap/>
        <w:topLinePunct w:val="0"/>
        <w:bidi w:val="0"/>
        <w:spacing w:line="38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9.5 检验费用</w:t>
      </w:r>
      <w:bookmarkEnd w:id="1040"/>
      <w:bookmarkEnd w:id="1041"/>
      <w:bookmarkEnd w:id="1042"/>
    </w:p>
    <w:p w14:paraId="2A5A12C9">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lang w:eastAsia="zh-CN"/>
        </w:rPr>
        <w:t>根据《建设工程质量检测管理办法》（住房和城乡建设部令第57号）以及《广西壮族自治区建设工程质量检测管理实施细则》（桂建发〔2025〕5号）</w:t>
      </w:r>
      <w:r>
        <w:rPr>
          <w:rFonts w:hint="eastAsia" w:ascii="宋体" w:hAnsi="宋体" w:cs="宋体"/>
          <w:color w:val="auto"/>
          <w:szCs w:val="21"/>
          <w:highlight w:val="none"/>
        </w:rPr>
        <w:t>规定，工程质量检测业务由发包人委托有相应资质的检测机构检测。费用从发包人的项目建设经费中支出并直接支付给检测机构，不计入合同价款内。</w:t>
      </w:r>
      <w:bookmarkEnd w:id="1043"/>
    </w:p>
    <w:bookmarkEnd w:id="1018"/>
    <w:bookmarkEnd w:id="1019"/>
    <w:bookmarkEnd w:id="1020"/>
    <w:bookmarkEnd w:id="1021"/>
    <w:bookmarkEnd w:id="1022"/>
    <w:bookmarkEnd w:id="1023"/>
    <w:bookmarkEnd w:id="1024"/>
    <w:bookmarkEnd w:id="1025"/>
    <w:p w14:paraId="62AF6373">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044" w:name="_Toc351203642"/>
      <w:bookmarkStart w:id="1045" w:name="_Toc418518150"/>
      <w:bookmarkStart w:id="1046" w:name="_Toc418518386"/>
      <w:bookmarkStart w:id="1047" w:name="_Toc403578974"/>
      <w:bookmarkStart w:id="1048" w:name="_Toc373227739"/>
      <w:bookmarkStart w:id="1049" w:name="_Toc522201768"/>
      <w:bookmarkStart w:id="1050" w:name="_Toc58"/>
      <w:bookmarkStart w:id="1051" w:name="_Toc497747218"/>
      <w:bookmarkStart w:id="1052" w:name="_Toc256000218"/>
      <w:bookmarkStart w:id="1053" w:name="_Toc389065305"/>
      <w:bookmarkStart w:id="1054" w:name="_Toc497746821"/>
      <w:bookmarkStart w:id="1055" w:name="_Toc373478386"/>
      <w:bookmarkStart w:id="1056" w:name="_Toc418061351"/>
      <w:bookmarkStart w:id="1057" w:name="_Toc418751836"/>
      <w:bookmarkStart w:id="1058" w:name="_Toc418752282"/>
      <w:r>
        <w:rPr>
          <w:rFonts w:hint="eastAsia" w:ascii="宋体" w:cs="宋体"/>
          <w:color w:val="auto"/>
          <w:highlight w:val="none"/>
        </w:rPr>
        <w:t>1</w:t>
      </w:r>
      <w:bookmarkEnd w:id="978"/>
      <w:bookmarkEnd w:id="979"/>
      <w:bookmarkEnd w:id="980"/>
      <w:bookmarkEnd w:id="981"/>
      <w:bookmarkEnd w:id="982"/>
      <w:bookmarkEnd w:id="983"/>
      <w:bookmarkEnd w:id="984"/>
      <w:bookmarkEnd w:id="985"/>
      <w:bookmarkEnd w:id="986"/>
      <w:bookmarkEnd w:id="987"/>
      <w:bookmarkEnd w:id="988"/>
      <w:bookmarkEnd w:id="989"/>
      <w:bookmarkStart w:id="1059" w:name="_Toc292559903"/>
      <w:bookmarkStart w:id="1060" w:name="_Toc296347192"/>
      <w:bookmarkStart w:id="1061" w:name="_Toc300934989"/>
      <w:bookmarkStart w:id="1062" w:name="_Toc297120493"/>
      <w:bookmarkStart w:id="1063" w:name="_Toc296346694"/>
      <w:bookmarkStart w:id="1064" w:name="_Toc304295566"/>
      <w:bookmarkStart w:id="1065" w:name="_Toc292559398"/>
      <w:bookmarkStart w:id="1066" w:name="_Toc296891233"/>
      <w:bookmarkStart w:id="1067" w:name="_Toc297216199"/>
      <w:bookmarkStart w:id="1068" w:name="_Toc303539146"/>
      <w:bookmarkStart w:id="1069" w:name="_Toc297048379"/>
      <w:bookmarkStart w:id="1070" w:name="_Toc296944532"/>
      <w:bookmarkStart w:id="1071" w:name="_Toc297123540"/>
      <w:bookmarkStart w:id="1072" w:name="_Toc296891021"/>
      <w:bookmarkStart w:id="1073" w:name="_Toc296503193"/>
      <w:bookmarkStart w:id="1074" w:name="_Toc312678025"/>
      <w:bookmarkStart w:id="1075" w:name="_Toc312677499"/>
      <w:bookmarkStart w:id="1076" w:name="_Toc267251435"/>
      <w:bookmarkStart w:id="1077" w:name="_Toc267251441"/>
      <w:bookmarkStart w:id="1078" w:name="_Toc267251437"/>
      <w:bookmarkStart w:id="1079" w:name="_Toc267251440"/>
      <w:bookmarkStart w:id="1080" w:name="_Toc267251439"/>
      <w:bookmarkStart w:id="1081" w:name="_Toc267251433"/>
      <w:bookmarkStart w:id="1082" w:name="_Toc267251442"/>
      <w:r>
        <w:rPr>
          <w:rFonts w:hint="eastAsia" w:ascii="宋体" w:cs="宋体"/>
          <w:color w:val="auto"/>
          <w:highlight w:val="none"/>
        </w:rPr>
        <w:t>0. 变更</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bookmarkEnd w:id="1074"/>
    <w:bookmarkEnd w:id="1075"/>
    <w:p w14:paraId="3167E8A8">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083" w:name="_Toc418518387"/>
      <w:bookmarkStart w:id="1084" w:name="_Toc2710"/>
      <w:bookmarkStart w:id="1085" w:name="_Toc373227740"/>
      <w:bookmarkStart w:id="1086" w:name="_Toc522201769"/>
      <w:bookmarkStart w:id="1087" w:name="_Toc403578975"/>
      <w:bookmarkStart w:id="1088" w:name="_Toc497746822"/>
      <w:bookmarkStart w:id="1089" w:name="_Toc373478387"/>
      <w:bookmarkStart w:id="1090" w:name="_Toc497747219"/>
      <w:bookmarkStart w:id="1091" w:name="_Toc418518151"/>
      <w:bookmarkStart w:id="1092" w:name="_Toc418752283"/>
      <w:bookmarkStart w:id="1093" w:name="_Toc389065306"/>
      <w:bookmarkStart w:id="1094" w:name="_Toc418751837"/>
      <w:bookmarkStart w:id="1095" w:name="_Toc256000219"/>
      <w:bookmarkStart w:id="1096" w:name="_Toc418061352"/>
      <w:r>
        <w:rPr>
          <w:rFonts w:hint="eastAsia" w:ascii="宋体" w:cs="宋体"/>
          <w:color w:val="auto"/>
          <w:highlight w:val="none"/>
        </w:rPr>
        <w:t>1</w:t>
      </w:r>
      <w:bookmarkStart w:id="1097" w:name="_Toc296346695"/>
      <w:bookmarkStart w:id="1098" w:name="_Toc297216200"/>
      <w:bookmarkStart w:id="1099" w:name="_Toc296347193"/>
      <w:bookmarkStart w:id="1100" w:name="_Toc300934990"/>
      <w:bookmarkStart w:id="1101" w:name="_Toc292559904"/>
      <w:bookmarkStart w:id="1102" w:name="_Toc296891234"/>
      <w:bookmarkStart w:id="1103" w:name="_Toc312677500"/>
      <w:bookmarkStart w:id="1104" w:name="_Toc297123541"/>
      <w:bookmarkStart w:id="1105" w:name="_Toc296891022"/>
      <w:bookmarkStart w:id="1106" w:name="_Toc304295567"/>
      <w:bookmarkStart w:id="1107" w:name="_Toc296503194"/>
      <w:bookmarkStart w:id="1108" w:name="_Toc303539147"/>
      <w:bookmarkStart w:id="1109" w:name="_Toc292559399"/>
      <w:bookmarkStart w:id="1110" w:name="_Toc296944533"/>
      <w:bookmarkStart w:id="1111" w:name="_Toc297048380"/>
      <w:bookmarkStart w:id="1112" w:name="_Toc297120494"/>
      <w:bookmarkStart w:id="1113" w:name="_Toc312678026"/>
      <w:r>
        <w:rPr>
          <w:rFonts w:hint="eastAsia" w:ascii="宋体" w:cs="宋体"/>
          <w:color w:val="auto"/>
          <w:highlight w:val="none"/>
        </w:rPr>
        <w:t>0.1 变更的范围</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14:paraId="7D44C5CA">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关于变更的范围的约定：</w:t>
      </w:r>
      <w:r>
        <w:rPr>
          <w:rFonts w:hint="eastAsia" w:ascii="宋体" w:hAnsi="宋体" w:cs="宋体"/>
          <w:color w:val="auto"/>
          <w:szCs w:val="21"/>
          <w:highlight w:val="none"/>
          <w:u w:val="single"/>
        </w:rPr>
        <w:t>施工期间因不可预见因素或发包人要求所发生的工程量增减（由变更、签证产生），其工程量按实际发生并经监理工程师及发包人签证认可，工程变更综合单价按专用条款第10.4点规定执行</w:t>
      </w:r>
      <w:r>
        <w:rPr>
          <w:rFonts w:hint="eastAsia" w:ascii="宋体" w:hAnsi="宋体" w:cs="宋体"/>
          <w:color w:val="auto"/>
          <w:szCs w:val="21"/>
          <w:highlight w:val="none"/>
        </w:rPr>
        <w:t>。</w:t>
      </w:r>
      <w:bookmarkStart w:id="1114" w:name="_Toc389065307"/>
      <w:bookmarkStart w:id="1115" w:name="_Toc406522262"/>
      <w:bookmarkStart w:id="1116" w:name="_Toc373478388"/>
      <w:bookmarkStart w:id="1117" w:name="_Toc373227741"/>
      <w:bookmarkStart w:id="1118" w:name="_Toc395382544"/>
    </w:p>
    <w:p w14:paraId="38126FB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19" w:name="_Toc256000220"/>
      <w:bookmarkStart w:id="1120" w:name="_Toc21241"/>
      <w:r>
        <w:rPr>
          <w:rFonts w:hint="eastAsia" w:ascii="宋体" w:cs="宋体"/>
          <w:color w:val="auto"/>
          <w:highlight w:val="none"/>
        </w:rPr>
        <w:t>10.3 变更程序</w:t>
      </w:r>
      <w:bookmarkEnd w:id="1114"/>
      <w:bookmarkEnd w:id="1115"/>
      <w:bookmarkEnd w:id="1116"/>
      <w:bookmarkEnd w:id="1117"/>
      <w:bookmarkEnd w:id="1118"/>
      <w:bookmarkEnd w:id="1119"/>
      <w:bookmarkEnd w:id="1120"/>
    </w:p>
    <w:p w14:paraId="2449CB53">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10.3.1 国有投资项目：</w:t>
      </w:r>
    </w:p>
    <w:p w14:paraId="72FFCC06">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⑴设计变更和工程签证，按各市政府或相关部门的规定办理。属不可抗力（自然灾害、突发事件等）造成变更的，按特事特办原则予以办理。</w:t>
      </w:r>
    </w:p>
    <w:p w14:paraId="6F3583C3">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⑵发包人在实施项目过程中，若发生单价变动，由发包人、监理单位、承包人及其他相关单位共同商定并签字确认。</w:t>
      </w:r>
    </w:p>
    <w:p w14:paraId="28B08649">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6B0E8C56">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10.3.2 非国有投资项目：</w:t>
      </w:r>
      <w:r>
        <w:rPr>
          <w:rFonts w:hint="eastAsia" w:ascii="宋体" w:hAnsi="宋体" w:cs="宋体"/>
          <w:color w:val="auto"/>
          <w:szCs w:val="21"/>
          <w:highlight w:val="none"/>
          <w:u w:val="single"/>
        </w:rPr>
        <w:t xml:space="preserve"> 同通用条款。</w:t>
      </w:r>
    </w:p>
    <w:p w14:paraId="295ACAA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21" w:name="_Toc418751839"/>
      <w:bookmarkStart w:id="1122" w:name="_Toc389065308"/>
      <w:bookmarkStart w:id="1123" w:name="_Toc256000221"/>
      <w:bookmarkStart w:id="1124" w:name="_Toc418752285"/>
      <w:bookmarkStart w:id="1125" w:name="_Toc497746824"/>
      <w:bookmarkStart w:id="1126" w:name="_Toc403578977"/>
      <w:bookmarkStart w:id="1127" w:name="_Toc497747221"/>
      <w:bookmarkStart w:id="1128" w:name="_Toc22425"/>
      <w:bookmarkStart w:id="1129" w:name="_Toc373227742"/>
      <w:bookmarkStart w:id="1130" w:name="_Toc522201770"/>
      <w:bookmarkStart w:id="1131" w:name="_Toc418061354"/>
      <w:bookmarkStart w:id="1132" w:name="_Toc418518153"/>
      <w:bookmarkStart w:id="1133" w:name="_Toc418518389"/>
      <w:bookmarkStart w:id="1134" w:name="_Toc373478389"/>
      <w:r>
        <w:rPr>
          <w:rFonts w:hint="eastAsia" w:ascii="宋体" w:cs="宋体"/>
          <w:color w:val="auto"/>
          <w:highlight w:val="none"/>
        </w:rPr>
        <w:t>10.4 变更估价</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7E3E7CA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10.4.1 变更估价原则</w:t>
      </w:r>
    </w:p>
    <w:p w14:paraId="15A104EF">
      <w:pPr>
        <w:pStyle w:val="21"/>
        <w:keepNext w:val="0"/>
        <w:keepLines w:val="0"/>
        <w:pageBreakBefore w:val="0"/>
        <w:widowControl w:val="0"/>
        <w:wordWrap/>
        <w:topLinePunct w:val="0"/>
        <w:bidi w:val="0"/>
        <w:spacing w:line="380" w:lineRule="exact"/>
        <w:ind w:firstLine="426"/>
        <w:rPr>
          <w:rFonts w:ascii="宋体" w:hAnsi="宋体" w:cs="宋体"/>
          <w:color w:val="auto"/>
          <w:szCs w:val="21"/>
          <w:highlight w:val="none"/>
          <w:u w:val="single"/>
        </w:rPr>
      </w:pPr>
      <w:r>
        <w:rPr>
          <w:rFonts w:hint="eastAsia" w:ascii="宋体" w:hAnsi="宋体" w:cs="宋体"/>
          <w:color w:val="auto"/>
          <w:szCs w:val="21"/>
          <w:highlight w:val="none"/>
        </w:rPr>
        <w:t>关于变更估价的约定</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中已有适用于变更工程的综合单价，按已有的综合单价；（2</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中有类似变更工程的综合单价，可参照</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中类似的综合单价确定；（3</w:t>
      </w:r>
      <w:r>
        <w:rPr>
          <w:rFonts w:hint="eastAsia" w:ascii="宋体" w:hAnsi="宋体" w:cs="宋体"/>
          <w:color w:val="auto"/>
          <w:szCs w:val="21"/>
          <w:highlight w:val="none"/>
          <w:u w:val="single"/>
          <w:lang w:eastAsia="zh-CN"/>
        </w:rPr>
        <w:t>）投标报价（磋商报价）</w:t>
      </w:r>
      <w:r>
        <w:rPr>
          <w:rFonts w:ascii="宋体" w:hAnsi="宋体" w:cs="宋体"/>
          <w:color w:val="auto"/>
          <w:szCs w:val="21"/>
          <w:highlight w:val="none"/>
          <w:u w:val="single"/>
        </w:rPr>
        <w:t>中没有适用或类似于变更工程的综合单价，则有定额的套用定额计算，执行本工程编制招标控制价的参考依据，其中材料价格有信息价的按合同该新增子项实施期间《桂林市建设工程造价信息》</w:t>
      </w:r>
      <w:r>
        <w:rPr>
          <w:rFonts w:hint="eastAsia" w:ascii="宋体" w:hAnsi="宋体" w:cs="宋体"/>
          <w:color w:val="auto"/>
          <w:szCs w:val="21"/>
          <w:highlight w:val="none"/>
          <w:u w:val="single"/>
          <w:lang w:val="en-US" w:eastAsia="zh-CN"/>
        </w:rPr>
        <w:t>灌阳县</w:t>
      </w:r>
      <w:r>
        <w:rPr>
          <w:rFonts w:ascii="宋体" w:hAnsi="宋体" w:cs="宋体"/>
          <w:color w:val="auto"/>
          <w:szCs w:val="21"/>
          <w:highlight w:val="none"/>
          <w:u w:val="single"/>
        </w:rPr>
        <w:t>中的平均价计取（信息价无相关信息的参照信息价中桂林市的平均价），无信息价时按市场价格共同协商初步确定；此类工程结算综合单价=按现行定额计算（管理费、利润取中值）的综合单价×中标下浮系数（中标人的</w:t>
      </w:r>
      <w:r>
        <w:rPr>
          <w:rFonts w:hint="eastAsia" w:ascii="宋体" w:hAnsi="宋体" w:cs="宋体"/>
          <w:color w:val="auto"/>
          <w:szCs w:val="21"/>
          <w:highlight w:val="none"/>
          <w:u w:val="single"/>
          <w:lang w:eastAsia="zh-CN"/>
        </w:rPr>
        <w:t>投标报价（磋商报价）</w:t>
      </w:r>
      <w:r>
        <w:rPr>
          <w:rFonts w:ascii="宋体" w:hAnsi="宋体" w:cs="宋体"/>
          <w:color w:val="auto"/>
          <w:szCs w:val="21"/>
          <w:highlight w:val="none"/>
          <w:u w:val="single"/>
        </w:rPr>
        <w:t>÷经财政部门审核后的预算价），新增项目无定额可套用时，由发包人、承包人及监理三方共同协商初步确定，最终以</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lang w:eastAsia="zh-CN"/>
        </w:rPr>
        <w:t>财政局</w:t>
      </w:r>
      <w:r>
        <w:rPr>
          <w:rFonts w:ascii="宋体" w:hAnsi="宋体" w:cs="宋体"/>
          <w:color w:val="auto"/>
          <w:szCs w:val="21"/>
          <w:highlight w:val="none"/>
          <w:u w:val="single"/>
        </w:rPr>
        <w:t>审定或审计单位审定</w:t>
      </w:r>
      <w:r>
        <w:rPr>
          <w:rFonts w:hint="eastAsia" w:ascii="宋体" w:hAnsi="宋体" w:cs="宋体"/>
          <w:color w:val="auto"/>
          <w:szCs w:val="21"/>
          <w:highlight w:val="none"/>
          <w:u w:val="single"/>
        </w:rPr>
        <w:t>并经发包人及承包人双方确认的金额</w:t>
      </w:r>
      <w:r>
        <w:rPr>
          <w:rFonts w:ascii="宋体" w:hAnsi="宋体" w:cs="宋体"/>
          <w:color w:val="auto"/>
          <w:szCs w:val="21"/>
          <w:highlight w:val="none"/>
          <w:u w:val="single"/>
        </w:rPr>
        <w:t>为准</w:t>
      </w:r>
      <w:r>
        <w:rPr>
          <w:rFonts w:hint="eastAsia" w:ascii="宋体" w:hAnsi="宋体" w:cs="宋体"/>
          <w:color w:val="auto"/>
          <w:szCs w:val="21"/>
          <w:highlight w:val="none"/>
          <w:u w:val="single"/>
        </w:rPr>
        <w:t>。（4）</w:t>
      </w:r>
      <w:r>
        <w:rPr>
          <w:rFonts w:ascii="宋体" w:hAnsi="宋体" w:cs="宋体"/>
          <w:color w:val="auto"/>
          <w:szCs w:val="21"/>
          <w:highlight w:val="none"/>
          <w:u w:val="single"/>
        </w:rPr>
        <w:t>若发包人和监理人认为有关的工作不能以实物工程量的方法计算及估值时，则按以下的方法计算：若工程量清单中有计日工价目表，则以计日工价目表中相应的项目计价；若计日工作价目表中无类似项目，则按三方协商的价格估值。附带条件为，承包人须提交每天用于该项工作的时间的记录、相关工人的姓名及经发包人、监理人复核的所用物料的清单。上述数据须于该项工作执行后的一星期内提交给发包人及监理人</w:t>
      </w:r>
      <w:r>
        <w:rPr>
          <w:rFonts w:hint="eastAsia" w:ascii="宋体" w:hAnsi="宋体" w:cs="宋体"/>
          <w:color w:val="auto"/>
          <w:szCs w:val="21"/>
          <w:highlight w:val="none"/>
          <w:u w:val="single"/>
        </w:rPr>
        <w:t>。（5）暂定价调整方法为：暂定材料价格部分仅调整合同实施期间材料市场价与暂定价之间的材差并计相应的规费和增值税，</w:t>
      </w:r>
      <w:r>
        <w:rPr>
          <w:rFonts w:hint="eastAsia" w:ascii="宋体" w:hAnsi="宋体" w:cs="宋体"/>
          <w:color w:val="auto"/>
          <w:szCs w:val="21"/>
          <w:highlight w:val="none"/>
          <w:u w:val="single"/>
          <w:lang w:eastAsia="zh-CN"/>
        </w:rPr>
        <w:t>投标书（响应文件）</w:t>
      </w:r>
      <w:r>
        <w:rPr>
          <w:rFonts w:hint="eastAsia" w:ascii="宋体" w:hAnsi="宋体" w:cs="宋体"/>
          <w:color w:val="auto"/>
          <w:szCs w:val="21"/>
          <w:highlight w:val="none"/>
          <w:u w:val="single"/>
        </w:rPr>
        <w:t>中相应的综合单价不再调整。专业工程暂估价的确定方法：由承包人申报单价，发包人组织监理人、造价审核机构共同询价确定。如发包人认为材料暂估价及专业工程暂估价需要进行市场询价的，应以询价小组（询价小组由发包人、承包人、监理人组成）调查确认的单价为准。（6）无约定的参照我区现行《建设工程工程量清单计价规范》及配套定额相关规定执行。（7）本工程最终结算以</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lang w:eastAsia="zh-CN"/>
        </w:rPr>
        <w:t>财政局</w:t>
      </w:r>
      <w:r>
        <w:rPr>
          <w:rFonts w:hint="eastAsia" w:ascii="宋体" w:hAnsi="宋体" w:cs="宋体"/>
          <w:color w:val="auto"/>
          <w:szCs w:val="21"/>
          <w:highlight w:val="none"/>
          <w:u w:val="single"/>
        </w:rPr>
        <w:t>或发包人委托的造价咨询机构审定并经发包人及承包人双方确认的金额为准。</w:t>
      </w:r>
    </w:p>
    <w:p w14:paraId="62439E7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35" w:name="_Toc497747222"/>
      <w:bookmarkStart w:id="1136" w:name="_Toc389065309"/>
      <w:bookmarkStart w:id="1137" w:name="_Toc522201771"/>
      <w:bookmarkStart w:id="1138" w:name="_Toc256000222"/>
      <w:bookmarkStart w:id="1139" w:name="_Toc418751840"/>
      <w:bookmarkStart w:id="1140" w:name="_Toc373227743"/>
      <w:bookmarkStart w:id="1141" w:name="_Toc418752286"/>
      <w:bookmarkStart w:id="1142" w:name="_Toc403578978"/>
      <w:bookmarkStart w:id="1143" w:name="_Toc13259"/>
      <w:bookmarkStart w:id="1144" w:name="_Toc373478390"/>
      <w:bookmarkStart w:id="1145" w:name="_Toc418518390"/>
      <w:bookmarkStart w:id="1146" w:name="_Toc418518154"/>
      <w:bookmarkStart w:id="1147" w:name="_Toc497746825"/>
      <w:bookmarkStart w:id="1148" w:name="_Toc418061355"/>
      <w:r>
        <w:rPr>
          <w:rFonts w:hint="eastAsia" w:ascii="宋体" w:cs="宋体"/>
          <w:color w:val="auto"/>
          <w:highlight w:val="none"/>
        </w:rPr>
        <w:t>1</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Start w:id="1149" w:name="_Toc296346698"/>
      <w:bookmarkStart w:id="1150" w:name="_Toc297123544"/>
      <w:bookmarkStart w:id="1151" w:name="_Toc292559402"/>
      <w:bookmarkStart w:id="1152" w:name="_Toc300934993"/>
      <w:bookmarkStart w:id="1153" w:name="_Toc297216203"/>
      <w:bookmarkStart w:id="1154" w:name="_Toc296944536"/>
      <w:bookmarkStart w:id="1155" w:name="_Toc296503197"/>
      <w:bookmarkStart w:id="1156" w:name="_Toc303539150"/>
      <w:bookmarkStart w:id="1157" w:name="_Toc296891025"/>
      <w:bookmarkStart w:id="1158" w:name="_Toc297048383"/>
      <w:bookmarkStart w:id="1159" w:name="_Toc297120497"/>
      <w:bookmarkStart w:id="1160" w:name="_Toc296891237"/>
      <w:bookmarkStart w:id="1161" w:name="_Toc296347196"/>
      <w:bookmarkStart w:id="1162" w:name="_Toc292559907"/>
      <w:bookmarkStart w:id="1163" w:name="_Toc312677503"/>
      <w:bookmarkStart w:id="1164" w:name="_Toc304295570"/>
      <w:bookmarkStart w:id="1165" w:name="_Toc312678029"/>
      <w:r>
        <w:rPr>
          <w:rFonts w:hint="eastAsia" w:ascii="宋体" w:cs="宋体"/>
          <w:color w:val="auto"/>
          <w:highlight w:val="none"/>
        </w:rPr>
        <w:t>0.5 承</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Start w:id="1166" w:name="_Toc297048389"/>
      <w:bookmarkStart w:id="1167" w:name="_Toc296503203"/>
      <w:bookmarkStart w:id="1168" w:name="_Toc296347202"/>
      <w:bookmarkStart w:id="1169" w:name="_Toc297120503"/>
      <w:bookmarkStart w:id="1170" w:name="_Toc303539151"/>
      <w:bookmarkStart w:id="1171" w:name="_Toc296346704"/>
      <w:bookmarkStart w:id="1172" w:name="_Toc296891031"/>
      <w:bookmarkStart w:id="1173" w:name="_Toc292559913"/>
      <w:bookmarkStart w:id="1174" w:name="_Toc296944542"/>
      <w:bookmarkStart w:id="1175" w:name="_Toc300934994"/>
      <w:bookmarkStart w:id="1176" w:name="_Toc297216204"/>
      <w:bookmarkStart w:id="1177" w:name="_Toc297123545"/>
      <w:bookmarkStart w:id="1178" w:name="_Toc292559408"/>
      <w:bookmarkStart w:id="1179" w:name="_Toc296891243"/>
      <w:r>
        <w:rPr>
          <w:rFonts w:hint="eastAsia" w:ascii="宋体" w:cs="宋体"/>
          <w:color w:val="auto"/>
          <w:highlight w:val="none"/>
        </w:rPr>
        <w:t>包人的合理化建议</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14:paraId="06C3F16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监理人审查承包人合理化建议的期限：</w:t>
      </w:r>
      <w:r>
        <w:rPr>
          <w:rFonts w:hint="eastAsia" w:ascii="宋体" w:hAnsi="宋体" w:cs="宋体"/>
          <w:color w:val="auto"/>
          <w:szCs w:val="21"/>
          <w:highlight w:val="none"/>
          <w:u w:val="single"/>
        </w:rPr>
        <w:t>监理人应在收到承包人提交的合理化建议后7天内审查完毕并报送发包人，发现其中存在技术上的缺陷，应通知承包人修改</w:t>
      </w:r>
      <w:r>
        <w:rPr>
          <w:rFonts w:hint="eastAsia" w:ascii="宋体" w:hAnsi="宋体" w:cs="宋体"/>
          <w:color w:val="auto"/>
          <w:szCs w:val="21"/>
          <w:highlight w:val="none"/>
        </w:rPr>
        <w:t>。</w:t>
      </w:r>
    </w:p>
    <w:p w14:paraId="291B82B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发包人应在收到监理人报送的合理化建议后7天内审批完毕</w:t>
      </w:r>
      <w:r>
        <w:rPr>
          <w:rFonts w:hint="eastAsia" w:ascii="宋体" w:hAnsi="宋体" w:cs="宋体"/>
          <w:color w:val="auto"/>
          <w:szCs w:val="21"/>
          <w:highlight w:val="none"/>
        </w:rPr>
        <w:t>。</w:t>
      </w:r>
    </w:p>
    <w:p w14:paraId="4404C66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w:t>
      </w:r>
      <w:bookmarkStart w:id="1180" w:name="_Toc297123546"/>
      <w:bookmarkStart w:id="1181" w:name="_Toc296347203"/>
      <w:bookmarkStart w:id="1182" w:name="_Toc292559409"/>
      <w:bookmarkStart w:id="1183" w:name="_Toc296944543"/>
      <w:bookmarkStart w:id="1184" w:name="_Toc296346705"/>
      <w:bookmarkStart w:id="1185" w:name="_Toc297216205"/>
      <w:bookmarkStart w:id="1186" w:name="_Toc303539152"/>
      <w:bookmarkStart w:id="1187" w:name="_Toc297120504"/>
      <w:bookmarkStart w:id="1188" w:name="_Toc304295571"/>
      <w:bookmarkStart w:id="1189" w:name="_Toc296503204"/>
      <w:bookmarkStart w:id="1190" w:name="_Toc312678030"/>
      <w:bookmarkStart w:id="1191" w:name="_Toc312677504"/>
      <w:bookmarkStart w:id="1192" w:name="_Toc300934995"/>
      <w:bookmarkStart w:id="1193" w:name="_Toc296891244"/>
      <w:bookmarkStart w:id="1194" w:name="_Toc296891032"/>
      <w:bookmarkStart w:id="1195" w:name="_Toc318581175"/>
      <w:bookmarkStart w:id="1196" w:name="_Toc297048390"/>
      <w:bookmarkStart w:id="1197" w:name="_Toc292559914"/>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14:paraId="4DE2A78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98" w:name="_Toc522201772"/>
      <w:bookmarkStart w:id="1199" w:name="_Toc5810"/>
      <w:bookmarkStart w:id="1200" w:name="_Toc418518391"/>
      <w:bookmarkStart w:id="1201" w:name="_Toc418751841"/>
      <w:bookmarkStart w:id="1202" w:name="_Toc418061356"/>
      <w:bookmarkStart w:id="1203" w:name="_Toc497747223"/>
      <w:bookmarkStart w:id="1204" w:name="_Toc389065310"/>
      <w:bookmarkStart w:id="1205" w:name="_Toc373227744"/>
      <w:bookmarkStart w:id="1206" w:name="_Toc418752287"/>
      <w:bookmarkStart w:id="1207" w:name="_Toc418518155"/>
      <w:bookmarkStart w:id="1208" w:name="_Toc497746826"/>
      <w:bookmarkStart w:id="1209" w:name="_Toc403578979"/>
      <w:bookmarkStart w:id="1210" w:name="_Toc256000223"/>
      <w:bookmarkStart w:id="1211" w:name="_Toc373478391"/>
      <w:r>
        <w:rPr>
          <w:rFonts w:hint="eastAsia" w:ascii="宋体" w:cs="宋体"/>
          <w:color w:val="auto"/>
          <w:highlight w:val="none"/>
        </w:rPr>
        <w:t>1</w:t>
      </w:r>
      <w:bookmarkStart w:id="1212" w:name="_Toc292559909"/>
      <w:bookmarkStart w:id="1213" w:name="_Toc292559404"/>
      <w:bookmarkStart w:id="1214" w:name="_Toc296944538"/>
      <w:bookmarkStart w:id="1215" w:name="_Toc312678033"/>
      <w:bookmarkStart w:id="1216" w:name="_Toc296346700"/>
      <w:bookmarkStart w:id="1217" w:name="_Toc300934997"/>
      <w:bookmarkStart w:id="1218" w:name="_Toc303539154"/>
      <w:bookmarkStart w:id="1219" w:name="_Toc297216207"/>
      <w:bookmarkStart w:id="1220" w:name="_Toc304295574"/>
      <w:bookmarkStart w:id="1221" w:name="_Toc296891239"/>
      <w:bookmarkStart w:id="1222" w:name="_Toc297123548"/>
      <w:bookmarkStart w:id="1223" w:name="_Toc296347198"/>
      <w:bookmarkStart w:id="1224" w:name="_Toc296891027"/>
      <w:bookmarkStart w:id="1225" w:name="_Toc296503199"/>
      <w:bookmarkStart w:id="1226" w:name="_Toc297048385"/>
      <w:bookmarkStart w:id="1227" w:name="_Toc297120499"/>
      <w:bookmarkStart w:id="1228" w:name="_Toc312677507"/>
      <w:r>
        <w:rPr>
          <w:rFonts w:hint="eastAsia" w:ascii="宋体" w:cs="宋体"/>
          <w:color w:val="auto"/>
          <w:highlight w:val="none"/>
        </w:rPr>
        <w:t>0.7 暂估价</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14:paraId="703439F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暂</w:t>
      </w:r>
      <w:bookmarkStart w:id="1229" w:name="_Toc312677508"/>
      <w:bookmarkStart w:id="1230" w:name="_Toc312678034"/>
      <w:bookmarkStart w:id="1231" w:name="_Toc318581176"/>
      <w:r>
        <w:rPr>
          <w:rFonts w:hint="eastAsia" w:ascii="宋体" w:hAnsi="宋体" w:cs="宋体"/>
          <w:color w:val="auto"/>
          <w:kern w:val="0"/>
          <w:szCs w:val="21"/>
          <w:highlight w:val="none"/>
        </w:rPr>
        <w:t>估价材料和工程设备的明细详见已标价工程量清单《</w:t>
      </w:r>
      <w:r>
        <w:rPr>
          <w:rFonts w:hint="eastAsia" w:ascii="宋体" w:hAnsi="宋体" w:cs="宋体"/>
          <w:color w:val="auto"/>
          <w:szCs w:val="21"/>
          <w:highlight w:val="none"/>
        </w:rPr>
        <w:t>材料（工程设备）暂估价格及调整表》</w:t>
      </w:r>
      <w:r>
        <w:rPr>
          <w:rFonts w:hint="eastAsia" w:ascii="宋体" w:hAnsi="宋体" w:cs="宋体"/>
          <w:color w:val="auto"/>
          <w:kern w:val="0"/>
          <w:szCs w:val="21"/>
          <w:highlight w:val="none"/>
        </w:rPr>
        <w:t>（表12-2）和《</w:t>
      </w:r>
      <w:r>
        <w:rPr>
          <w:rFonts w:hint="eastAsia" w:ascii="宋体" w:hAnsi="宋体" w:cs="宋体"/>
          <w:color w:val="auto"/>
          <w:szCs w:val="21"/>
          <w:highlight w:val="none"/>
        </w:rPr>
        <w:t>专业工程暂估价表》（</w:t>
      </w:r>
      <w:r>
        <w:rPr>
          <w:rFonts w:hint="eastAsia" w:ascii="宋体" w:hAnsi="宋体" w:cs="宋体"/>
          <w:color w:val="auto"/>
          <w:kern w:val="0"/>
          <w:szCs w:val="21"/>
          <w:highlight w:val="none"/>
        </w:rPr>
        <w:t>表12-3）。</w:t>
      </w:r>
    </w:p>
    <w:bookmarkEnd w:id="1229"/>
    <w:bookmarkEnd w:id="1230"/>
    <w:bookmarkEnd w:id="1231"/>
    <w:p w14:paraId="787C894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Start w:id="1232" w:name="_Toc318581177"/>
      <w:bookmarkStart w:id="1233" w:name="_Toc312677509"/>
      <w:bookmarkStart w:id="1234" w:name="_Toc312678035"/>
      <w:r>
        <w:rPr>
          <w:rFonts w:hint="eastAsia" w:ascii="宋体" w:hAnsi="宋体" w:cs="宋体"/>
          <w:color w:val="auto"/>
          <w:szCs w:val="21"/>
          <w:highlight w:val="none"/>
        </w:rPr>
        <w:t>0.7.1 依法必须招标的暂估价项目</w:t>
      </w:r>
    </w:p>
    <w:bookmarkEnd w:id="1232"/>
    <w:bookmarkEnd w:id="1233"/>
    <w:bookmarkEnd w:id="1234"/>
    <w:p w14:paraId="38371EB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种方式确定。</w:t>
      </w:r>
    </w:p>
    <w:p w14:paraId="69DB587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10.7.2 不属于依法必须招标的暂估价项目</w:t>
      </w:r>
    </w:p>
    <w:p w14:paraId="4B64BD4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对于不属于依法必须招标的暂估价项目的确认和批准采取第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种方式确定。</w:t>
      </w:r>
    </w:p>
    <w:p w14:paraId="23EED78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kern w:val="0"/>
          <w:szCs w:val="21"/>
          <w:highlight w:val="none"/>
        </w:rPr>
        <w:t>承包人直接实施的暂估价项目</w:t>
      </w:r>
    </w:p>
    <w:p w14:paraId="61A5E43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承包人直接实施的暂估价项目的约定：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5D5235C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235" w:name="_Toc522201773"/>
      <w:bookmarkStart w:id="1236" w:name="_Toc389065311"/>
      <w:bookmarkStart w:id="1237" w:name="_Toc497746827"/>
      <w:bookmarkStart w:id="1238" w:name="_Toc373478392"/>
      <w:bookmarkStart w:id="1239" w:name="_Toc418752288"/>
      <w:bookmarkStart w:id="1240" w:name="_Toc418518156"/>
      <w:bookmarkStart w:id="1241" w:name="_Toc9852"/>
      <w:bookmarkStart w:id="1242" w:name="_Toc497747224"/>
      <w:bookmarkStart w:id="1243" w:name="_Toc418518392"/>
      <w:bookmarkStart w:id="1244" w:name="_Toc373227745"/>
      <w:bookmarkStart w:id="1245" w:name="_Toc418061357"/>
      <w:bookmarkStart w:id="1246" w:name="_Toc418751842"/>
      <w:bookmarkStart w:id="1247" w:name="_Toc403578980"/>
      <w:bookmarkStart w:id="1248" w:name="_Toc256000224"/>
      <w:r>
        <w:rPr>
          <w:rFonts w:hint="eastAsia" w:ascii="宋体" w:cs="宋体"/>
          <w:color w:val="auto"/>
          <w:highlight w:val="none"/>
        </w:rPr>
        <w:t>10.8 暂列金额</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14:paraId="2A09062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合同当事人关于暂列金额使用的约定：</w:t>
      </w:r>
      <w:r>
        <w:rPr>
          <w:rFonts w:hint="eastAsia" w:ascii="宋体" w:hAnsi="宋体" w:cs="宋体"/>
          <w:color w:val="auto"/>
          <w:szCs w:val="21"/>
          <w:highlight w:val="none"/>
          <w:u w:val="single"/>
        </w:rPr>
        <w:t xml:space="preserve">（1）已签约合同价中的暂列金额由发包人掌握使用。（2）发包人按照规定所作支付后，暂列金额如有余额归发包人 </w:t>
      </w:r>
      <w:r>
        <w:rPr>
          <w:rFonts w:hint="eastAsia" w:ascii="宋体" w:hAnsi="宋体" w:cs="宋体"/>
          <w:color w:val="auto"/>
          <w:kern w:val="0"/>
          <w:szCs w:val="21"/>
          <w:highlight w:val="none"/>
        </w:rPr>
        <w:t>。</w:t>
      </w:r>
    </w:p>
    <w:p w14:paraId="4D9FFC23">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249" w:name="_Toc373227746"/>
      <w:bookmarkStart w:id="1250" w:name="_Toc418752289"/>
      <w:bookmarkStart w:id="1251" w:name="_Toc522201774"/>
      <w:bookmarkStart w:id="1252" w:name="_Toc351203643"/>
      <w:bookmarkStart w:id="1253" w:name="_Toc418518393"/>
      <w:bookmarkStart w:id="1254" w:name="_Toc418518157"/>
      <w:bookmarkStart w:id="1255" w:name="_Toc256000225"/>
      <w:bookmarkStart w:id="1256" w:name="_Toc497746828"/>
      <w:bookmarkStart w:id="1257" w:name="_Toc418751843"/>
      <w:bookmarkStart w:id="1258" w:name="_Toc373478393"/>
      <w:bookmarkStart w:id="1259" w:name="_Toc403578981"/>
      <w:bookmarkStart w:id="1260" w:name="_Toc497747225"/>
      <w:bookmarkStart w:id="1261" w:name="_Toc418061358"/>
      <w:bookmarkStart w:id="1262" w:name="_Toc12497"/>
      <w:bookmarkStart w:id="1263" w:name="_Toc389065312"/>
      <w:r>
        <w:rPr>
          <w:rFonts w:hint="eastAsia" w:ascii="宋体" w:cs="宋体"/>
          <w:color w:val="auto"/>
          <w:highlight w:val="none"/>
        </w:rPr>
        <w:t>11</w:t>
      </w:r>
      <w:r>
        <w:rPr>
          <w:rFonts w:hint="eastAsia" w:ascii="宋体" w:hAnsi="宋体" w:eastAsia="宋体" w:cs="宋体"/>
          <w:color w:val="auto"/>
          <w:highlight w:val="none"/>
        </w:rPr>
        <w:t xml:space="preserve">. </w:t>
      </w:r>
      <w:r>
        <w:rPr>
          <w:rFonts w:hint="eastAsia" w:ascii="宋体" w:cs="宋体"/>
          <w:color w:val="auto"/>
          <w:highlight w:val="none"/>
        </w:rPr>
        <w:t>价格调整</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14:paraId="7610572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264" w:name="_Toc373227747"/>
      <w:bookmarkStart w:id="1265" w:name="_Toc418752290"/>
      <w:bookmarkStart w:id="1266" w:name="_Toc256000226"/>
      <w:bookmarkStart w:id="1267" w:name="_Toc418061359"/>
      <w:bookmarkStart w:id="1268" w:name="_Toc31528"/>
      <w:bookmarkStart w:id="1269" w:name="_Toc418751844"/>
      <w:bookmarkStart w:id="1270" w:name="_Toc497747226"/>
      <w:bookmarkStart w:id="1271" w:name="_Toc497746829"/>
      <w:bookmarkStart w:id="1272" w:name="_Toc418518158"/>
      <w:bookmarkStart w:id="1273" w:name="_Toc373478394"/>
      <w:bookmarkStart w:id="1274" w:name="_Toc389065313"/>
      <w:bookmarkStart w:id="1275" w:name="_Toc522201775"/>
      <w:bookmarkStart w:id="1276" w:name="_Toc418518394"/>
      <w:bookmarkStart w:id="1277" w:name="_Toc403578982"/>
      <w:bookmarkStart w:id="1278" w:name="_Toc292559406"/>
      <w:bookmarkStart w:id="1279" w:name="_Toc300935000"/>
      <w:bookmarkStart w:id="1280" w:name="_Toc296346702"/>
      <w:bookmarkStart w:id="1281" w:name="_Toc296891029"/>
      <w:bookmarkStart w:id="1282" w:name="_Toc296503201"/>
      <w:bookmarkStart w:id="1283" w:name="_Toc297048387"/>
      <w:bookmarkStart w:id="1284" w:name="_Toc312678039"/>
      <w:bookmarkStart w:id="1285" w:name="_Toc304295577"/>
      <w:bookmarkStart w:id="1286" w:name="_Toc296347200"/>
      <w:bookmarkStart w:id="1287" w:name="_Toc296944540"/>
      <w:bookmarkStart w:id="1288" w:name="_Toc297216209"/>
      <w:bookmarkStart w:id="1289" w:name="_Toc297120501"/>
      <w:bookmarkStart w:id="1290" w:name="_Toc296891241"/>
      <w:bookmarkStart w:id="1291" w:name="_Toc297123550"/>
      <w:bookmarkStart w:id="1292" w:name="_Toc292559911"/>
      <w:bookmarkStart w:id="1293" w:name="_Toc303539157"/>
      <w:r>
        <w:rPr>
          <w:rFonts w:hint="eastAsia" w:ascii="宋体" w:cs="宋体"/>
          <w:color w:val="auto"/>
          <w:highlight w:val="none"/>
        </w:rPr>
        <w:t>11.1 市场价格波动引起的调整</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14:paraId="2521B0E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不</w:t>
      </w:r>
      <w:r>
        <w:rPr>
          <w:rFonts w:hint="eastAsia" w:ascii="宋体" w:hAnsi="宋体" w:cs="宋体"/>
          <w:color w:val="auto"/>
          <w:szCs w:val="21"/>
          <w:highlight w:val="none"/>
          <w:u w:val="single"/>
        </w:rPr>
        <w:t xml:space="preserve">调整 </w:t>
      </w:r>
      <w:r>
        <w:rPr>
          <w:rFonts w:hint="eastAsia" w:ascii="宋体" w:hAnsi="宋体" w:cs="宋体"/>
          <w:color w:val="auto"/>
          <w:szCs w:val="21"/>
          <w:highlight w:val="none"/>
        </w:rPr>
        <w:t>。</w:t>
      </w:r>
    </w:p>
    <w:p w14:paraId="75E14A0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因市场价格波动调整合同价格，采用以下第</w:t>
      </w:r>
      <w:r>
        <w:rPr>
          <w:rFonts w:hint="eastAsia" w:ascii="宋体" w:hAnsi="宋体" w:cs="宋体"/>
          <w:color w:val="auto"/>
          <w:szCs w:val="21"/>
          <w:highlight w:val="none"/>
          <w:u w:val="single"/>
          <w:lang w:val="en-US" w:eastAsia="zh-CN"/>
        </w:rPr>
        <w:t xml:space="preserve"> / </w:t>
      </w:r>
      <w:r>
        <w:rPr>
          <w:rFonts w:hint="eastAsia" w:ascii="宋体" w:hAnsi="宋体" w:cs="宋体"/>
          <w:color w:val="auto"/>
          <w:szCs w:val="21"/>
          <w:highlight w:val="none"/>
        </w:rPr>
        <w:t>种方式对合同价格进行调整：</w:t>
      </w:r>
    </w:p>
    <w:p w14:paraId="4376892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14:paraId="002D410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关于各可调因子、定值和变值权重，以及基本价格指数及其来源的约定：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0B5FF3C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14:paraId="21D69FDF">
      <w:pPr>
        <w:pStyle w:val="21"/>
        <w:keepNext w:val="0"/>
        <w:keepLines w:val="0"/>
        <w:pageBreakBefore w:val="0"/>
        <w:widowControl w:val="0"/>
        <w:wordWrap/>
        <w:topLinePunct w:val="0"/>
        <w:bidi w:val="0"/>
        <w:spacing w:line="38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 xml:space="preserve">（1）关于基准价格的约定： </w:t>
      </w:r>
      <w:r>
        <w:rPr>
          <w:rFonts w:hint="eastAsia" w:ascii="宋体" w:hAnsi="宋体" w:cs="宋体"/>
          <w:color w:val="auto"/>
          <w:szCs w:val="21"/>
          <w:highlight w:val="none"/>
          <w:u w:val="single"/>
        </w:rPr>
        <w:t>按施工期间</w:t>
      </w:r>
      <w:r>
        <w:rPr>
          <w:rFonts w:hint="eastAsia" w:ascii="宋体" w:hAnsi="宋体"/>
          <w:color w:val="auto"/>
          <w:szCs w:val="21"/>
          <w:highlight w:val="none"/>
          <w:u w:val="single"/>
        </w:rPr>
        <w:t>《桂林市建设工程造价信息》</w:t>
      </w:r>
      <w:r>
        <w:rPr>
          <w:rFonts w:hint="eastAsia" w:ascii="宋体" w:hAnsi="宋体"/>
          <w:color w:val="auto"/>
          <w:szCs w:val="21"/>
          <w:highlight w:val="none"/>
          <w:u w:val="single"/>
          <w:lang w:val="en-US" w:eastAsia="zh-CN"/>
        </w:rPr>
        <w:t>中灌阳县的信息价</w:t>
      </w:r>
      <w:r>
        <w:rPr>
          <w:rFonts w:hint="eastAsia" w:ascii="宋体" w:hAnsi="宋体"/>
          <w:color w:val="auto"/>
          <w:szCs w:val="21"/>
          <w:highlight w:val="none"/>
          <w:u w:val="single"/>
        </w:rPr>
        <w:t>。</w:t>
      </w:r>
    </w:p>
    <w:p w14:paraId="4E28925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eastAsia="zh-CN"/>
        </w:rPr>
        <w:t>投标人（供应商）</w:t>
      </w:r>
      <w:r>
        <w:rPr>
          <w:rFonts w:hint="eastAsia" w:ascii="宋体" w:hAnsi="宋体" w:cs="宋体"/>
          <w:color w:val="auto"/>
          <w:kern w:val="0"/>
          <w:szCs w:val="21"/>
          <w:highlight w:val="none"/>
        </w:rPr>
        <w:t>应根据施工期间材料可能由于市场价格上涨（或下跌）因素自行考虑由此引起的风险并计入</w:t>
      </w:r>
      <w:r>
        <w:rPr>
          <w:rFonts w:hint="eastAsia" w:ascii="宋体" w:hAnsi="宋体" w:cs="宋体"/>
          <w:color w:val="auto"/>
          <w:kern w:val="0"/>
          <w:szCs w:val="21"/>
          <w:highlight w:val="none"/>
          <w:lang w:eastAsia="zh-CN"/>
        </w:rPr>
        <w:t>投标报价（磋商报价）</w:t>
      </w:r>
      <w:r>
        <w:rPr>
          <w:rFonts w:hint="eastAsia" w:ascii="宋体" w:hAnsi="宋体" w:cs="宋体"/>
          <w:color w:val="auto"/>
          <w:kern w:val="0"/>
          <w:szCs w:val="21"/>
          <w:highlight w:val="none"/>
        </w:rPr>
        <w:t>中，</w:t>
      </w:r>
      <w:r>
        <w:rPr>
          <w:rFonts w:hint="eastAsia" w:ascii="宋体" w:hAnsi="宋体" w:cs="宋体"/>
          <w:color w:val="auto"/>
          <w:kern w:val="0"/>
          <w:szCs w:val="21"/>
          <w:highlight w:val="none"/>
          <w:lang w:eastAsia="zh-CN"/>
        </w:rPr>
        <w:t>投标人（供应商）</w:t>
      </w:r>
      <w:r>
        <w:rPr>
          <w:rFonts w:hint="eastAsia" w:ascii="宋体" w:hAnsi="宋体" w:cs="宋体"/>
          <w:color w:val="auto"/>
          <w:kern w:val="0"/>
          <w:szCs w:val="21"/>
          <w:highlight w:val="none"/>
        </w:rPr>
        <w:t>应对自己的报价承担风险，除本合同约定的钢筋、水泥、商品混凝土、沥青混凝土、碎石、砂、片石、沥青、管材、石材、土方（含购土与弃土）等项材料价格可做调整外，其余材料价格不作调整。</w:t>
      </w:r>
    </w:p>
    <w:p w14:paraId="62B9ED1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①承包人在已标价工程量清单或预算书中载明的材料单价低于基准价格的，合同履行期间材料单价涨幅以基准价格为基础超过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%时，或材料单价跌幅以已标价工程量清单或预算书中载明材料单价为基础超过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%时，其超过部分据实调整。</w:t>
      </w:r>
    </w:p>
    <w:p w14:paraId="397E60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②承包人在已标价工程量清单或预算书中载明的材料单价高于基准价格的：专用合同条款合同履行期间材料单价跌幅以基准价格为基础超过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%时，材料单价涨幅以已标价工程量清单或预算书中载明材料单价为基础超过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%时，其超过部分据实调整。</w:t>
      </w:r>
    </w:p>
    <w:p w14:paraId="6D5E804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szCs w:val="21"/>
          <w:highlight w:val="none"/>
          <w:lang w:eastAsia="zh-CN"/>
        </w:rPr>
        <w:t>5</w:t>
      </w:r>
      <w:r>
        <w:rPr>
          <w:rFonts w:hint="eastAsia" w:ascii="宋体" w:hAnsi="宋体" w:cs="宋体"/>
          <w:color w:val="auto"/>
          <w:szCs w:val="21"/>
          <w:highlight w:val="none"/>
        </w:rPr>
        <w:t>%时，其超过部分据实调整。</w:t>
      </w:r>
    </w:p>
    <w:p w14:paraId="5102D3E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④除专用合同约定的钢筋、水泥、商品混凝土、沥青混凝土、碎石、砂、片石、沥青、管材、石材、土方</w:t>
      </w:r>
      <w:r>
        <w:rPr>
          <w:rFonts w:hint="eastAsia" w:ascii="宋体" w:hAnsi="宋体" w:cs="宋体"/>
          <w:color w:val="auto"/>
          <w:kern w:val="0"/>
          <w:szCs w:val="21"/>
          <w:highlight w:val="none"/>
        </w:rPr>
        <w:t>（含购土与弃土）</w:t>
      </w:r>
      <w:r>
        <w:rPr>
          <w:rFonts w:hint="eastAsia" w:ascii="宋体" w:hAnsi="宋体" w:cs="宋体"/>
          <w:color w:val="auto"/>
          <w:szCs w:val="21"/>
          <w:highlight w:val="none"/>
        </w:rPr>
        <w:t>等项材料外，其余材料价格不做调整。调整方法：钢筋、水泥、商品混凝土、沥青混凝土、碎石、砂、片石、沥青、管材、石材、土方</w:t>
      </w:r>
      <w:r>
        <w:rPr>
          <w:rFonts w:hint="eastAsia" w:ascii="宋体" w:hAnsi="宋体" w:cs="宋体"/>
          <w:color w:val="auto"/>
          <w:kern w:val="0"/>
          <w:szCs w:val="21"/>
          <w:highlight w:val="none"/>
        </w:rPr>
        <w:t>（含购土与弃土）</w:t>
      </w:r>
      <w:r>
        <w:rPr>
          <w:rFonts w:hint="eastAsia" w:ascii="宋体" w:hAnsi="宋体" w:cs="宋体"/>
          <w:color w:val="auto"/>
          <w:szCs w:val="21"/>
          <w:highlight w:val="none"/>
        </w:rPr>
        <w:t>价格超过部分×中标下浮系数（中标人的</w:t>
      </w:r>
      <w:r>
        <w:rPr>
          <w:rFonts w:hint="eastAsia" w:ascii="宋体" w:hAnsi="宋体" w:cs="宋体"/>
          <w:color w:val="auto"/>
          <w:szCs w:val="21"/>
          <w:highlight w:val="none"/>
          <w:lang w:eastAsia="zh-CN"/>
        </w:rPr>
        <w:t>投标报价（磋商报价）</w:t>
      </w:r>
      <w:r>
        <w:rPr>
          <w:rFonts w:hint="eastAsia" w:ascii="宋体" w:hAnsi="宋体" w:cs="宋体"/>
          <w:color w:val="auto"/>
          <w:szCs w:val="21"/>
          <w:highlight w:val="none"/>
        </w:rPr>
        <w:t>÷预算价），该部分费用列入税前独立费。</w:t>
      </w:r>
    </w:p>
    <w:p w14:paraId="55FEB2D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在工程施工期间，国家及地区如有新的人工费调整政策文件出台，可按国家及地区相关文件进行人工费调差。</w:t>
      </w:r>
    </w:p>
    <w:p w14:paraId="04960C0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szCs w:val="21"/>
          <w:highlight w:val="none"/>
          <w:u w:val="single"/>
        </w:rPr>
        <w:t xml:space="preserve"> 由业主单位、监理单位施工单位面向市场询价，并经三方对暂估价材料价格的确认，确定材料价格。 </w:t>
      </w:r>
    </w:p>
    <w:bookmarkEnd w:id="1076"/>
    <w:bookmarkEnd w:id="1077"/>
    <w:bookmarkEnd w:id="1078"/>
    <w:bookmarkEnd w:id="1079"/>
    <w:bookmarkEnd w:id="1080"/>
    <w:bookmarkEnd w:id="1081"/>
    <w:p w14:paraId="4D6A890C">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294" w:name="_Toc292559915"/>
      <w:bookmarkStart w:id="1295" w:name="_Toc296891033"/>
      <w:bookmarkStart w:id="1296" w:name="_Toc292559410"/>
      <w:bookmarkStart w:id="1297" w:name="_Toc296891245"/>
      <w:bookmarkStart w:id="1298" w:name="_Toc296944544"/>
      <w:bookmarkStart w:id="1299" w:name="_Toc296346706"/>
      <w:bookmarkStart w:id="1300" w:name="_Toc296503205"/>
      <w:bookmarkStart w:id="1301" w:name="_Toc297120505"/>
      <w:bookmarkStart w:id="1302" w:name="_Toc296347204"/>
      <w:bookmarkStart w:id="1303" w:name="_Toc297048391"/>
      <w:bookmarkStart w:id="1304" w:name="_Toc522201776"/>
      <w:bookmarkStart w:id="1305" w:name="_Toc497746830"/>
      <w:bookmarkStart w:id="1306" w:name="_Toc403578983"/>
      <w:bookmarkStart w:id="1307" w:name="_Toc256000227"/>
      <w:bookmarkStart w:id="1308" w:name="_Toc23758"/>
      <w:bookmarkStart w:id="1309" w:name="_Toc373227748"/>
      <w:bookmarkStart w:id="1310" w:name="_Toc351203644"/>
      <w:bookmarkStart w:id="1311" w:name="_Toc418518395"/>
      <w:bookmarkStart w:id="1312" w:name="_Toc497747227"/>
      <w:bookmarkStart w:id="1313" w:name="_Toc418518159"/>
      <w:bookmarkStart w:id="1314" w:name="_Toc373478395"/>
      <w:bookmarkStart w:id="1315" w:name="_Toc418061360"/>
      <w:bookmarkStart w:id="1316" w:name="_Toc418751845"/>
      <w:bookmarkStart w:id="1317" w:name="_Toc418752291"/>
      <w:bookmarkStart w:id="1318" w:name="_Toc300935002"/>
      <w:bookmarkStart w:id="1319" w:name="_Toc297123552"/>
      <w:bookmarkStart w:id="1320" w:name="_Toc304295579"/>
      <w:bookmarkStart w:id="1321" w:name="_Toc303539159"/>
      <w:bookmarkStart w:id="1322" w:name="_Toc297216211"/>
      <w:bookmarkStart w:id="1323" w:name="_Toc312678040"/>
      <w:r>
        <w:rPr>
          <w:rFonts w:hint="eastAsia" w:ascii="宋体" w:cs="宋体"/>
          <w:color w:val="auto"/>
          <w:highlight w:val="none"/>
        </w:rPr>
        <w:t>12</w:t>
      </w:r>
      <w:r>
        <w:rPr>
          <w:rFonts w:hint="eastAsia" w:ascii="宋体" w:hAnsi="宋体" w:eastAsia="宋体" w:cs="宋体"/>
          <w:color w:val="auto"/>
          <w:highlight w:val="none"/>
        </w:rPr>
        <w:t xml:space="preserve">. </w:t>
      </w:r>
      <w:bookmarkEnd w:id="1294"/>
      <w:bookmarkEnd w:id="1295"/>
      <w:bookmarkEnd w:id="1296"/>
      <w:bookmarkEnd w:id="1297"/>
      <w:bookmarkEnd w:id="1298"/>
      <w:bookmarkEnd w:id="1299"/>
      <w:bookmarkEnd w:id="1300"/>
      <w:bookmarkEnd w:id="1301"/>
      <w:bookmarkEnd w:id="1302"/>
      <w:bookmarkEnd w:id="1303"/>
      <w:r>
        <w:rPr>
          <w:rFonts w:hint="eastAsia" w:ascii="宋体" w:cs="宋体"/>
          <w:color w:val="auto"/>
          <w:highlight w:val="none"/>
        </w:rPr>
        <w:t>合同价格、计量与支付</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bookmarkEnd w:id="1318"/>
    <w:bookmarkEnd w:id="1319"/>
    <w:bookmarkEnd w:id="1320"/>
    <w:bookmarkEnd w:id="1321"/>
    <w:bookmarkEnd w:id="1322"/>
    <w:bookmarkEnd w:id="1323"/>
    <w:p w14:paraId="71A83A08">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324" w:name="_Toc292559411"/>
      <w:bookmarkStart w:id="1325" w:name="_Toc292559916"/>
      <w:bookmarkStart w:id="1326" w:name="_Toc267251461"/>
      <w:bookmarkStart w:id="1327" w:name="_Toc297048392"/>
      <w:bookmarkStart w:id="1328" w:name="_Toc296891246"/>
      <w:bookmarkStart w:id="1329" w:name="_Toc296347205"/>
      <w:bookmarkStart w:id="1330" w:name="_Toc296891034"/>
      <w:bookmarkStart w:id="1331" w:name="_Toc296346707"/>
      <w:bookmarkStart w:id="1332" w:name="_Toc297120506"/>
      <w:bookmarkStart w:id="1333" w:name="_Toc296944545"/>
      <w:bookmarkStart w:id="1334" w:name="_Toc296503206"/>
      <w:bookmarkStart w:id="1335" w:name="_Toc403578984"/>
      <w:bookmarkStart w:id="1336" w:name="_Toc418751846"/>
      <w:bookmarkStart w:id="1337" w:name="_Toc373227749"/>
      <w:bookmarkStart w:id="1338" w:name="_Toc522201777"/>
      <w:bookmarkStart w:id="1339" w:name="_Toc497747228"/>
      <w:bookmarkStart w:id="1340" w:name="_Toc16333"/>
      <w:bookmarkStart w:id="1341" w:name="_Toc256000228"/>
      <w:bookmarkStart w:id="1342" w:name="_Toc418061361"/>
      <w:bookmarkStart w:id="1343" w:name="_Toc418752292"/>
      <w:bookmarkStart w:id="1344" w:name="_Toc373478396"/>
      <w:bookmarkStart w:id="1345" w:name="_Toc418518160"/>
      <w:bookmarkStart w:id="1346" w:name="_Toc497746831"/>
      <w:bookmarkStart w:id="1347" w:name="_Toc389065314"/>
      <w:bookmarkStart w:id="1348" w:name="_Toc418518396"/>
      <w:bookmarkStart w:id="1349" w:name="_Toc304295580"/>
      <w:bookmarkStart w:id="1350" w:name="_Toc312678041"/>
      <w:bookmarkStart w:id="1351" w:name="_Toc297216212"/>
      <w:bookmarkStart w:id="1352" w:name="_Toc300935003"/>
      <w:bookmarkStart w:id="1353" w:name="_Toc303539160"/>
      <w:bookmarkStart w:id="1354" w:name="_Toc297123553"/>
      <w:r>
        <w:rPr>
          <w:rFonts w:hint="eastAsia" w:ascii="宋体" w:cs="宋体"/>
          <w:color w:val="auto"/>
          <w:highlight w:val="none"/>
        </w:rPr>
        <w:t>12.1 合</w:t>
      </w:r>
      <w:bookmarkEnd w:id="1324"/>
      <w:bookmarkEnd w:id="1325"/>
      <w:bookmarkEnd w:id="1326"/>
      <w:r>
        <w:rPr>
          <w:rFonts w:hint="eastAsia" w:ascii="宋体" w:cs="宋体"/>
          <w:color w:val="auto"/>
          <w:highlight w:val="none"/>
        </w:rPr>
        <w:t>同价</w:t>
      </w:r>
      <w:bookmarkEnd w:id="1327"/>
      <w:bookmarkEnd w:id="1328"/>
      <w:bookmarkEnd w:id="1329"/>
      <w:bookmarkEnd w:id="1330"/>
      <w:bookmarkEnd w:id="1331"/>
      <w:bookmarkEnd w:id="1332"/>
      <w:bookmarkEnd w:id="1333"/>
      <w:bookmarkEnd w:id="1334"/>
      <w:r>
        <w:rPr>
          <w:rFonts w:hint="eastAsia" w:ascii="宋体" w:cs="宋体"/>
          <w:color w:val="auto"/>
          <w:highlight w:val="none"/>
        </w:rPr>
        <w:t>格形式</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bookmarkEnd w:id="1349"/>
    <w:bookmarkEnd w:id="1350"/>
    <w:bookmarkEnd w:id="1351"/>
    <w:bookmarkEnd w:id="1352"/>
    <w:bookmarkEnd w:id="1353"/>
    <w:bookmarkEnd w:id="1354"/>
    <w:p w14:paraId="7F2F3F6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355" w:name="_Toc373478397"/>
      <w:bookmarkStart w:id="1356" w:name="_Toc389065315"/>
      <w:bookmarkStart w:id="1357" w:name="_Toc373227750"/>
      <w:bookmarkStart w:id="1358" w:name="_Toc303539161"/>
      <w:bookmarkStart w:id="1359" w:name="_Toc297216213"/>
      <w:bookmarkStart w:id="1360" w:name="_Toc304295581"/>
      <w:bookmarkStart w:id="1361" w:name="_Toc312678042"/>
      <w:bookmarkStart w:id="1362" w:name="_Toc297123554"/>
      <w:bookmarkStart w:id="1363" w:name="_Toc300935004"/>
      <w:bookmarkStart w:id="1364" w:name="_Toc296347206"/>
      <w:bookmarkStart w:id="1365" w:name="_Toc296346708"/>
      <w:bookmarkStart w:id="1366" w:name="_Toc296503207"/>
      <w:bookmarkStart w:id="1367" w:name="_Toc297048393"/>
      <w:bookmarkStart w:id="1368" w:name="_Toc292559917"/>
      <w:bookmarkStart w:id="1369" w:name="_Toc292559412"/>
      <w:bookmarkStart w:id="1370" w:name="_Toc297120507"/>
      <w:bookmarkStart w:id="1371" w:name="_Toc296944546"/>
      <w:bookmarkStart w:id="1372" w:name="_Toc296891035"/>
      <w:bookmarkStart w:id="1373" w:name="_Toc296891247"/>
      <w:r>
        <w:rPr>
          <w:rFonts w:hint="eastAsia" w:ascii="宋体" w:hAnsi="宋体" w:cs="宋体"/>
          <w:color w:val="auto"/>
          <w:szCs w:val="21"/>
          <w:highlight w:val="none"/>
        </w:rPr>
        <w:t>（1）单价合同。</w:t>
      </w:r>
    </w:p>
    <w:p w14:paraId="4E980F9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本合同价款采用</w:t>
      </w:r>
      <w:r>
        <w:rPr>
          <w:rFonts w:hint="eastAsia" w:ascii="宋体" w:hAnsi="宋体" w:cs="宋体"/>
          <w:color w:val="auto"/>
          <w:szCs w:val="21"/>
          <w:highlight w:val="none"/>
          <w:u w:val="single"/>
        </w:rPr>
        <w:t>固定综合单价</w:t>
      </w:r>
      <w:r>
        <w:rPr>
          <w:rFonts w:hint="eastAsia" w:ascii="宋体" w:hAnsi="宋体" w:cs="宋体"/>
          <w:color w:val="auto"/>
          <w:szCs w:val="21"/>
          <w:highlight w:val="none"/>
          <w:u w:val="single"/>
          <w:lang w:eastAsia="zh-CN"/>
        </w:rPr>
        <w:t>，工程量按实计算的方式</w:t>
      </w:r>
      <w:r>
        <w:rPr>
          <w:rFonts w:hint="eastAsia" w:ascii="宋体" w:hAnsi="宋体" w:cs="宋体"/>
          <w:color w:val="auto"/>
          <w:szCs w:val="21"/>
          <w:highlight w:val="none"/>
        </w:rPr>
        <w:t>确定。</w:t>
      </w:r>
    </w:p>
    <w:p w14:paraId="45A283C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综合单价包含的风险范围：</w:t>
      </w:r>
      <w:r>
        <w:rPr>
          <w:rFonts w:hint="eastAsia" w:ascii="宋体" w:hAnsi="宋体" w:cs="宋体"/>
          <w:color w:val="auto"/>
          <w:szCs w:val="21"/>
          <w:highlight w:val="none"/>
          <w:u w:val="single"/>
        </w:rPr>
        <w:t>除工程变更、政策性调整、本合同约定的材料、设备价格变动风险以外因素。</w:t>
      </w:r>
    </w:p>
    <w:p w14:paraId="4F28A0CD">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风险范围以外合同价格的调整方法：</w:t>
      </w:r>
    </w:p>
    <w:p w14:paraId="0783A696">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①工程变更：按10.4.1变更估价原则的约定调整。</w:t>
      </w:r>
    </w:p>
    <w:p w14:paraId="2B252B35">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②政策性调整：按自治区建设行政主管部门颁布的文件执行。</w:t>
      </w:r>
    </w:p>
    <w:p w14:paraId="65C4AEFE">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③材料、设备价格变动风险：按11.1的约定调整。</w:t>
      </w:r>
    </w:p>
    <w:p w14:paraId="3A4B520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④其它：</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ABC856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w:t>
      </w:r>
    </w:p>
    <w:p w14:paraId="3C4D943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总价包含的风险范围：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10A34EA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风险范围以外合同价格的调整方法：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EA0B36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D86CAE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374" w:name="_Toc418752293"/>
      <w:bookmarkStart w:id="1375" w:name="_Toc497747229"/>
      <w:bookmarkStart w:id="1376" w:name="_Toc418061362"/>
      <w:bookmarkStart w:id="1377" w:name="_Toc418518161"/>
      <w:bookmarkStart w:id="1378" w:name="_Toc497746832"/>
      <w:bookmarkStart w:id="1379" w:name="_Toc418751847"/>
      <w:bookmarkStart w:id="1380" w:name="_Toc24874"/>
      <w:bookmarkStart w:id="1381" w:name="_Toc256000229"/>
      <w:bookmarkStart w:id="1382" w:name="_Toc522201778"/>
      <w:bookmarkStart w:id="1383" w:name="_Toc403578985"/>
      <w:bookmarkStart w:id="1384" w:name="_Toc418518397"/>
      <w:r>
        <w:rPr>
          <w:rFonts w:hint="eastAsia" w:ascii="宋体" w:cs="宋体"/>
          <w:color w:val="auto"/>
          <w:highlight w:val="none"/>
        </w:rPr>
        <w:t>12.2 预付款</w:t>
      </w:r>
      <w:bookmarkEnd w:id="1355"/>
      <w:bookmarkEnd w:id="1356"/>
      <w:bookmarkEnd w:id="1357"/>
      <w:bookmarkEnd w:id="1374"/>
      <w:bookmarkEnd w:id="1375"/>
      <w:bookmarkEnd w:id="1376"/>
      <w:bookmarkEnd w:id="1377"/>
      <w:bookmarkEnd w:id="1378"/>
      <w:bookmarkEnd w:id="1379"/>
      <w:bookmarkEnd w:id="1380"/>
      <w:bookmarkEnd w:id="1381"/>
      <w:bookmarkEnd w:id="1382"/>
      <w:bookmarkEnd w:id="1383"/>
      <w:bookmarkEnd w:id="1384"/>
    </w:p>
    <w:bookmarkEnd w:id="1358"/>
    <w:bookmarkEnd w:id="1359"/>
    <w:bookmarkEnd w:id="1360"/>
    <w:bookmarkEnd w:id="1361"/>
    <w:bookmarkEnd w:id="1362"/>
    <w:bookmarkEnd w:id="1363"/>
    <w:p w14:paraId="73EBF82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12.2.1 预付款的支付</w:t>
      </w:r>
    </w:p>
    <w:p w14:paraId="46ED0B6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预付款支付比例或金额：</w:t>
      </w:r>
      <w:r>
        <w:rPr>
          <w:rFonts w:hint="eastAsia" w:ascii="Times New Roman" w:hAnsi="Times New Roman" w:eastAsia="宋体" w:cs="Times New Roman"/>
          <w:color w:val="auto"/>
          <w:spacing w:val="-9"/>
          <w:kern w:val="2"/>
          <w:sz w:val="21"/>
          <w:szCs w:val="24"/>
          <w:highlight w:val="none"/>
          <w:u w:val="single" w:color="36363C"/>
          <w:lang w:val="en-US" w:eastAsia="zh-CN" w:bidi="ar-SA"/>
        </w:rPr>
        <w:t xml:space="preserve"> 无  。</w:t>
      </w:r>
    </w:p>
    <w:p w14:paraId="03335AE2">
      <w:pPr>
        <w:pStyle w:val="21"/>
        <w:keepNext w:val="0"/>
        <w:keepLines w:val="0"/>
        <w:pageBreakBefore w:val="0"/>
        <w:widowControl w:val="0"/>
        <w:wordWrap/>
        <w:topLinePunct w:val="0"/>
        <w:bidi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预付款支付期限：</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0CD33B41">
      <w:pPr>
        <w:pStyle w:val="21"/>
        <w:keepNext w:val="0"/>
        <w:keepLines w:val="0"/>
        <w:pageBreakBefore w:val="0"/>
        <w:widowControl w:val="0"/>
        <w:wordWrap/>
        <w:topLinePunct w:val="0"/>
        <w:bidi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预付款扣回的方式：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031E390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12.2.2 预付款担保</w:t>
      </w:r>
    </w:p>
    <w:p w14:paraId="6CD4CCD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承包人提交预付款担保的期限：</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3A9AC0F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预付款担保的形式为：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217A5C7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预付款担保格式见合同附件9。</w:t>
      </w:r>
    </w:p>
    <w:bookmarkEnd w:id="1364"/>
    <w:bookmarkEnd w:id="1365"/>
    <w:bookmarkEnd w:id="1366"/>
    <w:bookmarkEnd w:id="1367"/>
    <w:bookmarkEnd w:id="1368"/>
    <w:bookmarkEnd w:id="1369"/>
    <w:bookmarkEnd w:id="1370"/>
    <w:bookmarkEnd w:id="1371"/>
    <w:bookmarkEnd w:id="1372"/>
    <w:bookmarkEnd w:id="1373"/>
    <w:p w14:paraId="511B2FD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385" w:name="_Toc418518162"/>
      <w:bookmarkStart w:id="1386" w:name="_Toc522201779"/>
      <w:bookmarkStart w:id="1387" w:name="_Toc373478398"/>
      <w:bookmarkStart w:id="1388" w:name="_Toc256000230"/>
      <w:bookmarkStart w:id="1389" w:name="_Toc418752294"/>
      <w:bookmarkStart w:id="1390" w:name="_Toc373227751"/>
      <w:bookmarkStart w:id="1391" w:name="_Toc418751848"/>
      <w:bookmarkStart w:id="1392" w:name="_Toc418518398"/>
      <w:bookmarkStart w:id="1393" w:name="_Toc389065316"/>
      <w:bookmarkStart w:id="1394" w:name="_Toc403578986"/>
      <w:bookmarkStart w:id="1395" w:name="_Toc497747230"/>
      <w:bookmarkStart w:id="1396" w:name="_Toc497746833"/>
      <w:bookmarkStart w:id="1397" w:name="_Toc14203"/>
      <w:bookmarkStart w:id="1398" w:name="_Toc418061363"/>
      <w:r>
        <w:rPr>
          <w:rFonts w:hint="eastAsia" w:ascii="宋体" w:cs="宋体"/>
          <w:color w:val="auto"/>
          <w:highlight w:val="none"/>
        </w:rPr>
        <w:t>12.3 计量</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14:paraId="6D60901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399" w:name="_Toc497746834"/>
      <w:bookmarkStart w:id="1400" w:name="_Toc418061364"/>
      <w:bookmarkStart w:id="1401" w:name="_Toc418518399"/>
      <w:bookmarkStart w:id="1402" w:name="_Toc403578987"/>
      <w:bookmarkStart w:id="1403" w:name="_Toc497747231"/>
      <w:bookmarkStart w:id="1404" w:name="_Toc373478399"/>
      <w:bookmarkStart w:id="1405" w:name="_Toc418518163"/>
      <w:bookmarkStart w:id="1406" w:name="_Toc418751849"/>
      <w:bookmarkStart w:id="1407" w:name="_Toc389065317"/>
      <w:bookmarkStart w:id="1408" w:name="_Toc373227752"/>
      <w:bookmarkStart w:id="1409" w:name="_Toc418752295"/>
      <w:r>
        <w:rPr>
          <w:rFonts w:hint="eastAsia" w:ascii="宋体" w:hAnsi="宋体" w:cs="宋体"/>
          <w:color w:val="auto"/>
          <w:szCs w:val="21"/>
          <w:highlight w:val="none"/>
        </w:rPr>
        <w:t xml:space="preserve">12.3.1 计量原则 </w:t>
      </w:r>
    </w:p>
    <w:p w14:paraId="1D03803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工程量计算规则：</w:t>
      </w:r>
      <w:r>
        <w:rPr>
          <w:rFonts w:hint="eastAsia" w:ascii="宋体" w:hAnsi="宋体" w:cs="宋体"/>
          <w:color w:val="auto"/>
          <w:szCs w:val="21"/>
          <w:highlight w:val="none"/>
          <w:u w:val="single"/>
        </w:rPr>
        <w:t>工程的计量均以《建设工程工程量清单计价规范》（GB50500－2013）和及其广西壮族自治区实施细则、《建设工程工程量清单计算规范》（GB50854～50862－2013）及其广西实施细则（修订本）、本工程补充项目清单为准。</w:t>
      </w:r>
      <w:r>
        <w:rPr>
          <w:rFonts w:hint="eastAsia" w:ascii="宋体" w:hAnsi="宋体" w:cs="宋体"/>
          <w:color w:val="auto"/>
          <w:szCs w:val="21"/>
          <w:highlight w:val="none"/>
        </w:rPr>
        <w:t xml:space="preserve"> </w:t>
      </w:r>
    </w:p>
    <w:p w14:paraId="214BFCC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12.3.2 计量周期 </w:t>
      </w:r>
    </w:p>
    <w:p w14:paraId="1D31D8D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关于计量周期的约定：</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承包人每月25日前向监理人报送上月20日至本月19日完成的工程量报告，并附具进度款申请单、已完成工程量报表和有关资料</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2EC0949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12.3.3 单价合同的计量 </w:t>
      </w:r>
    </w:p>
    <w:p w14:paraId="53825CC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关于单价合同计量的约定：</w:t>
      </w:r>
      <w:r>
        <w:rPr>
          <w:rFonts w:hint="eastAsia" w:ascii="宋体" w:hAnsi="宋体" w:cs="宋体"/>
          <w:color w:val="auto"/>
          <w:szCs w:val="21"/>
          <w:highlight w:val="none"/>
          <w:u w:val="single"/>
        </w:rPr>
        <w:t xml:space="preserve"> (1) </w:t>
      </w:r>
      <w:r>
        <w:rPr>
          <w:rFonts w:ascii="宋体" w:hAnsi="宋体" w:cs="宋体"/>
          <w:color w:val="auto"/>
          <w:szCs w:val="21"/>
          <w:highlight w:val="none"/>
          <w:u w:val="single"/>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s="宋体"/>
          <w:color w:val="auto"/>
          <w:szCs w:val="21"/>
          <w:highlight w:val="none"/>
          <w:u w:val="single"/>
        </w:rPr>
        <w:t xml:space="preserve">。(2) </w:t>
      </w:r>
      <w:r>
        <w:rPr>
          <w:rFonts w:ascii="宋体" w:hAnsi="宋体" w:cs="宋体"/>
          <w:color w:val="auto"/>
          <w:szCs w:val="21"/>
          <w:highlight w:val="none"/>
          <w:u w:val="single"/>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cs="宋体"/>
          <w:color w:val="auto"/>
          <w:szCs w:val="21"/>
          <w:highlight w:val="none"/>
        </w:rPr>
        <w:t xml:space="preserve">。 </w:t>
      </w:r>
    </w:p>
    <w:p w14:paraId="7A80CA5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12.3.4 总价合同的计量 </w:t>
      </w:r>
    </w:p>
    <w:p w14:paraId="6D4695C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关于总价合同计量的约定：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67B3E7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12.3.5 总价合同采用支付分解表计量支付的，是否适用第 12.3.4 项〔总价合同的计量〕约定进行计量：</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 xml:space="preserve">。 </w:t>
      </w:r>
    </w:p>
    <w:p w14:paraId="46EEF60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12.3.6 其他价格形式合同的计量 </w:t>
      </w:r>
    </w:p>
    <w:p w14:paraId="66B17C8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其他价格形式的计量方式和程序：</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 xml:space="preserve">。 </w:t>
      </w:r>
    </w:p>
    <w:p w14:paraId="2A1A236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 工程进度款支付</w:t>
      </w:r>
      <w:bookmarkEnd w:id="1399"/>
      <w:bookmarkEnd w:id="1400"/>
      <w:bookmarkEnd w:id="1401"/>
      <w:bookmarkEnd w:id="1402"/>
      <w:bookmarkEnd w:id="1403"/>
      <w:bookmarkEnd w:id="1404"/>
      <w:bookmarkEnd w:id="1405"/>
      <w:bookmarkEnd w:id="1406"/>
      <w:bookmarkEnd w:id="1407"/>
      <w:bookmarkEnd w:id="1408"/>
      <w:bookmarkEnd w:id="1409"/>
    </w:p>
    <w:p w14:paraId="2860810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410" w:name="_Toc303539163"/>
      <w:bookmarkStart w:id="1411" w:name="_Toc292559921"/>
      <w:bookmarkStart w:id="1412" w:name="_Toc296944550"/>
      <w:bookmarkStart w:id="1413" w:name="_Toc296891039"/>
      <w:bookmarkStart w:id="1414" w:name="_Toc297216215"/>
      <w:bookmarkStart w:id="1415" w:name="_Toc297123556"/>
      <w:bookmarkStart w:id="1416" w:name="_Toc297120511"/>
      <w:bookmarkStart w:id="1417" w:name="_Toc296891251"/>
      <w:bookmarkStart w:id="1418" w:name="_Toc296346712"/>
      <w:bookmarkStart w:id="1419" w:name="_Toc296347210"/>
      <w:bookmarkStart w:id="1420" w:name="_Toc296503211"/>
      <w:bookmarkStart w:id="1421" w:name="_Toc300935006"/>
      <w:bookmarkStart w:id="1422" w:name="_Toc297048397"/>
      <w:bookmarkStart w:id="1423" w:name="_Toc292559416"/>
      <w:r>
        <w:rPr>
          <w:rFonts w:hint="eastAsia" w:ascii="宋体" w:hAnsi="宋体" w:cs="宋体"/>
          <w:color w:val="auto"/>
          <w:szCs w:val="21"/>
          <w:highlight w:val="none"/>
        </w:rPr>
        <w:t>12.4.1 付款周期</w:t>
      </w:r>
    </w:p>
    <w:p w14:paraId="6CA3814C">
      <w:pPr>
        <w:keepNext w:val="0"/>
        <w:keepLines w:val="0"/>
        <w:pageBreakBefore w:val="0"/>
        <w:widowControl w:val="0"/>
        <w:kinsoku/>
        <w:wordWrap/>
        <w:overflowPunct/>
        <w:topLinePunct w:val="0"/>
        <w:autoSpaceDE/>
        <w:autoSpaceDN/>
        <w:bidi w:val="0"/>
        <w:adjustRightInd/>
        <w:snapToGrid/>
        <w:spacing w:line="360" w:lineRule="auto"/>
        <w:ind w:left="210" w:leftChars="100" w:firstLine="210" w:firstLineChars="100"/>
        <w:jc w:val="left"/>
        <w:textAlignment w:val="auto"/>
        <w:rPr>
          <w:rFonts w:hint="eastAsia" w:ascii="Times New Roman" w:hAnsi="Times New Roman" w:eastAsia="宋体" w:cs="Times New Roman"/>
          <w:color w:val="auto"/>
          <w:spacing w:val="-9"/>
          <w:kern w:val="2"/>
          <w:sz w:val="21"/>
          <w:szCs w:val="24"/>
          <w:highlight w:val="yellow"/>
          <w:u w:val="single" w:color="36363C"/>
          <w:lang w:val="en-US" w:eastAsia="zh-CN" w:bidi="ar-SA"/>
        </w:rPr>
      </w:pPr>
      <w:r>
        <w:rPr>
          <w:rFonts w:hint="eastAsia" w:ascii="宋体" w:hAnsi="宋体" w:cs="宋体"/>
          <w:color w:val="auto"/>
          <w:szCs w:val="21"/>
          <w:highlight w:val="none"/>
        </w:rPr>
        <w:t>关于付款周期的约定：</w:t>
      </w:r>
      <w:r>
        <w:rPr>
          <w:rFonts w:hint="eastAsia" w:ascii="Times New Roman" w:hAnsi="Times New Roman" w:eastAsia="宋体" w:cs="Times New Roman"/>
          <w:color w:val="auto"/>
          <w:spacing w:val="-9"/>
          <w:kern w:val="2"/>
          <w:sz w:val="21"/>
          <w:szCs w:val="24"/>
          <w:highlight w:val="none"/>
          <w:u w:val="single" w:color="36363C"/>
          <w:lang w:val="en-US" w:eastAsia="zh-CN" w:bidi="ar-SA"/>
        </w:rPr>
        <w:t>工程完成总量的 50%支付合同金额的 30%；工程完工，经初验合格，支付合同金额的 80%。工程经终验合格后，工程结算价经</w:t>
      </w:r>
      <w:r>
        <w:rPr>
          <w:rFonts w:hint="eastAsia" w:cs="Times New Roman"/>
          <w:color w:val="auto"/>
          <w:spacing w:val="-9"/>
          <w:kern w:val="2"/>
          <w:sz w:val="21"/>
          <w:szCs w:val="24"/>
          <w:highlight w:val="none"/>
          <w:u w:val="single" w:color="36363C"/>
          <w:lang w:val="en-US" w:eastAsia="zh-CN" w:bidi="ar-SA"/>
        </w:rPr>
        <w:t>灌阳县财政局</w:t>
      </w:r>
      <w:r>
        <w:rPr>
          <w:rFonts w:hint="eastAsia" w:ascii="Times New Roman" w:hAnsi="Times New Roman" w:eastAsia="宋体" w:cs="Times New Roman"/>
          <w:color w:val="auto"/>
          <w:spacing w:val="-9"/>
          <w:kern w:val="2"/>
          <w:sz w:val="21"/>
          <w:szCs w:val="24"/>
          <w:highlight w:val="none"/>
          <w:u w:val="single" w:color="36363C"/>
          <w:lang w:val="en-US" w:eastAsia="zh-CN" w:bidi="ar-SA"/>
        </w:rPr>
        <w:t>审计，工程款支付至结算总价的97</w:t>
      </w:r>
      <w:r>
        <w:rPr>
          <w:rFonts w:ascii="Times New Roman" w:hAnsi="Times New Roman" w:eastAsia="宋体" w:cs="Times New Roman"/>
          <w:color w:val="auto"/>
          <w:spacing w:val="-9"/>
          <w:kern w:val="2"/>
          <w:sz w:val="21"/>
          <w:szCs w:val="24"/>
          <w:highlight w:val="none"/>
          <w:u w:val="single" w:color="36363C"/>
          <w:lang w:val="en-US" w:eastAsia="zh-CN" w:bidi="ar-SA"/>
        </w:rPr>
        <w:t>%</w:t>
      </w:r>
      <w:r>
        <w:rPr>
          <w:rFonts w:hint="eastAsia" w:ascii="Times New Roman" w:hAnsi="Times New Roman" w:eastAsia="宋体" w:cs="Times New Roman"/>
          <w:color w:val="auto"/>
          <w:spacing w:val="-9"/>
          <w:kern w:val="2"/>
          <w:sz w:val="21"/>
          <w:szCs w:val="24"/>
          <w:highlight w:val="none"/>
          <w:u w:val="single" w:color="36363C"/>
          <w:lang w:val="en-US" w:eastAsia="zh-CN" w:bidi="ar-SA"/>
        </w:rPr>
        <w:t>；留 3%工程余款作为工程质量保修金，待工程质保期满后工程无缺陷再按规定工程余款支付完毕。</w:t>
      </w:r>
    </w:p>
    <w:p w14:paraId="7EEBC11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每次付款前，承包人应按发包人的要求提供符合相关法律法规的增值税发票，如发票不符合要求，发包人有权拒收，承包人应承担因不合格发票产生的所有责任。</w:t>
      </w:r>
    </w:p>
    <w:p w14:paraId="466FB03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12.4.2 进度付款申请单的编制</w:t>
      </w:r>
    </w:p>
    <w:p w14:paraId="16FEE0EA">
      <w:pPr>
        <w:pStyle w:val="21"/>
        <w:keepNext w:val="0"/>
        <w:keepLines w:val="0"/>
        <w:pageBreakBefore w:val="0"/>
        <w:widowControl w:val="0"/>
        <w:wordWrap/>
        <w:topLinePunct w:val="0"/>
        <w:bidi w:val="0"/>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关于进度付款申请单编制的约定：</w:t>
      </w:r>
      <w:r>
        <w:rPr>
          <w:rFonts w:hint="eastAsia" w:ascii="宋体" w:hAnsi="宋体" w:cs="宋体"/>
          <w:bCs/>
          <w:color w:val="auto"/>
          <w:szCs w:val="21"/>
          <w:highlight w:val="none"/>
          <w:u w:val="single"/>
        </w:rPr>
        <w:t>承包人应在每个计量周期到期后的7天内向发包人提交已完工程进度款支付申请一式四份，详细说明此周期自己认为有权得到的款额，包括分包人已完工程的价款，内容包括已完工程预算书、工程量计算式及劳务队组提供的民工工资支付证明。</w:t>
      </w:r>
    </w:p>
    <w:p w14:paraId="4964171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r>
        <w:rPr>
          <w:rFonts w:hint="eastAsia" w:ascii="宋体" w:hAnsi="宋体" w:cs="宋体"/>
          <w:color w:val="auto"/>
          <w:szCs w:val="21"/>
          <w:highlight w:val="none"/>
        </w:rPr>
        <w:t>2.4.3 进度付款申请单的提交</w:t>
      </w:r>
    </w:p>
    <w:p w14:paraId="338135A5">
      <w:pPr>
        <w:pStyle w:val="21"/>
        <w:keepNext w:val="0"/>
        <w:keepLines w:val="0"/>
        <w:pageBreakBefore w:val="0"/>
        <w:widowControl w:val="0"/>
        <w:wordWrap/>
        <w:topLinePunct w:val="0"/>
        <w:bidi w:val="0"/>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（1）单价合同进度付款申请单提交的约定：</w:t>
      </w:r>
      <w:r>
        <w:rPr>
          <w:rFonts w:hint="eastAsia" w:ascii="宋体" w:hAnsi="宋体" w:cs="宋体"/>
          <w:bCs/>
          <w:color w:val="auto"/>
          <w:szCs w:val="21"/>
          <w:highlight w:val="none"/>
          <w:u w:val="single"/>
        </w:rPr>
        <w:t>承包人应在每个计量周期到期后的3天内向发包人提交支付申请一式三份，承包人当月完成的产值不足合同价的1％时，不支付进度款，累计至下月一并支付。承包人应随投标文件提交不拖欠民工工资的承诺函和措施。具体支付手续按财政性资金支付程序有关规定办理。</w:t>
      </w:r>
    </w:p>
    <w:p w14:paraId="2229124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2015E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（3）其他价格形式合同进度付款申请单提交的约定：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56EBDB9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12.4.4 进度款审核和支付</w:t>
      </w:r>
    </w:p>
    <w:p w14:paraId="21D888B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（1）监理人审查并报送发包人的期限：</w:t>
      </w:r>
      <w:r>
        <w:rPr>
          <w:rFonts w:hint="eastAsia" w:ascii="宋体" w:hAnsi="宋体" w:cs="宋体"/>
          <w:color w:val="auto"/>
          <w:szCs w:val="21"/>
          <w:highlight w:val="none"/>
          <w:u w:val="single"/>
        </w:rPr>
        <w:t>监理人收到承包人进度付款申请单以及相关资料后 7 天内完成审查并报送发包人</w:t>
      </w:r>
      <w:r>
        <w:rPr>
          <w:rFonts w:hint="eastAsia" w:ascii="宋体" w:hAnsi="宋体" w:cs="宋体"/>
          <w:color w:val="auto"/>
          <w:szCs w:val="21"/>
          <w:highlight w:val="none"/>
        </w:rPr>
        <w:t>。</w:t>
      </w:r>
    </w:p>
    <w:p w14:paraId="3B21263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发包人完成审批并签发进度款支付证书的期限：</w:t>
      </w:r>
      <w:r>
        <w:rPr>
          <w:rFonts w:hint="eastAsia" w:ascii="宋体" w:hAnsi="宋体" w:cs="宋体"/>
          <w:color w:val="auto"/>
          <w:szCs w:val="21"/>
          <w:highlight w:val="none"/>
          <w:u w:val="single"/>
        </w:rPr>
        <w:t>收到后 7 天内完成审批并签发</w:t>
      </w:r>
      <w:r>
        <w:rPr>
          <w:rFonts w:hint="eastAsia" w:ascii="宋体" w:hAnsi="宋体" w:cs="宋体"/>
          <w:color w:val="auto"/>
          <w:szCs w:val="21"/>
          <w:highlight w:val="none"/>
        </w:rPr>
        <w:t>。</w:t>
      </w:r>
    </w:p>
    <w:p w14:paraId="0DAC440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（2）发包人支付进度款的期限：</w:t>
      </w:r>
      <w:r>
        <w:rPr>
          <w:rFonts w:hint="eastAsia" w:ascii="宋体" w:hAnsi="宋体" w:cs="宋体"/>
          <w:color w:val="auto"/>
          <w:szCs w:val="21"/>
          <w:highlight w:val="none"/>
          <w:u w:val="single"/>
        </w:rPr>
        <w:t xml:space="preserve">办理相关付款手续后的7天内 </w:t>
      </w:r>
      <w:r>
        <w:rPr>
          <w:rFonts w:hint="eastAsia" w:ascii="宋体" w:hAnsi="宋体" w:cs="宋体"/>
          <w:color w:val="auto"/>
          <w:szCs w:val="21"/>
          <w:highlight w:val="none"/>
        </w:rPr>
        <w:t>。</w:t>
      </w:r>
    </w:p>
    <w:p w14:paraId="042181CD">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发包人逾期支付进度款的违约金的计算方式：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1980E0BB">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进度款支付方式：</w:t>
      </w:r>
      <w:r>
        <w:rPr>
          <w:rFonts w:hint="eastAsia" w:ascii="宋体" w:hAnsi="宋体" w:cs="宋体"/>
          <w:color w:val="auto"/>
          <w:szCs w:val="21"/>
          <w:highlight w:val="none"/>
          <w:u w:val="single"/>
        </w:rPr>
        <w:t>银行转账</w:t>
      </w:r>
      <w:r>
        <w:rPr>
          <w:rFonts w:hint="eastAsia" w:ascii="宋体" w:hAnsi="宋体" w:cs="宋体"/>
          <w:color w:val="auto"/>
          <w:szCs w:val="21"/>
          <w:highlight w:val="none"/>
        </w:rPr>
        <w:t>。</w:t>
      </w:r>
    </w:p>
    <w:p w14:paraId="4BA5B152">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12.4.6 支付分解表的编制</w:t>
      </w:r>
    </w:p>
    <w:p w14:paraId="66BA5244">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2. 总价合同支付分解表的编制与审批：</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678AF91C">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3. 单价合同的总价项目支付分解表的编制与审批：</w:t>
      </w:r>
      <w:r>
        <w:rPr>
          <w:rFonts w:hint="eastAsia" w:ascii="宋体" w:hAnsi="宋体" w:cs="宋体"/>
          <w:color w:val="auto"/>
          <w:szCs w:val="21"/>
          <w:highlight w:val="none"/>
          <w:u w:val="single"/>
        </w:rPr>
        <w:t>单价项目不采用支付分解表的方式计算，而按《建设工程工程量清单计价规范（GB50500-2013）广西壮族自治区实施细则（修订本）》的规定执行。</w:t>
      </w:r>
    </w:p>
    <w:bookmarkEnd w:id="1082"/>
    <w:p w14:paraId="544EEEF7">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424" w:name="_Toc373227753"/>
      <w:bookmarkStart w:id="1425" w:name="_Toc497747232"/>
      <w:bookmarkStart w:id="1426" w:name="_Toc403578988"/>
      <w:bookmarkStart w:id="1427" w:name="_Toc418751850"/>
      <w:bookmarkStart w:id="1428" w:name="_Toc373478400"/>
      <w:bookmarkStart w:id="1429" w:name="_Toc418752296"/>
      <w:bookmarkStart w:id="1430" w:name="_Toc256000231"/>
      <w:bookmarkStart w:id="1431" w:name="_Toc389065318"/>
      <w:bookmarkStart w:id="1432" w:name="_Toc418518400"/>
      <w:bookmarkStart w:id="1433" w:name="_Toc418061365"/>
      <w:bookmarkStart w:id="1434" w:name="_Toc522201780"/>
      <w:bookmarkStart w:id="1435" w:name="_Toc497746835"/>
      <w:bookmarkStart w:id="1436" w:name="_Toc30972"/>
      <w:bookmarkStart w:id="1437" w:name="_Toc418518164"/>
      <w:bookmarkStart w:id="1438" w:name="_Toc351203645"/>
      <w:bookmarkStart w:id="1439" w:name="_Toc297048405"/>
      <w:bookmarkStart w:id="1440" w:name="_Toc303539172"/>
      <w:bookmarkStart w:id="1441" w:name="_Toc296346720"/>
      <w:bookmarkStart w:id="1442" w:name="_Toc296944558"/>
      <w:bookmarkStart w:id="1443" w:name="_Toc297216223"/>
      <w:bookmarkStart w:id="1444" w:name="_Toc296347218"/>
      <w:bookmarkStart w:id="1445" w:name="_Toc300935015"/>
      <w:bookmarkStart w:id="1446" w:name="_Toc312678053"/>
      <w:bookmarkStart w:id="1447" w:name="_Toc296503219"/>
      <w:bookmarkStart w:id="1448" w:name="_Toc297123564"/>
      <w:bookmarkStart w:id="1449" w:name="_Toc296891259"/>
      <w:bookmarkStart w:id="1450" w:name="_Toc296891047"/>
      <w:bookmarkStart w:id="1451" w:name="_Toc292559424"/>
      <w:bookmarkStart w:id="1452" w:name="_Toc292559929"/>
      <w:bookmarkStart w:id="1453" w:name="_Toc297120519"/>
      <w:bookmarkStart w:id="1454" w:name="_Toc304295593"/>
      <w:r>
        <w:rPr>
          <w:rFonts w:hint="eastAsia" w:ascii="宋体" w:cs="宋体"/>
          <w:color w:val="auto"/>
          <w:highlight w:val="none"/>
        </w:rPr>
        <w:t>13. 验收和工程试车</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14:paraId="33E9AB0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455" w:name="_Toc389065319"/>
      <w:bookmarkStart w:id="1456" w:name="_Toc418752297"/>
      <w:bookmarkStart w:id="1457" w:name="_Toc497746836"/>
      <w:bookmarkStart w:id="1458" w:name="_Toc418518401"/>
      <w:bookmarkStart w:id="1459" w:name="_Toc19468"/>
      <w:bookmarkStart w:id="1460" w:name="_Toc418518165"/>
      <w:bookmarkStart w:id="1461" w:name="_Toc373227754"/>
      <w:bookmarkStart w:id="1462" w:name="_Toc418061366"/>
      <w:bookmarkStart w:id="1463" w:name="_Toc373478401"/>
      <w:bookmarkStart w:id="1464" w:name="_Toc256000232"/>
      <w:bookmarkStart w:id="1465" w:name="_Toc522201781"/>
      <w:bookmarkStart w:id="1466" w:name="_Toc403578989"/>
      <w:bookmarkStart w:id="1467" w:name="_Toc497747233"/>
      <w:bookmarkStart w:id="1468" w:name="_Toc418751851"/>
      <w:r>
        <w:rPr>
          <w:rFonts w:hint="eastAsia" w:ascii="宋体" w:cs="宋体"/>
          <w:color w:val="auto"/>
          <w:highlight w:val="none"/>
        </w:rPr>
        <w:t>13.1 分部分项工程验收</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7DE0372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13.1.2监理人不能按时进行验收时，应提前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7E123BBE">
      <w:pPr>
        <w:pStyle w:val="21"/>
        <w:keepNext w:val="0"/>
        <w:keepLines w:val="0"/>
        <w:pageBreakBefore w:val="0"/>
        <w:widowControl w:val="0"/>
        <w:wordWrap/>
        <w:topLinePunct w:val="0"/>
        <w:bidi w:val="0"/>
        <w:spacing w:line="38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69009FF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469" w:name="_Toc389065320"/>
      <w:bookmarkStart w:id="1470" w:name="_Toc418518166"/>
      <w:bookmarkStart w:id="1471" w:name="_Toc497746837"/>
      <w:bookmarkStart w:id="1472" w:name="_Toc403578990"/>
      <w:bookmarkStart w:id="1473" w:name="_Toc522201782"/>
      <w:bookmarkStart w:id="1474" w:name="_Toc373227755"/>
      <w:bookmarkStart w:id="1475" w:name="_Toc418752298"/>
      <w:bookmarkStart w:id="1476" w:name="_Toc418751852"/>
      <w:bookmarkStart w:id="1477" w:name="_Toc373478402"/>
      <w:bookmarkStart w:id="1478" w:name="_Toc418518402"/>
      <w:bookmarkStart w:id="1479" w:name="_Toc7508"/>
      <w:bookmarkStart w:id="1480" w:name="_Toc418061367"/>
      <w:bookmarkStart w:id="1481" w:name="_Toc497747234"/>
      <w:bookmarkStart w:id="1482" w:name="_Toc256000233"/>
      <w:bookmarkStart w:id="1483" w:name="_Toc292559933"/>
      <w:bookmarkStart w:id="1484" w:name="_Toc297123565"/>
      <w:bookmarkStart w:id="1485" w:name="_Toc312678056"/>
      <w:bookmarkStart w:id="1486" w:name="_Toc292559428"/>
      <w:bookmarkStart w:id="1487" w:name="_Toc296944562"/>
      <w:bookmarkStart w:id="1488" w:name="_Toc300935016"/>
      <w:bookmarkStart w:id="1489" w:name="_Toc296891051"/>
      <w:bookmarkStart w:id="1490" w:name="_Toc296347222"/>
      <w:bookmarkStart w:id="1491" w:name="_Toc296346724"/>
      <w:bookmarkStart w:id="1492" w:name="_Toc297216224"/>
      <w:bookmarkStart w:id="1493" w:name="_Toc296891263"/>
      <w:bookmarkStart w:id="1494" w:name="_Toc303539173"/>
      <w:bookmarkStart w:id="1495" w:name="_Toc304295596"/>
      <w:bookmarkStart w:id="1496" w:name="_Toc296503223"/>
      <w:bookmarkStart w:id="1497" w:name="_Toc297048409"/>
      <w:bookmarkStart w:id="1498" w:name="_Toc297120523"/>
      <w:bookmarkStart w:id="1499" w:name="_Toc267251470"/>
      <w:bookmarkStart w:id="1500" w:name="_Toc267251473"/>
      <w:bookmarkStart w:id="1501" w:name="_Toc267251471"/>
      <w:bookmarkStart w:id="1502" w:name="_Toc267251476"/>
      <w:bookmarkStart w:id="1503" w:name="_Toc267251475"/>
      <w:bookmarkStart w:id="1504" w:name="_Toc267251472"/>
      <w:bookmarkStart w:id="1505" w:name="_Toc267251474"/>
      <w:r>
        <w:rPr>
          <w:rFonts w:hint="eastAsia" w:ascii="宋体" w:cs="宋体"/>
          <w:color w:val="auto"/>
          <w:highlight w:val="none"/>
        </w:rPr>
        <w:t>13.2 竣工验收</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14:paraId="7199405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506" w:name="_Toc280868704"/>
      <w:bookmarkStart w:id="1507" w:name="_Toc280868705"/>
      <w:bookmarkStart w:id="1508" w:name="_Toc280868706"/>
      <w:bookmarkStart w:id="1509" w:name="_Toc280868707"/>
      <w:bookmarkStart w:id="1510" w:name="_Toc280868708"/>
      <w:bookmarkStart w:id="1511" w:name="_Toc280868709"/>
      <w:r>
        <w:rPr>
          <w:rFonts w:hint="eastAsia" w:ascii="宋体" w:hAnsi="宋体" w:cs="宋体"/>
          <w:color w:val="auto"/>
          <w:szCs w:val="21"/>
          <w:highlight w:val="none"/>
        </w:rPr>
        <w:t>13.2.1竣工验收条件</w:t>
      </w:r>
    </w:p>
    <w:p w14:paraId="1BFFC50C">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Cs w:val="21"/>
          <w:highlight w:val="none"/>
          <w:u w:val="single"/>
        </w:rPr>
        <w:t xml:space="preserve"> 1、工程具备竣工验收条件，承包人按工期竣工验收有关规定，向发包人提交符合桂林市城建档案馆归档要求内容装订成册的完整竣工资料及竣工验收报告、工程竣工图。2、承包人所提交的竣工资料必须符合《建设工程归档整理规范》要求，并在结算审批时出具《工程档案验收合格证明》及建设单位接收档案资料清单证明 </w:t>
      </w:r>
      <w:r>
        <w:rPr>
          <w:rFonts w:hint="eastAsia" w:ascii="宋体" w:hAnsi="宋体" w:cs="宋体"/>
          <w:color w:val="auto"/>
          <w:szCs w:val="21"/>
          <w:highlight w:val="none"/>
        </w:rPr>
        <w:t>。</w:t>
      </w:r>
    </w:p>
    <w:p w14:paraId="269090E0">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竣工验收资料的份数：</w:t>
      </w:r>
      <w:r>
        <w:rPr>
          <w:rFonts w:hint="eastAsia" w:ascii="宋体" w:hAnsi="宋体" w:cs="宋体"/>
          <w:color w:val="auto"/>
          <w:szCs w:val="21"/>
          <w:highlight w:val="none"/>
          <w:u w:val="single"/>
        </w:rPr>
        <w:t>肆份，承包人承担竣工验收资料编制、立卷及至档案馆归档等一切费用</w:t>
      </w:r>
      <w:r>
        <w:rPr>
          <w:rFonts w:hint="eastAsia" w:ascii="宋体" w:hAnsi="宋体" w:cs="宋体"/>
          <w:color w:val="auto"/>
          <w:szCs w:val="21"/>
          <w:highlight w:val="none"/>
        </w:rPr>
        <w:t>。</w:t>
      </w:r>
    </w:p>
    <w:p w14:paraId="382597B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承包人提供竣工图的约定：</w:t>
      </w:r>
      <w:r>
        <w:rPr>
          <w:rFonts w:hint="eastAsia" w:ascii="宋体" w:hAnsi="宋体" w:cs="宋体"/>
          <w:bCs/>
          <w:color w:val="auto"/>
          <w:szCs w:val="21"/>
          <w:highlight w:val="none"/>
          <w:u w:val="single"/>
        </w:rPr>
        <w:t>竣工验收正式通过后15天，提供4套竣工图。</w:t>
      </w:r>
    </w:p>
    <w:p w14:paraId="5000FF4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13.2.2竣工验收程序</w:t>
      </w:r>
    </w:p>
    <w:bookmarkEnd w:id="1506"/>
    <w:p w14:paraId="55435FD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关于竣工验收程序的约定</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u w:val="single"/>
        </w:rPr>
        <w:t>由承包人提出申请，经监理工程师及承包人同意后，通知各质检及监督部门进行竣工验收。本工程竣工验收合格后，双方应在验收报告上签字认可，本工程实际竣工日期以建设、设计、勘察、监理、施工五家单位验收小组正式验收签字日期为准。工程保修按合同附件3《工程质量保修书》有关规定执行。</w:t>
      </w:r>
    </w:p>
    <w:p w14:paraId="77D7D60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507"/>
    <w:p w14:paraId="4A9EBA0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13.2.5移交、接收全部与部分工程</w:t>
      </w:r>
    </w:p>
    <w:bookmarkEnd w:id="1508"/>
    <w:p w14:paraId="4A157AF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color w:val="auto"/>
          <w:szCs w:val="21"/>
          <w:highlight w:val="none"/>
          <w:u w:val="single"/>
        </w:rPr>
        <w:t xml:space="preserve"> 竣工验收整改完毕三日内 </w:t>
      </w:r>
      <w:r>
        <w:rPr>
          <w:rFonts w:hint="eastAsia" w:ascii="宋体" w:hAnsi="宋体" w:cs="宋体"/>
          <w:color w:val="auto"/>
          <w:szCs w:val="21"/>
          <w:highlight w:val="none"/>
        </w:rPr>
        <w:t>。</w:t>
      </w:r>
    </w:p>
    <w:p w14:paraId="35018EF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每逾期一天，按</w:t>
      </w:r>
      <w:r>
        <w:rPr>
          <w:rFonts w:hint="eastAsia" w:ascii="宋体" w:hAnsi="宋体" w:cs="宋体"/>
          <w:color w:val="auto"/>
          <w:szCs w:val="21"/>
          <w:highlight w:val="none"/>
          <w:u w:val="single"/>
          <w:lang w:val="zh-CN"/>
        </w:rPr>
        <w:t>签约合同价</w:t>
      </w:r>
      <w:r>
        <w:rPr>
          <w:rFonts w:hint="eastAsia" w:ascii="宋体" w:hAnsi="宋体" w:cs="宋体"/>
          <w:color w:val="auto"/>
          <w:szCs w:val="21"/>
          <w:highlight w:val="none"/>
          <w:u w:val="single"/>
        </w:rPr>
        <w:t>款扣除社会保险费、发包人材料价款、暂估专业工程、暂列金额后的万分之四/天</w:t>
      </w:r>
      <w:r>
        <w:rPr>
          <w:rFonts w:hint="eastAsia" w:ascii="宋体" w:hAnsi="宋体" w:cs="宋体"/>
          <w:bCs/>
          <w:color w:val="auto"/>
          <w:szCs w:val="21"/>
          <w:highlight w:val="none"/>
          <w:u w:val="single"/>
        </w:rPr>
        <w:t>支付违约金，最高限额为结算价的</w:t>
      </w:r>
      <w:r>
        <w:rPr>
          <w:rFonts w:hint="eastAsia" w:ascii="宋体" w:hAnsi="宋体" w:cs="宋体"/>
          <w:bCs/>
          <w:color w:val="auto"/>
          <w:szCs w:val="21"/>
          <w:highlight w:val="none"/>
          <w:u w:val="single"/>
          <w:lang w:val="en-US" w:eastAsia="zh-CN"/>
        </w:rPr>
        <w:t>1</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w:t>
      </w:r>
    </w:p>
    <w:bookmarkEnd w:id="1509"/>
    <w:p w14:paraId="0395C54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承包人未按时移交工程的，违约金的计算方法为：</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每逾期一天</w:t>
      </w:r>
      <w:r>
        <w:rPr>
          <w:rFonts w:hint="eastAsia" w:ascii="宋体" w:hAnsi="宋体" w:cs="宋体"/>
          <w:color w:val="auto"/>
          <w:szCs w:val="21"/>
          <w:highlight w:val="none"/>
          <w:u w:val="single"/>
        </w:rPr>
        <w:t>，按</w:t>
      </w:r>
      <w:r>
        <w:rPr>
          <w:rFonts w:hint="eastAsia" w:ascii="宋体" w:hAnsi="宋体" w:cs="宋体"/>
          <w:color w:val="auto"/>
          <w:szCs w:val="21"/>
          <w:highlight w:val="none"/>
          <w:u w:val="single"/>
          <w:lang w:val="zh-CN"/>
        </w:rPr>
        <w:t>签约合同价</w:t>
      </w:r>
      <w:r>
        <w:rPr>
          <w:rFonts w:hint="eastAsia" w:ascii="宋体" w:hAnsi="宋体" w:cs="宋体"/>
          <w:color w:val="auto"/>
          <w:szCs w:val="21"/>
          <w:highlight w:val="none"/>
          <w:u w:val="single"/>
        </w:rPr>
        <w:t xml:space="preserve">款扣除社会保险费、发包人材料价款、暂估专业工程、暂列金额后的万分之四/天支付违约金，最高限额为结算价的3%  </w:t>
      </w:r>
      <w:r>
        <w:rPr>
          <w:rFonts w:hint="eastAsia" w:ascii="宋体" w:hAnsi="宋体" w:cs="宋体"/>
          <w:color w:val="auto"/>
          <w:szCs w:val="21"/>
          <w:highlight w:val="none"/>
        </w:rPr>
        <w:t>。</w:t>
      </w:r>
    </w:p>
    <w:p w14:paraId="05E1FF1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12" w:name="_Toc256000234"/>
      <w:bookmarkStart w:id="1513" w:name="_Toc403578991"/>
      <w:bookmarkStart w:id="1514" w:name="_Toc389065321"/>
      <w:bookmarkStart w:id="1515" w:name="_Toc522201783"/>
      <w:bookmarkStart w:id="1516" w:name="_Toc497747235"/>
      <w:bookmarkStart w:id="1517" w:name="_Toc497746838"/>
      <w:bookmarkStart w:id="1518" w:name="_Toc418752299"/>
      <w:bookmarkStart w:id="1519" w:name="_Toc418061368"/>
      <w:bookmarkStart w:id="1520" w:name="_Toc22147"/>
      <w:bookmarkStart w:id="1521" w:name="_Toc418751853"/>
      <w:bookmarkStart w:id="1522" w:name="_Toc418518167"/>
      <w:bookmarkStart w:id="1523" w:name="_Toc373478403"/>
      <w:bookmarkStart w:id="1524" w:name="_Toc373227756"/>
      <w:bookmarkStart w:id="1525" w:name="_Toc418518403"/>
      <w:r>
        <w:rPr>
          <w:rFonts w:hint="eastAsia" w:ascii="宋体" w:cs="宋体"/>
          <w:color w:val="auto"/>
          <w:highlight w:val="none"/>
        </w:rPr>
        <w:t>13.3 工程试车</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bookmarkEnd w:id="1510"/>
    <w:p w14:paraId="4920B80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13.3.1 试车程序</w:t>
      </w:r>
    </w:p>
    <w:p w14:paraId="1519BEC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工程试车内容：</w:t>
      </w:r>
      <w:r>
        <w:rPr>
          <w:rFonts w:hint="eastAsia" w:ascii="宋体" w:hAnsi="宋体" w:cs="宋体"/>
          <w:color w:val="auto"/>
          <w:szCs w:val="21"/>
          <w:highlight w:val="none"/>
          <w:u w:val="single"/>
        </w:rPr>
        <w:t xml:space="preserve">  为达到本工程的验收标准，工程范围内的设施和承包人安装的设备应进行试运行调试，费用由承包人自行负责并已包括在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w:t>
      </w:r>
    </w:p>
    <w:p w14:paraId="13ED415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（1）单机无负荷试车费用由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60D31CC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（2）无负荷联动试车费用由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77D1534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13.3.3 投料试车</w:t>
      </w:r>
    </w:p>
    <w:p w14:paraId="11B76A3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关于投料试车相关事项的约定：</w:t>
      </w:r>
      <w:r>
        <w:rPr>
          <w:rFonts w:hint="eastAsia" w:ascii="宋体" w:hAnsi="宋体" w:cs="宋体"/>
          <w:color w:val="auto"/>
          <w:szCs w:val="21"/>
          <w:highlight w:val="none"/>
          <w:u w:val="single"/>
        </w:rPr>
        <w:t xml:space="preserve"> 由承包人组织试运行，费用由承包人承担 </w:t>
      </w:r>
      <w:r>
        <w:rPr>
          <w:rFonts w:hint="eastAsia" w:ascii="宋体" w:hAnsi="宋体" w:cs="宋体"/>
          <w:color w:val="auto"/>
          <w:szCs w:val="21"/>
          <w:highlight w:val="none"/>
        </w:rPr>
        <w:t>。</w:t>
      </w:r>
    </w:p>
    <w:p w14:paraId="1CBD6B89">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26" w:name="_Toc418061369"/>
      <w:bookmarkStart w:id="1527" w:name="_Toc256000235"/>
      <w:bookmarkStart w:id="1528" w:name="_Toc418518404"/>
      <w:bookmarkStart w:id="1529" w:name="_Toc418751854"/>
      <w:bookmarkStart w:id="1530" w:name="_Toc373227757"/>
      <w:bookmarkStart w:id="1531" w:name="_Toc373478404"/>
      <w:bookmarkStart w:id="1532" w:name="_Toc16016"/>
      <w:bookmarkStart w:id="1533" w:name="_Toc389065322"/>
      <w:bookmarkStart w:id="1534" w:name="_Toc522201784"/>
      <w:bookmarkStart w:id="1535" w:name="_Toc418752300"/>
      <w:bookmarkStart w:id="1536" w:name="_Toc497747236"/>
      <w:bookmarkStart w:id="1537" w:name="_Toc403578992"/>
      <w:bookmarkStart w:id="1538" w:name="_Toc418518168"/>
      <w:bookmarkStart w:id="1539" w:name="_Toc497746839"/>
      <w:r>
        <w:rPr>
          <w:rFonts w:hint="eastAsia" w:ascii="宋体" w:cs="宋体"/>
          <w:color w:val="auto"/>
          <w:highlight w:val="none"/>
        </w:rPr>
        <w:t>13.6 竣工退场</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14:paraId="592CBAC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13.6.1 竣工退场</w:t>
      </w:r>
    </w:p>
    <w:p w14:paraId="371584F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承包人完成竣工退场的期限：</w:t>
      </w:r>
      <w:r>
        <w:rPr>
          <w:rFonts w:hint="eastAsia" w:ascii="宋体" w:hAnsi="宋体" w:cs="宋体"/>
          <w:color w:val="auto"/>
          <w:szCs w:val="21"/>
          <w:highlight w:val="none"/>
          <w:u w:val="single"/>
        </w:rPr>
        <w:t>监理人颁发(出具)工程接收证书后，承包人负责按照通用合同条款本项约定的要求对施工场地进行清理并承担相关费用，直至监理人检验合格后七日内，如承包人到期后不退场，发包人有权安排其他人员进行清理，费用从承包人工程款中扣除。</w:t>
      </w:r>
    </w:p>
    <w:p w14:paraId="4853CFC9">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540" w:name="_Toc389065323"/>
      <w:bookmarkStart w:id="1541" w:name="_Toc497746840"/>
      <w:bookmarkStart w:id="1542" w:name="_Toc418751855"/>
      <w:bookmarkStart w:id="1543" w:name="_Toc497747237"/>
      <w:bookmarkStart w:id="1544" w:name="_Toc15239"/>
      <w:bookmarkStart w:id="1545" w:name="_Toc373227758"/>
      <w:bookmarkStart w:id="1546" w:name="_Toc522201785"/>
      <w:bookmarkStart w:id="1547" w:name="_Toc256000236"/>
      <w:bookmarkStart w:id="1548" w:name="_Toc351203646"/>
      <w:bookmarkStart w:id="1549" w:name="_Toc418752301"/>
      <w:bookmarkStart w:id="1550" w:name="_Toc418518169"/>
      <w:bookmarkStart w:id="1551" w:name="_Toc418518405"/>
      <w:bookmarkStart w:id="1552" w:name="_Toc418061370"/>
      <w:bookmarkStart w:id="1553" w:name="_Toc373478405"/>
      <w:bookmarkStart w:id="1554" w:name="_Toc403578993"/>
      <w:r>
        <w:rPr>
          <w:rFonts w:hint="eastAsia" w:ascii="宋体" w:cs="宋体"/>
          <w:color w:val="auto"/>
          <w:highlight w:val="none"/>
        </w:rPr>
        <w:t xml:space="preserve">14. </w:t>
      </w:r>
      <w:r>
        <w:rPr>
          <w:rFonts w:hint="eastAsia" w:ascii="宋体" w:hAnsi="宋体" w:eastAsia="宋体" w:cs="宋体"/>
          <w:color w:val="auto"/>
          <w:highlight w:val="none"/>
        </w:rPr>
        <w:t>竣工</w:t>
      </w:r>
      <w:r>
        <w:rPr>
          <w:rFonts w:hint="eastAsia" w:ascii="宋体" w:cs="宋体"/>
          <w:color w:val="auto"/>
          <w:highlight w:val="none"/>
        </w:rPr>
        <w:t>结算</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14:paraId="5837CD7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55" w:name="_Toc403578994"/>
      <w:bookmarkStart w:id="1556" w:name="_Toc418751856"/>
      <w:bookmarkStart w:id="1557" w:name="_Toc418518406"/>
      <w:bookmarkStart w:id="1558" w:name="_Toc522201786"/>
      <w:bookmarkStart w:id="1559" w:name="_Toc389065324"/>
      <w:bookmarkStart w:id="1560" w:name="_Toc5496"/>
      <w:bookmarkStart w:id="1561" w:name="_Toc418752302"/>
      <w:bookmarkStart w:id="1562" w:name="_Toc497747238"/>
      <w:bookmarkStart w:id="1563" w:name="_Toc256000237"/>
      <w:bookmarkStart w:id="1564" w:name="_Toc373227759"/>
      <w:bookmarkStart w:id="1565" w:name="_Toc373478406"/>
      <w:bookmarkStart w:id="1566" w:name="_Toc418518170"/>
      <w:bookmarkStart w:id="1567" w:name="_Toc497746841"/>
      <w:bookmarkStart w:id="1568" w:name="_Toc418061371"/>
      <w:r>
        <w:rPr>
          <w:rFonts w:hint="eastAsia" w:ascii="宋体" w:cs="宋体"/>
          <w:color w:val="auto"/>
          <w:highlight w:val="none"/>
        </w:rPr>
        <w:t>14.1 竣工结算申请</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14:paraId="1E6A006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承包人提交竣工结算申请单的期限：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具备竣工收条件后28天内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F83AC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竣工结算申请单应包括的内容：</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竣工结算由承包人提交相关结算资料（主要包括合同、工程量计算书、结算书、变更设计通知单、签证单、竣工图）齐全后经监理初审、发包人审核后，</w:t>
      </w:r>
      <w:r>
        <w:rPr>
          <w:rFonts w:hint="eastAsia" w:ascii="宋体" w:hAnsi="宋体" w:cs="宋体"/>
          <w:color w:val="auto"/>
          <w:szCs w:val="21"/>
          <w:highlight w:val="none"/>
          <w:u w:val="single"/>
        </w:rPr>
        <w:t>最终结算以</w:t>
      </w:r>
      <w:r>
        <w:rPr>
          <w:rFonts w:hint="eastAsia" w:ascii="宋体" w:hAnsi="宋体" w:cs="宋体"/>
          <w:color w:val="auto"/>
          <w:szCs w:val="21"/>
          <w:highlight w:val="none"/>
          <w:u w:val="single"/>
          <w:lang w:val="en-US" w:eastAsia="zh-CN"/>
        </w:rPr>
        <w:t>灌阳县</w:t>
      </w:r>
      <w:r>
        <w:rPr>
          <w:rFonts w:hint="eastAsia" w:ascii="宋体" w:hAnsi="宋体" w:cs="宋体"/>
          <w:color w:val="auto"/>
          <w:szCs w:val="21"/>
          <w:highlight w:val="none"/>
          <w:u w:val="single"/>
          <w:lang w:eastAsia="zh-CN"/>
        </w:rPr>
        <w:t>财政局</w:t>
      </w:r>
      <w:r>
        <w:rPr>
          <w:rFonts w:hint="eastAsia" w:ascii="宋体" w:hAnsi="宋体" w:cs="宋体"/>
          <w:color w:val="auto"/>
          <w:szCs w:val="21"/>
          <w:highlight w:val="none"/>
          <w:u w:val="single"/>
        </w:rPr>
        <w:t xml:space="preserve">或发包人委托的造价咨询机构审定并经发包人及承包人双方确认的金额为准 </w:t>
      </w:r>
      <w:r>
        <w:rPr>
          <w:rFonts w:hint="eastAsia" w:ascii="宋体" w:hAnsi="宋体" w:cs="宋体"/>
          <w:color w:val="auto"/>
          <w:szCs w:val="21"/>
          <w:highlight w:val="none"/>
        </w:rPr>
        <w:t>。</w:t>
      </w:r>
    </w:p>
    <w:p w14:paraId="0794375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69" w:name="_Toc373478407"/>
      <w:bookmarkStart w:id="1570" w:name="_Toc418518407"/>
      <w:bookmarkStart w:id="1571" w:name="_Toc256000238"/>
      <w:bookmarkStart w:id="1572" w:name="_Toc389065325"/>
      <w:bookmarkStart w:id="1573" w:name="_Toc373227760"/>
      <w:bookmarkStart w:id="1574" w:name="_Toc497747239"/>
      <w:bookmarkStart w:id="1575" w:name="_Toc522201787"/>
      <w:bookmarkStart w:id="1576" w:name="_Toc418751857"/>
      <w:bookmarkStart w:id="1577" w:name="_Toc1173"/>
      <w:bookmarkStart w:id="1578" w:name="_Toc497746842"/>
      <w:bookmarkStart w:id="1579" w:name="_Toc418752303"/>
      <w:bookmarkStart w:id="1580" w:name="_Toc403578995"/>
      <w:bookmarkStart w:id="1581" w:name="_Toc418518171"/>
      <w:bookmarkStart w:id="1582" w:name="_Toc418061372"/>
      <w:r>
        <w:rPr>
          <w:rFonts w:hint="eastAsia" w:ascii="宋体" w:cs="宋体"/>
          <w:color w:val="auto"/>
          <w:highlight w:val="none"/>
        </w:rPr>
        <w:t>14.2 竣工结算审核</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14:paraId="449D284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发包人审批竣工付款申请单的期限：</w:t>
      </w:r>
    </w:p>
    <w:tbl>
      <w:tblPr>
        <w:tblStyle w:val="2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16"/>
        <w:gridCol w:w="5817"/>
      </w:tblGrid>
      <w:tr w14:paraId="1F28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AC3F6DA">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p>
        </w:tc>
        <w:tc>
          <w:tcPr>
            <w:tcW w:w="2616" w:type="dxa"/>
            <w:noWrap w:val="0"/>
            <w:vAlign w:val="center"/>
          </w:tcPr>
          <w:p w14:paraId="061E1FE5">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工程竣工结算报告金额</w:t>
            </w:r>
          </w:p>
        </w:tc>
        <w:tc>
          <w:tcPr>
            <w:tcW w:w="5817" w:type="dxa"/>
            <w:noWrap w:val="0"/>
            <w:vAlign w:val="center"/>
          </w:tcPr>
          <w:p w14:paraId="4606CF06">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发包人审查时间</w:t>
            </w:r>
          </w:p>
        </w:tc>
      </w:tr>
      <w:tr w14:paraId="03E0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AB58DE1">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2616" w:type="dxa"/>
            <w:noWrap w:val="0"/>
            <w:vAlign w:val="center"/>
          </w:tcPr>
          <w:p w14:paraId="45FF3CCB">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500万元以下</w:t>
            </w:r>
          </w:p>
        </w:tc>
        <w:tc>
          <w:tcPr>
            <w:tcW w:w="5817" w:type="dxa"/>
            <w:noWrap w:val="0"/>
            <w:vAlign w:val="center"/>
          </w:tcPr>
          <w:p w14:paraId="3859AE90">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从接到竣工结算报告和完整的竣工结算资料之日起20天</w:t>
            </w:r>
          </w:p>
        </w:tc>
      </w:tr>
      <w:tr w14:paraId="2A8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361CFD9">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2616" w:type="dxa"/>
            <w:noWrap w:val="0"/>
            <w:vAlign w:val="center"/>
          </w:tcPr>
          <w:p w14:paraId="5B3AC83C">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500万元-2000万元</w:t>
            </w:r>
          </w:p>
        </w:tc>
        <w:tc>
          <w:tcPr>
            <w:tcW w:w="5817" w:type="dxa"/>
            <w:noWrap w:val="0"/>
            <w:vAlign w:val="center"/>
          </w:tcPr>
          <w:p w14:paraId="23885A88">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从接到竣工结算报告和完整的竣工结算资料之日起30天</w:t>
            </w:r>
          </w:p>
        </w:tc>
      </w:tr>
      <w:tr w14:paraId="593E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D0DDAD">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2616" w:type="dxa"/>
            <w:noWrap w:val="0"/>
            <w:vAlign w:val="center"/>
          </w:tcPr>
          <w:p w14:paraId="0E17C2A6">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2000万元-5000万元</w:t>
            </w:r>
          </w:p>
        </w:tc>
        <w:tc>
          <w:tcPr>
            <w:tcW w:w="5817" w:type="dxa"/>
            <w:noWrap w:val="0"/>
            <w:vAlign w:val="center"/>
          </w:tcPr>
          <w:p w14:paraId="69AE4699">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从接到竣工结算报告和完整的竣工结算资料之日起45天</w:t>
            </w:r>
          </w:p>
        </w:tc>
      </w:tr>
      <w:tr w14:paraId="1091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00810FB">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2616" w:type="dxa"/>
            <w:noWrap w:val="0"/>
            <w:vAlign w:val="center"/>
          </w:tcPr>
          <w:p w14:paraId="4EA51B06">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5000万元以上</w:t>
            </w:r>
          </w:p>
        </w:tc>
        <w:tc>
          <w:tcPr>
            <w:tcW w:w="5817" w:type="dxa"/>
            <w:noWrap w:val="0"/>
            <w:vAlign w:val="center"/>
          </w:tcPr>
          <w:p w14:paraId="50D2FB30">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从接到竣工结算报告和完整的竣工结算资料之日起60天</w:t>
            </w:r>
          </w:p>
        </w:tc>
      </w:tr>
    </w:tbl>
    <w:p w14:paraId="4F70C60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因承包人提供的结算资料不完整而需要补充或承包人不按时对账耽误时间时，审查时间应相应顺延</w:t>
      </w:r>
      <w:r>
        <w:rPr>
          <w:rFonts w:hint="eastAsia" w:ascii="宋体" w:hAnsi="宋体" w:cs="宋体"/>
          <w:color w:val="auto"/>
          <w:szCs w:val="21"/>
          <w:highlight w:val="none"/>
        </w:rPr>
        <w:t>。</w:t>
      </w:r>
    </w:p>
    <w:p w14:paraId="400CF02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发包人完成竣工付款的期限：</w:t>
      </w:r>
      <w:r>
        <w:rPr>
          <w:rFonts w:ascii="宋体" w:hAnsi="宋体" w:cs="宋体"/>
          <w:color w:val="auto"/>
          <w:szCs w:val="21"/>
          <w:highlight w:val="none"/>
          <w:u w:val="single"/>
        </w:rPr>
        <w:t>结算审核报告出具</w:t>
      </w:r>
      <w:r>
        <w:rPr>
          <w:rFonts w:hint="eastAsia" w:ascii="宋体" w:hAnsi="宋体" w:cs="宋体"/>
          <w:color w:val="auto"/>
          <w:szCs w:val="21"/>
          <w:highlight w:val="none"/>
          <w:u w:val="single"/>
        </w:rPr>
        <w:t>后且</w:t>
      </w:r>
      <w:r>
        <w:rPr>
          <w:rFonts w:hint="eastAsia" w:ascii="宋体" w:hAnsi="宋体"/>
          <w:color w:val="auto"/>
          <w:szCs w:val="21"/>
          <w:highlight w:val="none"/>
          <w:u w:val="single"/>
        </w:rPr>
        <w:t>审核完承包人的竣工付款申请单30天内</w:t>
      </w:r>
      <w:r>
        <w:rPr>
          <w:rFonts w:hint="eastAsia" w:ascii="宋体" w:hAnsi="宋体" w:cs="宋体"/>
          <w:color w:val="auto"/>
          <w:szCs w:val="21"/>
          <w:highlight w:val="none"/>
        </w:rPr>
        <w:t>。</w:t>
      </w:r>
    </w:p>
    <w:p w14:paraId="3CCE6D3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关于竣工付款证书异议部分复核的方式和程序：</w:t>
      </w:r>
      <w:r>
        <w:rPr>
          <w:rFonts w:hint="eastAsia" w:ascii="宋体" w:hAnsi="宋体" w:cs="宋体"/>
          <w:color w:val="auto"/>
          <w:szCs w:val="21"/>
          <w:highlight w:val="none"/>
          <w:u w:val="single"/>
        </w:rPr>
        <w:t>存在异议的部分，由承包人核对后对异议部分进行书面描叙，并交由发包人再次审定。</w:t>
      </w:r>
    </w:p>
    <w:p w14:paraId="53EFA87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83" w:name="_Toc256000239"/>
      <w:bookmarkStart w:id="1584" w:name="_Toc389065326"/>
      <w:bookmarkStart w:id="1585" w:name="_Toc403578996"/>
      <w:bookmarkStart w:id="1586" w:name="_Toc418752304"/>
      <w:bookmarkStart w:id="1587" w:name="_Toc418518172"/>
      <w:bookmarkStart w:id="1588" w:name="_Toc373227761"/>
      <w:bookmarkStart w:id="1589" w:name="_Toc418518408"/>
      <w:bookmarkStart w:id="1590" w:name="_Toc522201788"/>
      <w:bookmarkStart w:id="1591" w:name="_Toc418061373"/>
      <w:bookmarkStart w:id="1592" w:name="_Toc497747240"/>
      <w:bookmarkStart w:id="1593" w:name="_Toc497746843"/>
      <w:bookmarkStart w:id="1594" w:name="_Toc418751858"/>
      <w:bookmarkStart w:id="1595" w:name="_Toc373478408"/>
      <w:bookmarkStart w:id="1596" w:name="_Toc12829"/>
      <w:r>
        <w:rPr>
          <w:rFonts w:hint="eastAsia" w:ascii="宋体" w:cs="宋体"/>
          <w:color w:val="auto"/>
          <w:highlight w:val="none"/>
        </w:rPr>
        <w:t>14.4 最终结清</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14:paraId="055A583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14.4.1 最终结清申请单</w:t>
      </w:r>
    </w:p>
    <w:p w14:paraId="24CA09D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一式四份 </w:t>
      </w:r>
      <w:r>
        <w:rPr>
          <w:rFonts w:hint="eastAsia" w:ascii="宋体" w:hAnsi="宋体" w:cs="宋体"/>
          <w:color w:val="auto"/>
          <w:szCs w:val="21"/>
          <w:highlight w:val="none"/>
        </w:rPr>
        <w:t>。</w:t>
      </w:r>
    </w:p>
    <w:p w14:paraId="4FE079A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color w:val="auto"/>
          <w:kern w:val="0"/>
          <w:szCs w:val="21"/>
          <w:highlight w:val="none"/>
          <w:u w:val="single"/>
        </w:rPr>
        <w:t>缺陷责任期终止证书签发后14天内向监理人提交4份竣工付款申请单及相关证明材料</w:t>
      </w:r>
      <w:r>
        <w:rPr>
          <w:rFonts w:hint="eastAsia" w:ascii="宋体" w:hAnsi="宋体" w:cs="宋体"/>
          <w:color w:val="auto"/>
          <w:szCs w:val="21"/>
          <w:highlight w:val="none"/>
        </w:rPr>
        <w:t xml:space="preserve">。 </w:t>
      </w:r>
    </w:p>
    <w:p w14:paraId="619F8D0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14.4.2 最终结清证书和支付</w:t>
      </w:r>
    </w:p>
    <w:p w14:paraId="6AC1B79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（1）发包人完成最终结清申请单的审批并颁发最终结清证书的期限：</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szCs w:val="21"/>
          <w:highlight w:val="none"/>
        </w:rPr>
        <w:t>。</w:t>
      </w:r>
    </w:p>
    <w:p w14:paraId="3A23F0C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（2）发包人完成支付的期限：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在颁发最终结清证书后的30天内 </w:t>
      </w:r>
      <w:r>
        <w:rPr>
          <w:rFonts w:hint="eastAsia" w:ascii="宋体" w:hAnsi="宋体" w:cs="宋体"/>
          <w:color w:val="auto"/>
          <w:szCs w:val="21"/>
          <w:highlight w:val="none"/>
        </w:rPr>
        <w:t>。</w:t>
      </w:r>
    </w:p>
    <w:bookmarkEnd w:id="1499"/>
    <w:bookmarkEnd w:id="1500"/>
    <w:bookmarkEnd w:id="1501"/>
    <w:bookmarkEnd w:id="1502"/>
    <w:bookmarkEnd w:id="1503"/>
    <w:bookmarkEnd w:id="1504"/>
    <w:bookmarkEnd w:id="1505"/>
    <w:bookmarkEnd w:id="1511"/>
    <w:p w14:paraId="78125CEC">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597" w:name="_Toc389065327"/>
      <w:bookmarkStart w:id="1598" w:name="_Toc373478409"/>
      <w:bookmarkStart w:id="1599" w:name="_Toc9180"/>
      <w:bookmarkStart w:id="1600" w:name="_Toc351203647"/>
      <w:bookmarkStart w:id="1601" w:name="_Toc418518173"/>
      <w:bookmarkStart w:id="1602" w:name="_Toc522201789"/>
      <w:bookmarkStart w:id="1603" w:name="_Toc403578997"/>
      <w:bookmarkStart w:id="1604" w:name="_Toc418518409"/>
      <w:bookmarkStart w:id="1605" w:name="_Toc497747241"/>
      <w:bookmarkStart w:id="1606" w:name="_Toc418061374"/>
      <w:bookmarkStart w:id="1607" w:name="_Toc256000240"/>
      <w:bookmarkStart w:id="1608" w:name="_Toc418751859"/>
      <w:bookmarkStart w:id="1609" w:name="_Toc373227762"/>
      <w:bookmarkStart w:id="1610" w:name="_Toc418752305"/>
      <w:bookmarkStart w:id="1611" w:name="_Toc497746844"/>
      <w:bookmarkStart w:id="1612" w:name="_Toc267251483"/>
      <w:bookmarkStart w:id="1613" w:name="_Toc267251482"/>
      <w:bookmarkStart w:id="1614" w:name="_Toc267251484"/>
      <w:bookmarkStart w:id="1615" w:name="_Toc267251485"/>
      <w:bookmarkStart w:id="1616" w:name="_Toc267251490"/>
      <w:bookmarkStart w:id="1617" w:name="_Toc267251489"/>
      <w:bookmarkStart w:id="1618" w:name="_Toc267251488"/>
      <w:bookmarkStart w:id="1619" w:name="_Toc267251486"/>
      <w:bookmarkStart w:id="1620" w:name="_Toc267251495"/>
      <w:bookmarkStart w:id="1621" w:name="_Toc267251502"/>
      <w:bookmarkStart w:id="1622" w:name="_Toc267251497"/>
      <w:bookmarkStart w:id="1623" w:name="_Toc267251491"/>
      <w:bookmarkStart w:id="1624" w:name="_Toc267251501"/>
      <w:bookmarkStart w:id="1625" w:name="_Toc267251493"/>
      <w:bookmarkStart w:id="1626" w:name="_Toc267251494"/>
      <w:bookmarkStart w:id="1627" w:name="_Toc267251499"/>
      <w:bookmarkStart w:id="1628" w:name="_Toc267251498"/>
      <w:bookmarkStart w:id="1629" w:name="_Toc267251492"/>
      <w:bookmarkStart w:id="1630" w:name="_Toc267251496"/>
      <w:bookmarkStart w:id="1631" w:name="_Toc267251503"/>
      <w:bookmarkStart w:id="1632" w:name="_Toc267251506"/>
      <w:bookmarkStart w:id="1633" w:name="_Toc267251504"/>
      <w:bookmarkStart w:id="1634" w:name="_Toc267251507"/>
      <w:bookmarkStart w:id="1635" w:name="_Toc267251508"/>
      <w:bookmarkStart w:id="1636" w:name="_Toc267251514"/>
      <w:bookmarkStart w:id="1637" w:name="_Toc267251515"/>
      <w:bookmarkStart w:id="1638" w:name="_Toc267251511"/>
      <w:bookmarkStart w:id="1639" w:name="_Toc267251509"/>
      <w:bookmarkStart w:id="1640" w:name="_Toc267251510"/>
      <w:bookmarkStart w:id="1641" w:name="_Toc267251513"/>
      <w:r>
        <w:rPr>
          <w:rFonts w:hint="eastAsia" w:ascii="宋体" w:cs="宋体"/>
          <w:color w:val="auto"/>
          <w:highlight w:val="none"/>
        </w:rPr>
        <w:t>15</w:t>
      </w:r>
      <w:r>
        <w:rPr>
          <w:rFonts w:hint="eastAsia" w:ascii="宋体" w:hAnsi="宋体" w:eastAsia="宋体" w:cs="宋体"/>
          <w:color w:val="auto"/>
          <w:highlight w:val="none"/>
        </w:rPr>
        <w:t xml:space="preserve">. </w:t>
      </w:r>
      <w:r>
        <w:rPr>
          <w:rFonts w:hint="eastAsia" w:ascii="宋体" w:cs="宋体"/>
          <w:color w:val="auto"/>
          <w:highlight w:val="none"/>
        </w:rPr>
        <w:t>缺陷责任期与保修</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14:paraId="4DEB050D">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642" w:name="_Toc389065328"/>
      <w:bookmarkStart w:id="1643" w:name="_Toc418061375"/>
      <w:bookmarkStart w:id="1644" w:name="_Toc373227763"/>
      <w:bookmarkStart w:id="1645" w:name="_Toc373478410"/>
      <w:bookmarkStart w:id="1646" w:name="_Toc256000241"/>
      <w:bookmarkStart w:id="1647" w:name="_Toc418752306"/>
      <w:bookmarkStart w:id="1648" w:name="_Toc418518410"/>
      <w:bookmarkStart w:id="1649" w:name="_Toc497747242"/>
      <w:bookmarkStart w:id="1650" w:name="_Toc418518174"/>
      <w:bookmarkStart w:id="1651" w:name="_Toc24268"/>
      <w:bookmarkStart w:id="1652" w:name="_Toc522201790"/>
      <w:bookmarkStart w:id="1653" w:name="_Toc497746845"/>
      <w:bookmarkStart w:id="1654" w:name="_Toc418751860"/>
      <w:bookmarkStart w:id="1655" w:name="_Toc403578998"/>
      <w:r>
        <w:rPr>
          <w:rFonts w:hint="eastAsia" w:ascii="宋体" w:cs="宋体"/>
          <w:color w:val="auto"/>
          <w:highlight w:val="none"/>
        </w:rPr>
        <w:t>15.2 缺陷责任期</w:t>
      </w:r>
      <w:bookmarkEnd w:id="1612"/>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14:paraId="5EE79AF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缺陷责任期的具体期限：</w:t>
      </w:r>
      <w:r>
        <w:rPr>
          <w:rFonts w:hint="eastAsia" w:ascii="宋体" w:hAnsi="宋体" w:cs="宋体"/>
          <w:color w:val="auto"/>
          <w:szCs w:val="21"/>
          <w:highlight w:val="none"/>
          <w:u w:val="single"/>
        </w:rPr>
        <w:t>24个月，</w:t>
      </w:r>
      <w:r>
        <w:rPr>
          <w:rFonts w:hint="eastAsia" w:ascii="宋体" w:hAnsi="宋体" w:cs="宋体"/>
          <w:color w:val="auto"/>
          <w:kern w:val="0"/>
          <w:szCs w:val="21"/>
          <w:highlight w:val="none"/>
          <w:u w:val="single"/>
        </w:rPr>
        <w:t>工程竣工验收合格，自交付使用之日起计算</w:t>
      </w:r>
      <w:r>
        <w:rPr>
          <w:rFonts w:hint="eastAsia" w:ascii="宋体" w:hAnsi="宋体" w:cs="宋体"/>
          <w:color w:val="auto"/>
          <w:szCs w:val="21"/>
          <w:highlight w:val="none"/>
          <w:u w:val="single"/>
        </w:rPr>
        <w:t>，按照《建设工程质量管理条例》执行，</w:t>
      </w:r>
      <w:r>
        <w:rPr>
          <w:rFonts w:hint="eastAsia" w:ascii="宋体" w:hAnsi="宋体" w:cs="宋体"/>
          <w:bCs/>
          <w:color w:val="auto"/>
          <w:szCs w:val="21"/>
          <w:highlight w:val="none"/>
          <w:u w:val="single"/>
        </w:rPr>
        <w:t xml:space="preserve">详见本合同附件3：《工程质量保修书》 </w:t>
      </w:r>
      <w:r>
        <w:rPr>
          <w:rFonts w:hint="eastAsia" w:ascii="宋体" w:hAnsi="宋体" w:cs="宋体"/>
          <w:color w:val="auto"/>
          <w:szCs w:val="21"/>
          <w:highlight w:val="none"/>
        </w:rPr>
        <w:t>。</w:t>
      </w:r>
    </w:p>
    <w:p w14:paraId="52D9A5D8">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656" w:name="_Toc403578999"/>
      <w:bookmarkStart w:id="1657" w:name="_Toc373478411"/>
      <w:bookmarkStart w:id="1658" w:name="_Toc16353"/>
      <w:bookmarkStart w:id="1659" w:name="_Toc497747243"/>
      <w:bookmarkStart w:id="1660" w:name="_Toc389065329"/>
      <w:bookmarkStart w:id="1661" w:name="_Toc522201791"/>
      <w:bookmarkStart w:id="1662" w:name="_Toc497746846"/>
      <w:bookmarkStart w:id="1663" w:name="_Toc373227764"/>
      <w:bookmarkStart w:id="1664" w:name="_Toc418752307"/>
      <w:bookmarkStart w:id="1665" w:name="_Toc418518411"/>
      <w:bookmarkStart w:id="1666" w:name="_Toc256000242"/>
      <w:bookmarkStart w:id="1667" w:name="_Toc418518175"/>
      <w:bookmarkStart w:id="1668" w:name="_Toc418751861"/>
      <w:bookmarkStart w:id="1669" w:name="_Toc418061376"/>
      <w:r>
        <w:rPr>
          <w:rFonts w:hint="eastAsia" w:ascii="宋体" w:cs="宋体"/>
          <w:color w:val="auto"/>
          <w:highlight w:val="none"/>
        </w:rPr>
        <w:t>15.3 质量保证金</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14:paraId="49F0A40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关于是否扣留质量保证金的约定：</w:t>
      </w:r>
      <w:r>
        <w:rPr>
          <w:rFonts w:hint="eastAsia" w:ascii="宋体" w:hAnsi="宋体" w:cs="宋体"/>
          <w:color w:val="auto"/>
          <w:kern w:val="0"/>
          <w:szCs w:val="21"/>
          <w:highlight w:val="none"/>
          <w:u w:val="single"/>
        </w:rPr>
        <w:t>按工程价款结算总额的</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 xml:space="preserve">%作为质保金 </w:t>
      </w:r>
      <w:r>
        <w:rPr>
          <w:rFonts w:hint="eastAsia" w:ascii="宋体" w:hAnsi="宋体" w:cs="宋体"/>
          <w:color w:val="auto"/>
          <w:szCs w:val="21"/>
          <w:highlight w:val="none"/>
        </w:rPr>
        <w:t>。</w:t>
      </w:r>
    </w:p>
    <w:p w14:paraId="66C321A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15.3.1 承包人提供质量保证金的方式</w:t>
      </w:r>
    </w:p>
    <w:p w14:paraId="5215D00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4C979AB2">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（1）质量保证金保函，保证金额为：</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795EBD0D">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Cs/>
          <w:color w:val="auto"/>
          <w:szCs w:val="21"/>
          <w:highlight w:val="none"/>
        </w:rPr>
        <w:t>发包人按工程价款结算总额的</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%预留工程</w:t>
      </w:r>
      <w:r>
        <w:rPr>
          <w:rFonts w:hint="eastAsia" w:ascii="宋体" w:hAnsi="宋体" w:cs="宋体"/>
          <w:bCs/>
          <w:color w:val="auto"/>
          <w:szCs w:val="21"/>
          <w:highlight w:val="none"/>
          <w:lang w:eastAsia="zh-CN"/>
        </w:rPr>
        <w:t>质量保证金</w:t>
      </w:r>
      <w:r>
        <w:rPr>
          <w:rFonts w:hint="eastAsia" w:ascii="宋体" w:hAnsi="宋体" w:cs="宋体"/>
          <w:bCs/>
          <w:color w:val="auto"/>
          <w:szCs w:val="21"/>
          <w:highlight w:val="none"/>
        </w:rPr>
        <w:t>，待缺陷责任期满后返还</w:t>
      </w:r>
      <w:r>
        <w:rPr>
          <w:rFonts w:hint="eastAsia" w:ascii="宋体" w:hAnsi="宋体" w:cs="宋体"/>
          <w:color w:val="auto"/>
          <w:kern w:val="0"/>
          <w:szCs w:val="21"/>
          <w:highlight w:val="none"/>
        </w:rPr>
        <w:t>；</w:t>
      </w:r>
    </w:p>
    <w:p w14:paraId="29B9F771">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（3）其他方式：</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w:t>
      </w:r>
    </w:p>
    <w:p w14:paraId="437B9EC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15.3.2 质量保证金的扣留</w:t>
      </w:r>
    </w:p>
    <w:p w14:paraId="1D112A9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6F9E00FA">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（1）在支付工程进度款时逐次扣留，在此情形下，质量保证金的计算基数不包括预付款的支付、扣回以及价格调整的金额；</w:t>
      </w:r>
    </w:p>
    <w:p w14:paraId="52D2C771">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（2）工程竣工结算时一次性扣留质量保证金；</w:t>
      </w:r>
    </w:p>
    <w:p w14:paraId="6194C2C4">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（3）其他扣留方式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03F1B0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关于质量保证金的补充约定：</w:t>
      </w:r>
      <w:r>
        <w:rPr>
          <w:rFonts w:hint="eastAsia" w:ascii="宋体" w:hAnsi="宋体" w:cs="宋体"/>
          <w:color w:val="auto"/>
          <w:szCs w:val="21"/>
          <w:highlight w:val="none"/>
          <w:u w:val="single"/>
        </w:rPr>
        <w:t>承包人未按照法律法规有关规定和合同约定履行质量保修义务的，发包人有权从质量保证金中扣留用于质量保修的各项支出。</w:t>
      </w:r>
      <w:r>
        <w:rPr>
          <w:rFonts w:hint="eastAsia" w:ascii="宋体" w:hAnsi="宋体" w:cs="宋体"/>
          <w:color w:val="auto"/>
          <w:kern w:val="0"/>
          <w:szCs w:val="21"/>
          <w:highlight w:val="none"/>
          <w:u w:val="single"/>
        </w:rPr>
        <w:t>发包人在工程缺陷责任期满后 14 天内将保修金一次性返回给承包人（无息）。质量保证金的返还，并不能免除承包人按照合同约定应承担的质量保修责任和应履行的质量保修义务。</w:t>
      </w:r>
    </w:p>
    <w:bookmarkEnd w:id="1613"/>
    <w:bookmarkEnd w:id="1614"/>
    <w:p w14:paraId="467C1F7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670" w:name="_Toc418518412"/>
      <w:bookmarkStart w:id="1671" w:name="_Toc256000243"/>
      <w:bookmarkStart w:id="1672" w:name="_Toc24480"/>
      <w:bookmarkStart w:id="1673" w:name="_Toc497747244"/>
      <w:bookmarkStart w:id="1674" w:name="_Toc418518176"/>
      <w:bookmarkStart w:id="1675" w:name="_Toc522201792"/>
      <w:bookmarkStart w:id="1676" w:name="_Toc418752308"/>
      <w:bookmarkStart w:id="1677" w:name="_Toc389065330"/>
      <w:bookmarkStart w:id="1678" w:name="_Toc497746847"/>
      <w:bookmarkStart w:id="1679" w:name="_Toc418061377"/>
      <w:bookmarkStart w:id="1680" w:name="_Toc418751862"/>
      <w:bookmarkStart w:id="1681" w:name="_Toc373478412"/>
      <w:bookmarkStart w:id="1682" w:name="_Toc403579000"/>
      <w:bookmarkStart w:id="1683" w:name="_Toc373227765"/>
      <w:r>
        <w:rPr>
          <w:rFonts w:hint="eastAsia" w:ascii="宋体" w:cs="宋体"/>
          <w:color w:val="auto"/>
          <w:highlight w:val="none"/>
        </w:rPr>
        <w:t>15.4 保修</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bookmarkEnd w:id="1615"/>
    <w:p w14:paraId="62C43037">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15.4.1 保修责任</w:t>
      </w:r>
    </w:p>
    <w:p w14:paraId="770554D7">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kern w:val="0"/>
          <w:szCs w:val="21"/>
          <w:highlight w:val="none"/>
        </w:rPr>
      </w:pPr>
      <w:r>
        <w:rPr>
          <w:rFonts w:hint="eastAsia" w:ascii="宋体" w:hAnsi="宋体" w:cs="宋体"/>
          <w:color w:val="auto"/>
          <w:szCs w:val="21"/>
          <w:highlight w:val="none"/>
        </w:rPr>
        <w:t>工程保修期为：</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根据《建设工程质量管理条例》及有关规定，约定本工程的保修期详见《工程质量保修书》。</w:t>
      </w:r>
    </w:p>
    <w:p w14:paraId="576117E7">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rPr>
        <w:t>工程保修书具体内容见合同附件3。</w:t>
      </w:r>
    </w:p>
    <w:p w14:paraId="72CBBB33">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15.4.3 修复通知</w:t>
      </w:r>
    </w:p>
    <w:p w14:paraId="40552A44">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承包人收到保修通知并到达工程现场的合理时间：</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highlight w:val="none"/>
          <w:u w:val="single"/>
        </w:rPr>
        <w:t>承包人应当在接到保修通知之日起七天内派人保修。承包人不在约定期限内派人保修的，发包人可以委托他人修理，所产生的费用由承包人承担</w:t>
      </w:r>
      <w:r>
        <w:rPr>
          <w:rFonts w:hint="eastAsia" w:ascii="宋体" w:hAnsi="宋体" w:cs="宋体"/>
          <w:color w:val="auto"/>
          <w:szCs w:val="21"/>
          <w:highlight w:val="none"/>
          <w:u w:val="single"/>
        </w:rPr>
        <w:t>。</w:t>
      </w:r>
    </w:p>
    <w:bookmarkEnd w:id="1616"/>
    <w:bookmarkEnd w:id="1617"/>
    <w:bookmarkEnd w:id="1618"/>
    <w:bookmarkEnd w:id="1619"/>
    <w:p w14:paraId="2CC11659">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684" w:name="_Toc351203648"/>
      <w:bookmarkStart w:id="1685" w:name="_Toc522201793"/>
      <w:bookmarkStart w:id="1686" w:name="_Toc403579001"/>
      <w:bookmarkStart w:id="1687" w:name="_Toc256000244"/>
      <w:bookmarkStart w:id="1688" w:name="_Toc497747245"/>
      <w:bookmarkStart w:id="1689" w:name="_Toc3422"/>
      <w:bookmarkStart w:id="1690" w:name="_Toc418518177"/>
      <w:bookmarkStart w:id="1691" w:name="_Toc373478413"/>
      <w:bookmarkStart w:id="1692" w:name="_Toc418061378"/>
      <w:bookmarkStart w:id="1693" w:name="_Toc418752309"/>
      <w:bookmarkStart w:id="1694" w:name="_Toc373227766"/>
      <w:bookmarkStart w:id="1695" w:name="_Toc497746848"/>
      <w:bookmarkStart w:id="1696" w:name="_Toc418518413"/>
      <w:bookmarkStart w:id="1697" w:name="_Toc418751863"/>
      <w:bookmarkStart w:id="1698" w:name="_Toc389065331"/>
      <w:bookmarkStart w:id="1699" w:name="_Toc280868717"/>
      <w:bookmarkStart w:id="1700" w:name="_Toc280868718"/>
      <w:r>
        <w:rPr>
          <w:rFonts w:hint="eastAsia" w:ascii="宋体" w:cs="宋体"/>
          <w:color w:val="auto"/>
          <w:highlight w:val="none"/>
        </w:rPr>
        <w:t>16. 违约</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51AD3942">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01" w:name="_Toc389065332"/>
      <w:bookmarkStart w:id="1702" w:name="_Toc418751864"/>
      <w:bookmarkStart w:id="1703" w:name="_Toc418752310"/>
      <w:bookmarkStart w:id="1704" w:name="_Toc497746849"/>
      <w:bookmarkStart w:id="1705" w:name="_Toc7014"/>
      <w:bookmarkStart w:id="1706" w:name="_Toc256000245"/>
      <w:bookmarkStart w:id="1707" w:name="_Toc418061379"/>
      <w:bookmarkStart w:id="1708" w:name="_Toc418518178"/>
      <w:bookmarkStart w:id="1709" w:name="_Toc373478414"/>
      <w:bookmarkStart w:id="1710" w:name="_Toc497747246"/>
      <w:bookmarkStart w:id="1711" w:name="_Toc522201794"/>
      <w:bookmarkStart w:id="1712" w:name="_Toc373227767"/>
      <w:bookmarkStart w:id="1713" w:name="_Toc418518414"/>
      <w:bookmarkStart w:id="1714" w:name="_Toc403579002"/>
      <w:r>
        <w:rPr>
          <w:rFonts w:hint="eastAsia" w:ascii="宋体" w:cs="宋体"/>
          <w:color w:val="auto"/>
          <w:highlight w:val="none"/>
        </w:rPr>
        <w:t>16.1 发包人违约</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14:paraId="6A1FEB4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16.1.1发包人违约的情形</w:t>
      </w:r>
    </w:p>
    <w:p w14:paraId="3C22DA8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发包人违约的其他情形：</w:t>
      </w:r>
      <w:r>
        <w:rPr>
          <w:rFonts w:hint="eastAsia" w:ascii="宋体" w:hAnsi="宋体" w:cs="宋体"/>
          <w:color w:val="auto"/>
          <w:kern w:val="0"/>
          <w:szCs w:val="21"/>
          <w:highlight w:val="none"/>
          <w:u w:val="single"/>
        </w:rPr>
        <w:t xml:space="preserve">    无   </w:t>
      </w:r>
      <w:r>
        <w:rPr>
          <w:rFonts w:hint="eastAsia" w:ascii="宋体" w:hAnsi="宋体" w:cs="宋体"/>
          <w:color w:val="auto"/>
          <w:kern w:val="0"/>
          <w:szCs w:val="21"/>
          <w:highlight w:val="none"/>
        </w:rPr>
        <w:t>。</w:t>
      </w:r>
    </w:p>
    <w:p w14:paraId="1DCD643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16.1.2 发包人违约的责任</w:t>
      </w:r>
    </w:p>
    <w:p w14:paraId="64D4C7F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发包人违约责任的承担方式和计算方法：</w:t>
      </w:r>
    </w:p>
    <w:p w14:paraId="474C72D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（1）因发包人原因未能在计划开工日期前7天内下达开工通知的违约责任：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76B9BE2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（2）因发包人原因未能按合同约定支付合同价款的违约责任：</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B1E6BB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（3）发包人违反第10.1款〔变更的范围〕第（2）项约定，自行实施被取消的工作或转由他人实施的违约责任：</w:t>
      </w:r>
      <w:r>
        <w:rPr>
          <w:rFonts w:hint="eastAsia" w:ascii="宋体" w:hAnsi="宋体" w:cs="宋体"/>
          <w:color w:val="auto"/>
          <w:kern w:val="0"/>
          <w:szCs w:val="21"/>
          <w:highlight w:val="none"/>
          <w:u w:val="single"/>
        </w:rPr>
        <w:t xml:space="preserve">  按通用条款执行  </w:t>
      </w:r>
      <w:r>
        <w:rPr>
          <w:rFonts w:hint="eastAsia" w:ascii="宋体" w:hAnsi="宋体" w:cs="宋体"/>
          <w:color w:val="auto"/>
          <w:kern w:val="0"/>
          <w:szCs w:val="21"/>
          <w:highlight w:val="none"/>
        </w:rPr>
        <w:t>。</w:t>
      </w:r>
    </w:p>
    <w:p w14:paraId="3E51FF5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5D1B886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（5）因发包人违反合同约定造成暂停施工的违约责任：</w:t>
      </w:r>
      <w:r>
        <w:rPr>
          <w:rFonts w:hint="eastAsia" w:ascii="宋体" w:hAnsi="宋体" w:cs="宋体"/>
          <w:color w:val="auto"/>
          <w:kern w:val="0"/>
          <w:szCs w:val="21"/>
          <w:highlight w:val="none"/>
          <w:u w:val="single"/>
        </w:rPr>
        <w:t>按通用条款执行</w:t>
      </w:r>
      <w:r>
        <w:rPr>
          <w:rFonts w:hint="eastAsia" w:ascii="宋体" w:hAnsi="宋体" w:cs="宋体"/>
          <w:color w:val="auto"/>
          <w:kern w:val="0"/>
          <w:szCs w:val="21"/>
          <w:highlight w:val="none"/>
        </w:rPr>
        <w:t>。</w:t>
      </w:r>
    </w:p>
    <w:p w14:paraId="519572E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（6）发包人无正当理由没有在约定期限内发出复工指示，导致承包人无法复工的违约责任：</w:t>
      </w:r>
      <w:r>
        <w:rPr>
          <w:rFonts w:hint="eastAsia" w:ascii="宋体" w:hAnsi="宋体" w:cs="宋体"/>
          <w:color w:val="auto"/>
          <w:kern w:val="0"/>
          <w:szCs w:val="21"/>
          <w:highlight w:val="none"/>
          <w:u w:val="single"/>
        </w:rPr>
        <w:t xml:space="preserve"> 按通用条款执行</w:t>
      </w:r>
      <w:r>
        <w:rPr>
          <w:rFonts w:hint="eastAsia" w:ascii="宋体" w:hAnsi="宋体" w:cs="宋体"/>
          <w:color w:val="auto"/>
          <w:kern w:val="0"/>
          <w:szCs w:val="21"/>
          <w:highlight w:val="none"/>
        </w:rPr>
        <w:t>。</w:t>
      </w:r>
    </w:p>
    <w:p w14:paraId="668EF7D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（7）其他：</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5BDB83C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16.1.3 因发包人违约解除合同</w:t>
      </w:r>
    </w:p>
    <w:p w14:paraId="1800B69A">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承包人按16.1.1项〔发包人违约的情形〕约定暂停施工满</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天后发包人仍不纠正其违约行为并致使合同目的不能实现的，承包人有权解除合同。</w:t>
      </w:r>
    </w:p>
    <w:p w14:paraId="148B3A3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15" w:name="_Toc256000246"/>
      <w:bookmarkStart w:id="1716" w:name="_Toc418518179"/>
      <w:bookmarkStart w:id="1717" w:name="_Toc373478415"/>
      <w:bookmarkStart w:id="1718" w:name="_Toc418751865"/>
      <w:bookmarkStart w:id="1719" w:name="_Toc418061380"/>
      <w:bookmarkStart w:id="1720" w:name="_Toc522201795"/>
      <w:bookmarkStart w:id="1721" w:name="_Toc497747247"/>
      <w:bookmarkStart w:id="1722" w:name="_Toc373227768"/>
      <w:bookmarkStart w:id="1723" w:name="_Toc12535"/>
      <w:bookmarkStart w:id="1724" w:name="_Toc418518415"/>
      <w:bookmarkStart w:id="1725" w:name="_Toc403579003"/>
      <w:bookmarkStart w:id="1726" w:name="_Toc389065333"/>
      <w:bookmarkStart w:id="1727" w:name="_Toc497746850"/>
      <w:bookmarkStart w:id="1728" w:name="_Toc418752311"/>
      <w:r>
        <w:rPr>
          <w:rFonts w:hint="eastAsia" w:ascii="宋体" w:cs="宋体"/>
          <w:color w:val="auto"/>
          <w:highlight w:val="none"/>
        </w:rPr>
        <w:t>16.2 承包人违约</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14:paraId="3FD61AA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16.2.1 承包人违约的情形</w:t>
      </w:r>
    </w:p>
    <w:p w14:paraId="41B472C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承包人违约的其他情形：</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kern w:val="0"/>
          <w:szCs w:val="21"/>
          <w:highlight w:val="none"/>
        </w:rPr>
        <w:t>。</w:t>
      </w:r>
    </w:p>
    <w:p w14:paraId="2F5B2CF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16.2.2承包人违约的责任</w:t>
      </w:r>
    </w:p>
    <w:p w14:paraId="4DC582B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承包人违约责任的承担方式和计算方法：</w:t>
      </w:r>
    </w:p>
    <w:p w14:paraId="34B379F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61AE2C9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（2）承包人有本合同通用条款第16.2.1（6）条情形的，或经监理人检验认为修复质量不合格而承包人拒绝再进行修补的，发包人将扣除承包人全部</w:t>
      </w:r>
      <w:r>
        <w:rPr>
          <w:rFonts w:hint="eastAsia" w:ascii="宋体" w:hAnsi="宋体" w:cs="宋体"/>
          <w:color w:val="auto"/>
          <w:kern w:val="0"/>
          <w:szCs w:val="21"/>
          <w:highlight w:val="none"/>
          <w:lang w:eastAsia="zh-CN"/>
        </w:rPr>
        <w:t>质量保证金</w:t>
      </w:r>
      <w:r>
        <w:rPr>
          <w:rFonts w:hint="eastAsia" w:ascii="宋体" w:hAnsi="宋体" w:cs="宋体"/>
          <w:color w:val="auto"/>
          <w:kern w:val="0"/>
          <w:szCs w:val="21"/>
          <w:highlight w:val="none"/>
        </w:rPr>
        <w:t>。</w:t>
      </w:r>
    </w:p>
    <w:p w14:paraId="6D27732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w:t>
      </w:r>
      <w:r>
        <w:rPr>
          <w:rFonts w:hint="eastAsia" w:ascii="宋体" w:hAnsi="宋体" w:cs="宋体"/>
          <w:color w:val="auto"/>
          <w:szCs w:val="21"/>
          <w:highlight w:val="none"/>
        </w:rPr>
        <w:t>承包人在合同期内，完成合同规定的全部工程，且质量合格，在本工程施工竣工验收后十五天内可申请返还全部或部分罚款，返还金额由监理人审核，发包人批准。罚款金额返还时不包括银行利息。</w:t>
      </w:r>
      <w:r>
        <w:rPr>
          <w:rFonts w:hint="eastAsia" w:ascii="宋体" w:hAnsi="宋体" w:cs="宋体"/>
          <w:color w:val="auto"/>
          <w:kern w:val="0"/>
          <w:szCs w:val="21"/>
          <w:highlight w:val="none"/>
        </w:rPr>
        <w:t>承包人履约保证金被罚款后由发包人从最后一次计量支付时扣除相应金额补足履约保证金。</w:t>
      </w:r>
    </w:p>
    <w:p w14:paraId="7B56602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16.2.3 因承包人违约解除合同</w:t>
      </w:r>
    </w:p>
    <w:p w14:paraId="6B0D88A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关于承包人违约解除合同的特别约定：</w:t>
      </w:r>
      <w:r>
        <w:rPr>
          <w:rFonts w:hint="eastAsia" w:ascii="宋体" w:hAnsi="宋体" w:cs="宋体"/>
          <w:color w:val="auto"/>
          <w:kern w:val="0"/>
          <w:szCs w:val="21"/>
          <w:highlight w:val="none"/>
          <w:u w:val="single"/>
        </w:rPr>
        <w:t>承包人有违反以下情况之一的，发包人有权解除合同，并没收其全部履约保证金</w:t>
      </w:r>
      <w:r>
        <w:rPr>
          <w:rFonts w:hint="eastAsia" w:ascii="宋体" w:hAnsi="宋体" w:cs="宋体"/>
          <w:color w:val="auto"/>
          <w:kern w:val="0"/>
          <w:szCs w:val="21"/>
          <w:highlight w:val="none"/>
        </w:rPr>
        <w:t>。</w:t>
      </w:r>
    </w:p>
    <w:p w14:paraId="1BACBB1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(1)承包人无正当理由不按开工通知的要求及时进场组织施工和不按签订协议书时商定的进度计划有效地开展施工准备，造成工期延误的；</w:t>
      </w:r>
    </w:p>
    <w:p w14:paraId="08EFC15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(2)承包人违反本合同通用条款第3.5条规定私自将合同或合同的任何部分或任何权利转让给其他人，或私自将工程或工程的一部分分包出去的；</w:t>
      </w:r>
    </w:p>
    <w:p w14:paraId="0E16E75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(3)未经监理人批准，承包人私自将已按投标文件承诺进入工地的工程设备、施工设备、临时工程或材料撤离工地的；</w:t>
      </w:r>
    </w:p>
    <w:p w14:paraId="259D7C3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(4)由于承包人原因拒绝按合同进度计划及时完成合同规定的工程，而又未采取有效措施赶上进度，造成工期延误的；</w:t>
      </w:r>
    </w:p>
    <w:p w14:paraId="6B8757E2">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(5)承包人否认合同有效或拒绝履行合同规定的承包人义务，或由于法律、财务等原因导致承包人无法继续履行或实质上已停止履行合同的义务的；</w:t>
      </w:r>
    </w:p>
    <w:p w14:paraId="728E586F">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(6)合同签订之日起十五日内，承包人无法按合同规定及投标文件的承诺进场经监理工程师认可的全部人员和机械的。</w:t>
      </w:r>
    </w:p>
    <w:p w14:paraId="09C99FD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Cs w:val="21"/>
          <w:highlight w:val="none"/>
          <w:u w:val="single"/>
        </w:rPr>
        <w:t xml:space="preserve">   协商决定   </w:t>
      </w:r>
      <w:r>
        <w:rPr>
          <w:rFonts w:hint="eastAsia" w:ascii="宋体" w:hAnsi="宋体" w:cs="宋体"/>
          <w:color w:val="auto"/>
          <w:kern w:val="0"/>
          <w:szCs w:val="21"/>
          <w:highlight w:val="none"/>
        </w:rPr>
        <w:t>。</w:t>
      </w:r>
    </w:p>
    <w:p w14:paraId="0F68D95B">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729" w:name="_Toc418752312"/>
      <w:bookmarkStart w:id="1730" w:name="_Toc522201796"/>
      <w:bookmarkStart w:id="1731" w:name="_Toc24826"/>
      <w:bookmarkStart w:id="1732" w:name="_Toc389065334"/>
      <w:bookmarkStart w:id="1733" w:name="_Toc497746851"/>
      <w:bookmarkStart w:id="1734" w:name="_Toc373227769"/>
      <w:bookmarkStart w:id="1735" w:name="_Toc351203649"/>
      <w:bookmarkStart w:id="1736" w:name="_Toc418518416"/>
      <w:bookmarkStart w:id="1737" w:name="_Toc418518180"/>
      <w:bookmarkStart w:id="1738" w:name="_Toc497747248"/>
      <w:bookmarkStart w:id="1739" w:name="_Toc256000247"/>
      <w:bookmarkStart w:id="1740" w:name="_Toc373478416"/>
      <w:bookmarkStart w:id="1741" w:name="_Toc418061381"/>
      <w:bookmarkStart w:id="1742" w:name="_Toc418751866"/>
      <w:bookmarkStart w:id="1743" w:name="_Toc403579004"/>
      <w:r>
        <w:rPr>
          <w:rFonts w:hint="eastAsia" w:ascii="宋体" w:cs="宋体"/>
          <w:color w:val="auto"/>
          <w:highlight w:val="none"/>
        </w:rPr>
        <w:t>17. 不可抗力</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Pr>
          <w:rFonts w:hint="eastAsia" w:ascii="宋体" w:cs="宋体"/>
          <w:color w:val="auto"/>
          <w:highlight w:val="none"/>
        </w:rPr>
        <w:t xml:space="preserve"> </w:t>
      </w:r>
      <w:bookmarkEnd w:id="1699"/>
    </w:p>
    <w:p w14:paraId="3F09571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44" w:name="_Toc418061382"/>
      <w:bookmarkStart w:id="1745" w:name="_Toc418518181"/>
      <w:bookmarkStart w:id="1746" w:name="_Toc522201797"/>
      <w:bookmarkStart w:id="1747" w:name="_Toc389065335"/>
      <w:bookmarkStart w:id="1748" w:name="_Toc418752313"/>
      <w:bookmarkStart w:id="1749" w:name="_Toc497746852"/>
      <w:bookmarkStart w:id="1750" w:name="_Toc418518417"/>
      <w:bookmarkStart w:id="1751" w:name="_Toc497747249"/>
      <w:bookmarkStart w:id="1752" w:name="_Toc373478417"/>
      <w:bookmarkStart w:id="1753" w:name="_Toc418751867"/>
      <w:bookmarkStart w:id="1754" w:name="_Toc373227770"/>
      <w:bookmarkStart w:id="1755" w:name="_Toc12218"/>
      <w:bookmarkStart w:id="1756" w:name="_Toc403579005"/>
      <w:bookmarkStart w:id="1757" w:name="_Toc256000248"/>
      <w:r>
        <w:rPr>
          <w:rFonts w:hint="eastAsia" w:ascii="宋体" w:cs="宋体"/>
          <w:color w:val="auto"/>
          <w:highlight w:val="none"/>
        </w:rPr>
        <w:t>17.1 不可抗力的确认</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14:paraId="0FF66C61">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szCs w:val="21"/>
          <w:highlight w:val="none"/>
        </w:rPr>
        <w:t>除通用合同条款约定的不可抗力事件之外，视为不可抗力的其他情形：</w:t>
      </w:r>
      <w:r>
        <w:rPr>
          <w:rFonts w:hint="eastAsia" w:ascii="宋体" w:hAnsi="宋体" w:cs="宋体"/>
          <w:color w:val="auto"/>
          <w:kern w:val="0"/>
          <w:highlight w:val="none"/>
          <w:u w:val="single"/>
        </w:rPr>
        <w:t>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w:t>
      </w:r>
      <w:r>
        <w:rPr>
          <w:rFonts w:hint="eastAsia" w:ascii="宋体" w:hAnsi="宋体" w:cs="宋体"/>
          <w:color w:val="auto"/>
          <w:kern w:val="0"/>
          <w:highlight w:val="none"/>
        </w:rPr>
        <w:t>。</w:t>
      </w:r>
    </w:p>
    <w:p w14:paraId="4FAE732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58" w:name="_Toc389065336"/>
      <w:bookmarkStart w:id="1759" w:name="_Toc256000249"/>
      <w:bookmarkStart w:id="1760" w:name="_Toc497746853"/>
      <w:bookmarkStart w:id="1761" w:name="_Toc418751868"/>
      <w:bookmarkStart w:id="1762" w:name="_Toc497747250"/>
      <w:bookmarkStart w:id="1763" w:name="_Toc418518182"/>
      <w:bookmarkStart w:id="1764" w:name="_Toc373227771"/>
      <w:bookmarkStart w:id="1765" w:name="_Toc373478418"/>
      <w:bookmarkStart w:id="1766" w:name="_Toc418518418"/>
      <w:bookmarkStart w:id="1767" w:name="_Toc21582"/>
      <w:bookmarkStart w:id="1768" w:name="_Toc522201798"/>
      <w:bookmarkStart w:id="1769" w:name="_Toc418752314"/>
      <w:bookmarkStart w:id="1770" w:name="_Toc403579006"/>
      <w:bookmarkStart w:id="1771" w:name="_Toc418061383"/>
      <w:r>
        <w:rPr>
          <w:rFonts w:hint="eastAsia" w:ascii="宋体" w:cs="宋体"/>
          <w:color w:val="auto"/>
          <w:highlight w:val="none"/>
        </w:rPr>
        <w:t>17.4 因不可抗力解除合同</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14:paraId="3A0AD81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合同解除后，发包人应在商定或确定发包人应支付款项后</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天内完成款项的支付。</w:t>
      </w:r>
    </w:p>
    <w:p w14:paraId="7C2E7BF5">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772" w:name="_Toc418751869"/>
      <w:bookmarkStart w:id="1773" w:name="_Toc373227772"/>
      <w:bookmarkStart w:id="1774" w:name="_Toc403579007"/>
      <w:bookmarkStart w:id="1775" w:name="_Toc373478419"/>
      <w:bookmarkStart w:id="1776" w:name="_Toc418061384"/>
      <w:bookmarkStart w:id="1777" w:name="_Toc522201799"/>
      <w:bookmarkStart w:id="1778" w:name="_Toc418518419"/>
      <w:bookmarkStart w:id="1779" w:name="_Toc351203650"/>
      <w:bookmarkStart w:id="1780" w:name="_Toc389065337"/>
      <w:bookmarkStart w:id="1781" w:name="_Toc497746854"/>
      <w:bookmarkStart w:id="1782" w:name="_Toc418752315"/>
      <w:bookmarkStart w:id="1783" w:name="_Toc10404"/>
      <w:bookmarkStart w:id="1784" w:name="_Toc256000250"/>
      <w:bookmarkStart w:id="1785" w:name="_Toc497747251"/>
      <w:bookmarkStart w:id="1786" w:name="_Toc418518183"/>
      <w:r>
        <w:rPr>
          <w:rFonts w:hint="eastAsia" w:ascii="宋体" w:cs="宋体"/>
          <w:color w:val="auto"/>
          <w:highlight w:val="none"/>
        </w:rPr>
        <w:t>18. 保险</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bookmarkEnd w:id="1700"/>
    <w:p w14:paraId="63F7B12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87" w:name="_Toc497747252"/>
      <w:bookmarkStart w:id="1788" w:name="_Toc497746855"/>
      <w:bookmarkStart w:id="1789" w:name="_Toc256000251"/>
      <w:bookmarkStart w:id="1790" w:name="_Toc373227773"/>
      <w:bookmarkStart w:id="1791" w:name="_Toc418751870"/>
      <w:bookmarkStart w:id="1792" w:name="_Toc373478420"/>
      <w:bookmarkStart w:id="1793" w:name="_Toc403579008"/>
      <w:bookmarkStart w:id="1794" w:name="_Toc418518184"/>
      <w:bookmarkStart w:id="1795" w:name="_Toc25051"/>
      <w:bookmarkStart w:id="1796" w:name="_Toc418752316"/>
      <w:bookmarkStart w:id="1797" w:name="_Toc418518420"/>
      <w:bookmarkStart w:id="1798" w:name="_Toc418061385"/>
      <w:bookmarkStart w:id="1799" w:name="_Toc389065338"/>
      <w:bookmarkStart w:id="1800" w:name="_Toc522201800"/>
      <w:r>
        <w:rPr>
          <w:rFonts w:hint="eastAsia" w:ascii="宋体" w:cs="宋体"/>
          <w:color w:val="auto"/>
          <w:highlight w:val="none"/>
        </w:rPr>
        <w:t>18.1 工程保险</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14:paraId="6FEB4DE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关于工程保险的特别约定：</w:t>
      </w:r>
      <w:r>
        <w:rPr>
          <w:rFonts w:hint="eastAsia" w:ascii="宋体" w:hAnsi="宋体" w:cs="宋体"/>
          <w:color w:val="auto"/>
          <w:kern w:val="0"/>
          <w:szCs w:val="21"/>
          <w:highlight w:val="none"/>
          <w:u w:val="single"/>
        </w:rPr>
        <w:t>承包人应投保建筑工程一切险并承担与之相关的所有费用</w:t>
      </w:r>
      <w:r>
        <w:rPr>
          <w:rFonts w:hint="eastAsia" w:ascii="宋体" w:hAnsi="宋体" w:cs="宋体"/>
          <w:color w:val="auto"/>
          <w:kern w:val="0"/>
          <w:szCs w:val="21"/>
          <w:highlight w:val="none"/>
        </w:rPr>
        <w:t>。</w:t>
      </w:r>
    </w:p>
    <w:p w14:paraId="1527E42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01" w:name="_Toc497746856"/>
      <w:bookmarkStart w:id="1802" w:name="_Toc256000252"/>
      <w:bookmarkStart w:id="1803" w:name="_Toc14806"/>
      <w:bookmarkStart w:id="1804" w:name="_Toc389065339"/>
      <w:bookmarkStart w:id="1805" w:name="_Toc418518185"/>
      <w:bookmarkStart w:id="1806" w:name="_Toc403579009"/>
      <w:bookmarkStart w:id="1807" w:name="_Toc373227774"/>
      <w:bookmarkStart w:id="1808" w:name="_Toc418061386"/>
      <w:bookmarkStart w:id="1809" w:name="_Toc522201801"/>
      <w:bookmarkStart w:id="1810" w:name="_Toc418518421"/>
      <w:bookmarkStart w:id="1811" w:name="_Toc497747253"/>
      <w:bookmarkStart w:id="1812" w:name="_Toc418751871"/>
      <w:bookmarkStart w:id="1813" w:name="_Toc373478421"/>
      <w:bookmarkStart w:id="1814" w:name="_Toc418752317"/>
      <w:r>
        <w:rPr>
          <w:rFonts w:hint="eastAsia" w:ascii="宋体" w:cs="宋体"/>
          <w:color w:val="auto"/>
          <w:highlight w:val="none"/>
        </w:rPr>
        <w:t>18.3 其他保险</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14:paraId="717C9A5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关于其他保险的约定：</w:t>
      </w:r>
      <w:r>
        <w:rPr>
          <w:rFonts w:hint="eastAsia" w:ascii="宋体" w:hAnsi="宋体" w:cs="宋体"/>
          <w:color w:val="auto"/>
          <w:kern w:val="0"/>
          <w:highlight w:val="none"/>
          <w:u w:val="single"/>
        </w:rPr>
        <w:t xml:space="preserve">按相关文件执行 </w:t>
      </w:r>
      <w:r>
        <w:rPr>
          <w:rFonts w:hint="eastAsia" w:ascii="宋体" w:hAnsi="宋体" w:cs="宋体"/>
          <w:bCs/>
          <w:color w:val="auto"/>
          <w:szCs w:val="21"/>
          <w:highlight w:val="none"/>
        </w:rPr>
        <w:t>。</w:t>
      </w:r>
    </w:p>
    <w:p w14:paraId="16D4ACA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按通用条款执行，无特殊约定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6B62F5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15" w:name="_Toc627"/>
      <w:bookmarkStart w:id="1816" w:name="_Toc418061387"/>
      <w:bookmarkStart w:id="1817" w:name="_Toc373478422"/>
      <w:bookmarkStart w:id="1818" w:name="_Toc418518422"/>
      <w:bookmarkStart w:id="1819" w:name="_Toc497747254"/>
      <w:bookmarkStart w:id="1820" w:name="_Toc418518186"/>
      <w:bookmarkStart w:id="1821" w:name="_Toc373227775"/>
      <w:bookmarkStart w:id="1822" w:name="_Toc256000253"/>
      <w:bookmarkStart w:id="1823" w:name="_Toc418751872"/>
      <w:bookmarkStart w:id="1824" w:name="_Toc418752318"/>
      <w:bookmarkStart w:id="1825" w:name="_Toc403579010"/>
      <w:bookmarkStart w:id="1826" w:name="_Toc497746857"/>
      <w:bookmarkStart w:id="1827" w:name="_Toc389065340"/>
      <w:bookmarkStart w:id="1828" w:name="_Toc522201802"/>
      <w:r>
        <w:rPr>
          <w:rFonts w:hint="eastAsia" w:ascii="宋体" w:cs="宋体"/>
          <w:color w:val="auto"/>
          <w:highlight w:val="none"/>
        </w:rPr>
        <w:t>18.7 通知义务</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14:paraId="0058EF0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关于变更保险合同时的通知义务的约定：</w:t>
      </w:r>
      <w:r>
        <w:rPr>
          <w:rFonts w:hint="eastAsia" w:ascii="宋体" w:hAnsi="宋体" w:cs="宋体"/>
          <w:color w:val="auto"/>
          <w:szCs w:val="21"/>
          <w:highlight w:val="none"/>
          <w:u w:val="single"/>
        </w:rPr>
        <w:t xml:space="preserve">  变更应通知当事人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bookmarkEnd w:id="1620"/>
    <w:bookmarkEnd w:id="1621"/>
    <w:bookmarkEnd w:id="1622"/>
    <w:bookmarkEnd w:id="1623"/>
    <w:bookmarkEnd w:id="1624"/>
    <w:bookmarkEnd w:id="1625"/>
    <w:bookmarkEnd w:id="1626"/>
    <w:bookmarkEnd w:id="1627"/>
    <w:bookmarkEnd w:id="1628"/>
    <w:bookmarkEnd w:id="1629"/>
    <w:bookmarkEnd w:id="1630"/>
    <w:bookmarkEnd w:id="1631"/>
    <w:p w14:paraId="45BBF2CA">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829" w:name="_Toc418518187"/>
      <w:bookmarkStart w:id="1830" w:name="_Toc389065341"/>
      <w:bookmarkStart w:id="1831" w:name="_Toc256000254"/>
      <w:bookmarkStart w:id="1832" w:name="_Toc403579011"/>
      <w:bookmarkStart w:id="1833" w:name="_Toc418061388"/>
      <w:bookmarkStart w:id="1834" w:name="_Toc373227776"/>
      <w:bookmarkStart w:id="1835" w:name="_Toc418751873"/>
      <w:bookmarkStart w:id="1836" w:name="_Toc497746858"/>
      <w:bookmarkStart w:id="1837" w:name="_Toc418752319"/>
      <w:bookmarkStart w:id="1838" w:name="_Toc373478423"/>
      <w:bookmarkStart w:id="1839" w:name="_Toc351203651"/>
      <w:bookmarkStart w:id="1840" w:name="_Toc418518423"/>
      <w:bookmarkStart w:id="1841" w:name="_Toc25758"/>
      <w:bookmarkStart w:id="1842" w:name="_Toc522201803"/>
      <w:bookmarkStart w:id="1843" w:name="_Toc497747255"/>
      <w:r>
        <w:rPr>
          <w:rFonts w:hint="eastAsia" w:ascii="宋体" w:hAnsi="宋体" w:eastAsia="宋体" w:cs="宋体"/>
          <w:color w:val="auto"/>
          <w:highlight w:val="none"/>
        </w:rPr>
        <w:t>20</w:t>
      </w:r>
      <w:r>
        <w:rPr>
          <w:rFonts w:hint="eastAsia" w:ascii="宋体" w:cs="宋体"/>
          <w:color w:val="auto"/>
          <w:highlight w:val="none"/>
        </w:rPr>
        <w:t>. 争议解决</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bookmarkEnd w:id="1632"/>
    <w:bookmarkEnd w:id="1633"/>
    <w:p w14:paraId="3B6228D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44" w:name="_Toc418518424"/>
      <w:bookmarkStart w:id="1845" w:name="_Toc403579012"/>
      <w:bookmarkStart w:id="1846" w:name="_Toc373478424"/>
      <w:bookmarkStart w:id="1847" w:name="_Toc418752320"/>
      <w:bookmarkStart w:id="1848" w:name="_Toc418751874"/>
      <w:bookmarkStart w:id="1849" w:name="_Toc373227777"/>
      <w:bookmarkStart w:id="1850" w:name="_Toc389065342"/>
      <w:bookmarkStart w:id="1851" w:name="_Toc256000255"/>
      <w:bookmarkStart w:id="1852" w:name="_Toc497746859"/>
      <w:bookmarkStart w:id="1853" w:name="_Toc418061389"/>
      <w:bookmarkStart w:id="1854" w:name="_Toc418518188"/>
      <w:bookmarkStart w:id="1855" w:name="_Toc522201804"/>
      <w:bookmarkStart w:id="1856" w:name="_Toc497747256"/>
      <w:bookmarkStart w:id="1857" w:name="_Toc16650"/>
      <w:r>
        <w:rPr>
          <w:rFonts w:hint="eastAsia" w:ascii="宋体" w:cs="宋体"/>
          <w:color w:val="auto"/>
          <w:highlight w:val="none"/>
        </w:rPr>
        <w:t>20.3 争</w:t>
      </w:r>
      <w:bookmarkEnd w:id="1634"/>
      <w:r>
        <w:rPr>
          <w:rFonts w:hint="eastAsia" w:ascii="宋体" w:cs="宋体"/>
          <w:color w:val="auto"/>
          <w:highlight w:val="none"/>
        </w:rPr>
        <w:t>议评审</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752BB333">
      <w:pPr>
        <w:pStyle w:val="21"/>
        <w:keepNext w:val="0"/>
        <w:keepLines w:val="0"/>
        <w:pageBreakBefore w:val="0"/>
        <w:widowControl w:val="0"/>
        <w:wordWrap/>
        <w:topLinePunct w:val="0"/>
        <w:bidi w:val="0"/>
        <w:spacing w:line="380" w:lineRule="exact"/>
        <w:ind w:left="149" w:leftChars="71" w:firstLine="315" w:firstLineChars="150"/>
        <w:jc w:val="left"/>
        <w:rPr>
          <w:rFonts w:ascii="宋体" w:hAnsi="宋体" w:cs="宋体"/>
          <w:color w:val="auto"/>
          <w:szCs w:val="21"/>
          <w:highlight w:val="none"/>
          <w:u w:val="singl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 xml:space="preserve">  不同意  </w:t>
      </w:r>
      <w:r>
        <w:rPr>
          <w:rFonts w:hint="eastAsia" w:ascii="宋体" w:hAnsi="宋体" w:cs="宋体"/>
          <w:color w:val="auto"/>
          <w:szCs w:val="21"/>
          <w:highlight w:val="none"/>
        </w:rPr>
        <w:t>。</w:t>
      </w:r>
    </w:p>
    <w:p w14:paraId="725DAED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20.3.1 争议评审小组的确定</w:t>
      </w:r>
    </w:p>
    <w:p w14:paraId="05F7EC0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争议评审小组成员的确定：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EDAD48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选定争议评审员的期限：</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384337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争议评审小组成员的报酬承担方式：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24F341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其他事项的约定：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9C12368">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20.3.2 争议评审小组的决定</w:t>
      </w:r>
    </w:p>
    <w:p w14:paraId="33EBBB2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合同当事人关于本项的约定：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3D48EF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58" w:name="_Toc373227778"/>
      <w:bookmarkStart w:id="1859" w:name="_Toc15918"/>
      <w:bookmarkStart w:id="1860" w:name="_Toc389065343"/>
      <w:bookmarkStart w:id="1861" w:name="_Toc497746860"/>
      <w:bookmarkStart w:id="1862" w:name="_Toc418518425"/>
      <w:bookmarkStart w:id="1863" w:name="_Toc418061390"/>
      <w:bookmarkStart w:id="1864" w:name="_Toc418752321"/>
      <w:bookmarkStart w:id="1865" w:name="_Toc418751875"/>
      <w:bookmarkStart w:id="1866" w:name="_Toc522201805"/>
      <w:bookmarkStart w:id="1867" w:name="_Toc373478425"/>
      <w:bookmarkStart w:id="1868" w:name="_Toc403579013"/>
      <w:bookmarkStart w:id="1869" w:name="_Toc256000256"/>
      <w:bookmarkStart w:id="1870" w:name="_Toc497747257"/>
      <w:bookmarkStart w:id="1871" w:name="_Toc418518189"/>
      <w:r>
        <w:rPr>
          <w:rFonts w:hint="eastAsia" w:ascii="宋体" w:cs="宋体"/>
          <w:color w:val="auto"/>
          <w:highlight w:val="none"/>
        </w:rPr>
        <w:t>20.4 仲裁或诉讼</w:t>
      </w:r>
      <w:bookmarkEnd w:id="1635"/>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14:paraId="4A19CF2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535035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仲裁委员会按照该会仲裁规则进行仲裁，仲裁裁决是终局的，对合同双方均有约束力。</w:t>
      </w:r>
    </w:p>
    <w:p w14:paraId="60DE667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桂林市本工程辖区内     </w:t>
      </w:r>
      <w:r>
        <w:rPr>
          <w:rFonts w:hint="eastAsia" w:ascii="宋体" w:hAnsi="宋体" w:cs="宋体"/>
          <w:color w:val="auto"/>
          <w:szCs w:val="21"/>
          <w:highlight w:val="none"/>
        </w:rPr>
        <w:t>人民法院起诉。</w:t>
      </w:r>
      <w:bookmarkEnd w:id="1636"/>
      <w:bookmarkEnd w:id="1637"/>
      <w:bookmarkEnd w:id="1638"/>
      <w:bookmarkEnd w:id="1639"/>
      <w:bookmarkEnd w:id="1640"/>
      <w:bookmarkEnd w:id="1641"/>
    </w:p>
    <w:p w14:paraId="7E054AE8">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872" w:name="_Toc389065344"/>
      <w:bookmarkStart w:id="1873" w:name="_Toc373478426"/>
      <w:bookmarkStart w:id="1874" w:name="_Toc32248"/>
      <w:bookmarkStart w:id="1875" w:name="_Toc256000257"/>
      <w:bookmarkStart w:id="1876" w:name="_Toc395382582"/>
      <w:bookmarkStart w:id="1877" w:name="_Toc497746861"/>
      <w:bookmarkStart w:id="1878" w:name="_Toc497747258"/>
      <w:bookmarkStart w:id="1879" w:name="_Toc522201806"/>
      <w:bookmarkStart w:id="1880" w:name="_Toc373227779"/>
      <w:r>
        <w:rPr>
          <w:rFonts w:hint="eastAsia" w:ascii="宋体" w:hAnsi="宋体" w:eastAsia="宋体" w:cs="宋体"/>
          <w:color w:val="auto"/>
          <w:highlight w:val="none"/>
        </w:rPr>
        <w:t>21</w:t>
      </w:r>
      <w:r>
        <w:rPr>
          <w:rFonts w:hint="eastAsia" w:ascii="宋体" w:cs="宋体"/>
          <w:color w:val="auto"/>
          <w:highlight w:val="none"/>
        </w:rPr>
        <w:t>. 补充条款</w:t>
      </w:r>
      <w:bookmarkEnd w:id="1872"/>
      <w:bookmarkEnd w:id="1873"/>
      <w:bookmarkEnd w:id="1874"/>
      <w:bookmarkEnd w:id="1875"/>
      <w:bookmarkEnd w:id="1876"/>
      <w:bookmarkEnd w:id="1877"/>
      <w:bookmarkEnd w:id="1878"/>
      <w:bookmarkEnd w:id="1879"/>
      <w:bookmarkEnd w:id="1880"/>
    </w:p>
    <w:p w14:paraId="54A88BAE">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 根据桂劳社[2003]150 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66D734D2">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036DCCB6">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21.3 赶工费、夜间施工费由</w:t>
      </w:r>
      <w:r>
        <w:rPr>
          <w:rFonts w:hint="eastAsia" w:ascii="宋体" w:hAnsi="宋体" w:cs="宋体"/>
          <w:color w:val="auto"/>
          <w:kern w:val="0"/>
          <w:szCs w:val="21"/>
          <w:highlight w:val="none"/>
          <w:lang w:eastAsia="zh-CN"/>
        </w:rPr>
        <w:t>投标人（供应商）</w:t>
      </w:r>
      <w:r>
        <w:rPr>
          <w:rFonts w:hint="eastAsia" w:ascii="宋体" w:hAnsi="宋体" w:cs="宋体"/>
          <w:color w:val="auto"/>
          <w:kern w:val="0"/>
          <w:szCs w:val="21"/>
          <w:highlight w:val="none"/>
        </w:rPr>
        <w:t>结合自身企业的实际情况及对施工现场的考察、提供的图纸等各方面的资料自行报价，并包干使用，今后不作任何调整和签证。</w:t>
      </w:r>
    </w:p>
    <w:p w14:paraId="6CCDB328">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21.4 根据《建设工程质量检测管理办法》(住房和城乡建设部令第57号)以及《广西壮族自治区建设工程质量检测管理实施细则》(桂建发[2025]5号)规定，工程质量检测业务由招标人委托有相应资质的检测机构检测。费用从招标人的项目建设经费中支出并直接支付给检测机构，不计入合同价款内。 </w:t>
      </w:r>
    </w:p>
    <w:p w14:paraId="6CC855C3">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21.6 发包人需要持散装水泥、多孔砖、砼砌块的材料发票原件到政府有关部门办理退款手续，承包人必须及时提供。否则，发包人有权按政府有关部门收缴标准及数额在承包人工程款中扣罚。 </w:t>
      </w:r>
    </w:p>
    <w:p w14:paraId="23CB541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21.7 由于承包人不能按时提供属承包人应提供的文件导致发包人不能及时办理施工许可证，所有造成的后果由承包人承担责任。造成发包人损失的，承包人应赔偿发包人损失。 </w:t>
      </w:r>
    </w:p>
    <w:p w14:paraId="2B097354">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21.8 已完工程成品保护的特殊要求及费用承担： 已竣工工程未交付发包人之前，承包人负责已完工程的成品保护工作，保护期间发生损坏，承包人自费予以修复。工程已交付发包人或发包人提前使用后的损坏及所需的修理费用、工程成品毁损的风险，由发包人承担。若发包人要求承包人采取特殊措施保护的，由发包人就保护的工程部位和相应的追加合同价款另外进行协商。 </w:t>
      </w:r>
    </w:p>
    <w:p w14:paraId="3800B8F1">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21.9 材料严格保证质量，相同类型材料质量应一致，若发现有材料以次品冒充，则该部分所有材料均按次品处理且须重新更换合格材料才能使用。 </w:t>
      </w:r>
    </w:p>
    <w:p w14:paraId="7A7F9544">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21.10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5DEBE3F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21.11 承包人有以下情形之一者，视为违约，发包人有权依法解除合同，没收其全部履约保证金，承包人还应承担相应的法律责任。  </w:t>
      </w:r>
    </w:p>
    <w:p w14:paraId="7851028D">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① 经有关建设主管部门鉴定确认，承包人有挂靠行为。 </w:t>
      </w:r>
    </w:p>
    <w:p w14:paraId="46A1756B">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② 转包工程，以牟取转让费、管理费。  </w:t>
      </w:r>
    </w:p>
    <w:p w14:paraId="63FB495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③ 自签订合同之日起 15 日内，因承包人责任无法组织合同规定的人员、机械进场或进场人员机械与合同严重不符。</w:t>
      </w:r>
    </w:p>
    <w:p w14:paraId="7873387C">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21.12 工程竣工验收通过后 14 天之内，承包人必须将临时工棚、建筑垃圾等全部清理出现场，否则从第15天起，每天处以1000元罚款且不办理结算。</w:t>
      </w:r>
    </w:p>
    <w:p w14:paraId="6036981D">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21.13 凡进入本工程工作的妇女应持有计生证、否则不准安排工作，禁止使用童工。</w:t>
      </w:r>
    </w:p>
    <w:bookmarkEnd w:id="255"/>
    <w:p w14:paraId="58C3586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21.14 如因政策性原因或者项目暂时（或永久）取消导致开工延误或无法开工，发包人不支付承包人任何赔偿或补偿，并可根据政策要求或项目情况延时开工或取消部分合同内容。</w:t>
      </w:r>
    </w:p>
    <w:p w14:paraId="2339D9A5">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cs="宋体"/>
          <w:color w:val="auto"/>
          <w:kern w:val="0"/>
          <w:szCs w:val="21"/>
          <w:highlight w:val="none"/>
        </w:rPr>
        <w:t>21.15 承包人应自行协调与施工现场周边及村民的关系，确保项目施工顺利进行。发包人不再支付承包人因协调施工现场周边及村民关系而发生的任何费用。如因征地拆迁造成的问题由由发包人负责牵头解决。</w:t>
      </w:r>
    </w:p>
    <w:p w14:paraId="718F29E0">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1DB008A2">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附件</w:t>
      </w:r>
    </w:p>
    <w:p w14:paraId="06E4F4AD">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附件1：承包人承揽工程项目一览表</w:t>
      </w:r>
    </w:p>
    <w:p w14:paraId="3AB1C1CF">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附件2：发包人供应材料设备一览表</w:t>
      </w:r>
    </w:p>
    <w:p w14:paraId="560BAD24">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附件3：工程质量保修书</w:t>
      </w:r>
    </w:p>
    <w:p w14:paraId="7A4B5C21">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附件4：主要建设工程文件目录</w:t>
      </w:r>
    </w:p>
    <w:p w14:paraId="243FA811">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附件5：承包人用于本工程施工的机械设备表</w:t>
      </w:r>
    </w:p>
    <w:p w14:paraId="6E000CD7">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附件6：承包人主要施工管理人员表</w:t>
      </w:r>
    </w:p>
    <w:p w14:paraId="028EA799">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附件7：分包人主要施工管理人员表</w:t>
      </w:r>
    </w:p>
    <w:p w14:paraId="39C67155">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附件8：履约担保格式</w:t>
      </w:r>
    </w:p>
    <w:p w14:paraId="3884F29F">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附件9：预付款担保格式</w:t>
      </w:r>
    </w:p>
    <w:p w14:paraId="283CC3A9">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附件10：支付担保格式</w:t>
      </w:r>
    </w:p>
    <w:p w14:paraId="05B94FCD">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附件11：暂估价一览表</w:t>
      </w:r>
    </w:p>
    <w:p w14:paraId="317E8872">
      <w:pPr>
        <w:pStyle w:val="9"/>
        <w:keepNext w:val="0"/>
        <w:keepLines w:val="0"/>
        <w:pageBreakBefore w:val="0"/>
        <w:widowControl w:val="0"/>
        <w:wordWrap/>
        <w:topLinePunct w:val="0"/>
        <w:bidi w:val="0"/>
        <w:rPr>
          <w:rFonts w:hint="eastAsia" w:ascii="宋体" w:hAnsi="宋体" w:eastAsia="宋体" w:cs="宋体"/>
          <w:color w:val="auto"/>
          <w:sz w:val="21"/>
          <w:szCs w:val="21"/>
          <w:highlight w:val="none"/>
          <w:lang w:val="en-US" w:eastAsia="zh-CN"/>
        </w:rPr>
      </w:pPr>
    </w:p>
    <w:p w14:paraId="17A29CD2">
      <w:pPr>
        <w:pStyle w:val="9"/>
        <w:keepNext w:val="0"/>
        <w:keepLines w:val="0"/>
        <w:pageBreakBefore w:val="0"/>
        <w:widowControl w:val="0"/>
        <w:wordWrap/>
        <w:topLinePunct w:val="0"/>
        <w:bidi w:val="0"/>
        <w:rPr>
          <w:rFonts w:hint="default" w:ascii="宋体" w:hAnsi="宋体" w:eastAsia="宋体" w:cs="宋体"/>
          <w:color w:val="auto"/>
          <w:sz w:val="21"/>
          <w:szCs w:val="21"/>
          <w:highlight w:val="none"/>
          <w:lang w:val="en-US" w:eastAsia="zh-CN"/>
        </w:rPr>
        <w:sectPr>
          <w:pgSz w:w="11906" w:h="16838"/>
          <w:pgMar w:top="1304" w:right="1115" w:bottom="1191" w:left="1131" w:header="851" w:footer="992" w:gutter="0"/>
          <w:pgNumType w:fmt="decimal"/>
          <w:cols w:space="720" w:num="1"/>
          <w:titlePg/>
          <w:docGrid w:type="lines" w:linePitch="312" w:charSpace="0"/>
        </w:sectPr>
      </w:pPr>
    </w:p>
    <w:p w14:paraId="45B4CC94">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w:t>
      </w:r>
    </w:p>
    <w:p w14:paraId="7FBA39C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承包人承揽工程项目一览表</w:t>
      </w:r>
    </w:p>
    <w:tbl>
      <w:tblPr>
        <w:tblStyle w:val="27"/>
        <w:tblW w:w="14317"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126"/>
        <w:gridCol w:w="850"/>
        <w:gridCol w:w="1560"/>
        <w:gridCol w:w="2126"/>
        <w:gridCol w:w="1417"/>
        <w:gridCol w:w="851"/>
        <w:gridCol w:w="850"/>
      </w:tblGrid>
      <w:tr w14:paraId="6AB47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40C707F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单位工程名称</w:t>
            </w:r>
          </w:p>
        </w:tc>
        <w:tc>
          <w:tcPr>
            <w:tcW w:w="1843" w:type="dxa"/>
            <w:tcBorders>
              <w:top w:val="single" w:color="auto" w:sz="12" w:space="0"/>
              <w:bottom w:val="double" w:color="auto" w:sz="6" w:space="0"/>
            </w:tcBorders>
            <w:noWrap w:val="0"/>
            <w:vAlign w:val="center"/>
          </w:tcPr>
          <w:p w14:paraId="056882D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建设规模</w:t>
            </w:r>
          </w:p>
        </w:tc>
        <w:tc>
          <w:tcPr>
            <w:tcW w:w="1417" w:type="dxa"/>
            <w:tcBorders>
              <w:top w:val="single" w:color="auto" w:sz="12" w:space="0"/>
              <w:bottom w:val="double" w:color="auto" w:sz="6" w:space="0"/>
            </w:tcBorders>
            <w:noWrap w:val="0"/>
            <w:vAlign w:val="center"/>
          </w:tcPr>
          <w:p w14:paraId="62A9381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建筑面积(平方米)</w:t>
            </w:r>
          </w:p>
        </w:tc>
        <w:tc>
          <w:tcPr>
            <w:tcW w:w="2126" w:type="dxa"/>
            <w:tcBorders>
              <w:top w:val="single" w:color="auto" w:sz="12" w:space="0"/>
              <w:bottom w:val="double" w:color="auto" w:sz="6" w:space="0"/>
            </w:tcBorders>
            <w:noWrap w:val="0"/>
            <w:vAlign w:val="center"/>
          </w:tcPr>
          <w:p w14:paraId="0EC5B71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结构形式</w:t>
            </w:r>
          </w:p>
        </w:tc>
        <w:tc>
          <w:tcPr>
            <w:tcW w:w="850" w:type="dxa"/>
            <w:tcBorders>
              <w:top w:val="single" w:color="auto" w:sz="12" w:space="0"/>
              <w:bottom w:val="double" w:color="auto" w:sz="6" w:space="0"/>
            </w:tcBorders>
            <w:noWrap w:val="0"/>
            <w:vAlign w:val="center"/>
          </w:tcPr>
          <w:p w14:paraId="7BC302B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层数</w:t>
            </w:r>
          </w:p>
        </w:tc>
        <w:tc>
          <w:tcPr>
            <w:tcW w:w="1560" w:type="dxa"/>
            <w:tcBorders>
              <w:top w:val="single" w:color="auto" w:sz="12" w:space="0"/>
              <w:bottom w:val="double" w:color="auto" w:sz="6" w:space="0"/>
            </w:tcBorders>
            <w:noWrap w:val="0"/>
            <w:vAlign w:val="center"/>
          </w:tcPr>
          <w:p w14:paraId="64CC66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生产能力</w:t>
            </w:r>
          </w:p>
        </w:tc>
        <w:tc>
          <w:tcPr>
            <w:tcW w:w="2126" w:type="dxa"/>
            <w:tcBorders>
              <w:top w:val="single" w:color="auto" w:sz="12" w:space="0"/>
              <w:bottom w:val="double" w:color="auto" w:sz="6" w:space="0"/>
            </w:tcBorders>
            <w:noWrap w:val="0"/>
            <w:vAlign w:val="center"/>
          </w:tcPr>
          <w:p w14:paraId="47D08E4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设备安装内容</w:t>
            </w:r>
          </w:p>
        </w:tc>
        <w:tc>
          <w:tcPr>
            <w:tcW w:w="1417" w:type="dxa"/>
            <w:tcBorders>
              <w:top w:val="single" w:color="auto" w:sz="12" w:space="0"/>
              <w:bottom w:val="double" w:color="auto" w:sz="6" w:space="0"/>
            </w:tcBorders>
            <w:noWrap w:val="0"/>
            <w:vAlign w:val="center"/>
          </w:tcPr>
          <w:p w14:paraId="109DEE1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合同价格（元）</w:t>
            </w:r>
          </w:p>
        </w:tc>
        <w:tc>
          <w:tcPr>
            <w:tcW w:w="851" w:type="dxa"/>
            <w:tcBorders>
              <w:top w:val="single" w:color="auto" w:sz="12" w:space="0"/>
              <w:bottom w:val="double" w:color="auto" w:sz="6" w:space="0"/>
            </w:tcBorders>
            <w:noWrap w:val="0"/>
            <w:vAlign w:val="center"/>
          </w:tcPr>
          <w:p w14:paraId="2D3FE8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开工日期</w:t>
            </w:r>
          </w:p>
        </w:tc>
        <w:tc>
          <w:tcPr>
            <w:tcW w:w="850" w:type="dxa"/>
            <w:tcBorders>
              <w:top w:val="single" w:color="auto" w:sz="12" w:space="0"/>
              <w:bottom w:val="double" w:color="auto" w:sz="6" w:space="0"/>
            </w:tcBorders>
            <w:noWrap w:val="0"/>
            <w:vAlign w:val="center"/>
          </w:tcPr>
          <w:p w14:paraId="632B12E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竣工日期</w:t>
            </w:r>
          </w:p>
        </w:tc>
      </w:tr>
      <w:tr w14:paraId="5807E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176E56C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double" w:color="auto" w:sz="6" w:space="0"/>
              <w:bottom w:val="single" w:color="auto" w:sz="6" w:space="0"/>
            </w:tcBorders>
            <w:noWrap w:val="0"/>
            <w:vAlign w:val="center"/>
          </w:tcPr>
          <w:p w14:paraId="3354603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double" w:color="auto" w:sz="6" w:space="0"/>
              <w:bottom w:val="single" w:color="auto" w:sz="6" w:space="0"/>
            </w:tcBorders>
            <w:noWrap w:val="0"/>
            <w:vAlign w:val="center"/>
          </w:tcPr>
          <w:p w14:paraId="5F88E39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double" w:color="auto" w:sz="6" w:space="0"/>
              <w:bottom w:val="single" w:color="auto" w:sz="6" w:space="0"/>
            </w:tcBorders>
            <w:noWrap w:val="0"/>
            <w:vAlign w:val="center"/>
          </w:tcPr>
          <w:p w14:paraId="2D56409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double" w:color="auto" w:sz="6" w:space="0"/>
              <w:bottom w:val="single" w:color="auto" w:sz="6" w:space="0"/>
            </w:tcBorders>
            <w:noWrap w:val="0"/>
            <w:vAlign w:val="center"/>
          </w:tcPr>
          <w:p w14:paraId="05BBCF2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double" w:color="auto" w:sz="6" w:space="0"/>
              <w:bottom w:val="single" w:color="auto" w:sz="6" w:space="0"/>
            </w:tcBorders>
            <w:noWrap w:val="0"/>
            <w:vAlign w:val="center"/>
          </w:tcPr>
          <w:p w14:paraId="0205AA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double" w:color="auto" w:sz="6" w:space="0"/>
              <w:bottom w:val="single" w:color="auto" w:sz="6" w:space="0"/>
            </w:tcBorders>
            <w:noWrap w:val="0"/>
            <w:vAlign w:val="center"/>
          </w:tcPr>
          <w:p w14:paraId="0F62275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double" w:color="auto" w:sz="6" w:space="0"/>
              <w:bottom w:val="single" w:color="auto" w:sz="6" w:space="0"/>
            </w:tcBorders>
            <w:noWrap w:val="0"/>
            <w:vAlign w:val="center"/>
          </w:tcPr>
          <w:p w14:paraId="7AF077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double" w:color="auto" w:sz="6" w:space="0"/>
              <w:bottom w:val="single" w:color="auto" w:sz="6" w:space="0"/>
            </w:tcBorders>
            <w:noWrap w:val="0"/>
            <w:vAlign w:val="center"/>
          </w:tcPr>
          <w:p w14:paraId="307F171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double" w:color="auto" w:sz="6" w:space="0"/>
              <w:bottom w:val="single" w:color="auto" w:sz="6" w:space="0"/>
            </w:tcBorders>
            <w:noWrap w:val="0"/>
            <w:vAlign w:val="center"/>
          </w:tcPr>
          <w:p w14:paraId="50F5BD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733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793879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0FC9B47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7E9EEF4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4AF8E6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493E69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22A64A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700C9B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211F9C3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144033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029887A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5F70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C979DA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40DEB12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45529F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0AFB019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5DC0728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62CC85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B3569A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099D866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408D1EF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7F2DAAB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CE01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9F5D2E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45AD993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176A688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362C1CD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0D96703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4472561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050A2A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50F0AB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343CF02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3CE3D10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255F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D58298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3A92FAC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35348F9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55F6EF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56F9D97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05F6408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E2ADE4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4B148B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337B423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7507DAC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03E8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375AE6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0511833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5048076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3949405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39AAFB7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5C64056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1317957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39F2D3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583F8F8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217C4B2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3C48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9D24A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16D128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3E2D963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45C78D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7B6D9F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7CF5992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2345552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139FD8A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56D63D3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6010865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89EB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68EAA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185BD06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6E77F66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7F36E2D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1C8A9A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71CE544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650B64B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2DAD5A3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31F17B9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41BA4E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A828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20ACB5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5D02568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0CEF569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78D5D37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767CFC2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56DC9C2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211F7B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57C2781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72A4B4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1F719F9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4660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0193AA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741FD29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1F9A104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4B245F7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373934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6BE7E1C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B62B8B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42058DE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2F16489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217451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1A38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FD6462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4652D8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3C42553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3FF759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477CE47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6E24565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40E75A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6449997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2288965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202DF07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bl>
    <w:p w14:paraId="424974D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b/>
          <w:color w:val="auto"/>
          <w:sz w:val="21"/>
          <w:szCs w:val="21"/>
          <w:highlight w:val="none"/>
        </w:rPr>
        <w:sectPr>
          <w:pgSz w:w="16838" w:h="11906" w:orient="landscape"/>
          <w:pgMar w:top="1554" w:right="1418" w:bottom="1531" w:left="1418" w:header="851" w:footer="992" w:gutter="0"/>
          <w:pgNumType w:fmt="decimal"/>
          <w:cols w:space="720" w:num="1"/>
          <w:titlePg/>
          <w:docGrid w:type="linesAndChars" w:linePitch="312" w:charSpace="0"/>
        </w:sectPr>
      </w:pPr>
    </w:p>
    <w:p w14:paraId="509721F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w:t>
      </w:r>
    </w:p>
    <w:p w14:paraId="1867A48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发包人供应材料设备一览表</w:t>
      </w:r>
    </w:p>
    <w:tbl>
      <w:tblPr>
        <w:tblStyle w:val="27"/>
        <w:tblW w:w="86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02"/>
        <w:gridCol w:w="1099"/>
        <w:gridCol w:w="1134"/>
        <w:gridCol w:w="620"/>
        <w:gridCol w:w="690"/>
        <w:gridCol w:w="1044"/>
        <w:gridCol w:w="719"/>
        <w:gridCol w:w="716"/>
        <w:gridCol w:w="1487"/>
        <w:gridCol w:w="783"/>
      </w:tblGrid>
      <w:tr w14:paraId="29059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2" w:type="dxa"/>
            <w:tcBorders>
              <w:top w:val="single" w:color="auto" w:sz="12" w:space="0"/>
              <w:bottom w:val="double" w:color="auto" w:sz="6" w:space="0"/>
            </w:tcBorders>
            <w:noWrap w:val="0"/>
            <w:vAlign w:val="center"/>
          </w:tcPr>
          <w:p w14:paraId="3CDC219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序号</w:t>
            </w:r>
          </w:p>
        </w:tc>
        <w:tc>
          <w:tcPr>
            <w:tcW w:w="1099" w:type="dxa"/>
            <w:tcBorders>
              <w:top w:val="single" w:color="auto" w:sz="12" w:space="0"/>
              <w:bottom w:val="double" w:color="auto" w:sz="6" w:space="0"/>
            </w:tcBorders>
            <w:noWrap w:val="0"/>
            <w:vAlign w:val="center"/>
          </w:tcPr>
          <w:p w14:paraId="3D782D7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  材料、</w:t>
            </w:r>
          </w:p>
          <w:p w14:paraId="4CA1A239">
            <w:pPr>
              <w:pStyle w:val="9"/>
              <w:keepNext w:val="0"/>
              <w:keepLines w:val="0"/>
              <w:pageBreakBefore w:val="0"/>
              <w:widowControl w:val="0"/>
              <w:kinsoku/>
              <w:wordWrap/>
              <w:overflowPunct/>
              <w:topLinePunct w:val="0"/>
              <w:bidi w:val="0"/>
              <w:snapToGrid/>
              <w:spacing w:after="0" w:line="360" w:lineRule="exact"/>
              <w:ind w:left="0" w:leftChars="0" w:right="0" w:rightChars="0"/>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设备品种</w:t>
            </w:r>
          </w:p>
        </w:tc>
        <w:tc>
          <w:tcPr>
            <w:tcW w:w="1134" w:type="dxa"/>
            <w:tcBorders>
              <w:top w:val="single" w:color="auto" w:sz="12" w:space="0"/>
              <w:bottom w:val="double" w:color="auto" w:sz="6" w:space="0"/>
            </w:tcBorders>
            <w:noWrap w:val="0"/>
            <w:vAlign w:val="center"/>
          </w:tcPr>
          <w:p w14:paraId="05C3751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规格型号</w:t>
            </w:r>
          </w:p>
        </w:tc>
        <w:tc>
          <w:tcPr>
            <w:tcW w:w="620" w:type="dxa"/>
            <w:tcBorders>
              <w:top w:val="single" w:color="auto" w:sz="12" w:space="0"/>
              <w:bottom w:val="double" w:color="auto" w:sz="6" w:space="0"/>
            </w:tcBorders>
            <w:noWrap w:val="0"/>
            <w:vAlign w:val="center"/>
          </w:tcPr>
          <w:p w14:paraId="75C9B3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单位</w:t>
            </w:r>
          </w:p>
        </w:tc>
        <w:tc>
          <w:tcPr>
            <w:tcW w:w="690" w:type="dxa"/>
            <w:tcBorders>
              <w:top w:val="single" w:color="auto" w:sz="12" w:space="0"/>
              <w:bottom w:val="double" w:color="auto" w:sz="6" w:space="0"/>
            </w:tcBorders>
            <w:noWrap w:val="0"/>
            <w:vAlign w:val="center"/>
          </w:tcPr>
          <w:p w14:paraId="39F5ED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数量</w:t>
            </w:r>
          </w:p>
        </w:tc>
        <w:tc>
          <w:tcPr>
            <w:tcW w:w="1044" w:type="dxa"/>
            <w:tcBorders>
              <w:top w:val="single" w:color="auto" w:sz="12" w:space="0"/>
              <w:bottom w:val="double" w:color="auto" w:sz="6" w:space="0"/>
            </w:tcBorders>
            <w:noWrap w:val="0"/>
            <w:vAlign w:val="center"/>
          </w:tcPr>
          <w:p w14:paraId="21F8666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单价（元）</w:t>
            </w:r>
          </w:p>
        </w:tc>
        <w:tc>
          <w:tcPr>
            <w:tcW w:w="719" w:type="dxa"/>
            <w:tcBorders>
              <w:top w:val="single" w:color="auto" w:sz="12" w:space="0"/>
              <w:bottom w:val="double" w:color="auto" w:sz="6" w:space="0"/>
            </w:tcBorders>
            <w:noWrap w:val="0"/>
            <w:vAlign w:val="center"/>
          </w:tcPr>
          <w:p w14:paraId="795AB8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质量等级</w:t>
            </w:r>
          </w:p>
        </w:tc>
        <w:tc>
          <w:tcPr>
            <w:tcW w:w="716" w:type="dxa"/>
            <w:tcBorders>
              <w:top w:val="single" w:color="auto" w:sz="12" w:space="0"/>
              <w:bottom w:val="double" w:color="auto" w:sz="6" w:space="0"/>
            </w:tcBorders>
            <w:noWrap w:val="0"/>
            <w:vAlign w:val="center"/>
          </w:tcPr>
          <w:p w14:paraId="3B49E3B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供应时间</w:t>
            </w:r>
          </w:p>
        </w:tc>
        <w:tc>
          <w:tcPr>
            <w:tcW w:w="1487" w:type="dxa"/>
            <w:tcBorders>
              <w:top w:val="single" w:color="auto" w:sz="12" w:space="0"/>
              <w:bottom w:val="double" w:color="auto" w:sz="6" w:space="0"/>
            </w:tcBorders>
            <w:noWrap w:val="0"/>
            <w:vAlign w:val="center"/>
          </w:tcPr>
          <w:p w14:paraId="49F1EE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送达地点</w:t>
            </w:r>
          </w:p>
        </w:tc>
        <w:tc>
          <w:tcPr>
            <w:tcW w:w="783" w:type="dxa"/>
            <w:tcBorders>
              <w:top w:val="single" w:color="auto" w:sz="12" w:space="0"/>
              <w:bottom w:val="double" w:color="auto" w:sz="6" w:space="0"/>
            </w:tcBorders>
            <w:noWrap w:val="0"/>
            <w:vAlign w:val="center"/>
          </w:tcPr>
          <w:p w14:paraId="4728796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备注</w:t>
            </w:r>
          </w:p>
        </w:tc>
      </w:tr>
      <w:tr w14:paraId="655D9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double" w:color="auto" w:sz="6" w:space="0"/>
              <w:bottom w:val="single" w:color="auto" w:sz="6" w:space="0"/>
            </w:tcBorders>
            <w:noWrap w:val="0"/>
            <w:vAlign w:val="center"/>
          </w:tcPr>
          <w:p w14:paraId="4E24A70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tcBorders>
              <w:top w:val="double" w:color="auto" w:sz="6" w:space="0"/>
              <w:bottom w:val="single" w:color="auto" w:sz="6" w:space="0"/>
            </w:tcBorders>
            <w:noWrap w:val="0"/>
            <w:vAlign w:val="center"/>
          </w:tcPr>
          <w:p w14:paraId="215F978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tcBorders>
              <w:top w:val="double" w:color="auto" w:sz="6" w:space="0"/>
              <w:bottom w:val="single" w:color="auto" w:sz="6" w:space="0"/>
            </w:tcBorders>
            <w:noWrap w:val="0"/>
            <w:vAlign w:val="center"/>
          </w:tcPr>
          <w:p w14:paraId="70D3D8B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tcBorders>
              <w:top w:val="double" w:color="auto" w:sz="6" w:space="0"/>
              <w:bottom w:val="single" w:color="auto" w:sz="6" w:space="0"/>
            </w:tcBorders>
            <w:noWrap w:val="0"/>
            <w:vAlign w:val="center"/>
          </w:tcPr>
          <w:p w14:paraId="09BD1AF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tcBorders>
              <w:top w:val="double" w:color="auto" w:sz="6" w:space="0"/>
              <w:bottom w:val="single" w:color="auto" w:sz="6" w:space="0"/>
            </w:tcBorders>
            <w:noWrap w:val="0"/>
            <w:vAlign w:val="center"/>
          </w:tcPr>
          <w:p w14:paraId="52A13E2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tcBorders>
              <w:top w:val="double" w:color="auto" w:sz="6" w:space="0"/>
              <w:bottom w:val="single" w:color="auto" w:sz="6" w:space="0"/>
            </w:tcBorders>
            <w:noWrap w:val="0"/>
            <w:vAlign w:val="center"/>
          </w:tcPr>
          <w:p w14:paraId="40AC9D0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tcBorders>
              <w:top w:val="double" w:color="auto" w:sz="6" w:space="0"/>
              <w:bottom w:val="single" w:color="auto" w:sz="6" w:space="0"/>
            </w:tcBorders>
            <w:noWrap w:val="0"/>
            <w:vAlign w:val="center"/>
          </w:tcPr>
          <w:p w14:paraId="4DEE789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tcBorders>
              <w:top w:val="double" w:color="auto" w:sz="6" w:space="0"/>
              <w:bottom w:val="single" w:color="auto" w:sz="6" w:space="0"/>
            </w:tcBorders>
            <w:noWrap w:val="0"/>
            <w:vAlign w:val="center"/>
          </w:tcPr>
          <w:p w14:paraId="706BCD4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tcBorders>
              <w:top w:val="double" w:color="auto" w:sz="6" w:space="0"/>
              <w:bottom w:val="single" w:color="auto" w:sz="6" w:space="0"/>
            </w:tcBorders>
            <w:noWrap w:val="0"/>
            <w:vAlign w:val="center"/>
          </w:tcPr>
          <w:p w14:paraId="6738756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tcBorders>
              <w:top w:val="double" w:color="auto" w:sz="6" w:space="0"/>
              <w:bottom w:val="single" w:color="auto" w:sz="6" w:space="0"/>
            </w:tcBorders>
            <w:noWrap w:val="0"/>
            <w:vAlign w:val="center"/>
          </w:tcPr>
          <w:p w14:paraId="140FC386">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4C3CDF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nil"/>
            </w:tcBorders>
            <w:noWrap w:val="0"/>
            <w:vAlign w:val="center"/>
          </w:tcPr>
          <w:p w14:paraId="25BBA84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tcBorders>
              <w:top w:val="nil"/>
            </w:tcBorders>
            <w:noWrap w:val="0"/>
            <w:vAlign w:val="center"/>
          </w:tcPr>
          <w:p w14:paraId="0210DB3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tcBorders>
              <w:top w:val="nil"/>
            </w:tcBorders>
            <w:noWrap w:val="0"/>
            <w:vAlign w:val="center"/>
          </w:tcPr>
          <w:p w14:paraId="40DC65D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tcBorders>
              <w:top w:val="nil"/>
            </w:tcBorders>
            <w:noWrap w:val="0"/>
            <w:vAlign w:val="center"/>
          </w:tcPr>
          <w:p w14:paraId="7F6258D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tcBorders>
              <w:top w:val="nil"/>
            </w:tcBorders>
            <w:noWrap w:val="0"/>
            <w:vAlign w:val="center"/>
          </w:tcPr>
          <w:p w14:paraId="1569FA0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tcBorders>
              <w:top w:val="nil"/>
            </w:tcBorders>
            <w:noWrap w:val="0"/>
            <w:vAlign w:val="center"/>
          </w:tcPr>
          <w:p w14:paraId="00F39DE6">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tcBorders>
              <w:top w:val="nil"/>
            </w:tcBorders>
            <w:noWrap w:val="0"/>
            <w:vAlign w:val="center"/>
          </w:tcPr>
          <w:p w14:paraId="0670480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tcBorders>
              <w:top w:val="nil"/>
            </w:tcBorders>
            <w:noWrap w:val="0"/>
            <w:vAlign w:val="center"/>
          </w:tcPr>
          <w:p w14:paraId="5EC4FF1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tcBorders>
              <w:top w:val="nil"/>
            </w:tcBorders>
            <w:noWrap w:val="0"/>
            <w:vAlign w:val="center"/>
          </w:tcPr>
          <w:p w14:paraId="3EBE27C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tcBorders>
              <w:top w:val="nil"/>
            </w:tcBorders>
            <w:noWrap w:val="0"/>
            <w:vAlign w:val="center"/>
          </w:tcPr>
          <w:p w14:paraId="157A765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31D75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2BFA05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6277311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59ED889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4A04E0A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1366628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59E1E9F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0ED5B61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17D32E3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65D6F89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369A948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7C8F7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857A36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249782D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6F3F562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34FE715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6515D2C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1CF6183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57F60C5C">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7FBCDC6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222287A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123685C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48210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0755C9D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27F499E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294DB570">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2324427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2F50AF2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2CF80A0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28366B8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5A41C04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52DE675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2D5C5C5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0C386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EB772C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7B427BE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BB07FD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57CBB4A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63840AA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226AC7C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36E0290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16B99E7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1DBC476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454E4A9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7DA4E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3707F3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6879885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3B684E6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1D2BF7C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7919025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143F6FE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7808DC0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7D6005BC">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41A217B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739F557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67B291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275AEE9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38E4F04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0B3710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50807A7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3E11421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114CA95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250F4466">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46D97C3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7FC00A2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1638BBD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263D1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48E1BA9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16EFEAA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01DC79F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4AF42B8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7BA2986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6229881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400CDE7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63EBD6A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0DFE092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17C12AA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56E72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5B360C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4CD4C6A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2C7A08DC">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1A89216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75BD65F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50A0E07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08720FE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3E0B548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6C6EA56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7A26CF9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6B60C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206551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361FAFE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5062789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1F9166B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047F468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31BAA5A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38C8DD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0BF6AB8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6630AD3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7D056FC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41AA5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7C92A7D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6EF74C3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118D996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360C71F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19F9A7E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525C63E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1A8763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411C8E1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7E9DBE4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0A020E2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282BA9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7069177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68B8270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52BDCDF0">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881391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5EC4FDE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34390DD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92BBA1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290D3C5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6CC693C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52ED177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2F52A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2031E8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23DC245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3F984CA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6A39C8D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64F9E70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111ED89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31CCC1B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276CE7A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15A2F64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727720C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40DE8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668F4CA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63B2DDB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50C1808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477E42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3633D43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37F8CC2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58A4DCE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6B809B7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457BF61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5D03ADC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21DA3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0AB5658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5758312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64B7A1E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4938AF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73E7F9B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5F3A009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69DCAC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5317F36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0AC938B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63C0055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3D036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E95793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419F520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068DCDB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7EEBCF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32F6942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0D9BB4A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0DE548D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7F67CFA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61CE8BE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7D5EE8A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73D3F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2432B920">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3871F68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4BE59F5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601162C4">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6C6A2CE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0A42B87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4D188AB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0673A08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455648D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245A37F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bl>
    <w:p w14:paraId="143BCCA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0B5C67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附件3：    </w:t>
      </w:r>
    </w:p>
    <w:p w14:paraId="45868814">
      <w:pPr>
        <w:pStyle w:val="51"/>
        <w:keepNext w:val="0"/>
        <w:keepLines w:val="0"/>
        <w:pageBreakBefore w:val="0"/>
        <w:widowControl w:val="0"/>
        <w:tabs>
          <w:tab w:val="left" w:pos="0"/>
        </w:tabs>
        <w:wordWrap/>
        <w:topLinePunct w:val="0"/>
        <w:bidi w:val="0"/>
        <w:spacing w:line="276" w:lineRule="auto"/>
        <w:ind w:firstLine="0" w:firstLineChars="0"/>
        <w:rPr>
          <w:color w:val="auto"/>
          <w:sz w:val="30"/>
          <w:szCs w:val="30"/>
          <w:highlight w:val="none"/>
        </w:rPr>
      </w:pPr>
      <w:r>
        <w:rPr>
          <w:color w:val="auto"/>
          <w:sz w:val="30"/>
          <w:szCs w:val="30"/>
          <w:highlight w:val="none"/>
        </w:rPr>
        <w:t xml:space="preserve">  </w:t>
      </w:r>
    </w:p>
    <w:p w14:paraId="505F0DC9">
      <w:pPr>
        <w:pStyle w:val="21"/>
        <w:keepNext w:val="0"/>
        <w:keepLines w:val="0"/>
        <w:pageBreakBefore w:val="0"/>
        <w:widowControl w:val="0"/>
        <w:wordWrap/>
        <w:topLinePunct w:val="0"/>
        <w:bidi w:val="0"/>
        <w:jc w:val="center"/>
        <w:rPr>
          <w:rFonts w:ascii="宋体" w:hAnsi="宋体"/>
          <w:color w:val="auto"/>
          <w:sz w:val="28"/>
          <w:szCs w:val="28"/>
          <w:highlight w:val="none"/>
        </w:rPr>
      </w:pPr>
      <w:r>
        <w:rPr>
          <w:rFonts w:ascii="宋体" w:hAnsi="宋体"/>
          <w:color w:val="auto"/>
          <w:sz w:val="28"/>
          <w:szCs w:val="28"/>
          <w:highlight w:val="none"/>
        </w:rPr>
        <w:t>工程质量保修书</w:t>
      </w:r>
    </w:p>
    <w:p w14:paraId="469A5C88">
      <w:pPr>
        <w:pStyle w:val="20"/>
        <w:keepNext w:val="0"/>
        <w:keepLines w:val="0"/>
        <w:pageBreakBefore w:val="0"/>
        <w:widowControl w:val="0"/>
        <w:wordWrap/>
        <w:topLinePunct w:val="0"/>
        <w:bidi w:val="0"/>
        <w:rPr>
          <w:color w:val="auto"/>
          <w:highlight w:val="none"/>
        </w:rPr>
      </w:pPr>
    </w:p>
    <w:p w14:paraId="198E1265">
      <w:pPr>
        <w:pStyle w:val="51"/>
        <w:keepNext w:val="0"/>
        <w:keepLines w:val="0"/>
        <w:pageBreakBefore w:val="0"/>
        <w:widowControl w:val="0"/>
        <w:wordWrap/>
        <w:topLinePunct w:val="0"/>
        <w:bidi w:val="0"/>
        <w:spacing w:line="320" w:lineRule="exact"/>
        <w:ind w:firstLine="0" w:firstLineChars="0"/>
        <w:rPr>
          <w:rFonts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0F7295A3">
      <w:pPr>
        <w:pStyle w:val="51"/>
        <w:keepNext w:val="0"/>
        <w:keepLines w:val="0"/>
        <w:pageBreakBefore w:val="0"/>
        <w:widowControl w:val="0"/>
        <w:wordWrap/>
        <w:topLinePunct w:val="0"/>
        <w:bidi w:val="0"/>
        <w:spacing w:line="320" w:lineRule="exact"/>
        <w:ind w:firstLine="0" w:firstLineChars="0"/>
        <w:rPr>
          <w:rFonts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54019034">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eastAsia="zh-CN"/>
        </w:rPr>
        <w:t>工程</w:t>
      </w:r>
      <w:r>
        <w:rPr>
          <w:rFonts w:hint="eastAsia" w:ascii="宋体" w:hAnsi="宋体" w:cs="宋体"/>
          <w:color w:val="auto"/>
          <w:szCs w:val="21"/>
          <w:highlight w:val="none"/>
        </w:rPr>
        <w:t>在合理使用期限内正常使用，经发包人、承包人协商一致签订本工程质量保修书。承包人在质量保修期内按照有关管理规定及双方约定承担工程质量保修责任。</w:t>
      </w:r>
    </w:p>
    <w:p w14:paraId="261803FE">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1" w:name="_Toc522201808"/>
      <w:bookmarkStart w:id="1882" w:name="_Toc3496"/>
      <w:r>
        <w:rPr>
          <w:rFonts w:hint="eastAsia" w:ascii="宋体" w:hAnsi="宋体" w:cs="宋体"/>
          <w:color w:val="auto"/>
          <w:szCs w:val="21"/>
          <w:highlight w:val="none"/>
        </w:rPr>
        <w:t>一、工程保修范围和内容</w:t>
      </w:r>
      <w:bookmarkEnd w:id="1881"/>
      <w:bookmarkEnd w:id="1882"/>
    </w:p>
    <w:p w14:paraId="66A117ED">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质量保修范围为施工图纸所包括的工程内容</w:t>
      </w:r>
      <w:r>
        <w:rPr>
          <w:rFonts w:hint="eastAsia" w:ascii="宋体" w:hAnsi="宋体" w:cs="宋体"/>
          <w:color w:val="auto"/>
          <w:highlight w:val="none"/>
          <w:lang w:eastAsia="zh-CN"/>
        </w:rPr>
        <w:t>，</w:t>
      </w:r>
      <w:r>
        <w:rPr>
          <w:rFonts w:hint="eastAsia" w:ascii="宋体" w:hAnsi="宋体" w:cs="宋体"/>
          <w:color w:val="auto"/>
          <w:szCs w:val="21"/>
          <w:highlight w:val="none"/>
        </w:rPr>
        <w:t>具体质量保修内容双方约定如下：</w:t>
      </w:r>
      <w:r>
        <w:rPr>
          <w:rFonts w:hint="eastAsia" w:ascii="宋体" w:hAnsi="宋体" w:cs="宋体"/>
          <w:color w:val="auto"/>
          <w:szCs w:val="21"/>
          <w:highlight w:val="none"/>
          <w:u w:val="single"/>
        </w:rPr>
        <w:t xml:space="preserve"> 承包方所承包施工的全部工程内容 </w:t>
      </w:r>
      <w:r>
        <w:rPr>
          <w:rFonts w:hint="eastAsia" w:ascii="宋体" w:hAnsi="宋体" w:cs="宋体"/>
          <w:color w:val="auto"/>
          <w:szCs w:val="21"/>
          <w:highlight w:val="none"/>
        </w:rPr>
        <w:t>。</w:t>
      </w:r>
    </w:p>
    <w:p w14:paraId="21F6AE8C">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3" w:name="_Toc522201809"/>
      <w:bookmarkStart w:id="1884" w:name="_Toc21338"/>
      <w:r>
        <w:rPr>
          <w:rFonts w:hint="eastAsia" w:ascii="宋体" w:hAnsi="宋体" w:cs="宋体"/>
          <w:color w:val="auto"/>
          <w:szCs w:val="21"/>
          <w:highlight w:val="none"/>
        </w:rPr>
        <w:t>二、</w:t>
      </w:r>
      <w:r>
        <w:rPr>
          <w:rFonts w:hint="eastAsia" w:ascii="宋体" w:hAnsi="宋体" w:cs="宋体"/>
          <w:color w:val="auto"/>
          <w:szCs w:val="21"/>
          <w:highlight w:val="none"/>
          <w:lang w:eastAsia="zh-CN"/>
        </w:rPr>
        <w:t>质量</w:t>
      </w:r>
      <w:r>
        <w:rPr>
          <w:rFonts w:hint="eastAsia" w:ascii="宋体" w:hAnsi="宋体" w:cs="宋体"/>
          <w:color w:val="auto"/>
          <w:szCs w:val="21"/>
          <w:highlight w:val="none"/>
        </w:rPr>
        <w:t>保修期</w:t>
      </w:r>
      <w:bookmarkEnd w:id="1883"/>
      <w:bookmarkEnd w:id="1884"/>
    </w:p>
    <w:p w14:paraId="63547F56">
      <w:pPr>
        <w:pStyle w:val="55"/>
        <w:keepNext w:val="0"/>
        <w:keepLines w:val="0"/>
        <w:pageBreakBefore w:val="0"/>
        <w:widowControl w:val="0"/>
        <w:wordWrap/>
        <w:topLinePunct w:val="0"/>
        <w:bidi w:val="0"/>
        <w:spacing w:line="360" w:lineRule="auto"/>
        <w:ind w:firstLine="540"/>
        <w:rPr>
          <w:rFonts w:hint="eastAsia" w:ascii="宋体" w:hAnsi="宋体" w:cs="宋体"/>
          <w:color w:val="auto"/>
          <w:highlight w:val="none"/>
        </w:rPr>
      </w:pPr>
      <w:r>
        <w:rPr>
          <w:rFonts w:hint="eastAsia" w:ascii="宋体" w:hAnsi="宋体" w:cs="宋体"/>
          <w:color w:val="auto"/>
          <w:highlight w:val="none"/>
        </w:rPr>
        <w:t>质量保修期从工程实际竣工验收通过之日算起。分单项竣工验收的工程，按单项工程分别计算质量保修期。</w:t>
      </w:r>
    </w:p>
    <w:p w14:paraId="65A830E3">
      <w:pPr>
        <w:pStyle w:val="22"/>
        <w:keepNext w:val="0"/>
        <w:keepLines w:val="0"/>
        <w:pageBreakBefore w:val="0"/>
        <w:widowControl w:val="0"/>
        <w:wordWrap/>
        <w:topLinePunct w:val="0"/>
        <w:bidi w:val="0"/>
        <w:spacing w:line="360" w:lineRule="auto"/>
        <w:ind w:firstLine="420"/>
        <w:rPr>
          <w:rStyle w:val="29"/>
          <w:rFonts w:ascii="Times New Roman" w:hAnsi="宋体" w:eastAsia="宋体" w:cs="Times New Roman"/>
          <w:color w:val="auto"/>
          <w:szCs w:val="21"/>
          <w:highlight w:val="none"/>
        </w:rPr>
      </w:pPr>
      <w:r>
        <w:rPr>
          <w:rStyle w:val="29"/>
          <w:rFonts w:hint="eastAsia" w:ascii="Times New Roman" w:hAnsi="宋体" w:eastAsia="宋体" w:cs="宋体"/>
          <w:color w:val="auto"/>
          <w:szCs w:val="21"/>
          <w:highlight w:val="none"/>
        </w:rPr>
        <w:t>根据《建设工程质量管理条例》及有关规定，工程的质量保修期如下：</w:t>
      </w:r>
    </w:p>
    <w:p w14:paraId="6FFDAF66">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1</w:t>
      </w:r>
      <w:r>
        <w:rPr>
          <w:rStyle w:val="29"/>
          <w:rFonts w:hint="eastAsia" w:ascii="Calibri" w:hAnsi="宋体" w:eastAsia="宋体" w:cs="宋体"/>
          <w:color w:val="auto"/>
          <w:highlight w:val="none"/>
        </w:rPr>
        <w:t>．地基基础工程和主体结构工程为设计文件规定的工程合理使用年限；</w:t>
      </w:r>
    </w:p>
    <w:p w14:paraId="50BCB5A6">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2</w:t>
      </w:r>
      <w:r>
        <w:rPr>
          <w:rStyle w:val="29"/>
          <w:rFonts w:hint="eastAsia" w:ascii="Calibri" w:hAnsi="宋体" w:eastAsia="宋体" w:cs="宋体"/>
          <w:color w:val="auto"/>
          <w:highlight w:val="none"/>
        </w:rPr>
        <w:t>．屋面防水工程、有防水要求的卫生间、房间和外墙面的防渗为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5</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2FD62066">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3</w:t>
      </w:r>
      <w:r>
        <w:rPr>
          <w:rStyle w:val="29"/>
          <w:rFonts w:hint="eastAsia" w:ascii="Calibri" w:hAnsi="宋体" w:eastAsia="宋体" w:cs="宋体"/>
          <w:color w:val="auto"/>
          <w:highlight w:val="none"/>
        </w:rPr>
        <w:t>．装修工程为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0E104AFA">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4</w:t>
      </w:r>
      <w:r>
        <w:rPr>
          <w:rStyle w:val="29"/>
          <w:rFonts w:hint="eastAsia" w:ascii="Calibri" w:hAnsi="宋体" w:eastAsia="宋体" w:cs="宋体"/>
          <w:color w:val="auto"/>
          <w:highlight w:val="none"/>
        </w:rPr>
        <w:t>．电气管线、给排水管道、设备安装工程为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15CF8AFC">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5</w:t>
      </w:r>
      <w:r>
        <w:rPr>
          <w:rStyle w:val="29"/>
          <w:rFonts w:hint="eastAsia" w:ascii="Calibri" w:hAnsi="宋体" w:eastAsia="宋体" w:cs="宋体"/>
          <w:color w:val="auto"/>
          <w:highlight w:val="none"/>
        </w:rPr>
        <w:t>．供热与供冷系统为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个采暖期、供冷期；</w:t>
      </w:r>
    </w:p>
    <w:p w14:paraId="4AE75F68">
      <w:pPr>
        <w:pStyle w:val="22"/>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6</w:t>
      </w:r>
      <w:r>
        <w:rPr>
          <w:rStyle w:val="29"/>
          <w:rFonts w:hint="eastAsia" w:ascii="Calibri" w:hAnsi="宋体" w:eastAsia="宋体" w:cs="宋体"/>
          <w:color w:val="auto"/>
          <w:highlight w:val="none"/>
        </w:rPr>
        <w:t>．住宅小区内的给排水设施、道路等配套工程为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2478F1E7">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7．桥梁工程为  /  年（桥梁隧道主体结构工程为设计文件规定的合理使用年限）；</w:t>
      </w:r>
    </w:p>
    <w:p w14:paraId="6A5CC944">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 xml:space="preserve">8．道路工程为 </w:t>
      </w:r>
      <w:r>
        <w:rPr>
          <w:rStyle w:val="29"/>
          <w:rFonts w:hint="eastAsia" w:ascii="Times New Roman" w:hAnsi="宋体" w:eastAsia="宋体" w:cs="宋体"/>
          <w:color w:val="auto"/>
          <w:szCs w:val="21"/>
          <w:highlight w:val="none"/>
          <w:u w:val="single"/>
        </w:rPr>
        <w:t xml:space="preserve">  2  </w:t>
      </w:r>
      <w:r>
        <w:rPr>
          <w:rStyle w:val="29"/>
          <w:rFonts w:hint="eastAsia" w:ascii="Times New Roman" w:hAnsi="宋体" w:eastAsia="宋体" w:cs="宋体"/>
          <w:color w:val="auto"/>
          <w:szCs w:val="21"/>
          <w:highlight w:val="none"/>
        </w:rPr>
        <w:t>年（建议路基、路面、桥面为2年）；</w:t>
      </w:r>
    </w:p>
    <w:p w14:paraId="48D20981">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 xml:space="preserve">9．排水（雨水）工程为 </w:t>
      </w:r>
      <w:r>
        <w:rPr>
          <w:rStyle w:val="29"/>
          <w:rFonts w:hint="eastAsia" w:ascii="Times New Roman" w:hAnsi="宋体" w:eastAsia="宋体" w:cs="宋体"/>
          <w:color w:val="auto"/>
          <w:szCs w:val="21"/>
          <w:highlight w:val="none"/>
          <w:u w:val="single"/>
        </w:rPr>
        <w:t xml:space="preserve"> 3 </w:t>
      </w:r>
      <w:r>
        <w:rPr>
          <w:rStyle w:val="29"/>
          <w:rFonts w:hint="eastAsia" w:ascii="Times New Roman" w:hAnsi="宋体" w:eastAsia="宋体" w:cs="宋体"/>
          <w:color w:val="auto"/>
          <w:szCs w:val="21"/>
          <w:highlight w:val="none"/>
        </w:rPr>
        <w:t xml:space="preserve">  年（建议道路工程中的排水工程为3年）；</w:t>
      </w:r>
    </w:p>
    <w:p w14:paraId="34DEDB89">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10．绿化工程为单位工程竣工验收合格后  1 年；</w:t>
      </w:r>
    </w:p>
    <w:p w14:paraId="0300B94A">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 xml:space="preserve">11. 地下防水工程为 </w:t>
      </w:r>
      <w:r>
        <w:rPr>
          <w:rStyle w:val="29"/>
          <w:rFonts w:hint="eastAsia" w:ascii="Times New Roman" w:hAnsi="宋体" w:eastAsia="宋体" w:cs="宋体"/>
          <w:color w:val="auto"/>
          <w:szCs w:val="21"/>
          <w:highlight w:val="none"/>
          <w:u w:val="single"/>
        </w:rPr>
        <w:t xml:space="preserve">  5 </w:t>
      </w:r>
      <w:r>
        <w:rPr>
          <w:rStyle w:val="29"/>
          <w:rFonts w:hint="eastAsia" w:ascii="Times New Roman" w:hAnsi="宋体" w:eastAsia="宋体" w:cs="宋体"/>
          <w:color w:val="auto"/>
          <w:szCs w:val="21"/>
          <w:highlight w:val="none"/>
        </w:rPr>
        <w:t xml:space="preserve"> 年（建议为5年）；</w:t>
      </w:r>
    </w:p>
    <w:p w14:paraId="4292B379">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其他项目保修期限约定如下：</w:t>
      </w:r>
      <w:r>
        <w:rPr>
          <w:rFonts w:hint="eastAsia" w:ascii="宋体" w:hAnsi="宋体" w:cs="宋体"/>
          <w:color w:val="auto"/>
          <w:szCs w:val="21"/>
          <w:highlight w:val="none"/>
          <w:u w:val="single"/>
        </w:rPr>
        <w:t xml:space="preserve"> 本工程其余项目质保期均为两年，质量保修规范如国家有新规定，则按新规定执行 </w:t>
      </w:r>
      <w:r>
        <w:rPr>
          <w:rFonts w:hint="eastAsia" w:ascii="宋体" w:hAnsi="宋体" w:cs="宋体"/>
          <w:color w:val="auto"/>
          <w:szCs w:val="21"/>
          <w:highlight w:val="none"/>
        </w:rPr>
        <w:t>。</w:t>
      </w:r>
    </w:p>
    <w:p w14:paraId="2DBDEA5C">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质量保修期自工程竣工验收合格之日起计算。 </w:t>
      </w:r>
    </w:p>
    <w:p w14:paraId="72149736">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5" w:name="_Toc15923"/>
      <w:r>
        <w:rPr>
          <w:rFonts w:hint="eastAsia" w:ascii="宋体" w:hAnsi="宋体" w:cs="宋体"/>
          <w:color w:val="auto"/>
          <w:szCs w:val="21"/>
          <w:highlight w:val="none"/>
        </w:rPr>
        <w:t>三、缺陷责任期</w:t>
      </w:r>
      <w:bookmarkEnd w:id="1885"/>
    </w:p>
    <w:p w14:paraId="13ABF88A">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458923CA">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6598D9D0">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6" w:name="_Toc15183"/>
      <w:r>
        <w:rPr>
          <w:rFonts w:hint="eastAsia" w:ascii="宋体" w:hAnsi="宋体" w:cs="宋体"/>
          <w:color w:val="auto"/>
          <w:szCs w:val="21"/>
          <w:highlight w:val="none"/>
        </w:rPr>
        <w:t>四、质量保修责任</w:t>
      </w:r>
      <w:bookmarkEnd w:id="1886"/>
    </w:p>
    <w:p w14:paraId="2D2FE143">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天内派人保修。承包人不在约定期限内派人保修的，发包人可以委托他人修理，修理费用从</w:t>
      </w:r>
      <w:r>
        <w:rPr>
          <w:rFonts w:hint="eastAsia" w:ascii="宋体" w:hAnsi="宋体" w:cs="宋体"/>
          <w:color w:val="auto"/>
          <w:szCs w:val="21"/>
          <w:highlight w:val="none"/>
          <w:lang w:eastAsia="zh-CN"/>
        </w:rPr>
        <w:t>质量保证金</w:t>
      </w:r>
      <w:r>
        <w:rPr>
          <w:rFonts w:hint="eastAsia" w:ascii="宋体" w:hAnsi="宋体" w:cs="宋体"/>
          <w:color w:val="auto"/>
          <w:szCs w:val="21"/>
          <w:highlight w:val="none"/>
        </w:rPr>
        <w:t>内扣除。</w:t>
      </w:r>
    </w:p>
    <w:p w14:paraId="1EBCA79C">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532EDAD5">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F190A17">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603FB120">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7" w:name="_Toc30389"/>
      <w:r>
        <w:rPr>
          <w:rFonts w:hint="eastAsia" w:ascii="宋体" w:hAnsi="宋体" w:cs="宋体"/>
          <w:color w:val="auto"/>
          <w:szCs w:val="21"/>
          <w:highlight w:val="none"/>
        </w:rPr>
        <w:t>五、保修费用</w:t>
      </w:r>
      <w:bookmarkEnd w:id="1887"/>
    </w:p>
    <w:p w14:paraId="12B3C674">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6AD0EF09">
      <w:pPr>
        <w:pStyle w:val="51"/>
        <w:keepNext w:val="0"/>
        <w:keepLines w:val="0"/>
        <w:pageBreakBefore w:val="0"/>
        <w:widowControl w:val="0"/>
        <w:numPr>
          <w:ilvl w:val="0"/>
          <w:numId w:val="7"/>
        </w:numPr>
        <w:wordWrap/>
        <w:topLinePunct w:val="0"/>
        <w:bidi w:val="0"/>
        <w:spacing w:line="400" w:lineRule="exact"/>
        <w:rPr>
          <w:rFonts w:ascii="宋体" w:hAnsi="宋体" w:cs="宋体"/>
          <w:color w:val="auto"/>
          <w:highlight w:val="none"/>
          <w:u w:val="single"/>
        </w:rPr>
      </w:pPr>
      <w:r>
        <w:rPr>
          <w:rFonts w:hint="eastAsia" w:ascii="宋体" w:hAnsi="宋体" w:cs="宋体"/>
          <w:color w:val="auto"/>
          <w:highlight w:val="none"/>
        </w:rPr>
        <w:t xml:space="preserve">双方约定的其他工程质量保修事项：  1. </w:t>
      </w:r>
      <w:r>
        <w:rPr>
          <w:rFonts w:hint="eastAsia" w:ascii="宋体" w:hAnsi="宋体" w:cs="宋体"/>
          <w:color w:val="auto"/>
          <w:highlight w:val="none"/>
          <w:u w:val="single"/>
        </w:rPr>
        <w:t>承包人未按照法律法规有关规定和合同约定履行质量保修义务的，发包人有权从质量保证金中扣留用于质量保修的各项支出。</w:t>
      </w:r>
    </w:p>
    <w:p w14:paraId="0A64A48C">
      <w:pPr>
        <w:pStyle w:val="51"/>
        <w:keepNext w:val="0"/>
        <w:keepLines w:val="0"/>
        <w:pageBreakBefore w:val="0"/>
        <w:widowControl w:val="0"/>
        <w:numPr>
          <w:ilvl w:val="0"/>
          <w:numId w:val="8"/>
        </w:numPr>
        <w:wordWrap/>
        <w:topLinePunct w:val="0"/>
        <w:bidi w:val="0"/>
        <w:spacing w:line="400" w:lineRule="exact"/>
        <w:rPr>
          <w:rFonts w:ascii="宋体" w:hAnsi="宋体" w:cs="宋体"/>
          <w:color w:val="auto"/>
          <w:highlight w:val="none"/>
          <w:u w:val="singl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比例：工程结算价的</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w:t>
      </w:r>
    </w:p>
    <w:p w14:paraId="109CBD80">
      <w:pPr>
        <w:pStyle w:val="51"/>
        <w:keepNext w:val="0"/>
        <w:keepLines w:val="0"/>
        <w:pageBreakBefore w:val="0"/>
        <w:widowControl w:val="0"/>
        <w:numPr>
          <w:ilvl w:val="0"/>
          <w:numId w:val="8"/>
        </w:numPr>
        <w:wordWrap/>
        <w:topLinePunct w:val="0"/>
        <w:bidi w:val="0"/>
        <w:spacing w:line="400" w:lineRule="exact"/>
        <w:rPr>
          <w:rFonts w:ascii="宋体" w:hAnsi="宋体" w:cs="宋体"/>
          <w:color w:val="auto"/>
          <w:highlight w:val="non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返还：发包人在工程竣工验收合格之日起满两年后14天内将保修金（无息）的返回给承包人，</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 xml:space="preserve">的返还，并不能免除承包人按照合同约定应承担的质量保修责任和应履行的质量保修义务  </w:t>
      </w:r>
      <w:r>
        <w:rPr>
          <w:rFonts w:hint="eastAsia" w:ascii="宋体" w:hAnsi="宋体" w:cs="宋体"/>
          <w:color w:val="auto"/>
          <w:highlight w:val="none"/>
        </w:rPr>
        <w:t>。</w:t>
      </w:r>
    </w:p>
    <w:p w14:paraId="644281D4">
      <w:pPr>
        <w:pStyle w:val="21"/>
        <w:keepNext w:val="0"/>
        <w:keepLines w:val="0"/>
        <w:pageBreakBefore w:val="0"/>
        <w:widowControl w:val="0"/>
        <w:wordWrap/>
        <w:topLinePunct w:val="0"/>
        <w:bidi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321EA6D8">
      <w:pPr>
        <w:pStyle w:val="21"/>
        <w:keepNext w:val="0"/>
        <w:keepLines w:val="0"/>
        <w:pageBreakBefore w:val="0"/>
        <w:widowControl w:val="0"/>
        <w:wordWrap/>
        <w:topLinePunct w:val="0"/>
        <w:bidi w:val="0"/>
        <w:spacing w:line="320" w:lineRule="exact"/>
        <w:ind w:firstLine="420" w:firstLineChars="200"/>
        <w:rPr>
          <w:rFonts w:ascii="宋体" w:hAnsi="宋体" w:cs="宋体"/>
          <w:color w:val="auto"/>
          <w:szCs w:val="21"/>
          <w:highlight w:val="none"/>
        </w:rPr>
      </w:pPr>
    </w:p>
    <w:p w14:paraId="42AA8A7C">
      <w:pPr>
        <w:pStyle w:val="20"/>
        <w:keepNext w:val="0"/>
        <w:keepLines w:val="0"/>
        <w:pageBreakBefore w:val="0"/>
        <w:widowControl w:val="0"/>
        <w:wordWrap/>
        <w:topLinePunct w:val="0"/>
        <w:bidi w:val="0"/>
        <w:ind w:left="63" w:right="63"/>
        <w:rPr>
          <w:rFonts w:hint="eastAsia"/>
          <w:color w:val="auto"/>
          <w:highlight w:val="none"/>
          <w:lang w:val="en-US" w:eastAsia="zh-CN"/>
        </w:rPr>
      </w:pPr>
    </w:p>
    <w:p w14:paraId="50009CF8">
      <w:pPr>
        <w:pStyle w:val="51"/>
        <w:keepNext w:val="0"/>
        <w:keepLines w:val="0"/>
        <w:pageBreakBefore w:val="0"/>
        <w:widowControl w:val="0"/>
        <w:wordWrap/>
        <w:topLinePunct w:val="0"/>
        <w:bidi w:val="0"/>
        <w:spacing w:line="320" w:lineRule="exact"/>
        <w:ind w:left="0" w:leftChars="0" w:firstLine="0" w:firstLineChars="0"/>
        <w:rPr>
          <w:rFonts w:hint="default" w:ascii="宋体" w:hAnsi="宋体" w:eastAsia="宋体" w:cs="宋体"/>
          <w:color w:val="auto"/>
          <w:highlight w:val="none"/>
          <w:u w:val="single"/>
          <w:lang w:val="en-US" w:eastAsia="zh-CN"/>
        </w:rPr>
      </w:pPr>
      <w:r>
        <w:rPr>
          <w:rFonts w:hint="eastAsia" w:ascii="宋体" w:hAnsi="宋体" w:cs="宋体"/>
          <w:color w:val="auto"/>
          <w:highlight w:val="none"/>
        </w:rPr>
        <w:t>发包人(公章)：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rPr>
        <w:t>承包人(公章)：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22DA710D">
      <w:pPr>
        <w:pStyle w:val="51"/>
        <w:keepNext w:val="0"/>
        <w:keepLines w:val="0"/>
        <w:pageBreakBefore w:val="0"/>
        <w:widowControl w:val="0"/>
        <w:wordWrap/>
        <w:topLinePunct w:val="0"/>
        <w:bidi w:val="0"/>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 xml:space="preserve"> </w:t>
      </w:r>
    </w:p>
    <w:p w14:paraId="674669BD">
      <w:pPr>
        <w:pStyle w:val="51"/>
        <w:keepNext w:val="0"/>
        <w:keepLines w:val="0"/>
        <w:pageBreakBefore w:val="0"/>
        <w:widowControl w:val="0"/>
        <w:wordWrap/>
        <w:topLinePunct w:val="0"/>
        <w:bidi w:val="0"/>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6EAE4714">
      <w:pPr>
        <w:pStyle w:val="51"/>
        <w:keepNext w:val="0"/>
        <w:keepLines w:val="0"/>
        <w:pageBreakBefore w:val="0"/>
        <w:widowControl w:val="0"/>
        <w:wordWrap/>
        <w:topLinePunct w:val="0"/>
        <w:bidi w:val="0"/>
        <w:spacing w:line="320" w:lineRule="exact"/>
        <w:ind w:left="0" w:leftChars="0" w:firstLine="0" w:firstLineChars="0"/>
        <w:rPr>
          <w:rFonts w:hint="eastAsia" w:ascii="宋体" w:hAnsi="宋体" w:cs="宋体"/>
          <w:color w:val="auto"/>
          <w:highlight w:val="none"/>
        </w:rPr>
      </w:pPr>
    </w:p>
    <w:p w14:paraId="3EE7E3F3">
      <w:pPr>
        <w:pStyle w:val="51"/>
        <w:keepNext w:val="0"/>
        <w:keepLines w:val="0"/>
        <w:pageBreakBefore w:val="0"/>
        <w:widowControl w:val="0"/>
        <w:wordWrap/>
        <w:topLinePunct w:val="0"/>
        <w:bidi w:val="0"/>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rPr>
        <w:t>法定代表人</w:t>
      </w:r>
      <w:r>
        <w:rPr>
          <w:rFonts w:hint="eastAsia" w:ascii="宋体" w:hAnsi="宋体" w:cs="宋体"/>
          <w:color w:val="auto"/>
          <w:highlight w:val="none"/>
          <w:lang w:eastAsia="zh-CN"/>
        </w:rPr>
        <w:t>或</w:t>
      </w:r>
      <w:r>
        <w:rPr>
          <w:rFonts w:hint="eastAsia" w:ascii="宋体" w:hAnsi="宋体" w:cs="宋体"/>
          <w:color w:val="auto"/>
          <w:highlight w:val="none"/>
        </w:rPr>
        <w:t xml:space="preserve">委托代理人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法定代表人</w:t>
      </w:r>
      <w:r>
        <w:rPr>
          <w:rFonts w:hint="eastAsia" w:ascii="宋体" w:hAnsi="宋体" w:cs="宋体"/>
          <w:color w:val="auto"/>
          <w:highlight w:val="none"/>
          <w:lang w:eastAsia="zh-CN"/>
        </w:rPr>
        <w:t>或</w:t>
      </w:r>
      <w:r>
        <w:rPr>
          <w:rFonts w:hint="eastAsia" w:ascii="宋体" w:hAnsi="宋体" w:cs="宋体"/>
          <w:color w:val="auto"/>
          <w:highlight w:val="none"/>
        </w:rPr>
        <w:t>委托代理人</w:t>
      </w:r>
    </w:p>
    <w:p w14:paraId="62ABC13A">
      <w:pPr>
        <w:pStyle w:val="51"/>
        <w:keepNext w:val="0"/>
        <w:keepLines w:val="0"/>
        <w:pageBreakBefore w:val="0"/>
        <w:widowControl w:val="0"/>
        <w:wordWrap/>
        <w:topLinePunct w:val="0"/>
        <w:bidi w:val="0"/>
        <w:spacing w:line="320" w:lineRule="exact"/>
        <w:ind w:left="0" w:leftChars="0" w:firstLine="0" w:firstLineChars="0"/>
        <w:rPr>
          <w:rFonts w:hint="eastAsia" w:ascii="宋体" w:hAnsi="宋体" w:eastAsia="宋体" w:cs="宋体"/>
          <w:color w:val="auto"/>
          <w:highlight w:val="none"/>
          <w:lang w:val="en-US" w:eastAsia="zh-CN"/>
        </w:rPr>
      </w:pP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3FD010D3">
      <w:pPr>
        <w:pStyle w:val="51"/>
        <w:keepNext w:val="0"/>
        <w:keepLines w:val="0"/>
        <w:pageBreakBefore w:val="0"/>
        <w:widowControl w:val="0"/>
        <w:wordWrap/>
        <w:topLinePunct w:val="0"/>
        <w:bidi w:val="0"/>
        <w:spacing w:line="320" w:lineRule="exact"/>
        <w:ind w:left="0" w:leftChars="0" w:firstLine="0" w:firstLineChars="0"/>
        <w:rPr>
          <w:rFonts w:hint="eastAsia" w:ascii="宋体" w:hAnsi="宋体" w:cs="宋体"/>
          <w:color w:val="auto"/>
          <w:highlight w:val="none"/>
        </w:rPr>
      </w:pPr>
    </w:p>
    <w:p w14:paraId="05E2CC1C">
      <w:pPr>
        <w:pStyle w:val="51"/>
        <w:keepNext w:val="0"/>
        <w:keepLines w:val="0"/>
        <w:pageBreakBefore w:val="0"/>
        <w:widowControl w:val="0"/>
        <w:wordWrap/>
        <w:topLinePunct w:val="0"/>
        <w:bidi w:val="0"/>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电  话：</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451B2C7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2D35C06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color w:val="auto"/>
          <w:sz w:val="21"/>
          <w:szCs w:val="21"/>
          <w:highlight w:val="none"/>
        </w:rPr>
        <w:t>附件4：</w:t>
      </w:r>
    </w:p>
    <w:p w14:paraId="53B92A2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主要建设工程文件目录</w:t>
      </w:r>
    </w:p>
    <w:p w14:paraId="133C951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bl>
      <w:tblPr>
        <w:tblStyle w:val="27"/>
        <w:tblpPr w:leftFromText="180" w:rightFromText="180" w:vertAnchor="text" w:horzAnchor="page" w:tblpX="1430" w:tblpY="14"/>
        <w:tblOverlap w:val="never"/>
        <w:tblW w:w="872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067"/>
        <w:gridCol w:w="1450"/>
        <w:gridCol w:w="1243"/>
        <w:gridCol w:w="1450"/>
        <w:gridCol w:w="1564"/>
      </w:tblGrid>
      <w:tr w14:paraId="5BBC4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4FA791E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文件名称</w:t>
            </w:r>
          </w:p>
        </w:tc>
        <w:tc>
          <w:tcPr>
            <w:tcW w:w="1067" w:type="dxa"/>
            <w:tcBorders>
              <w:top w:val="single" w:color="auto" w:sz="12" w:space="0"/>
              <w:bottom w:val="double" w:color="auto" w:sz="6" w:space="0"/>
            </w:tcBorders>
            <w:noWrap w:val="0"/>
            <w:vAlign w:val="center"/>
          </w:tcPr>
          <w:p w14:paraId="559433B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套数</w:t>
            </w:r>
          </w:p>
        </w:tc>
        <w:tc>
          <w:tcPr>
            <w:tcW w:w="1450" w:type="dxa"/>
            <w:tcBorders>
              <w:top w:val="single" w:color="auto" w:sz="12" w:space="0"/>
              <w:bottom w:val="double" w:color="auto" w:sz="6" w:space="0"/>
            </w:tcBorders>
            <w:noWrap w:val="0"/>
            <w:vAlign w:val="center"/>
          </w:tcPr>
          <w:p w14:paraId="0A7DF4B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费用（元）</w:t>
            </w:r>
          </w:p>
        </w:tc>
        <w:tc>
          <w:tcPr>
            <w:tcW w:w="1243" w:type="dxa"/>
            <w:tcBorders>
              <w:top w:val="single" w:color="auto" w:sz="12" w:space="0"/>
              <w:bottom w:val="double" w:color="auto" w:sz="6" w:space="0"/>
            </w:tcBorders>
            <w:noWrap w:val="0"/>
            <w:vAlign w:val="center"/>
          </w:tcPr>
          <w:p w14:paraId="1656484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w:t>
            </w:r>
          </w:p>
        </w:tc>
        <w:tc>
          <w:tcPr>
            <w:tcW w:w="1450" w:type="dxa"/>
            <w:tcBorders>
              <w:top w:val="single" w:color="auto" w:sz="12" w:space="0"/>
              <w:bottom w:val="double" w:color="auto" w:sz="6" w:space="0"/>
            </w:tcBorders>
            <w:noWrap w:val="0"/>
            <w:vAlign w:val="top"/>
          </w:tcPr>
          <w:p w14:paraId="1AC2EB9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移交时间</w:t>
            </w:r>
          </w:p>
        </w:tc>
        <w:tc>
          <w:tcPr>
            <w:tcW w:w="1564" w:type="dxa"/>
            <w:tcBorders>
              <w:top w:val="single" w:color="auto" w:sz="12" w:space="0"/>
              <w:bottom w:val="double" w:color="auto" w:sz="6" w:space="0"/>
            </w:tcBorders>
            <w:noWrap w:val="0"/>
            <w:vAlign w:val="top"/>
          </w:tcPr>
          <w:p w14:paraId="43509EA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责任人</w:t>
            </w:r>
          </w:p>
        </w:tc>
      </w:tr>
      <w:tr w14:paraId="74233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bottom w:val="single" w:color="auto" w:sz="6" w:space="0"/>
            </w:tcBorders>
            <w:noWrap w:val="0"/>
            <w:vAlign w:val="center"/>
          </w:tcPr>
          <w:p w14:paraId="28AEA3F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tcBorders>
              <w:top w:val="double" w:color="auto" w:sz="6" w:space="0"/>
              <w:bottom w:val="single" w:color="auto" w:sz="6" w:space="0"/>
            </w:tcBorders>
            <w:noWrap w:val="0"/>
            <w:vAlign w:val="center"/>
          </w:tcPr>
          <w:p w14:paraId="38BFE6C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double" w:color="auto" w:sz="6" w:space="0"/>
              <w:bottom w:val="single" w:color="auto" w:sz="6" w:space="0"/>
            </w:tcBorders>
            <w:noWrap w:val="0"/>
            <w:vAlign w:val="center"/>
          </w:tcPr>
          <w:p w14:paraId="36141E4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tcBorders>
              <w:top w:val="double" w:color="auto" w:sz="6" w:space="0"/>
              <w:bottom w:val="single" w:color="auto" w:sz="6" w:space="0"/>
            </w:tcBorders>
            <w:noWrap w:val="0"/>
            <w:vAlign w:val="center"/>
          </w:tcPr>
          <w:p w14:paraId="2576C7F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double" w:color="auto" w:sz="6" w:space="0"/>
              <w:bottom w:val="single" w:color="auto" w:sz="6" w:space="0"/>
            </w:tcBorders>
            <w:noWrap w:val="0"/>
            <w:vAlign w:val="center"/>
          </w:tcPr>
          <w:p w14:paraId="282B15C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tcBorders>
              <w:top w:val="double" w:color="auto" w:sz="6" w:space="0"/>
              <w:bottom w:val="single" w:color="auto" w:sz="6" w:space="0"/>
            </w:tcBorders>
            <w:noWrap w:val="0"/>
            <w:vAlign w:val="center"/>
          </w:tcPr>
          <w:p w14:paraId="43348F9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44A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1E5C66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tcBorders>
              <w:top w:val="nil"/>
            </w:tcBorders>
            <w:noWrap w:val="0"/>
            <w:vAlign w:val="center"/>
          </w:tcPr>
          <w:p w14:paraId="2C2888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nil"/>
            </w:tcBorders>
            <w:noWrap w:val="0"/>
            <w:vAlign w:val="center"/>
          </w:tcPr>
          <w:p w14:paraId="02D9173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tcBorders>
              <w:top w:val="nil"/>
            </w:tcBorders>
            <w:noWrap w:val="0"/>
            <w:vAlign w:val="center"/>
          </w:tcPr>
          <w:p w14:paraId="1C4EB9B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nil"/>
            </w:tcBorders>
            <w:noWrap w:val="0"/>
            <w:vAlign w:val="center"/>
          </w:tcPr>
          <w:p w14:paraId="7612C1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tcBorders>
              <w:top w:val="nil"/>
            </w:tcBorders>
            <w:noWrap w:val="0"/>
            <w:vAlign w:val="center"/>
          </w:tcPr>
          <w:p w14:paraId="30DDD38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EB62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2F86BC8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194E4B9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417E0EF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4A2F69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0332753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7426B3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1E1D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767884A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024AE85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3E544D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0860BA9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31E6C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188462D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822E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2752FAD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03E3A2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7D416A7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76D7488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25F47BC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6F18594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CD7C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09DC2F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6EF6E09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459E5A0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0B94AF1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7C26315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7964636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9505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150EAD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681975E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6A3C0A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558F1C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090C22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2F6EAC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F483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35BC834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464B607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383A80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0CD63D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7C6A48D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5C9253C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C7C3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34EC9BB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F73D46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967D15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597C452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46307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3B19467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13B16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4144BA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6B6740B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3DFF59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58C697D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5AF0E72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3C24963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A83F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BD0390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B87E79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25672F7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17073CE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59274E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3312A73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16B0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5D255D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D5D438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20EABE2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71B1959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3D74D0D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15E6B84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78FF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A37FED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3DFD054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C774B6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251C346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F8ED1C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500A326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D9A25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43642CC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77D906E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16EBDB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08B7227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224672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629A528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9929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16FC1E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631E52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68EC69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7B5D711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153CEF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61E835C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24A3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BF0695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42087ED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B71C93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2482DF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24F613C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1B5C4B5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C3F8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289F56C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40C910F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6E8243C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65ACFB7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F102D0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6A2DC75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4D7B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31FCDF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2B9952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485ABCA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65BF303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CFCB54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45C28F0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06C05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445C0E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7E5415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4944A74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33D3729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1D6E2F3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5D29DD3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bl>
    <w:p w14:paraId="267387E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w:t>
      </w:r>
      <w:bookmarkStart w:id="1888" w:name="_Toc267261698"/>
      <w:bookmarkStart w:id="1889" w:name="_Toc296891055"/>
      <w:bookmarkStart w:id="1890" w:name="_Toc296347226"/>
      <w:bookmarkStart w:id="1891" w:name="_Toc296891267"/>
      <w:bookmarkStart w:id="1892" w:name="_Toc296503227"/>
      <w:bookmarkStart w:id="1893" w:name="_Toc296944566"/>
      <w:bookmarkStart w:id="1894" w:name="_Toc296346728"/>
      <w:r>
        <w:rPr>
          <w:rFonts w:hint="eastAsia" w:ascii="宋体" w:hAnsi="宋体" w:eastAsia="宋体" w:cs="宋体"/>
          <w:color w:val="auto"/>
          <w:sz w:val="21"/>
          <w:szCs w:val="21"/>
          <w:highlight w:val="none"/>
        </w:rPr>
        <w:t>件5：</w:t>
      </w:r>
    </w:p>
    <w:bookmarkEnd w:id="1888"/>
    <w:bookmarkEnd w:id="1889"/>
    <w:bookmarkEnd w:id="1890"/>
    <w:bookmarkEnd w:id="1891"/>
    <w:bookmarkEnd w:id="1892"/>
    <w:bookmarkEnd w:id="1893"/>
    <w:bookmarkEnd w:id="1894"/>
    <w:p w14:paraId="7E6CBCE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承包人用于本工程施工的机械设备表</w:t>
      </w:r>
    </w:p>
    <w:tbl>
      <w:tblPr>
        <w:tblStyle w:val="27"/>
        <w:tblW w:w="85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9"/>
        <w:gridCol w:w="1418"/>
        <w:gridCol w:w="850"/>
        <w:gridCol w:w="1058"/>
        <w:gridCol w:w="880"/>
        <w:gridCol w:w="806"/>
        <w:gridCol w:w="1310"/>
        <w:gridCol w:w="906"/>
        <w:gridCol w:w="652"/>
      </w:tblGrid>
      <w:tr w14:paraId="454A5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9" w:type="dxa"/>
            <w:tcBorders>
              <w:top w:val="single" w:color="auto" w:sz="12" w:space="0"/>
              <w:bottom w:val="double" w:color="auto" w:sz="6" w:space="0"/>
            </w:tcBorders>
            <w:noWrap w:val="0"/>
            <w:vAlign w:val="center"/>
          </w:tcPr>
          <w:p w14:paraId="5B305C8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序号</w:t>
            </w:r>
          </w:p>
        </w:tc>
        <w:tc>
          <w:tcPr>
            <w:tcW w:w="1418" w:type="dxa"/>
            <w:tcBorders>
              <w:top w:val="single" w:color="auto" w:sz="12" w:space="0"/>
              <w:bottom w:val="double" w:color="auto" w:sz="6" w:space="0"/>
            </w:tcBorders>
            <w:noWrap w:val="0"/>
            <w:vAlign w:val="center"/>
          </w:tcPr>
          <w:p w14:paraId="4A90F6F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机械或设备名称</w:t>
            </w:r>
          </w:p>
        </w:tc>
        <w:tc>
          <w:tcPr>
            <w:tcW w:w="850" w:type="dxa"/>
            <w:tcBorders>
              <w:top w:val="single" w:color="auto" w:sz="12" w:space="0"/>
              <w:bottom w:val="double" w:color="auto" w:sz="6" w:space="0"/>
            </w:tcBorders>
            <w:noWrap w:val="0"/>
            <w:vAlign w:val="center"/>
          </w:tcPr>
          <w:p w14:paraId="0647E0D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规格型号</w:t>
            </w:r>
          </w:p>
        </w:tc>
        <w:tc>
          <w:tcPr>
            <w:tcW w:w="1058" w:type="dxa"/>
            <w:tcBorders>
              <w:top w:val="single" w:color="auto" w:sz="12" w:space="0"/>
              <w:bottom w:val="double" w:color="auto" w:sz="6" w:space="0"/>
            </w:tcBorders>
            <w:noWrap w:val="0"/>
            <w:vAlign w:val="center"/>
          </w:tcPr>
          <w:p w14:paraId="177E779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数量</w:t>
            </w:r>
          </w:p>
        </w:tc>
        <w:tc>
          <w:tcPr>
            <w:tcW w:w="880" w:type="dxa"/>
            <w:tcBorders>
              <w:top w:val="single" w:color="auto" w:sz="12" w:space="0"/>
              <w:bottom w:val="double" w:color="auto" w:sz="6" w:space="0"/>
            </w:tcBorders>
            <w:noWrap w:val="0"/>
            <w:vAlign w:val="center"/>
          </w:tcPr>
          <w:p w14:paraId="165894F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产地</w:t>
            </w:r>
          </w:p>
        </w:tc>
        <w:tc>
          <w:tcPr>
            <w:tcW w:w="806" w:type="dxa"/>
            <w:tcBorders>
              <w:top w:val="single" w:color="auto" w:sz="12" w:space="0"/>
              <w:bottom w:val="double" w:color="auto" w:sz="6" w:space="0"/>
            </w:tcBorders>
            <w:noWrap w:val="0"/>
            <w:vAlign w:val="center"/>
          </w:tcPr>
          <w:p w14:paraId="36FF1D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制造年份</w:t>
            </w:r>
          </w:p>
        </w:tc>
        <w:tc>
          <w:tcPr>
            <w:tcW w:w="1310" w:type="dxa"/>
            <w:tcBorders>
              <w:top w:val="single" w:color="auto" w:sz="12" w:space="0"/>
              <w:bottom w:val="double" w:color="auto" w:sz="6" w:space="0"/>
            </w:tcBorders>
            <w:noWrap w:val="0"/>
            <w:vAlign w:val="center"/>
          </w:tcPr>
          <w:p w14:paraId="4D7F9B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额定功率(kW)</w:t>
            </w:r>
          </w:p>
        </w:tc>
        <w:tc>
          <w:tcPr>
            <w:tcW w:w="906" w:type="dxa"/>
            <w:tcBorders>
              <w:top w:val="single" w:color="auto" w:sz="12" w:space="0"/>
              <w:bottom w:val="double" w:color="auto" w:sz="6" w:space="0"/>
            </w:tcBorders>
            <w:noWrap w:val="0"/>
            <w:vAlign w:val="center"/>
          </w:tcPr>
          <w:p w14:paraId="5EA3D8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生产能力</w:t>
            </w:r>
          </w:p>
        </w:tc>
        <w:tc>
          <w:tcPr>
            <w:tcW w:w="652" w:type="dxa"/>
            <w:tcBorders>
              <w:top w:val="single" w:color="auto" w:sz="12" w:space="0"/>
              <w:bottom w:val="double" w:color="auto" w:sz="6" w:space="0"/>
            </w:tcBorders>
            <w:noWrap w:val="0"/>
            <w:vAlign w:val="center"/>
          </w:tcPr>
          <w:p w14:paraId="54BED0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备注</w:t>
            </w:r>
          </w:p>
        </w:tc>
      </w:tr>
      <w:tr w14:paraId="5A587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double" w:color="auto" w:sz="6" w:space="0"/>
              <w:bottom w:val="single" w:color="auto" w:sz="6" w:space="0"/>
            </w:tcBorders>
            <w:noWrap w:val="0"/>
            <w:vAlign w:val="center"/>
          </w:tcPr>
          <w:p w14:paraId="69CC51D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top w:val="double" w:color="auto" w:sz="6" w:space="0"/>
              <w:bottom w:val="single" w:color="auto" w:sz="6" w:space="0"/>
            </w:tcBorders>
            <w:noWrap w:val="0"/>
            <w:vAlign w:val="center"/>
          </w:tcPr>
          <w:p w14:paraId="1AC83C0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double" w:color="auto" w:sz="6" w:space="0"/>
              <w:bottom w:val="single" w:color="auto" w:sz="6" w:space="0"/>
            </w:tcBorders>
            <w:noWrap w:val="0"/>
            <w:vAlign w:val="center"/>
          </w:tcPr>
          <w:p w14:paraId="2828DFB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tcBorders>
              <w:top w:val="double" w:color="auto" w:sz="6" w:space="0"/>
              <w:bottom w:val="single" w:color="auto" w:sz="6" w:space="0"/>
            </w:tcBorders>
            <w:noWrap w:val="0"/>
            <w:vAlign w:val="center"/>
          </w:tcPr>
          <w:p w14:paraId="7A03C94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tcBorders>
              <w:top w:val="double" w:color="auto" w:sz="6" w:space="0"/>
              <w:bottom w:val="single" w:color="auto" w:sz="6" w:space="0"/>
            </w:tcBorders>
            <w:noWrap w:val="0"/>
            <w:vAlign w:val="center"/>
          </w:tcPr>
          <w:p w14:paraId="7B3695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tcBorders>
              <w:top w:val="double" w:color="auto" w:sz="6" w:space="0"/>
              <w:bottom w:val="single" w:color="auto" w:sz="6" w:space="0"/>
            </w:tcBorders>
            <w:noWrap w:val="0"/>
            <w:vAlign w:val="center"/>
          </w:tcPr>
          <w:p w14:paraId="4A1B742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tcBorders>
              <w:top w:val="double" w:color="auto" w:sz="6" w:space="0"/>
              <w:bottom w:val="single" w:color="auto" w:sz="6" w:space="0"/>
            </w:tcBorders>
            <w:noWrap w:val="0"/>
            <w:vAlign w:val="center"/>
          </w:tcPr>
          <w:p w14:paraId="2256F48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tcBorders>
              <w:top w:val="double" w:color="auto" w:sz="6" w:space="0"/>
              <w:bottom w:val="single" w:color="auto" w:sz="6" w:space="0"/>
            </w:tcBorders>
            <w:noWrap w:val="0"/>
            <w:vAlign w:val="center"/>
          </w:tcPr>
          <w:p w14:paraId="3F5141A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tcBorders>
              <w:top w:val="double" w:color="auto" w:sz="6" w:space="0"/>
              <w:bottom w:val="single" w:color="auto" w:sz="6" w:space="0"/>
            </w:tcBorders>
            <w:noWrap w:val="0"/>
            <w:vAlign w:val="center"/>
          </w:tcPr>
          <w:p w14:paraId="1CC5DF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3539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nil"/>
            </w:tcBorders>
            <w:noWrap w:val="0"/>
            <w:vAlign w:val="center"/>
          </w:tcPr>
          <w:p w14:paraId="28E9012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top w:val="nil"/>
            </w:tcBorders>
            <w:noWrap w:val="0"/>
            <w:vAlign w:val="center"/>
          </w:tcPr>
          <w:p w14:paraId="10581AE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4F2F7F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tcBorders>
              <w:top w:val="nil"/>
            </w:tcBorders>
            <w:noWrap w:val="0"/>
            <w:vAlign w:val="center"/>
          </w:tcPr>
          <w:p w14:paraId="2C58F38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tcBorders>
              <w:top w:val="nil"/>
            </w:tcBorders>
            <w:noWrap w:val="0"/>
            <w:vAlign w:val="center"/>
          </w:tcPr>
          <w:p w14:paraId="2EA2001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tcBorders>
              <w:top w:val="nil"/>
            </w:tcBorders>
            <w:noWrap w:val="0"/>
            <w:vAlign w:val="center"/>
          </w:tcPr>
          <w:p w14:paraId="32D7A41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tcBorders>
              <w:top w:val="nil"/>
            </w:tcBorders>
            <w:noWrap w:val="0"/>
            <w:vAlign w:val="center"/>
          </w:tcPr>
          <w:p w14:paraId="606732C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tcBorders>
              <w:top w:val="nil"/>
            </w:tcBorders>
            <w:noWrap w:val="0"/>
            <w:vAlign w:val="center"/>
          </w:tcPr>
          <w:p w14:paraId="3A7177E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tcBorders>
              <w:top w:val="nil"/>
            </w:tcBorders>
            <w:noWrap w:val="0"/>
            <w:vAlign w:val="center"/>
          </w:tcPr>
          <w:p w14:paraId="6D78EA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D89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48CA78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15ECF4B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35665EB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77019F0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764AEE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64371D6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71E5581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309C47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018C4B3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55EF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65F360A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20CE901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7C982DC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20121B0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4F8F3CA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10A1B3E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08F61A8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0E537B9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42E866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5C56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F08547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01D43D1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7645FA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110309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2C7D1C8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7496A12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2E0FE4B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64DA002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3EF4716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4C41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0C01C6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0A5420C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1BDDD4F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0C4918C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5F36488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367622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1FB9705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49B1A63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553F72E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F782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8591BC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7365EA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1D478A1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6E86BC5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58A4163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5FD7199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2883142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229D71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7A286B1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121D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44DE010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7CDD135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47E193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76E791B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53D8F3A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4244EEF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5A07B5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69AC43D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46C2072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93D0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BC7086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361FA15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1EAC648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0ACC898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334BB89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64C373A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333F86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519F179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22EFF24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8E94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BB7BA4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470FE7D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487D76C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6B94CA7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335A4C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06A80A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1FC44C0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0E7A69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621BDA2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76F54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B0E9CF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2383CBF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21FE00A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067103C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43FF16E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6AE4099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E61EBD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1F314A7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60B4A42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6D5C7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0F5A516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1F64A77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37E139A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7207765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3203F34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0617B66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1A9C8E0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51C1E99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1AE7512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6EC5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4BB0AE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99D444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6D86B56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1294D05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20E8B68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379477D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7576557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20D78A9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5476626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857A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ABB34D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7DF9815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1CE57FD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92F457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2BD8581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0BECD4F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106CE1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221708D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3C1D286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A4DC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26B2BA3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F2A914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772F5D0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AE0E1C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3B11FFD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129AE58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1AB896C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718097C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52452A8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1E8B8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8430B5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738ACB7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6221A35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77206D1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26ABF95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0FCBDDC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19F0F48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785FAB3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756D803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0E13D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70D30F1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819B82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25E5A61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E24A9A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1282D6E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220AF3A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4B0B0FE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41D6358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23B2BCC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86CA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7DA7D7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2D4F00C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3B66F1C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629A4AF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124B591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1848469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4D4A9F2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49B0554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6DA3E13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0FDB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E9D226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86D2D5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4F16246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7C99FE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4E0FF4D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2A26CB2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760F47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2E3120E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10D6FD2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bl>
    <w:p w14:paraId="29A54B0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54C128B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41AD45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附件6：</w:t>
      </w:r>
    </w:p>
    <w:p w14:paraId="06F6155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承包人主要施工管理人员表</w:t>
      </w:r>
    </w:p>
    <w:tbl>
      <w:tblPr>
        <w:tblStyle w:val="27"/>
        <w:tblW w:w="87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148"/>
        <w:gridCol w:w="941"/>
        <w:gridCol w:w="1134"/>
        <w:gridCol w:w="3660"/>
      </w:tblGrid>
      <w:tr w14:paraId="3E4A8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058FA1E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名    称</w:t>
            </w:r>
          </w:p>
        </w:tc>
        <w:tc>
          <w:tcPr>
            <w:tcW w:w="1148" w:type="dxa"/>
            <w:tcBorders>
              <w:top w:val="single" w:color="auto" w:sz="12" w:space="0"/>
              <w:bottom w:val="double" w:color="auto" w:sz="6" w:space="0"/>
            </w:tcBorders>
            <w:noWrap w:val="0"/>
            <w:vAlign w:val="center"/>
          </w:tcPr>
          <w:p w14:paraId="7AB251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姓名</w:t>
            </w:r>
          </w:p>
        </w:tc>
        <w:tc>
          <w:tcPr>
            <w:tcW w:w="941" w:type="dxa"/>
            <w:tcBorders>
              <w:top w:val="single" w:color="auto" w:sz="12" w:space="0"/>
              <w:bottom w:val="double" w:color="auto" w:sz="6" w:space="0"/>
            </w:tcBorders>
            <w:noWrap w:val="0"/>
            <w:vAlign w:val="center"/>
          </w:tcPr>
          <w:p w14:paraId="42A4C59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职务</w:t>
            </w:r>
          </w:p>
        </w:tc>
        <w:tc>
          <w:tcPr>
            <w:tcW w:w="1134" w:type="dxa"/>
            <w:tcBorders>
              <w:top w:val="single" w:color="auto" w:sz="12" w:space="0"/>
              <w:bottom w:val="double" w:color="auto" w:sz="6" w:space="0"/>
            </w:tcBorders>
            <w:noWrap w:val="0"/>
            <w:vAlign w:val="center"/>
          </w:tcPr>
          <w:p w14:paraId="4214C03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职称</w:t>
            </w:r>
          </w:p>
        </w:tc>
        <w:tc>
          <w:tcPr>
            <w:tcW w:w="3660" w:type="dxa"/>
            <w:tcBorders>
              <w:top w:val="single" w:color="auto" w:sz="12" w:space="0"/>
              <w:bottom w:val="double" w:color="auto" w:sz="6" w:space="0"/>
            </w:tcBorders>
            <w:noWrap w:val="0"/>
            <w:vAlign w:val="center"/>
          </w:tcPr>
          <w:p w14:paraId="33A5F4C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主要资历、经验及承担过的项目</w:t>
            </w:r>
          </w:p>
        </w:tc>
      </w:tr>
      <w:tr w14:paraId="37781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double" w:color="auto" w:sz="6" w:space="0"/>
              <w:bottom w:val="single" w:color="auto" w:sz="6" w:space="0"/>
            </w:tcBorders>
            <w:noWrap w:val="0"/>
            <w:vAlign w:val="center"/>
          </w:tcPr>
          <w:p w14:paraId="4DB26E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一、总部人员</w:t>
            </w:r>
          </w:p>
        </w:tc>
      </w:tr>
      <w:tr w14:paraId="6B349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E0261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项目主管</w:t>
            </w:r>
          </w:p>
        </w:tc>
        <w:tc>
          <w:tcPr>
            <w:tcW w:w="1148" w:type="dxa"/>
            <w:tcBorders>
              <w:top w:val="nil"/>
            </w:tcBorders>
            <w:noWrap w:val="0"/>
            <w:vAlign w:val="center"/>
          </w:tcPr>
          <w:p w14:paraId="170ACEA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tcBorders>
              <w:top w:val="nil"/>
            </w:tcBorders>
            <w:noWrap w:val="0"/>
            <w:vAlign w:val="center"/>
          </w:tcPr>
          <w:p w14:paraId="3E0B5D5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tcBorders>
              <w:top w:val="nil"/>
            </w:tcBorders>
            <w:noWrap w:val="0"/>
            <w:vAlign w:val="center"/>
          </w:tcPr>
          <w:p w14:paraId="14F19A4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tcBorders>
              <w:top w:val="nil"/>
            </w:tcBorders>
            <w:noWrap w:val="0"/>
            <w:vAlign w:val="center"/>
          </w:tcPr>
          <w:p w14:paraId="49F4D2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0228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103F1B4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7361466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2258463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DF4BF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70F9ABF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FF5A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79C2D5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148" w:type="dxa"/>
            <w:noWrap w:val="0"/>
            <w:vAlign w:val="center"/>
          </w:tcPr>
          <w:p w14:paraId="0BCF1FC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ECCE44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8994C3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663977B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9C1B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2DCC2D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1C5DE6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38D0AA1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C3252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2C3CB46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999C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single" w:color="auto" w:sz="6" w:space="0"/>
              <w:bottom w:val="single" w:color="auto" w:sz="6" w:space="0"/>
            </w:tcBorders>
            <w:noWrap w:val="0"/>
            <w:vAlign w:val="center"/>
          </w:tcPr>
          <w:p w14:paraId="5FE931E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二、现场人员</w:t>
            </w:r>
          </w:p>
        </w:tc>
      </w:tr>
      <w:tr w14:paraId="394BF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135C0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项目经理</w:t>
            </w:r>
          </w:p>
        </w:tc>
        <w:tc>
          <w:tcPr>
            <w:tcW w:w="1148" w:type="dxa"/>
            <w:noWrap w:val="0"/>
            <w:vAlign w:val="center"/>
          </w:tcPr>
          <w:p w14:paraId="0E0E440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1D9060B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9CCBD8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4DE6A2B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7BA1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042EBD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项目副经理</w:t>
            </w:r>
          </w:p>
        </w:tc>
        <w:tc>
          <w:tcPr>
            <w:tcW w:w="1148" w:type="dxa"/>
            <w:noWrap w:val="0"/>
            <w:vAlign w:val="center"/>
          </w:tcPr>
          <w:p w14:paraId="1B66F37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39EB271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07654A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0585E1C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C91D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70729B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技术负责人</w:t>
            </w:r>
          </w:p>
        </w:tc>
        <w:tc>
          <w:tcPr>
            <w:tcW w:w="1148" w:type="dxa"/>
            <w:noWrap w:val="0"/>
            <w:vAlign w:val="center"/>
          </w:tcPr>
          <w:p w14:paraId="237281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843AD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3FE10EA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B8230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B54F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4BF4C6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造价管理</w:t>
            </w:r>
          </w:p>
        </w:tc>
        <w:tc>
          <w:tcPr>
            <w:tcW w:w="1148" w:type="dxa"/>
            <w:noWrap w:val="0"/>
            <w:vAlign w:val="center"/>
          </w:tcPr>
          <w:p w14:paraId="4C438C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75CA571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2F1C3C4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3B3639E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630F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700648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质量管理</w:t>
            </w:r>
          </w:p>
        </w:tc>
        <w:tc>
          <w:tcPr>
            <w:tcW w:w="1148" w:type="dxa"/>
            <w:noWrap w:val="0"/>
            <w:vAlign w:val="center"/>
          </w:tcPr>
          <w:p w14:paraId="30EF083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6C7FA0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6BBDC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30DB682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9643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3C50AA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材料管理</w:t>
            </w:r>
          </w:p>
        </w:tc>
        <w:tc>
          <w:tcPr>
            <w:tcW w:w="1148" w:type="dxa"/>
            <w:noWrap w:val="0"/>
            <w:vAlign w:val="center"/>
          </w:tcPr>
          <w:p w14:paraId="3E564A1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43E7B9F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7CDC67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04956B3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F5E8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24C44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计划管理</w:t>
            </w:r>
          </w:p>
        </w:tc>
        <w:tc>
          <w:tcPr>
            <w:tcW w:w="1148" w:type="dxa"/>
            <w:noWrap w:val="0"/>
            <w:vAlign w:val="center"/>
          </w:tcPr>
          <w:p w14:paraId="5057B80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44A5DF8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4424E3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F4B7E8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6213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BB86D9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安全管理</w:t>
            </w:r>
          </w:p>
        </w:tc>
        <w:tc>
          <w:tcPr>
            <w:tcW w:w="1148" w:type="dxa"/>
            <w:noWrap w:val="0"/>
            <w:vAlign w:val="center"/>
          </w:tcPr>
          <w:p w14:paraId="2C997CE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44461F1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AFF008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478EA73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7B3B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0DC4531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148" w:type="dxa"/>
            <w:noWrap w:val="0"/>
            <w:vAlign w:val="center"/>
          </w:tcPr>
          <w:p w14:paraId="6EAA968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13C4DDD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3FDBE33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25BD610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CC20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BF7FE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tcBorders>
              <w:bottom w:val="nil"/>
            </w:tcBorders>
            <w:noWrap w:val="0"/>
            <w:vAlign w:val="center"/>
          </w:tcPr>
          <w:p w14:paraId="134269A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tcBorders>
              <w:bottom w:val="nil"/>
            </w:tcBorders>
            <w:noWrap w:val="0"/>
            <w:vAlign w:val="center"/>
          </w:tcPr>
          <w:p w14:paraId="2CB3988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tcBorders>
              <w:bottom w:val="nil"/>
            </w:tcBorders>
            <w:noWrap w:val="0"/>
            <w:vAlign w:val="center"/>
          </w:tcPr>
          <w:p w14:paraId="0E46D8A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tcBorders>
              <w:bottom w:val="nil"/>
            </w:tcBorders>
            <w:noWrap w:val="0"/>
            <w:vAlign w:val="center"/>
          </w:tcPr>
          <w:p w14:paraId="14BFAA3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F04C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D0A97C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224B4A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111178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68102E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92E52A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F3E6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2F039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509DFE9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A3DD32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AEEAD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493728D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E406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17100A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1164DC2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71B15E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4DE0D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C6CB43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C9DA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70C58B7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tcBorders>
              <w:bottom w:val="single" w:color="auto" w:sz="12" w:space="0"/>
            </w:tcBorders>
            <w:noWrap w:val="0"/>
            <w:vAlign w:val="center"/>
          </w:tcPr>
          <w:p w14:paraId="3BF29E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tcBorders>
              <w:bottom w:val="single" w:color="auto" w:sz="12" w:space="0"/>
            </w:tcBorders>
            <w:noWrap w:val="0"/>
            <w:vAlign w:val="center"/>
          </w:tcPr>
          <w:p w14:paraId="7554895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tcBorders>
              <w:bottom w:val="single" w:color="auto" w:sz="12" w:space="0"/>
            </w:tcBorders>
            <w:noWrap w:val="0"/>
            <w:vAlign w:val="center"/>
          </w:tcPr>
          <w:p w14:paraId="30D1E57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tcBorders>
              <w:bottom w:val="single" w:color="auto" w:sz="12" w:space="0"/>
            </w:tcBorders>
            <w:noWrap w:val="0"/>
            <w:vAlign w:val="center"/>
          </w:tcPr>
          <w:p w14:paraId="139D5CF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bl>
    <w:p w14:paraId="373687F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附件7：</w:t>
      </w:r>
    </w:p>
    <w:p w14:paraId="2A38FEB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分包人主要施工管理人员表</w:t>
      </w:r>
    </w:p>
    <w:tbl>
      <w:tblPr>
        <w:tblStyle w:val="27"/>
        <w:tblW w:w="86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3"/>
        <w:gridCol w:w="1418"/>
        <w:gridCol w:w="928"/>
        <w:gridCol w:w="902"/>
        <w:gridCol w:w="3814"/>
      </w:tblGrid>
      <w:tr w14:paraId="75047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12" w:space="0"/>
              <w:bottom w:val="double" w:color="auto" w:sz="6" w:space="0"/>
            </w:tcBorders>
            <w:noWrap w:val="0"/>
            <w:vAlign w:val="center"/>
          </w:tcPr>
          <w:p w14:paraId="5B9510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名    称</w:t>
            </w:r>
          </w:p>
        </w:tc>
        <w:tc>
          <w:tcPr>
            <w:tcW w:w="1418" w:type="dxa"/>
            <w:tcBorders>
              <w:top w:val="single" w:color="auto" w:sz="12" w:space="0"/>
              <w:bottom w:val="double" w:color="auto" w:sz="6" w:space="0"/>
            </w:tcBorders>
            <w:noWrap w:val="0"/>
            <w:vAlign w:val="center"/>
          </w:tcPr>
          <w:p w14:paraId="511AD0B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姓名</w:t>
            </w:r>
          </w:p>
        </w:tc>
        <w:tc>
          <w:tcPr>
            <w:tcW w:w="928" w:type="dxa"/>
            <w:tcBorders>
              <w:top w:val="single" w:color="auto" w:sz="12" w:space="0"/>
              <w:bottom w:val="double" w:color="auto" w:sz="6" w:space="0"/>
            </w:tcBorders>
            <w:noWrap w:val="0"/>
            <w:vAlign w:val="center"/>
          </w:tcPr>
          <w:p w14:paraId="556AE3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职务</w:t>
            </w:r>
          </w:p>
        </w:tc>
        <w:tc>
          <w:tcPr>
            <w:tcW w:w="902" w:type="dxa"/>
            <w:tcBorders>
              <w:top w:val="single" w:color="auto" w:sz="12" w:space="0"/>
              <w:bottom w:val="double" w:color="auto" w:sz="6" w:space="0"/>
            </w:tcBorders>
            <w:noWrap w:val="0"/>
            <w:vAlign w:val="center"/>
          </w:tcPr>
          <w:p w14:paraId="43223B4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职称</w:t>
            </w:r>
          </w:p>
        </w:tc>
        <w:tc>
          <w:tcPr>
            <w:tcW w:w="3814" w:type="dxa"/>
            <w:tcBorders>
              <w:top w:val="single" w:color="auto" w:sz="12" w:space="0"/>
              <w:bottom w:val="double" w:color="auto" w:sz="6" w:space="0"/>
            </w:tcBorders>
            <w:noWrap w:val="0"/>
            <w:vAlign w:val="center"/>
          </w:tcPr>
          <w:p w14:paraId="2EAFF8D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主要资历、经验及承担过的项目</w:t>
            </w:r>
          </w:p>
        </w:tc>
      </w:tr>
      <w:tr w14:paraId="0282B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double" w:color="auto" w:sz="6" w:space="0"/>
              <w:bottom w:val="single" w:color="auto" w:sz="6" w:space="0"/>
            </w:tcBorders>
            <w:noWrap w:val="0"/>
            <w:vAlign w:val="center"/>
          </w:tcPr>
          <w:p w14:paraId="18A110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一、总部人员</w:t>
            </w:r>
          </w:p>
        </w:tc>
      </w:tr>
      <w:tr w14:paraId="5DFB4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41B6FFE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项目主管</w:t>
            </w:r>
          </w:p>
        </w:tc>
        <w:tc>
          <w:tcPr>
            <w:tcW w:w="1418" w:type="dxa"/>
            <w:tcBorders>
              <w:top w:val="nil"/>
            </w:tcBorders>
            <w:noWrap w:val="0"/>
            <w:vAlign w:val="center"/>
          </w:tcPr>
          <w:p w14:paraId="16D7700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tcBorders>
              <w:top w:val="nil"/>
            </w:tcBorders>
            <w:noWrap w:val="0"/>
            <w:vAlign w:val="center"/>
          </w:tcPr>
          <w:p w14:paraId="700B53E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tcBorders>
              <w:top w:val="nil"/>
            </w:tcBorders>
            <w:noWrap w:val="0"/>
            <w:vAlign w:val="center"/>
          </w:tcPr>
          <w:p w14:paraId="5EB175B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tcBorders>
              <w:top w:val="nil"/>
            </w:tcBorders>
            <w:noWrap w:val="0"/>
            <w:vAlign w:val="center"/>
          </w:tcPr>
          <w:p w14:paraId="1E7D35C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5D5C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nil"/>
            </w:tcBorders>
            <w:noWrap w:val="0"/>
            <w:vAlign w:val="center"/>
          </w:tcPr>
          <w:p w14:paraId="0FC4F49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482C090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7913504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01DDB14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34027F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510E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23449A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418" w:type="dxa"/>
            <w:noWrap w:val="0"/>
            <w:vAlign w:val="center"/>
          </w:tcPr>
          <w:p w14:paraId="0D0BF6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81E078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1CFF0F5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21941BB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F274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3647F01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1743056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3BFB104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72D4A68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46D2EDE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2A4C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noWrap w:val="0"/>
            <w:vAlign w:val="center"/>
          </w:tcPr>
          <w:p w14:paraId="112C743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二、现场人员</w:t>
            </w:r>
          </w:p>
        </w:tc>
      </w:tr>
      <w:tr w14:paraId="7E4CE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4D1747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项目经理</w:t>
            </w:r>
          </w:p>
        </w:tc>
        <w:tc>
          <w:tcPr>
            <w:tcW w:w="1418" w:type="dxa"/>
            <w:noWrap w:val="0"/>
            <w:vAlign w:val="center"/>
          </w:tcPr>
          <w:p w14:paraId="338547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35F3CB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6504DB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51E280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6C7E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B4814A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项目副经理</w:t>
            </w:r>
          </w:p>
        </w:tc>
        <w:tc>
          <w:tcPr>
            <w:tcW w:w="1418" w:type="dxa"/>
            <w:noWrap w:val="0"/>
            <w:vAlign w:val="center"/>
          </w:tcPr>
          <w:p w14:paraId="0497EA3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69C95B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118CE1B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08AF0E0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89F8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4C7B7BA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技术负责人</w:t>
            </w:r>
          </w:p>
        </w:tc>
        <w:tc>
          <w:tcPr>
            <w:tcW w:w="1418" w:type="dxa"/>
            <w:noWrap w:val="0"/>
            <w:vAlign w:val="center"/>
          </w:tcPr>
          <w:p w14:paraId="2A82343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FB7E62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24496E8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2F4A39F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2531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05AC78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造价管理</w:t>
            </w:r>
          </w:p>
        </w:tc>
        <w:tc>
          <w:tcPr>
            <w:tcW w:w="1418" w:type="dxa"/>
            <w:noWrap w:val="0"/>
            <w:vAlign w:val="center"/>
          </w:tcPr>
          <w:p w14:paraId="345649A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11EADFC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426E5F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12BD3DA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C910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0F4DAD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质量管理</w:t>
            </w:r>
          </w:p>
        </w:tc>
        <w:tc>
          <w:tcPr>
            <w:tcW w:w="1418" w:type="dxa"/>
            <w:noWrap w:val="0"/>
            <w:vAlign w:val="center"/>
          </w:tcPr>
          <w:p w14:paraId="286D716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79759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247090B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A4F6A4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8FFB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E2F627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材料管理</w:t>
            </w:r>
          </w:p>
        </w:tc>
        <w:tc>
          <w:tcPr>
            <w:tcW w:w="1418" w:type="dxa"/>
            <w:noWrap w:val="0"/>
            <w:vAlign w:val="center"/>
          </w:tcPr>
          <w:p w14:paraId="6368036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450350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17039A9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F5245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6A04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7AD030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计划管理</w:t>
            </w:r>
          </w:p>
        </w:tc>
        <w:tc>
          <w:tcPr>
            <w:tcW w:w="1418" w:type="dxa"/>
            <w:noWrap w:val="0"/>
            <w:vAlign w:val="center"/>
          </w:tcPr>
          <w:p w14:paraId="67B1F01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62150B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DA086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71EB1C6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D7F0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5092D7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安全管理</w:t>
            </w:r>
          </w:p>
        </w:tc>
        <w:tc>
          <w:tcPr>
            <w:tcW w:w="1418" w:type="dxa"/>
            <w:noWrap w:val="0"/>
            <w:vAlign w:val="center"/>
          </w:tcPr>
          <w:p w14:paraId="7D7CB99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443B504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69CF5A2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7162E2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F4E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restart"/>
            <w:tcBorders>
              <w:top w:val="single" w:color="auto" w:sz="6" w:space="0"/>
            </w:tcBorders>
            <w:noWrap w:val="0"/>
            <w:vAlign w:val="center"/>
          </w:tcPr>
          <w:p w14:paraId="768228A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418" w:type="dxa"/>
            <w:noWrap w:val="0"/>
            <w:vAlign w:val="center"/>
          </w:tcPr>
          <w:p w14:paraId="1CA648F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3F133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52A7DAB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244A88D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D0C4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559DB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bottom w:val="nil"/>
            </w:tcBorders>
            <w:noWrap w:val="0"/>
            <w:vAlign w:val="center"/>
          </w:tcPr>
          <w:p w14:paraId="78BE067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tcBorders>
              <w:bottom w:val="nil"/>
            </w:tcBorders>
            <w:noWrap w:val="0"/>
            <w:vAlign w:val="center"/>
          </w:tcPr>
          <w:p w14:paraId="4B66B28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tcBorders>
              <w:bottom w:val="nil"/>
            </w:tcBorders>
            <w:noWrap w:val="0"/>
            <w:vAlign w:val="center"/>
          </w:tcPr>
          <w:p w14:paraId="79ED798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tcBorders>
              <w:bottom w:val="nil"/>
            </w:tcBorders>
            <w:noWrap w:val="0"/>
            <w:vAlign w:val="center"/>
          </w:tcPr>
          <w:p w14:paraId="52EA2C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4E5F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1D12F73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5C04DF6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C5E24E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296289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7DFA134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17FF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66E7B33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024D33C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D5F33E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611607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CD50A1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4A3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7DF9B81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6794C9A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48BE5C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38ABB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6CCB2F9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62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tcBorders>
              <w:bottom w:val="single" w:color="auto" w:sz="12" w:space="0"/>
            </w:tcBorders>
            <w:noWrap w:val="0"/>
            <w:vAlign w:val="center"/>
          </w:tcPr>
          <w:p w14:paraId="1A5D99A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bottom w:val="single" w:color="auto" w:sz="12" w:space="0"/>
            </w:tcBorders>
            <w:noWrap w:val="0"/>
            <w:vAlign w:val="center"/>
          </w:tcPr>
          <w:p w14:paraId="78E3591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tcBorders>
              <w:bottom w:val="single" w:color="auto" w:sz="12" w:space="0"/>
            </w:tcBorders>
            <w:noWrap w:val="0"/>
            <w:vAlign w:val="center"/>
          </w:tcPr>
          <w:p w14:paraId="4A50C2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tcBorders>
              <w:bottom w:val="single" w:color="auto" w:sz="12" w:space="0"/>
            </w:tcBorders>
            <w:noWrap w:val="0"/>
            <w:vAlign w:val="center"/>
          </w:tcPr>
          <w:p w14:paraId="4DBA02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tcBorders>
              <w:bottom w:val="single" w:color="auto" w:sz="12" w:space="0"/>
            </w:tcBorders>
            <w:noWrap w:val="0"/>
            <w:vAlign w:val="center"/>
          </w:tcPr>
          <w:p w14:paraId="7A4D679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bl>
    <w:p w14:paraId="68F0D2A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附件8：</w:t>
      </w:r>
    </w:p>
    <w:p w14:paraId="0193C59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p w14:paraId="144D98B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（发包人名称）：</w:t>
      </w:r>
    </w:p>
    <w:p w14:paraId="6933D4C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0CCA25A3">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（发包人名称，以下简称“发包人”）与</w:t>
      </w:r>
    </w:p>
    <w:p w14:paraId="1843E6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（承包人名称）（以下称“承包人”）于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（工程名称）施工及有关事项协商一致共同签订《建设工程施工合同》。我方愿意无条件地、不可撤销地就承包人履行与你方签订的合同，向你方提供连带责任担保。 </w:t>
      </w:r>
    </w:p>
    <w:p w14:paraId="2C167172">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担保金额人民币（大写）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699561">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担保有效期自你方与承包人签订的合同生效之日起至你方签发或应签发工程接收证书之日止。</w:t>
      </w:r>
    </w:p>
    <w:p w14:paraId="396B005C">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在本担保有效期内，因承包人违反合同约定的义务给你方造成经济损失时，我方在收到你方以书面形式提出的在担保金额内的赔偿要求后，在7天内无条件支付。</w:t>
      </w:r>
    </w:p>
    <w:p w14:paraId="2BFFB368">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你方和承包人按合同约定变更合同时，我方承担本担保规定的义务不变。</w:t>
      </w:r>
    </w:p>
    <w:p w14:paraId="178FFAF1">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因本保函发生的纠纷，可由双方协商解决，协商不成的，任何一方均可提请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仲裁委员会仲裁。</w:t>
      </w:r>
    </w:p>
    <w:p w14:paraId="2E4DD333">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本保函自我方法定代表人（或其授权代理人）签字并加盖公章之日起生效。</w:t>
      </w:r>
    </w:p>
    <w:p w14:paraId="5A683C4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51B11C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 保 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257C290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71AAECC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4BB2D1D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5CA58D9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4896C4F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5F842784">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u w:val="single"/>
        </w:rPr>
      </w:pPr>
    </w:p>
    <w:p w14:paraId="56816643">
      <w:pPr>
        <w:keepNext w:val="0"/>
        <w:keepLines w:val="0"/>
        <w:pageBreakBefore w:val="0"/>
        <w:widowControl w:val="0"/>
        <w:kinsoku/>
        <w:wordWrap/>
        <w:overflowPunct/>
        <w:topLinePunct w:val="0"/>
        <w:bidi w:val="0"/>
        <w:snapToGrid/>
        <w:spacing w:line="360" w:lineRule="exact"/>
        <w:ind w:left="1329" w:leftChars="0" w:right="0" w:rightChars="0" w:hanging="1329" w:hangingChars="6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25B9DEE">
      <w:pPr>
        <w:keepNext w:val="0"/>
        <w:keepLines w:val="0"/>
        <w:pageBreakBefore w:val="0"/>
        <w:widowControl w:val="0"/>
        <w:kinsoku/>
        <w:wordWrap/>
        <w:overflowPunct/>
        <w:topLinePunct w:val="0"/>
        <w:bidi w:val="0"/>
        <w:snapToGrid/>
        <w:spacing w:line="360" w:lineRule="exact"/>
        <w:ind w:left="1329" w:leftChars="0" w:right="0" w:rightChars="0" w:hanging="1329" w:hangingChars="633"/>
        <w:rPr>
          <w:rFonts w:hint="eastAsia" w:ascii="宋体" w:hAnsi="宋体" w:eastAsia="宋体" w:cs="宋体"/>
          <w:color w:val="auto"/>
          <w:sz w:val="21"/>
          <w:szCs w:val="21"/>
          <w:highlight w:val="none"/>
        </w:rPr>
      </w:pPr>
    </w:p>
    <w:p w14:paraId="067A4565">
      <w:pPr>
        <w:keepNext w:val="0"/>
        <w:keepLines w:val="0"/>
        <w:pageBreakBefore w:val="0"/>
        <w:widowControl w:val="0"/>
        <w:kinsoku/>
        <w:wordWrap/>
        <w:overflowPunct/>
        <w:topLinePunct w:val="0"/>
        <w:bidi w:val="0"/>
        <w:snapToGrid/>
        <w:spacing w:line="360" w:lineRule="exact"/>
        <w:ind w:left="1329" w:leftChars="0" w:right="0" w:rightChars="0" w:hanging="1329" w:hangingChars="633"/>
        <w:rPr>
          <w:rFonts w:hint="eastAsia" w:ascii="宋体" w:hAnsi="宋体" w:eastAsia="宋体" w:cs="宋体"/>
          <w:color w:val="auto"/>
          <w:sz w:val="21"/>
          <w:szCs w:val="21"/>
          <w:highlight w:val="none"/>
        </w:rPr>
      </w:pPr>
    </w:p>
    <w:p w14:paraId="267A9F9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E6C529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w:t>
      </w:r>
      <w:bookmarkStart w:id="1895" w:name="_Toc296944571"/>
      <w:bookmarkStart w:id="1896" w:name="_Toc296503232"/>
      <w:bookmarkStart w:id="1897" w:name="_Toc267261702"/>
      <w:bookmarkStart w:id="1898" w:name="_Toc296891060"/>
      <w:bookmarkStart w:id="1899" w:name="_Toc296346733"/>
      <w:bookmarkStart w:id="1900" w:name="_Toc296347231"/>
      <w:bookmarkStart w:id="1901" w:name="_Toc296891272"/>
      <w:r>
        <w:rPr>
          <w:rFonts w:hint="eastAsia" w:ascii="宋体" w:hAnsi="宋体" w:eastAsia="宋体" w:cs="宋体"/>
          <w:color w:val="auto"/>
          <w:sz w:val="21"/>
          <w:szCs w:val="21"/>
          <w:highlight w:val="none"/>
        </w:rPr>
        <w:t>件9 ：</w:t>
      </w:r>
    </w:p>
    <w:bookmarkEnd w:id="1895"/>
    <w:bookmarkEnd w:id="1896"/>
    <w:bookmarkEnd w:id="1897"/>
    <w:bookmarkEnd w:id="1898"/>
    <w:bookmarkEnd w:id="1899"/>
    <w:bookmarkEnd w:id="1900"/>
    <w:bookmarkEnd w:id="1901"/>
    <w:p w14:paraId="2DB1918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w:t>
      </w:r>
    </w:p>
    <w:p w14:paraId="229947B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（发包人名称）：</w:t>
      </w:r>
    </w:p>
    <w:p w14:paraId="1620CAC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45C0290E">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（承包人名称）（以下称“承包人”）与</w:t>
      </w:r>
    </w:p>
    <w:p w14:paraId="4EDD39A9">
      <w:pPr>
        <w:keepNext w:val="0"/>
        <w:keepLines w:val="0"/>
        <w:pageBreakBefore w:val="0"/>
        <w:widowControl w:val="0"/>
        <w:kinsoku/>
        <w:wordWrap/>
        <w:overflowPunct/>
        <w:topLinePunct w:val="0"/>
        <w:bidi w:val="0"/>
        <w:snapToGrid/>
        <w:spacing w:line="360" w:lineRule="exact"/>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bookmarkStart w:id="1902" w:name="_Toc19561"/>
      <w:bookmarkStart w:id="1903" w:name="_Toc23079"/>
      <w:bookmarkStart w:id="1904" w:name="_Toc10563"/>
      <w:bookmarkStart w:id="1905" w:name="_Toc29110"/>
      <w:r>
        <w:rPr>
          <w:rFonts w:hint="eastAsia" w:ascii="宋体" w:hAnsi="宋体" w:eastAsia="宋体" w:cs="宋体"/>
          <w:color w:val="auto"/>
          <w:sz w:val="21"/>
          <w:szCs w:val="21"/>
          <w:highlight w:val="none"/>
        </w:rPr>
        <w:t>（发包人名称）（以下简称“发包人”）</w:t>
      </w:r>
      <w:bookmarkEnd w:id="1902"/>
      <w:bookmarkEnd w:id="1903"/>
      <w:bookmarkEnd w:id="1904"/>
      <w:bookmarkEnd w:id="1905"/>
    </w:p>
    <w:p w14:paraId="0BE465D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日签订的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668C430B">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担保金额人民币（大写）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2CD9CE7">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担保有效期自预付款支付给承包人起生效，至你方签发的进度款支付证书说明已完全扣清止。</w:t>
      </w:r>
    </w:p>
    <w:p w14:paraId="328B6341">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7800B14">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你方和承包人按合同约定变更合同时，我方承担本保函规定的义务不变。</w:t>
      </w:r>
    </w:p>
    <w:p w14:paraId="6B734788">
      <w:pPr>
        <w:keepNext w:val="0"/>
        <w:keepLines w:val="0"/>
        <w:pageBreakBefore w:val="0"/>
        <w:widowControl w:val="0"/>
        <w:kinsoku/>
        <w:wordWrap/>
        <w:overflowPunct/>
        <w:topLinePunct w:val="0"/>
        <w:bidi w:val="0"/>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因本保函发生的纠纷，可由双方协商解决，协商不成的，任何一方均可提请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仲裁委员会仲裁。</w:t>
      </w:r>
    </w:p>
    <w:p w14:paraId="267686DC">
      <w:pPr>
        <w:keepNext w:val="0"/>
        <w:keepLines w:val="0"/>
        <w:pageBreakBefore w:val="0"/>
        <w:widowControl w:val="0"/>
        <w:kinsoku/>
        <w:wordWrap/>
        <w:overflowPunct/>
        <w:topLinePunct w:val="0"/>
        <w:bidi w:val="0"/>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本保函自我方法定代表人（或其授权代理人）签字并加盖公章之日起生效。</w:t>
      </w:r>
    </w:p>
    <w:p w14:paraId="2C30152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2828925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0394FF66">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担保人：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17BD732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4541E12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371EC27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653B3B7C">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5F04A0F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735F00D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03C4AF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u w:val="single"/>
        </w:rPr>
      </w:pPr>
    </w:p>
    <w:p w14:paraId="486CA43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39639D2">
      <w:pPr>
        <w:keepNext w:val="0"/>
        <w:keepLines w:val="0"/>
        <w:pageBreakBefore w:val="0"/>
        <w:widowControl w:val="0"/>
        <w:wordWrap/>
        <w:topLinePunct w:val="0"/>
        <w:bidi w:val="0"/>
        <w:spacing w:line="440" w:lineRule="exact"/>
        <w:rPr>
          <w:rFonts w:hint="eastAsia" w:ascii="宋体" w:hAnsi="宋体" w:eastAsia="宋体" w:cs="宋体"/>
          <w:color w:val="auto"/>
          <w:sz w:val="21"/>
          <w:szCs w:val="21"/>
          <w:highlight w:val="none"/>
        </w:rPr>
      </w:pPr>
      <w:r>
        <w:rPr>
          <w:rFonts w:eastAsia="仿宋_GB2312"/>
          <w:b/>
          <w:color w:val="auto"/>
          <w:sz w:val="30"/>
          <w:szCs w:val="30"/>
          <w:highlight w:val="none"/>
        </w:rPr>
        <w:br w:type="page"/>
      </w:r>
      <w:r>
        <w:rPr>
          <w:rFonts w:hint="eastAsia" w:ascii="宋体" w:hAnsi="宋体" w:eastAsia="宋体" w:cs="宋体"/>
          <w:color w:val="auto"/>
          <w:sz w:val="21"/>
          <w:szCs w:val="21"/>
          <w:highlight w:val="none"/>
        </w:rPr>
        <w:t>附件10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12284FB9">
      <w:pPr>
        <w:keepNext w:val="0"/>
        <w:keepLines w:val="0"/>
        <w:pageBreakBefore w:val="0"/>
        <w:widowControl w:val="0"/>
        <w:wordWrap/>
        <w:topLinePunct w:val="0"/>
        <w:bidi w:val="0"/>
        <w:spacing w:before="120" w:beforeLines="50" w:after="120" w:afterLines="5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支付担保</w:t>
      </w:r>
    </w:p>
    <w:p w14:paraId="3F165ADD">
      <w:pPr>
        <w:keepNext w:val="0"/>
        <w:keepLines w:val="0"/>
        <w:pageBreakBefore w:val="0"/>
        <w:widowControl w:val="0"/>
        <w:wordWrap/>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w:t>
      </w:r>
    </w:p>
    <w:p w14:paraId="679C9CB7">
      <w:pPr>
        <w:keepNext w:val="0"/>
        <w:keepLines w:val="0"/>
        <w:pageBreakBefore w:val="0"/>
        <w:widowControl w:val="0"/>
        <w:wordWrap/>
        <w:topLinePunct w:val="0"/>
        <w:bidi w:val="0"/>
        <w:spacing w:line="440" w:lineRule="exact"/>
        <w:jc w:val="left"/>
        <w:rPr>
          <w:rFonts w:hint="eastAsia" w:ascii="宋体" w:hAnsi="宋体" w:eastAsia="宋体" w:cs="宋体"/>
          <w:color w:val="auto"/>
          <w:sz w:val="21"/>
          <w:szCs w:val="21"/>
          <w:highlight w:val="none"/>
        </w:rPr>
      </w:pPr>
    </w:p>
    <w:p w14:paraId="1D3FE84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鉴于你方作为承包人已经与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（发包人名称）（以下称“发包人”）于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日签订了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（工程名称）《建设工程施工合同》（以下称“主合同”），应发包人的申请，我方愿就发包人履行主合同约定的工程款支付义务以保证的方式向你方提供如下担保：</w:t>
      </w:r>
    </w:p>
    <w:p w14:paraId="66927A6B">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06" w:name="_Toc20380"/>
      <w:bookmarkStart w:id="1907" w:name="_Toc25964"/>
      <w:bookmarkStart w:id="1908" w:name="_Toc11400"/>
      <w:bookmarkStart w:id="1909" w:name="_Toc31131"/>
      <w:r>
        <w:rPr>
          <w:rFonts w:hint="eastAsia" w:ascii="宋体" w:hAnsi="宋体" w:eastAsia="宋体" w:cs="宋体"/>
          <w:color w:val="auto"/>
          <w:sz w:val="21"/>
          <w:szCs w:val="21"/>
          <w:highlight w:val="none"/>
        </w:rPr>
        <w:t>一、保证的范围及保证金额</w:t>
      </w:r>
      <w:bookmarkEnd w:id="1906"/>
      <w:bookmarkEnd w:id="1907"/>
      <w:bookmarkEnd w:id="1908"/>
      <w:bookmarkEnd w:id="1909"/>
    </w:p>
    <w:p w14:paraId="040ADDA1">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我方的保证范围是主合同约定的工程款。</w:t>
      </w:r>
    </w:p>
    <w:p w14:paraId="6FBADF99">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本保函所称主合同约定的工程款是指主合同约定的除工程质量保证金以外的合同价款。</w:t>
      </w:r>
    </w:p>
    <w:p w14:paraId="0AAD72A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我方保证的金额是主合同约定的工程款的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%，数额最高不超过人民币元（大写：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97FB28">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10" w:name="_Toc16286"/>
      <w:bookmarkStart w:id="1911" w:name="_Toc10162"/>
      <w:bookmarkStart w:id="1912" w:name="_Toc13918"/>
      <w:bookmarkStart w:id="1913" w:name="_Toc31793"/>
      <w:r>
        <w:rPr>
          <w:rFonts w:hint="eastAsia" w:ascii="宋体" w:hAnsi="宋体" w:eastAsia="宋体" w:cs="宋体"/>
          <w:color w:val="auto"/>
          <w:sz w:val="21"/>
          <w:szCs w:val="21"/>
          <w:highlight w:val="none"/>
        </w:rPr>
        <w:t>二、保证的方式及保证期间</w:t>
      </w:r>
      <w:bookmarkEnd w:id="1910"/>
      <w:bookmarkEnd w:id="1911"/>
      <w:bookmarkEnd w:id="1912"/>
      <w:bookmarkEnd w:id="1913"/>
    </w:p>
    <w:p w14:paraId="34C48C16">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我方保证的方式为：连带责任保证。</w:t>
      </w:r>
    </w:p>
    <w:p w14:paraId="4ACE1FBB">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我方保证的期间为：自本合同生效之日起至主合同约定的工程款支付完毕之日后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w:t>
      </w:r>
    </w:p>
    <w:p w14:paraId="75CE5871">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你方与发包人协议变更工程款支付日期的，经我方书面同意后，保证期间按照变更后的支付日期做相应调整。</w:t>
      </w:r>
    </w:p>
    <w:p w14:paraId="6DB5FB4C">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14" w:name="_Toc28829"/>
      <w:bookmarkStart w:id="1915" w:name="_Toc30478"/>
      <w:bookmarkStart w:id="1916" w:name="_Toc30010"/>
      <w:bookmarkStart w:id="1917" w:name="_Toc3217"/>
      <w:r>
        <w:rPr>
          <w:rFonts w:hint="eastAsia" w:ascii="宋体" w:hAnsi="宋体" w:eastAsia="宋体" w:cs="宋体"/>
          <w:color w:val="auto"/>
          <w:sz w:val="21"/>
          <w:szCs w:val="21"/>
          <w:highlight w:val="none"/>
        </w:rPr>
        <w:t>三、承担保证责任的形式</w:t>
      </w:r>
      <w:bookmarkEnd w:id="1914"/>
      <w:bookmarkEnd w:id="1915"/>
      <w:bookmarkEnd w:id="1916"/>
      <w:bookmarkEnd w:id="1917"/>
    </w:p>
    <w:p w14:paraId="73EA49E2">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我方承担保证责任的形式是代为支付。发包人未按主合同约定向你方支付工程款的，由我方在保证金额内代为支付。</w:t>
      </w:r>
    </w:p>
    <w:p w14:paraId="215B41FE">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18" w:name="_Toc4883"/>
      <w:bookmarkStart w:id="1919" w:name="_Toc11312"/>
      <w:bookmarkStart w:id="1920" w:name="_Toc17037"/>
      <w:bookmarkStart w:id="1921" w:name="_Toc19016"/>
      <w:r>
        <w:rPr>
          <w:rFonts w:hint="eastAsia" w:ascii="宋体" w:hAnsi="宋体" w:eastAsia="宋体" w:cs="宋体"/>
          <w:color w:val="auto"/>
          <w:sz w:val="21"/>
          <w:szCs w:val="21"/>
          <w:highlight w:val="none"/>
        </w:rPr>
        <w:t>四、代偿的安排</w:t>
      </w:r>
      <w:bookmarkEnd w:id="1918"/>
      <w:bookmarkEnd w:id="1919"/>
      <w:bookmarkEnd w:id="1920"/>
      <w:bookmarkEnd w:id="1921"/>
    </w:p>
    <w:p w14:paraId="30CDF85B">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你方要求我方承担保证责任的，应向我方发出书面索赔通知及发包人未支付主合同约定工程款的证明材料。索赔通知应写明要求索赔的金额，支付款项应到达的账号。</w:t>
      </w:r>
    </w:p>
    <w:p w14:paraId="77885C19">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273C0730">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我方收到你方的书面索赔通知及相应的证明材料后７天内无条件支付。</w:t>
      </w:r>
    </w:p>
    <w:p w14:paraId="3E7D77D9">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22" w:name="_Toc1507"/>
      <w:bookmarkStart w:id="1923" w:name="_Toc30624"/>
      <w:bookmarkStart w:id="1924" w:name="_Toc29416"/>
      <w:bookmarkStart w:id="1925" w:name="_Toc25107"/>
      <w:r>
        <w:rPr>
          <w:rFonts w:hint="eastAsia" w:ascii="宋体" w:hAnsi="宋体" w:eastAsia="宋体" w:cs="宋体"/>
          <w:color w:val="auto"/>
          <w:sz w:val="21"/>
          <w:szCs w:val="21"/>
          <w:highlight w:val="none"/>
        </w:rPr>
        <w:t>五、保证责任的解除</w:t>
      </w:r>
      <w:bookmarkEnd w:id="1922"/>
      <w:bookmarkEnd w:id="1923"/>
      <w:bookmarkEnd w:id="1924"/>
      <w:bookmarkEnd w:id="1925"/>
    </w:p>
    <w:p w14:paraId="14D1E275">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在本保函承诺的保证期间内，你方未书面向我方主张保证责任的，自保证期间届满次日起，我方保证责任解除。</w:t>
      </w:r>
    </w:p>
    <w:p w14:paraId="13B3C16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发包人按主合同约定履行了工程款的全部支付义务的，自本保函承诺的保证期间届满次日起，我方保证责任解除。</w:t>
      </w:r>
    </w:p>
    <w:p w14:paraId="569D41C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我方按照本保函向你方履行保证责任所支付金额达到本保函保证金额时，自我方向你方支付（支付款项从我方账户划出）之日起，保证责任即解除。</w:t>
      </w:r>
    </w:p>
    <w:p w14:paraId="5C674C2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按照法律法规的规定或出现应解除我方保证责任的其他情形的，我方在本保函项下的保证责任亦解除。</w:t>
      </w:r>
    </w:p>
    <w:p w14:paraId="4823E074">
      <w:pPr>
        <w:keepNext w:val="0"/>
        <w:keepLines w:val="0"/>
        <w:pageBreakBefore w:val="0"/>
        <w:widowControl w:val="0"/>
        <w:wordWrap/>
        <w:topLinePunct w:val="0"/>
        <w:bidi w:val="0"/>
        <w:spacing w:line="360" w:lineRule="auto"/>
        <w:jc w:val="left"/>
        <w:rPr>
          <w:rFonts w:hint="eastAsia" w:ascii="宋体" w:hAnsi="宋体" w:eastAsia="宋体" w:cs="宋体"/>
          <w:color w:val="auto"/>
          <w:sz w:val="21"/>
          <w:szCs w:val="21"/>
          <w:highlight w:val="none"/>
        </w:rPr>
      </w:pPr>
    </w:p>
    <w:p w14:paraId="6A45C4F5">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我方解除保证责任后，你方应自我方保证责任解除之日起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个工作日内，将本保函原件返还我方。</w:t>
      </w:r>
    </w:p>
    <w:p w14:paraId="28706656">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26" w:name="_Toc14021"/>
      <w:bookmarkStart w:id="1927" w:name="_Toc3962"/>
      <w:bookmarkStart w:id="1928" w:name="_Toc11064"/>
      <w:bookmarkStart w:id="1929" w:name="_Toc23407"/>
      <w:r>
        <w:rPr>
          <w:rFonts w:hint="eastAsia" w:ascii="宋体" w:hAnsi="宋体" w:eastAsia="宋体" w:cs="宋体"/>
          <w:color w:val="auto"/>
          <w:sz w:val="21"/>
          <w:szCs w:val="21"/>
          <w:highlight w:val="none"/>
        </w:rPr>
        <w:t>六、免责条款</w:t>
      </w:r>
      <w:bookmarkEnd w:id="1926"/>
      <w:bookmarkEnd w:id="1927"/>
      <w:bookmarkEnd w:id="1928"/>
      <w:bookmarkEnd w:id="1929"/>
    </w:p>
    <w:p w14:paraId="17F12D7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因你方违约致使发包人不能履行义务的，我方不承担保证责任。</w:t>
      </w:r>
    </w:p>
    <w:p w14:paraId="2BF2976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依照法律法规的规定或你方与发包人的另行约定，免除发包人部分或全部义务的，我方亦免除其相应的保证责任。</w:t>
      </w:r>
    </w:p>
    <w:p w14:paraId="4803B68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3CE3C947">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因不可抗力造成发包人不能履行义务的，我方不承担保证责任。</w:t>
      </w:r>
    </w:p>
    <w:p w14:paraId="69F69B86">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30" w:name="_Toc28001"/>
      <w:bookmarkStart w:id="1931" w:name="_Toc20106"/>
      <w:bookmarkStart w:id="1932" w:name="_Toc22034"/>
      <w:bookmarkStart w:id="1933" w:name="_Toc5169"/>
      <w:r>
        <w:rPr>
          <w:rFonts w:hint="eastAsia" w:ascii="宋体" w:hAnsi="宋体" w:eastAsia="宋体" w:cs="宋体"/>
          <w:color w:val="auto"/>
          <w:sz w:val="21"/>
          <w:szCs w:val="21"/>
          <w:highlight w:val="none"/>
        </w:rPr>
        <w:t>七、争议解决</w:t>
      </w:r>
      <w:bookmarkEnd w:id="1930"/>
      <w:bookmarkEnd w:id="1931"/>
      <w:bookmarkEnd w:id="1932"/>
      <w:bookmarkEnd w:id="1933"/>
    </w:p>
    <w:p w14:paraId="7B716719">
      <w:pPr>
        <w:keepNext w:val="0"/>
        <w:keepLines w:val="0"/>
        <w:pageBreakBefore w:val="0"/>
        <w:widowControl w:val="0"/>
        <w:wordWrap/>
        <w:topLinePunct w:val="0"/>
        <w:bidi w:val="0"/>
        <w:spacing w:after="12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因本保函或本保函相关事项发生的纠纷，可由双方协商解决，协商不成的，按下列第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种方式解决：</w:t>
      </w:r>
    </w:p>
    <w:p w14:paraId="4345EF1A">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仲裁委员会申请仲裁；</w:t>
      </w:r>
    </w:p>
    <w:p w14:paraId="6D4E10E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人民法院起诉。</w:t>
      </w:r>
    </w:p>
    <w:p w14:paraId="455B408D">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34" w:name="_Toc14959"/>
      <w:bookmarkStart w:id="1935" w:name="_Toc24785"/>
      <w:bookmarkStart w:id="1936" w:name="_Toc5124"/>
      <w:bookmarkStart w:id="1937" w:name="_Toc29914"/>
      <w:r>
        <w:rPr>
          <w:rFonts w:hint="eastAsia" w:ascii="宋体" w:hAnsi="宋体" w:eastAsia="宋体" w:cs="宋体"/>
          <w:color w:val="auto"/>
          <w:sz w:val="21"/>
          <w:szCs w:val="21"/>
          <w:highlight w:val="none"/>
        </w:rPr>
        <w:t>八、保函的生效</w:t>
      </w:r>
      <w:bookmarkEnd w:id="1934"/>
      <w:bookmarkEnd w:id="1935"/>
      <w:bookmarkEnd w:id="1936"/>
      <w:bookmarkEnd w:id="1937"/>
    </w:p>
    <w:p w14:paraId="67433D15">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本保函自我方法定代表人（或其授权代理人）签字并加盖公章之日起生效。</w:t>
      </w:r>
    </w:p>
    <w:p w14:paraId="50DC2E94">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p>
    <w:p w14:paraId="2FC7ED87">
      <w:pPr>
        <w:keepNext w:val="0"/>
        <w:keepLines w:val="0"/>
        <w:pageBreakBefore w:val="0"/>
        <w:widowControl w:val="0"/>
        <w:wordWrap/>
        <w:topLinePunct w:val="0"/>
        <w:bidi w:val="0"/>
        <w:spacing w:line="360" w:lineRule="auto"/>
        <w:ind w:right="600"/>
        <w:jc w:val="left"/>
        <w:rPr>
          <w:rFonts w:hint="eastAsia" w:ascii="宋体" w:hAnsi="宋体" w:eastAsia="宋体" w:cs="宋体"/>
          <w:color w:val="auto"/>
          <w:sz w:val="21"/>
          <w:szCs w:val="21"/>
          <w:highlight w:val="none"/>
        </w:rPr>
      </w:pPr>
    </w:p>
    <w:p w14:paraId="6E545AF3">
      <w:pPr>
        <w:keepNext w:val="0"/>
        <w:keepLines w:val="0"/>
        <w:pageBreakBefore w:val="0"/>
        <w:widowControl w:val="0"/>
        <w:kinsoku/>
        <w:wordWrap/>
        <w:overflowPunct/>
        <w:topLinePunct w:val="0"/>
        <w:autoSpaceDE/>
        <w:autoSpaceDN/>
        <w:bidi w:val="0"/>
        <w:adjustRightInd/>
        <w:snapToGrid/>
        <w:spacing w:line="480" w:lineRule="auto"/>
        <w:ind w:right="6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担保人：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（盖章）</w:t>
      </w:r>
    </w:p>
    <w:p w14:paraId="556DA831">
      <w:pPr>
        <w:keepNext w:val="0"/>
        <w:keepLines w:val="0"/>
        <w:pageBreakBefore w:val="0"/>
        <w:widowControl w:val="0"/>
        <w:kinsoku/>
        <w:wordWrap/>
        <w:overflowPunct/>
        <w:topLinePunct w:val="0"/>
        <w:autoSpaceDE/>
        <w:autoSpaceDN/>
        <w:bidi w:val="0"/>
        <w:adjustRightInd/>
        <w:snapToGrid/>
        <w:spacing w:line="480" w:lineRule="auto"/>
        <w:ind w:right="1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7175BF6F">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5196A904">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14A6AAC1">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6B23BCFD">
      <w:pPr>
        <w:keepNext w:val="0"/>
        <w:keepLines w:val="0"/>
        <w:pageBreakBefore w:val="0"/>
        <w:widowControl w:val="0"/>
        <w:wordWrap/>
        <w:topLinePunct w:val="0"/>
        <w:bidi w:val="0"/>
        <w:spacing w:line="360" w:lineRule="auto"/>
        <w:ind w:right="150" w:firstLine="420" w:firstLineChars="200"/>
        <w:jc w:val="left"/>
        <w:rPr>
          <w:rFonts w:hint="eastAsia" w:ascii="宋体" w:hAnsi="宋体" w:eastAsia="宋体" w:cs="宋体"/>
          <w:color w:val="auto"/>
          <w:sz w:val="21"/>
          <w:szCs w:val="21"/>
          <w:highlight w:val="none"/>
          <w:u w:val="single"/>
        </w:rPr>
      </w:pPr>
    </w:p>
    <w:p w14:paraId="3017E026">
      <w:pPr>
        <w:keepNext w:val="0"/>
        <w:keepLines w:val="0"/>
        <w:pageBreakBefore w:val="0"/>
        <w:widowControl w:val="0"/>
        <w:wordWrap/>
        <w:topLinePunct w:val="0"/>
        <w:bidi w:val="0"/>
        <w:spacing w:line="360" w:lineRule="auto"/>
        <w:ind w:right="1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09B0B28">
      <w:pPr>
        <w:keepNext w:val="0"/>
        <w:keepLines w:val="0"/>
        <w:pageBreakBefore w:val="0"/>
        <w:widowControl w:val="0"/>
        <w:wordWrap/>
        <w:topLinePunct w:val="0"/>
        <w:bidi w:val="0"/>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ascii="宋体" w:hAnsi="宋体" w:eastAsia="宋体" w:cs="宋体"/>
          <w:color w:val="auto"/>
          <w:sz w:val="21"/>
          <w:szCs w:val="21"/>
          <w:highlight w:val="none"/>
        </w:rPr>
        <w:t>附件11：</w:t>
      </w:r>
    </w:p>
    <w:p w14:paraId="485C0C9E">
      <w:pPr>
        <w:keepNext w:val="0"/>
        <w:keepLines w:val="0"/>
        <w:pageBreakBefore w:val="0"/>
        <w:widowControl w:val="0"/>
        <w:wordWrap/>
        <w:topLinePunct w:val="0"/>
        <w:bidi w:val="0"/>
        <w:spacing w:before="120" w:beforeLines="50" w:after="120" w:afterLines="50" w:line="440" w:lineRule="exact"/>
        <w:jc w:val="center"/>
        <w:outlineLvl w:val="9"/>
        <w:rPr>
          <w:rFonts w:hint="eastAsia" w:ascii="宋体" w:hAnsi="宋体" w:eastAsia="宋体" w:cs="宋体"/>
          <w:color w:val="auto"/>
          <w:sz w:val="21"/>
          <w:szCs w:val="21"/>
          <w:highlight w:val="none"/>
        </w:rPr>
      </w:pPr>
      <w:bookmarkStart w:id="1938" w:name="_Toc18176"/>
      <w:bookmarkStart w:id="1939" w:name="_Toc32186"/>
      <w:bookmarkStart w:id="1940" w:name="_Toc20900"/>
      <w:bookmarkStart w:id="1941" w:name="_Toc15518"/>
      <w:r>
        <w:rPr>
          <w:rFonts w:hint="eastAsia" w:ascii="宋体" w:hAnsi="宋体" w:eastAsia="宋体" w:cs="宋体"/>
          <w:color w:val="auto"/>
          <w:sz w:val="21"/>
          <w:szCs w:val="21"/>
          <w:highlight w:val="none"/>
        </w:rPr>
        <w:t>11-1：材料暂估价表</w:t>
      </w:r>
      <w:bookmarkEnd w:id="1938"/>
      <w:bookmarkEnd w:id="1939"/>
      <w:bookmarkEnd w:id="1940"/>
      <w:bookmarkEnd w:id="1941"/>
    </w:p>
    <w:tbl>
      <w:tblPr>
        <w:tblStyle w:val="27"/>
        <w:tblW w:w="86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6DDE4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8750A2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14:paraId="585FF61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名称</w:t>
            </w:r>
          </w:p>
        </w:tc>
        <w:tc>
          <w:tcPr>
            <w:tcW w:w="851" w:type="dxa"/>
            <w:tcBorders>
              <w:top w:val="single" w:color="auto" w:sz="12" w:space="0"/>
              <w:bottom w:val="double" w:color="auto" w:sz="6" w:space="0"/>
            </w:tcBorders>
            <w:noWrap w:val="0"/>
            <w:vAlign w:val="top"/>
          </w:tcPr>
          <w:p w14:paraId="54F5A6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单位</w:t>
            </w:r>
          </w:p>
        </w:tc>
        <w:tc>
          <w:tcPr>
            <w:tcW w:w="774" w:type="dxa"/>
            <w:tcBorders>
              <w:top w:val="single" w:color="auto" w:sz="12" w:space="0"/>
              <w:bottom w:val="double" w:color="auto" w:sz="6" w:space="0"/>
            </w:tcBorders>
            <w:noWrap w:val="0"/>
            <w:vAlign w:val="top"/>
          </w:tcPr>
          <w:p w14:paraId="22265E5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数量</w:t>
            </w:r>
          </w:p>
        </w:tc>
        <w:tc>
          <w:tcPr>
            <w:tcW w:w="1352" w:type="dxa"/>
            <w:tcBorders>
              <w:top w:val="single" w:color="auto" w:sz="12" w:space="0"/>
              <w:bottom w:val="double" w:color="auto" w:sz="6" w:space="0"/>
            </w:tcBorders>
            <w:noWrap w:val="0"/>
            <w:vAlign w:val="top"/>
          </w:tcPr>
          <w:p w14:paraId="419B43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单价</w:t>
            </w:r>
            <w:r>
              <w:rPr>
                <w:rFonts w:hint="eastAsia" w:ascii="等线" w:hAnsi="等线" w:eastAsia="仿宋_GB2312"/>
                <w:color w:val="auto"/>
                <w:kern w:val="2"/>
                <w:sz w:val="24"/>
                <w:szCs w:val="24"/>
                <w:highlight w:val="none"/>
                <w:lang w:val="en-US" w:eastAsia="zh-CN"/>
              </w:rPr>
              <w:t>（元）</w:t>
            </w:r>
          </w:p>
        </w:tc>
        <w:tc>
          <w:tcPr>
            <w:tcW w:w="1418" w:type="dxa"/>
            <w:tcBorders>
              <w:top w:val="single" w:color="auto" w:sz="12" w:space="0"/>
              <w:bottom w:val="double" w:color="auto" w:sz="6" w:space="0"/>
            </w:tcBorders>
            <w:noWrap w:val="0"/>
            <w:vAlign w:val="top"/>
          </w:tcPr>
          <w:p w14:paraId="02F64FB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合价</w:t>
            </w:r>
            <w:r>
              <w:rPr>
                <w:rFonts w:hint="eastAsia" w:ascii="等线" w:hAnsi="等线" w:eastAsia="仿宋_GB2312"/>
                <w:color w:val="auto"/>
                <w:kern w:val="2"/>
                <w:sz w:val="24"/>
                <w:szCs w:val="24"/>
                <w:highlight w:val="none"/>
                <w:lang w:val="en-US" w:eastAsia="zh-CN"/>
              </w:rPr>
              <w:t>（元）</w:t>
            </w:r>
          </w:p>
        </w:tc>
        <w:tc>
          <w:tcPr>
            <w:tcW w:w="1303" w:type="dxa"/>
            <w:tcBorders>
              <w:top w:val="single" w:color="auto" w:sz="12" w:space="0"/>
              <w:bottom w:val="double" w:color="auto" w:sz="6" w:space="0"/>
            </w:tcBorders>
            <w:noWrap w:val="0"/>
            <w:vAlign w:val="top"/>
          </w:tcPr>
          <w:p w14:paraId="08F524E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备注</w:t>
            </w:r>
          </w:p>
        </w:tc>
      </w:tr>
      <w:tr w14:paraId="47FC1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5103FAF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double" w:color="auto" w:sz="6" w:space="0"/>
              <w:bottom w:val="single" w:color="auto" w:sz="6" w:space="0"/>
            </w:tcBorders>
            <w:noWrap w:val="0"/>
            <w:vAlign w:val="top"/>
          </w:tcPr>
          <w:p w14:paraId="31E3469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double" w:color="auto" w:sz="6" w:space="0"/>
              <w:bottom w:val="single" w:color="auto" w:sz="6" w:space="0"/>
            </w:tcBorders>
            <w:noWrap w:val="0"/>
            <w:vAlign w:val="top"/>
          </w:tcPr>
          <w:p w14:paraId="07E9D3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double" w:color="auto" w:sz="6" w:space="0"/>
              <w:bottom w:val="single" w:color="auto" w:sz="6" w:space="0"/>
            </w:tcBorders>
            <w:noWrap w:val="0"/>
            <w:vAlign w:val="top"/>
          </w:tcPr>
          <w:p w14:paraId="0F7999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double" w:color="auto" w:sz="6" w:space="0"/>
              <w:bottom w:val="single" w:color="auto" w:sz="6" w:space="0"/>
            </w:tcBorders>
            <w:noWrap w:val="0"/>
            <w:vAlign w:val="top"/>
          </w:tcPr>
          <w:p w14:paraId="35D2AE1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double" w:color="auto" w:sz="6" w:space="0"/>
              <w:bottom w:val="single" w:color="auto" w:sz="6" w:space="0"/>
            </w:tcBorders>
            <w:noWrap w:val="0"/>
            <w:vAlign w:val="top"/>
          </w:tcPr>
          <w:p w14:paraId="5524B02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double" w:color="auto" w:sz="6" w:space="0"/>
              <w:bottom w:val="single" w:color="auto" w:sz="6" w:space="0"/>
            </w:tcBorders>
            <w:noWrap w:val="0"/>
            <w:vAlign w:val="top"/>
          </w:tcPr>
          <w:p w14:paraId="1B8C91D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8E375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01D810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nil"/>
            </w:tcBorders>
            <w:noWrap w:val="0"/>
            <w:vAlign w:val="top"/>
          </w:tcPr>
          <w:p w14:paraId="6E6FE1A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nil"/>
            </w:tcBorders>
            <w:noWrap w:val="0"/>
            <w:vAlign w:val="top"/>
          </w:tcPr>
          <w:p w14:paraId="4790B72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nil"/>
            </w:tcBorders>
            <w:noWrap w:val="0"/>
            <w:vAlign w:val="top"/>
          </w:tcPr>
          <w:p w14:paraId="7FA1F17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nil"/>
            </w:tcBorders>
            <w:noWrap w:val="0"/>
            <w:vAlign w:val="top"/>
          </w:tcPr>
          <w:p w14:paraId="3F1906C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nil"/>
            </w:tcBorders>
            <w:noWrap w:val="0"/>
            <w:vAlign w:val="top"/>
          </w:tcPr>
          <w:p w14:paraId="2421161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nil"/>
            </w:tcBorders>
            <w:noWrap w:val="0"/>
            <w:vAlign w:val="top"/>
          </w:tcPr>
          <w:p w14:paraId="3168D12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A72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BFDB7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9E26E5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9B4AF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305758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316222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DBFDA2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6883039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F7D7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658A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745FFB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887BDC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00610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8674DB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E474CC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2C8B30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8277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9B1AF9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4C9D8B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3D12E7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6BDA6B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8DBFA9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B4B59F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00DBA9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BB43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A737B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FF344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5023B4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10BDC40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22816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305372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6EAC64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FFAA6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09504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ED5C1B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535E3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9545BA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61A247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6AFB6F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62E6628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3991C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58B300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F66D02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6219B1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1A38DCD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E970DA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339C4E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1C67AA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BAD76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3B8F84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3F9ECA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37C27D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22C031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94E70B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931E27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CCA49F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5F38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5D6BCF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5AB379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24EB0B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EA5E24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69418B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E82A91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BD2C8A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BF59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CD1CD1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D12FDC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B85425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9ED294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C5FEBA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159E42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D8AF4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8B5F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A0B90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FC1D79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CC7B9E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62D1B7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A73297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61B35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3A244A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6A50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39DEB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E0A3E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274E33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0D41A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F9D0B3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1285EA5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D20A9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15232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4262E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39431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3589C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81A3C6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68BF85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4B9B06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985CFD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F276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882B75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0500EE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7A4469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A12043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AB69A8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D4AC80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E13126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DC10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DFDEEF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4730C0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9E40F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5A8B6B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4ABEE3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4A1D6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8E0309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D161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52CF60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F9C5C1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214A0C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CAA0DC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9BC8B5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2BA0F4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21332E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040DE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064EA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79FDD3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87CF1D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0F66E1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CD8ABA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FC5596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8B19D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020E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29377E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602F7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5EBDAF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ED8089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C42D7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76C09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16B772F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C6B7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65C85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0990E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158F0B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E3E88D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0F2181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1CC6E4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5E5A3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1B09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1B367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9A314D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DF0951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3B56DB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6D8098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118963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61D11C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A5A2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D48B2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24F9FE0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6262D2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ABF9C1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E0F400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80E7D9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1728854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F2EA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8C246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84B976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1EEE63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4121EC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337C31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7F9400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71DF58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4189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327FE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9AAE85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2F2700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C3CF72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D80C53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45D277E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860FDA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6AF2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061363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CCBE43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F9CEE5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BB4B8C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8515C6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2FBE3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EC41DF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bl>
    <w:p w14:paraId="59FE14A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8EA42DD">
      <w:pPr>
        <w:keepNext w:val="0"/>
        <w:keepLines w:val="0"/>
        <w:pageBreakBefore w:val="0"/>
        <w:widowControl w:val="0"/>
        <w:wordWrap/>
        <w:topLinePunct w:val="0"/>
        <w:bidi w:val="0"/>
        <w:spacing w:before="120" w:beforeLines="50" w:after="120" w:afterLines="5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11-2：工程设备暂估价表</w:t>
      </w:r>
    </w:p>
    <w:tbl>
      <w:tblPr>
        <w:tblStyle w:val="27"/>
        <w:tblW w:w="86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3151B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28716C0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14:paraId="412EEF1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名称</w:t>
            </w:r>
          </w:p>
        </w:tc>
        <w:tc>
          <w:tcPr>
            <w:tcW w:w="851" w:type="dxa"/>
            <w:tcBorders>
              <w:top w:val="single" w:color="auto" w:sz="12" w:space="0"/>
              <w:bottom w:val="double" w:color="auto" w:sz="6" w:space="0"/>
            </w:tcBorders>
            <w:noWrap w:val="0"/>
            <w:vAlign w:val="top"/>
          </w:tcPr>
          <w:p w14:paraId="4EC744F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单位</w:t>
            </w:r>
          </w:p>
        </w:tc>
        <w:tc>
          <w:tcPr>
            <w:tcW w:w="774" w:type="dxa"/>
            <w:tcBorders>
              <w:top w:val="single" w:color="auto" w:sz="12" w:space="0"/>
              <w:bottom w:val="double" w:color="auto" w:sz="6" w:space="0"/>
            </w:tcBorders>
            <w:noWrap w:val="0"/>
            <w:vAlign w:val="top"/>
          </w:tcPr>
          <w:p w14:paraId="68CD9FB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数量</w:t>
            </w:r>
          </w:p>
        </w:tc>
        <w:tc>
          <w:tcPr>
            <w:tcW w:w="1352" w:type="dxa"/>
            <w:tcBorders>
              <w:top w:val="single" w:color="auto" w:sz="12" w:space="0"/>
              <w:bottom w:val="double" w:color="auto" w:sz="6" w:space="0"/>
            </w:tcBorders>
            <w:noWrap w:val="0"/>
            <w:vAlign w:val="top"/>
          </w:tcPr>
          <w:p w14:paraId="5398910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单价</w:t>
            </w:r>
            <w:r>
              <w:rPr>
                <w:rFonts w:hint="eastAsia" w:ascii="等线" w:hAnsi="等线" w:eastAsia="仿宋_GB2312"/>
                <w:color w:val="auto"/>
                <w:kern w:val="2"/>
                <w:sz w:val="24"/>
                <w:szCs w:val="24"/>
                <w:highlight w:val="none"/>
                <w:lang w:val="en-US" w:eastAsia="zh-CN"/>
              </w:rPr>
              <w:t>（元）</w:t>
            </w:r>
          </w:p>
        </w:tc>
        <w:tc>
          <w:tcPr>
            <w:tcW w:w="1418" w:type="dxa"/>
            <w:tcBorders>
              <w:top w:val="single" w:color="auto" w:sz="12" w:space="0"/>
              <w:bottom w:val="double" w:color="auto" w:sz="6" w:space="0"/>
            </w:tcBorders>
            <w:noWrap w:val="0"/>
            <w:vAlign w:val="top"/>
          </w:tcPr>
          <w:p w14:paraId="05FDF92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合价</w:t>
            </w:r>
            <w:r>
              <w:rPr>
                <w:rFonts w:hint="eastAsia" w:ascii="等线" w:hAnsi="等线" w:eastAsia="仿宋_GB2312"/>
                <w:color w:val="auto"/>
                <w:kern w:val="2"/>
                <w:sz w:val="24"/>
                <w:szCs w:val="24"/>
                <w:highlight w:val="none"/>
                <w:lang w:val="en-US" w:eastAsia="zh-CN"/>
              </w:rPr>
              <w:t>（元）</w:t>
            </w:r>
          </w:p>
        </w:tc>
        <w:tc>
          <w:tcPr>
            <w:tcW w:w="1303" w:type="dxa"/>
            <w:tcBorders>
              <w:top w:val="single" w:color="auto" w:sz="12" w:space="0"/>
              <w:bottom w:val="double" w:color="auto" w:sz="6" w:space="0"/>
            </w:tcBorders>
            <w:noWrap w:val="0"/>
            <w:vAlign w:val="top"/>
          </w:tcPr>
          <w:p w14:paraId="7712257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备注</w:t>
            </w:r>
          </w:p>
        </w:tc>
      </w:tr>
      <w:tr w14:paraId="49EE7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3F3AC8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double" w:color="auto" w:sz="6" w:space="0"/>
              <w:bottom w:val="single" w:color="auto" w:sz="6" w:space="0"/>
            </w:tcBorders>
            <w:noWrap w:val="0"/>
            <w:vAlign w:val="top"/>
          </w:tcPr>
          <w:p w14:paraId="1CD63DD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double" w:color="auto" w:sz="6" w:space="0"/>
              <w:bottom w:val="single" w:color="auto" w:sz="6" w:space="0"/>
            </w:tcBorders>
            <w:noWrap w:val="0"/>
            <w:vAlign w:val="top"/>
          </w:tcPr>
          <w:p w14:paraId="78545A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double" w:color="auto" w:sz="6" w:space="0"/>
              <w:bottom w:val="single" w:color="auto" w:sz="6" w:space="0"/>
            </w:tcBorders>
            <w:noWrap w:val="0"/>
            <w:vAlign w:val="top"/>
          </w:tcPr>
          <w:p w14:paraId="7833F39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double" w:color="auto" w:sz="6" w:space="0"/>
              <w:bottom w:val="single" w:color="auto" w:sz="6" w:space="0"/>
            </w:tcBorders>
            <w:noWrap w:val="0"/>
            <w:vAlign w:val="top"/>
          </w:tcPr>
          <w:p w14:paraId="27ED86F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double" w:color="auto" w:sz="6" w:space="0"/>
              <w:bottom w:val="single" w:color="auto" w:sz="6" w:space="0"/>
            </w:tcBorders>
            <w:noWrap w:val="0"/>
            <w:vAlign w:val="top"/>
          </w:tcPr>
          <w:p w14:paraId="38BE937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double" w:color="auto" w:sz="6" w:space="0"/>
              <w:bottom w:val="single" w:color="auto" w:sz="6" w:space="0"/>
            </w:tcBorders>
            <w:noWrap w:val="0"/>
            <w:vAlign w:val="top"/>
          </w:tcPr>
          <w:p w14:paraId="277FF4E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11C8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C8F1CB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nil"/>
            </w:tcBorders>
            <w:noWrap w:val="0"/>
            <w:vAlign w:val="top"/>
          </w:tcPr>
          <w:p w14:paraId="4B0AD20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nil"/>
            </w:tcBorders>
            <w:noWrap w:val="0"/>
            <w:vAlign w:val="top"/>
          </w:tcPr>
          <w:p w14:paraId="72081B2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nil"/>
            </w:tcBorders>
            <w:noWrap w:val="0"/>
            <w:vAlign w:val="top"/>
          </w:tcPr>
          <w:p w14:paraId="0309E1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nil"/>
            </w:tcBorders>
            <w:noWrap w:val="0"/>
            <w:vAlign w:val="top"/>
          </w:tcPr>
          <w:p w14:paraId="1DE5312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nil"/>
            </w:tcBorders>
            <w:noWrap w:val="0"/>
            <w:vAlign w:val="top"/>
          </w:tcPr>
          <w:p w14:paraId="424E082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nil"/>
            </w:tcBorders>
            <w:noWrap w:val="0"/>
            <w:vAlign w:val="top"/>
          </w:tcPr>
          <w:p w14:paraId="5400177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835A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A51593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2CC23E8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129E66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FFB0B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DE192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77E8D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0D8F26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C06B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8CC2B6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2C8007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9BFEEA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6BBA49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8B4AAC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79BDAD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A77DD7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D1B3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EC4754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9F5A1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8E191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1EE677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F7A12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DC62C4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7F64CB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E40D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6D0E7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A907E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7E2B3E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77FDEE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DBF9C5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862C86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DDE4AA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8CAA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904A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9D26E9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445957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B44958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218875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DA15D0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CC2CB3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C185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A3C7D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7CC16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8517B8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E4F4AE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2550D4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DFBE44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658E260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18F19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328185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0E553E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C09F42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056739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277179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EC8155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30C5C7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FF37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24C7AA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305E5E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A1452D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37D4B8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A407FD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107E107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5CB7B9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07B5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4E013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31F0C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F671C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10EB7F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EC8ACE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4C01779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E7A79F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7ACA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223CE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86DF56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23FB0C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512DBF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232244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7AD9E5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64021C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A8E9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4FDF36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EF2FCB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653511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4426F3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74A286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B1E0E2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F384F1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9D9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EAA229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A37A7F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ED6543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2E4B3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30265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1966B5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56FD8E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F0F1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C0AA3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4D242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FF9FD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4176FB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51FDED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8F139B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B8D7AA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D035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0383F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18E9FF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8EF6B4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9CAC1C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8E537A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BF7A46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F90A53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BC5AC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F88F6C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6DDCC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9D12C5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4B0164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EF7BD8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B3B372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8E527A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E30F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1D5C9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7F9457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A8494C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804B5B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3E5B3C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B530A6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48A8FC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FFA46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B6EBA5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AE720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503F92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50304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EA1C6D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A7EFFE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FAA4F0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27B3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C0F2A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2EA46E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715BA1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DDDCF3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360542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4EE048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3E57E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18407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39519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5E0AA0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02226D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0B35C1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4B654B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196009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F42B8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7942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2263CE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BA612B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3330F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ADA239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33E751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62F205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BE1876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F719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EFC9F4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A37BFE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45F55B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2EBE9E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E1C47A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94E71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07D9FE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4EC1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116A9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4174A0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CAD0C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1BAD4B6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7F8D82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5F5A1F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ECD536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62BD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0B1DC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7CCC8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981354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BACE8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AA86EA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EE8B22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7BAC23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bl>
    <w:p w14:paraId="43DD8EE3">
      <w:pPr>
        <w:keepNext w:val="0"/>
        <w:keepLines w:val="0"/>
        <w:pageBreakBefore w:val="0"/>
        <w:widowControl w:val="0"/>
        <w:wordWrap/>
        <w:topLinePunct w:val="0"/>
        <w:bidi w:val="0"/>
        <w:spacing w:line="440" w:lineRule="exact"/>
        <w:rPr>
          <w:rFonts w:eastAsia="仿宋_GB2312"/>
          <w:color w:val="auto"/>
          <w:sz w:val="30"/>
          <w:szCs w:val="30"/>
          <w:highlight w:val="none"/>
        </w:rPr>
      </w:pPr>
    </w:p>
    <w:p w14:paraId="7B3B4ACD">
      <w:pPr>
        <w:keepNext w:val="0"/>
        <w:keepLines w:val="0"/>
        <w:pageBreakBefore w:val="0"/>
        <w:widowControl w:val="0"/>
        <w:wordWrap/>
        <w:topLinePunct w:val="0"/>
        <w:bidi w:val="0"/>
        <w:spacing w:before="120" w:beforeLines="50" w:after="120" w:afterLines="50" w:line="440" w:lineRule="exact"/>
        <w:jc w:val="center"/>
        <w:rPr>
          <w:rFonts w:eastAsia="黑体"/>
          <w:color w:val="auto"/>
          <w:sz w:val="30"/>
          <w:szCs w:val="30"/>
          <w:highlight w:val="none"/>
        </w:rPr>
      </w:pPr>
      <w:r>
        <w:rPr>
          <w:rFonts w:eastAsia="仿宋_GB2312"/>
          <w:color w:val="auto"/>
          <w:sz w:val="30"/>
          <w:szCs w:val="30"/>
          <w:highlight w:val="none"/>
        </w:rPr>
        <w:br w:type="page"/>
      </w:r>
      <w:r>
        <w:rPr>
          <w:rFonts w:hint="eastAsia" w:ascii="宋体" w:hAnsi="宋体" w:eastAsia="宋体" w:cs="宋体"/>
          <w:color w:val="auto"/>
          <w:sz w:val="21"/>
          <w:szCs w:val="21"/>
          <w:highlight w:val="none"/>
        </w:rPr>
        <w:t>11-3：专业工程暂估价表</w:t>
      </w:r>
    </w:p>
    <w:tbl>
      <w:tblPr>
        <w:tblStyle w:val="27"/>
        <w:tblW w:w="86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395"/>
        <w:gridCol w:w="1417"/>
      </w:tblGrid>
      <w:tr w14:paraId="4F2B19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1B139D2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14:paraId="663A7D7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专业工程名称</w:t>
            </w:r>
          </w:p>
        </w:tc>
        <w:tc>
          <w:tcPr>
            <w:tcW w:w="4395" w:type="dxa"/>
            <w:tcBorders>
              <w:top w:val="single" w:color="auto" w:sz="12" w:space="0"/>
              <w:bottom w:val="double" w:color="auto" w:sz="6" w:space="0"/>
            </w:tcBorders>
            <w:noWrap w:val="0"/>
            <w:vAlign w:val="top"/>
          </w:tcPr>
          <w:p w14:paraId="0D4A824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工程内容</w:t>
            </w:r>
          </w:p>
        </w:tc>
        <w:tc>
          <w:tcPr>
            <w:tcW w:w="1417" w:type="dxa"/>
            <w:tcBorders>
              <w:top w:val="single" w:color="auto" w:sz="12" w:space="0"/>
              <w:bottom w:val="double" w:color="auto" w:sz="6" w:space="0"/>
            </w:tcBorders>
            <w:noWrap w:val="0"/>
            <w:vAlign w:val="top"/>
          </w:tcPr>
          <w:p w14:paraId="4579621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金额</w:t>
            </w:r>
          </w:p>
        </w:tc>
      </w:tr>
      <w:tr w14:paraId="139F5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40C4218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tcBorders>
              <w:top w:val="double" w:color="auto" w:sz="6" w:space="0"/>
              <w:bottom w:val="single" w:color="auto" w:sz="6" w:space="0"/>
            </w:tcBorders>
            <w:noWrap w:val="0"/>
            <w:vAlign w:val="top"/>
          </w:tcPr>
          <w:p w14:paraId="480AF52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tcBorders>
              <w:top w:val="double" w:color="auto" w:sz="6" w:space="0"/>
              <w:bottom w:val="single" w:color="auto" w:sz="6" w:space="0"/>
            </w:tcBorders>
            <w:noWrap w:val="0"/>
            <w:vAlign w:val="top"/>
          </w:tcPr>
          <w:p w14:paraId="6F80366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tcBorders>
              <w:top w:val="double" w:color="auto" w:sz="6" w:space="0"/>
              <w:bottom w:val="single" w:color="auto" w:sz="6" w:space="0"/>
            </w:tcBorders>
            <w:noWrap w:val="0"/>
            <w:vAlign w:val="top"/>
          </w:tcPr>
          <w:p w14:paraId="580B560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24368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24B32E1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tcBorders>
              <w:top w:val="nil"/>
            </w:tcBorders>
            <w:noWrap w:val="0"/>
            <w:vAlign w:val="top"/>
          </w:tcPr>
          <w:p w14:paraId="4A02E01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tcBorders>
              <w:top w:val="nil"/>
            </w:tcBorders>
            <w:noWrap w:val="0"/>
            <w:vAlign w:val="top"/>
          </w:tcPr>
          <w:p w14:paraId="575F17C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tcBorders>
              <w:top w:val="nil"/>
            </w:tcBorders>
            <w:noWrap w:val="0"/>
            <w:vAlign w:val="top"/>
          </w:tcPr>
          <w:p w14:paraId="631FAC7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65C1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578AEF8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tcBorders>
              <w:top w:val="nil"/>
            </w:tcBorders>
            <w:noWrap w:val="0"/>
            <w:vAlign w:val="top"/>
          </w:tcPr>
          <w:p w14:paraId="69C3871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tcBorders>
              <w:top w:val="nil"/>
            </w:tcBorders>
            <w:noWrap w:val="0"/>
            <w:vAlign w:val="top"/>
          </w:tcPr>
          <w:p w14:paraId="1B433B5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tcBorders>
              <w:top w:val="nil"/>
            </w:tcBorders>
            <w:noWrap w:val="0"/>
            <w:vAlign w:val="top"/>
          </w:tcPr>
          <w:p w14:paraId="12D3D1C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940F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BA2E4C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1CEA8A2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3F5F7B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001D2B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B1D8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3E7515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6B79D6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326B96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F70B88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091C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A6E972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55F4D7B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47A5015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C4AA0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4645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7BD0E5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59F5E8B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5F17B87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C15854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2A24D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311C41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0351D62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D2E882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72F772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59DA0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5FDA55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6E30998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72D77F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7FFD4C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173481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67A6F5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1E16D7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293162E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E20AC3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578D3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9F1B64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27DC54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87583C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4A59036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8823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F85995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60DBAA0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2622584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1296DC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4871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CC3A7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D0295C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7898B30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DCE5A9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CF11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A90A88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044E0F2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8DF2B7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2C90404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ABC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7EE1D9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235423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6005D7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5F2CFD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CE2A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C268DE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2343A6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4E3D44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C30787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5AFBB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F71490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71A63E3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5292C61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755B1BB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462D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4630D5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86FCA9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092850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E96CCB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5ECD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9BC928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7D2648E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B5B076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2E965C8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2EB9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9A57DC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7FD3424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B7642A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3E78B5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EB13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16F559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A423B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D85C2A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247C549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7C4F43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859825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1E67F5E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59AE9F6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4B7C959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0FAA1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A82B64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566A567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A40D5B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A12CE8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9846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7E4F94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84B528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83A47B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53BB2D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4231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1D8CEA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DEF389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7EEAA89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92D93D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959D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453321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8B7EC0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3CC01BC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153B9B6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7D6E0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675" w:type="dxa"/>
            <w:gridSpan w:val="4"/>
            <w:noWrap w:val="0"/>
            <w:vAlign w:val="top"/>
          </w:tcPr>
          <w:p w14:paraId="0080960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小计：</w:t>
            </w:r>
          </w:p>
        </w:tc>
      </w:tr>
    </w:tbl>
    <w:p w14:paraId="754AD564">
      <w:pPr>
        <w:keepNext w:val="0"/>
        <w:keepLines w:val="0"/>
        <w:pageBreakBefore w:val="0"/>
        <w:widowControl w:val="0"/>
        <w:wordWrap/>
        <w:topLinePunct w:val="0"/>
        <w:bidi w:val="0"/>
        <w:spacing w:line="480" w:lineRule="auto"/>
        <w:rPr>
          <w:rFonts w:hAnsi="宋体"/>
          <w:color w:val="auto"/>
          <w:highlight w:val="none"/>
        </w:rPr>
      </w:pPr>
    </w:p>
    <w:p w14:paraId="24F29F06">
      <w:pPr>
        <w:pStyle w:val="2"/>
        <w:keepNext w:val="0"/>
        <w:keepLines w:val="0"/>
        <w:pageBreakBefore w:val="0"/>
        <w:widowControl w:val="0"/>
        <w:tabs>
          <w:tab w:val="left" w:pos="567"/>
        </w:tabs>
        <w:wordWrap/>
        <w:topLinePunct w:val="0"/>
        <w:bidi w:val="0"/>
        <w:ind w:left="0" w:leftChars="0" w:firstLine="0" w:firstLineChars="0"/>
        <w:jc w:val="center"/>
        <w:outlineLvl w:val="0"/>
        <w:rPr>
          <w:rFonts w:hint="eastAsia" w:ascii="宋体" w:hAnsi="宋体" w:eastAsia="宋体" w:cs="宋体"/>
          <w:b/>
          <w:bCs/>
          <w:color w:val="auto"/>
          <w:highlight w:val="none"/>
        </w:rPr>
      </w:pPr>
      <w:bookmarkStart w:id="1942" w:name="_Toc24304"/>
      <w:bookmarkStart w:id="1943" w:name="_Toc2274"/>
      <w:r>
        <w:rPr>
          <w:rFonts w:hint="eastAsia" w:ascii="宋体" w:hAnsi="宋体" w:eastAsia="宋体" w:cs="宋体"/>
          <w:b/>
          <w:bCs/>
          <w:color w:val="auto"/>
          <w:kern w:val="44"/>
          <w:sz w:val="32"/>
          <w:szCs w:val="32"/>
          <w:highlight w:val="none"/>
        </w:rPr>
        <w:t xml:space="preserve">第六章 </w:t>
      </w:r>
      <w:bookmarkEnd w:id="155"/>
      <w:bookmarkEnd w:id="156"/>
      <w:bookmarkStart w:id="1944" w:name="_Toc13185"/>
      <w:r>
        <w:rPr>
          <w:rFonts w:hint="eastAsia" w:ascii="宋体" w:hAnsi="宋体" w:eastAsia="宋体" w:cs="宋体"/>
          <w:b/>
          <w:bCs/>
          <w:color w:val="auto"/>
          <w:sz w:val="32"/>
          <w:szCs w:val="32"/>
          <w:highlight w:val="none"/>
        </w:rPr>
        <w:t>响应文件（格式）</w:t>
      </w:r>
      <w:bookmarkEnd w:id="1942"/>
      <w:bookmarkEnd w:id="1943"/>
      <w:bookmarkEnd w:id="1944"/>
    </w:p>
    <w:p w14:paraId="68BB77F7">
      <w:pPr>
        <w:keepNext w:val="0"/>
        <w:keepLines w:val="0"/>
        <w:pageBreakBefore w:val="0"/>
        <w:widowControl w:val="0"/>
        <w:wordWrap/>
        <w:topLinePunct w:val="0"/>
        <w:bidi w:val="0"/>
        <w:rPr>
          <w:rFonts w:hint="eastAsia" w:ascii="宋体" w:hAnsi="宋体" w:eastAsia="宋体" w:cs="宋体"/>
          <w:color w:val="auto"/>
          <w:highlight w:val="none"/>
        </w:rPr>
      </w:pPr>
    </w:p>
    <w:p w14:paraId="67617D30">
      <w:pPr>
        <w:pStyle w:val="12"/>
        <w:keepNext w:val="0"/>
        <w:keepLines w:val="0"/>
        <w:pageBreakBefore w:val="0"/>
        <w:widowControl w:val="0"/>
        <w:wordWrap/>
        <w:topLinePunct w:val="0"/>
        <w:bidi w:val="0"/>
        <w:jc w:val="both"/>
        <w:rPr>
          <w:rFonts w:hint="eastAsia" w:ascii="宋体" w:hAnsi="宋体" w:eastAsia="宋体" w:cs="宋体"/>
          <w:b/>
          <w:color w:val="auto"/>
          <w:sz w:val="32"/>
          <w:highlight w:val="none"/>
          <w:lang w:eastAsia="zh-CN"/>
        </w:rPr>
      </w:pPr>
      <w:bookmarkStart w:id="1945" w:name="_Toc21496"/>
      <w:bookmarkStart w:id="1946" w:name="_Toc497927069"/>
      <w:bookmarkStart w:id="1947" w:name="_Toc18351"/>
      <w:r>
        <w:rPr>
          <w:rFonts w:hint="eastAsia" w:ascii="宋体" w:hAnsi="宋体" w:eastAsia="宋体" w:cs="宋体"/>
          <w:b/>
          <w:color w:val="auto"/>
          <w:sz w:val="32"/>
          <w:highlight w:val="none"/>
          <w:lang w:eastAsia="zh-CN"/>
        </w:rPr>
        <w:t>一、响应文件标记</w:t>
      </w:r>
      <w:bookmarkEnd w:id="1945"/>
      <w:bookmarkEnd w:id="1946"/>
      <w:bookmarkEnd w:id="1947"/>
    </w:p>
    <w:p w14:paraId="3B0A7AFC">
      <w:pPr>
        <w:keepNext w:val="0"/>
        <w:keepLines w:val="0"/>
        <w:pageBreakBefore w:val="0"/>
        <w:widowControl w:val="0"/>
        <w:wordWrap/>
        <w:topLinePunct w:val="0"/>
        <w:bidi w:val="0"/>
        <w:adjustRightInd w:val="0"/>
        <w:snapToGrid w:val="0"/>
        <w:rPr>
          <w:rFonts w:hint="eastAsia" w:ascii="宋体" w:hAnsi="宋体" w:eastAsia="宋体" w:cs="宋体"/>
          <w:b/>
          <w:color w:val="auto"/>
          <w:sz w:val="44"/>
          <w:szCs w:val="44"/>
          <w:highlight w:val="none"/>
        </w:rPr>
      </w:pPr>
    </w:p>
    <w:p w14:paraId="47C63FC0">
      <w:pPr>
        <w:pStyle w:val="40"/>
        <w:keepNext w:val="0"/>
        <w:keepLines w:val="0"/>
        <w:pageBreakBefore w:val="0"/>
        <w:widowControl w:val="0"/>
        <w:wordWrap/>
        <w:topLinePunct w:val="0"/>
        <w:bidi w:val="0"/>
        <w:rPr>
          <w:rFonts w:hint="eastAsia" w:ascii="宋体" w:hAnsi="宋体" w:eastAsia="宋体" w:cs="宋体"/>
          <w:color w:val="auto"/>
          <w:highlight w:val="none"/>
        </w:rPr>
      </w:pPr>
    </w:p>
    <w:p w14:paraId="6DAA7CCF">
      <w:pPr>
        <w:keepNext w:val="0"/>
        <w:keepLines w:val="0"/>
        <w:pageBreakBefore w:val="0"/>
        <w:widowControl w:val="0"/>
        <w:wordWrap/>
        <w:topLinePunct w:val="0"/>
        <w:bidi w:val="0"/>
        <w:snapToGrid w:val="0"/>
        <w:spacing w:before="156" w:beforeLines="50" w:after="5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响 应 文 件</w:t>
      </w:r>
    </w:p>
    <w:p w14:paraId="6E53CEEE">
      <w:pPr>
        <w:keepNext w:val="0"/>
        <w:keepLines w:val="0"/>
        <w:pageBreakBefore w:val="0"/>
        <w:widowControl w:val="0"/>
        <w:wordWrap/>
        <w:topLinePunct w:val="0"/>
        <w:bidi w:val="0"/>
        <w:snapToGrid w:val="0"/>
        <w:spacing w:before="156" w:beforeLines="50" w:after="50"/>
        <w:ind w:firstLine="480" w:firstLineChars="150"/>
        <w:jc w:val="both"/>
        <w:rPr>
          <w:rFonts w:hint="eastAsia" w:ascii="宋体" w:hAnsi="宋体" w:eastAsia="宋体" w:cs="宋体"/>
          <w:b/>
          <w:color w:val="auto"/>
          <w:sz w:val="28"/>
          <w:szCs w:val="28"/>
          <w:highlight w:val="none"/>
        </w:rPr>
      </w:pPr>
      <w:r>
        <w:rPr>
          <w:rFonts w:hint="eastAsia" w:ascii="宋体" w:hAnsi="宋体" w:eastAsia="宋体" w:cs="宋体"/>
          <w:color w:val="auto"/>
          <w:sz w:val="32"/>
          <w:szCs w:val="32"/>
          <w:highlight w:val="none"/>
          <w:lang w:val="en-US" w:eastAsia="zh-CN"/>
        </w:rPr>
        <w:t xml:space="preserve">                       </w:t>
      </w:r>
    </w:p>
    <w:p w14:paraId="04396AD0">
      <w:pPr>
        <w:keepNext w:val="0"/>
        <w:keepLines w:val="0"/>
        <w:pageBreakBefore w:val="0"/>
        <w:widowControl w:val="0"/>
        <w:wordWrap/>
        <w:topLinePunct w:val="0"/>
        <w:bidi w:val="0"/>
        <w:snapToGrid w:val="0"/>
        <w:spacing w:before="156" w:beforeLines="50" w:after="50"/>
        <w:ind w:firstLine="422" w:firstLineChars="150"/>
        <w:rPr>
          <w:rFonts w:hint="eastAsia" w:ascii="宋体" w:hAnsi="宋体" w:eastAsia="宋体" w:cs="宋体"/>
          <w:b/>
          <w:color w:val="auto"/>
          <w:sz w:val="28"/>
          <w:szCs w:val="28"/>
          <w:highlight w:val="none"/>
        </w:rPr>
      </w:pPr>
    </w:p>
    <w:p w14:paraId="72DE435B">
      <w:pPr>
        <w:keepNext w:val="0"/>
        <w:keepLines w:val="0"/>
        <w:pageBreakBefore w:val="0"/>
        <w:widowControl w:val="0"/>
        <w:wordWrap/>
        <w:topLinePunct w:val="0"/>
        <w:bidi w:val="0"/>
        <w:snapToGrid w:val="0"/>
        <w:spacing w:before="156" w:beforeLines="50" w:after="50"/>
        <w:ind w:firstLine="422" w:firstLineChars="150"/>
        <w:rPr>
          <w:rFonts w:hint="eastAsia" w:ascii="宋体" w:hAnsi="宋体" w:eastAsia="宋体" w:cs="宋体"/>
          <w:b/>
          <w:color w:val="auto"/>
          <w:sz w:val="28"/>
          <w:szCs w:val="28"/>
          <w:highlight w:val="none"/>
        </w:rPr>
      </w:pPr>
    </w:p>
    <w:p w14:paraId="2510027D">
      <w:pPr>
        <w:keepNext w:val="0"/>
        <w:keepLines w:val="0"/>
        <w:pageBreakBefore w:val="0"/>
        <w:widowControl w:val="0"/>
        <w:wordWrap/>
        <w:topLinePunct w:val="0"/>
        <w:bidi w:val="0"/>
        <w:snapToGrid w:val="0"/>
        <w:spacing w:before="156" w:beforeLines="50" w:after="50"/>
        <w:ind w:left="4317" w:leftChars="1330" w:hanging="1524" w:hangingChars="542"/>
        <w:rPr>
          <w:rFonts w:hint="eastAsia" w:ascii="宋体" w:hAnsi="宋体" w:eastAsia="宋体" w:cs="宋体"/>
          <w:b/>
          <w:bCs w:val="0"/>
          <w:color w:val="auto"/>
          <w:sz w:val="28"/>
          <w:szCs w:val="28"/>
          <w:highlight w:val="none"/>
          <w:u w:val="single"/>
          <w:lang w:eastAsia="zh-CN"/>
        </w:rPr>
      </w:pPr>
      <w:r>
        <w:rPr>
          <w:rFonts w:hint="eastAsia" w:ascii="宋体" w:hAnsi="宋体" w:eastAsia="宋体" w:cs="宋体"/>
          <w:b/>
          <w:bCs w:val="0"/>
          <w:color w:val="auto"/>
          <w:sz w:val="28"/>
          <w:szCs w:val="28"/>
          <w:highlight w:val="none"/>
        </w:rPr>
        <w:t>项目名称：</w:t>
      </w:r>
      <w:r>
        <w:rPr>
          <w:rFonts w:hint="eastAsia" w:ascii="宋体" w:hAnsi="宋体" w:cs="宋体"/>
          <w:b/>
          <w:bCs/>
          <w:color w:val="auto"/>
          <w:sz w:val="28"/>
          <w:szCs w:val="28"/>
          <w:highlight w:val="none"/>
          <w:u w:val="single"/>
          <w:lang w:val="en-US" w:eastAsia="zh-CN"/>
        </w:rPr>
        <w:t xml:space="preserve">                     </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color w:val="auto"/>
          <w:sz w:val="18"/>
          <w:szCs w:val="18"/>
          <w:highlight w:val="none"/>
        </w:rPr>
        <w:t xml:space="preserve">  </w:t>
      </w:r>
    </w:p>
    <w:p w14:paraId="413FA204">
      <w:pPr>
        <w:keepNext w:val="0"/>
        <w:keepLines w:val="0"/>
        <w:pageBreakBefore w:val="0"/>
        <w:widowControl w:val="0"/>
        <w:wordWrap/>
        <w:topLinePunct w:val="0"/>
        <w:bidi w:val="0"/>
        <w:snapToGrid w:val="0"/>
        <w:spacing w:before="156" w:beforeLines="50" w:after="50"/>
        <w:ind w:firstLine="2704" w:firstLineChars="962"/>
        <w:rPr>
          <w:rFonts w:hint="eastAsia" w:ascii="宋体" w:hAnsi="宋体" w:eastAsia="宋体" w:cs="宋体"/>
          <w:b/>
          <w:bCs w:val="0"/>
          <w:color w:val="auto"/>
          <w:sz w:val="28"/>
          <w:szCs w:val="28"/>
          <w:highlight w:val="none"/>
        </w:rPr>
      </w:pPr>
    </w:p>
    <w:p w14:paraId="6B40AEA6">
      <w:pPr>
        <w:keepNext w:val="0"/>
        <w:keepLines w:val="0"/>
        <w:pageBreakBefore w:val="0"/>
        <w:widowControl w:val="0"/>
        <w:wordWrap/>
        <w:topLinePunct w:val="0"/>
        <w:bidi w:val="0"/>
        <w:snapToGrid w:val="0"/>
        <w:spacing w:before="156" w:beforeLines="50" w:after="50"/>
        <w:ind w:left="4317" w:leftChars="1330" w:hanging="1524" w:hangingChars="542"/>
        <w:rPr>
          <w:rFonts w:hint="default"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项目编号：</w:t>
      </w:r>
      <w:r>
        <w:rPr>
          <w:rFonts w:hint="eastAsia" w:ascii="宋体" w:hAnsi="宋体" w:cs="宋体"/>
          <w:b/>
          <w:bCs w:val="0"/>
          <w:color w:val="auto"/>
          <w:sz w:val="28"/>
          <w:szCs w:val="28"/>
          <w:highlight w:val="none"/>
          <w:u w:val="single"/>
          <w:lang w:val="en-US" w:eastAsia="zh-CN"/>
        </w:rPr>
        <w:t xml:space="preserve">                       </w:t>
      </w:r>
    </w:p>
    <w:p w14:paraId="0B8B1EFF">
      <w:pPr>
        <w:keepNext w:val="0"/>
        <w:keepLines w:val="0"/>
        <w:pageBreakBefore w:val="0"/>
        <w:widowControl w:val="0"/>
        <w:wordWrap/>
        <w:topLinePunct w:val="0"/>
        <w:bidi w:val="0"/>
        <w:rPr>
          <w:rFonts w:hint="eastAsia" w:ascii="宋体" w:hAnsi="宋体" w:eastAsia="宋体" w:cs="宋体"/>
          <w:b/>
          <w:color w:val="auto"/>
          <w:highlight w:val="none"/>
        </w:rPr>
      </w:pPr>
    </w:p>
    <w:p w14:paraId="2BEA8FBC">
      <w:pPr>
        <w:keepNext w:val="0"/>
        <w:keepLines w:val="0"/>
        <w:pageBreakBefore w:val="0"/>
        <w:widowControl w:val="0"/>
        <w:wordWrap/>
        <w:topLinePunct w:val="0"/>
        <w:bidi w:val="0"/>
        <w:spacing w:line="400" w:lineRule="exact"/>
        <w:ind w:firstLine="2704" w:firstLineChars="962"/>
        <w:rPr>
          <w:rFonts w:hint="eastAsia" w:ascii="宋体" w:hAnsi="宋体" w:eastAsia="宋体" w:cs="宋体"/>
          <w:b/>
          <w:color w:val="auto"/>
          <w:sz w:val="28"/>
          <w:szCs w:val="28"/>
          <w:highlight w:val="none"/>
        </w:rPr>
      </w:pPr>
    </w:p>
    <w:p w14:paraId="31EAFD0F">
      <w:pPr>
        <w:pStyle w:val="40"/>
        <w:keepNext w:val="0"/>
        <w:keepLines w:val="0"/>
        <w:pageBreakBefore w:val="0"/>
        <w:widowControl w:val="0"/>
        <w:wordWrap/>
        <w:topLinePunct w:val="0"/>
        <w:bidi w:val="0"/>
        <w:rPr>
          <w:rFonts w:hint="eastAsia" w:ascii="宋体" w:hAnsi="宋体" w:eastAsia="宋体" w:cs="宋体"/>
          <w:b/>
          <w:color w:val="auto"/>
          <w:sz w:val="28"/>
          <w:szCs w:val="28"/>
          <w:highlight w:val="none"/>
        </w:rPr>
      </w:pPr>
    </w:p>
    <w:p w14:paraId="0583EA7C">
      <w:pPr>
        <w:pStyle w:val="40"/>
        <w:keepNext w:val="0"/>
        <w:keepLines w:val="0"/>
        <w:pageBreakBefore w:val="0"/>
        <w:widowControl w:val="0"/>
        <w:wordWrap/>
        <w:topLinePunct w:val="0"/>
        <w:bidi w:val="0"/>
        <w:rPr>
          <w:rFonts w:hint="eastAsia" w:ascii="宋体" w:hAnsi="宋体" w:eastAsia="宋体" w:cs="宋体"/>
          <w:b/>
          <w:color w:val="auto"/>
          <w:sz w:val="28"/>
          <w:szCs w:val="28"/>
          <w:highlight w:val="none"/>
        </w:rPr>
      </w:pPr>
    </w:p>
    <w:p w14:paraId="695FA92D">
      <w:pPr>
        <w:keepNext w:val="0"/>
        <w:keepLines w:val="0"/>
        <w:pageBreakBefore w:val="0"/>
        <w:widowControl w:val="0"/>
        <w:wordWrap/>
        <w:topLinePunct w:val="0"/>
        <w:bidi w:val="0"/>
        <w:snapToGrid w:val="0"/>
        <w:spacing w:before="156" w:beforeLines="50" w:after="50"/>
        <w:jc w:val="center"/>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采购代理机构：</w:t>
      </w:r>
      <w:r>
        <w:rPr>
          <w:rFonts w:hint="eastAsia" w:ascii="宋体" w:hAnsi="宋体" w:eastAsia="宋体" w:cs="宋体"/>
          <w:b/>
          <w:color w:val="auto"/>
          <w:sz w:val="28"/>
          <w:szCs w:val="28"/>
          <w:highlight w:val="none"/>
          <w:u w:val="single"/>
        </w:rPr>
        <w:t xml:space="preserve"> </w:t>
      </w:r>
      <w:r>
        <w:rPr>
          <w:rFonts w:hint="eastAsia" w:ascii="宋体" w:hAnsi="宋体" w:cs="宋体"/>
          <w:b/>
          <w:color w:val="auto"/>
          <w:sz w:val="28"/>
          <w:szCs w:val="28"/>
          <w:highlight w:val="none"/>
          <w:u w:val="single"/>
          <w:lang w:eastAsia="zh-CN"/>
        </w:rPr>
        <w:t>广西北部湾宏亚建设管理有限公司</w:t>
      </w:r>
    </w:p>
    <w:p w14:paraId="6EB09288">
      <w:pPr>
        <w:keepNext w:val="0"/>
        <w:keepLines w:val="0"/>
        <w:pageBreakBefore w:val="0"/>
        <w:widowControl w:val="0"/>
        <w:wordWrap/>
        <w:topLinePunct w:val="0"/>
        <w:bidi w:val="0"/>
        <w:outlineLvl w:val="9"/>
        <w:rPr>
          <w:rFonts w:hint="eastAsia" w:eastAsia="宋体"/>
          <w:color w:val="auto"/>
          <w:highlight w:val="none"/>
          <w:lang w:val="en-US" w:eastAsia="zh-CN"/>
        </w:rPr>
      </w:pPr>
    </w:p>
    <w:p w14:paraId="1EA879E3">
      <w:pPr>
        <w:keepNext w:val="0"/>
        <w:keepLines w:val="0"/>
        <w:pageBreakBefore w:val="0"/>
        <w:widowControl w:val="0"/>
        <w:wordWrap/>
        <w:topLinePunct w:val="0"/>
        <w:bidi w:val="0"/>
        <w:outlineLvl w:val="9"/>
        <w:rPr>
          <w:rFonts w:hint="eastAsia" w:eastAsia="宋体"/>
          <w:color w:val="auto"/>
          <w:highlight w:val="none"/>
          <w:lang w:val="en-US" w:eastAsia="zh-CN"/>
        </w:rPr>
      </w:pPr>
    </w:p>
    <w:p w14:paraId="406E3F69">
      <w:pPr>
        <w:keepNext w:val="0"/>
        <w:keepLines w:val="0"/>
        <w:pageBreakBefore w:val="0"/>
        <w:widowControl w:val="0"/>
        <w:wordWrap/>
        <w:topLinePunct w:val="0"/>
        <w:bidi w:val="0"/>
        <w:outlineLvl w:val="9"/>
        <w:rPr>
          <w:rFonts w:hint="eastAsia" w:eastAsia="宋体"/>
          <w:color w:val="auto"/>
          <w:highlight w:val="none"/>
          <w:lang w:val="en-US" w:eastAsia="zh-CN"/>
        </w:rPr>
      </w:pPr>
    </w:p>
    <w:p w14:paraId="719419A5">
      <w:pPr>
        <w:keepNext w:val="0"/>
        <w:keepLines w:val="0"/>
        <w:pageBreakBefore w:val="0"/>
        <w:widowControl w:val="0"/>
        <w:wordWrap/>
        <w:topLinePunct w:val="0"/>
        <w:bidi w:val="0"/>
        <w:outlineLvl w:val="9"/>
        <w:rPr>
          <w:rFonts w:hint="eastAsia" w:eastAsia="宋体"/>
          <w:color w:val="auto"/>
          <w:highlight w:val="none"/>
          <w:lang w:val="en-US" w:eastAsia="zh-CN"/>
        </w:rPr>
      </w:pPr>
    </w:p>
    <w:p w14:paraId="7A7F5C64">
      <w:pPr>
        <w:keepNext w:val="0"/>
        <w:keepLines w:val="0"/>
        <w:pageBreakBefore w:val="0"/>
        <w:widowControl w:val="0"/>
        <w:wordWrap/>
        <w:topLinePunct w:val="0"/>
        <w:bidi w:val="0"/>
        <w:outlineLvl w:val="9"/>
        <w:rPr>
          <w:rFonts w:hint="eastAsia" w:eastAsia="宋体"/>
          <w:color w:val="auto"/>
          <w:highlight w:val="none"/>
          <w:lang w:val="en-US" w:eastAsia="zh-CN"/>
        </w:rPr>
      </w:pPr>
    </w:p>
    <w:p w14:paraId="4EE5B1E8">
      <w:pPr>
        <w:keepNext w:val="0"/>
        <w:keepLines w:val="0"/>
        <w:pageBreakBefore w:val="0"/>
        <w:widowControl w:val="0"/>
        <w:wordWrap/>
        <w:topLinePunct w:val="0"/>
        <w:bidi w:val="0"/>
        <w:outlineLvl w:val="9"/>
        <w:rPr>
          <w:rFonts w:hint="eastAsia" w:eastAsia="宋体"/>
          <w:color w:val="auto"/>
          <w:highlight w:val="none"/>
          <w:lang w:val="en-US" w:eastAsia="zh-CN"/>
        </w:rPr>
      </w:pPr>
    </w:p>
    <w:p w14:paraId="67ABD058">
      <w:pPr>
        <w:keepNext w:val="0"/>
        <w:keepLines w:val="0"/>
        <w:pageBreakBefore w:val="0"/>
        <w:widowControl w:val="0"/>
        <w:wordWrap/>
        <w:topLinePunct w:val="0"/>
        <w:bidi w:val="0"/>
        <w:outlineLvl w:val="9"/>
        <w:rPr>
          <w:rFonts w:hint="eastAsia" w:eastAsia="宋体"/>
          <w:color w:val="auto"/>
          <w:highlight w:val="none"/>
          <w:lang w:val="en-US" w:eastAsia="zh-CN"/>
        </w:rPr>
      </w:pPr>
    </w:p>
    <w:p w14:paraId="047E4843">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bookmarkStart w:id="1948" w:name="_Toc20319_WPSOffice_Level2"/>
      <w:bookmarkStart w:id="1949" w:name="_Toc4932_WPSOffice_Level2"/>
      <w:r>
        <w:rPr>
          <w:rFonts w:hint="eastAsia" w:ascii="宋体" w:hAnsi="宋体" w:eastAsia="宋体" w:cs="宋体"/>
          <w:bCs/>
          <w:color w:val="auto"/>
          <w:sz w:val="24"/>
          <w:szCs w:val="24"/>
          <w:highlight w:val="none"/>
          <w:lang w:eastAsia="zh-CN"/>
        </w:rPr>
        <w:t>磋商供应商</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公章</w:t>
      </w:r>
      <w:r>
        <w:rPr>
          <w:rFonts w:hint="eastAsia" w:ascii="宋体" w:hAnsi="宋体" w:eastAsia="宋体" w:cs="宋体"/>
          <w:bCs/>
          <w:color w:val="auto"/>
          <w:sz w:val="24"/>
          <w:szCs w:val="24"/>
          <w:highlight w:val="none"/>
          <w:lang w:val="en-US" w:eastAsia="zh-CN"/>
        </w:rPr>
        <w:t>(CA签章)</w:t>
      </w:r>
      <w:r>
        <w:rPr>
          <w:rFonts w:hint="eastAsia" w:ascii="宋体" w:hAnsi="宋体" w:eastAsia="宋体" w:cs="宋体"/>
          <w:bCs/>
          <w:color w:val="auto"/>
          <w:sz w:val="24"/>
          <w:szCs w:val="24"/>
          <w:highlight w:val="none"/>
        </w:rPr>
        <w:t>、自然人除外</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bookmarkEnd w:id="1948"/>
      <w:bookmarkEnd w:id="1949"/>
      <w:r>
        <w:rPr>
          <w:rFonts w:hint="eastAsia" w:ascii="宋体" w:hAnsi="宋体" w:eastAsia="宋体" w:cs="宋体"/>
          <w:bCs/>
          <w:color w:val="auto"/>
          <w:sz w:val="24"/>
          <w:szCs w:val="24"/>
          <w:highlight w:val="none"/>
          <w:u w:val="single"/>
        </w:rPr>
        <w:t xml:space="preserve">       </w:t>
      </w:r>
    </w:p>
    <w:p w14:paraId="7BA744D8">
      <w:pPr>
        <w:pStyle w:val="12"/>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color w:val="auto"/>
          <w:sz w:val="24"/>
          <w:szCs w:val="24"/>
          <w:highlight w:val="none"/>
          <w:lang w:val="en-US" w:eastAsia="zh-CN"/>
        </w:rPr>
      </w:pPr>
      <w:bookmarkStart w:id="1950" w:name="_Toc9622_WPSOffice_Level2"/>
      <w:bookmarkStart w:id="1951" w:name="_Toc32056_WPSOffice_Level2"/>
      <w:r>
        <w:rPr>
          <w:rFonts w:hint="eastAsia" w:ascii="宋体" w:hAnsi="宋体" w:eastAsia="宋体" w:cs="宋体"/>
          <w:color w:val="auto"/>
          <w:sz w:val="24"/>
          <w:szCs w:val="24"/>
          <w:highlight w:val="none"/>
        </w:rPr>
        <w:t>法定代表人、负责人、自然人或相应的委托代理人签字</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或盖章</w:t>
      </w:r>
      <w:r>
        <w:rPr>
          <w:rFonts w:hint="eastAsia" w:ascii="宋体" w:hAnsi="宋体" w:eastAsia="宋体" w:cs="宋体"/>
          <w:color w:val="auto"/>
          <w:sz w:val="24"/>
          <w:szCs w:val="24"/>
          <w:highlight w:val="none"/>
          <w:lang w:val="en-US" w:eastAsia="zh-CN"/>
        </w:rPr>
        <w:t>(CA签章)]</w:t>
      </w:r>
    </w:p>
    <w:p w14:paraId="65FE0F3C">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（属自然人的应在签名处加盖大拇指指印</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lang w:val="en-US" w:eastAsia="zh-CN"/>
        </w:rPr>
        <w:t>个人CA签章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007AE39A">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bookmarkEnd w:id="1950"/>
      <w:bookmarkEnd w:id="1951"/>
      <w:r>
        <w:rPr>
          <w:rFonts w:hint="eastAsia" w:ascii="宋体" w:hAnsi="宋体" w:eastAsia="宋体" w:cs="宋体"/>
          <w:bCs/>
          <w:color w:val="auto"/>
          <w:sz w:val="24"/>
          <w:szCs w:val="24"/>
          <w:highlight w:val="none"/>
          <w:u w:val="single"/>
        </w:rPr>
        <w:t xml:space="preserve">                                                </w:t>
      </w:r>
    </w:p>
    <w:p w14:paraId="5B806E89">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bookmarkStart w:id="1952" w:name="_Toc15933_WPSOffice_Level2"/>
      <w:bookmarkStart w:id="1953" w:name="_Toc26465_WPSOffice_Level2"/>
      <w:r>
        <w:rPr>
          <w:rFonts w:hint="eastAsia" w:ascii="宋体" w:hAnsi="宋体" w:eastAsia="宋体" w:cs="宋体"/>
          <w:bCs/>
          <w:color w:val="auto"/>
          <w:sz w:val="24"/>
          <w:szCs w:val="24"/>
          <w:highlight w:val="none"/>
        </w:rPr>
        <w:t>日期：</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bookmarkEnd w:id="1952"/>
      <w:bookmarkEnd w:id="1953"/>
    </w:p>
    <w:p w14:paraId="2142A182">
      <w:pPr>
        <w:rPr>
          <w:rFonts w:hint="eastAsia" w:ascii="宋体" w:hAnsi="宋体" w:eastAsia="宋体" w:cs="宋体"/>
          <w:b/>
          <w:bCs/>
          <w:color w:val="auto"/>
          <w:sz w:val="32"/>
          <w:szCs w:val="32"/>
          <w:highlight w:val="none"/>
        </w:rPr>
      </w:pPr>
      <w:bookmarkStart w:id="1954" w:name="_Toc19430"/>
      <w:bookmarkStart w:id="1955" w:name="_Toc21615"/>
      <w:bookmarkStart w:id="1956" w:name="_Toc497927070"/>
      <w:r>
        <w:rPr>
          <w:rFonts w:hint="eastAsia" w:ascii="宋体" w:hAnsi="宋体" w:eastAsia="宋体" w:cs="宋体"/>
          <w:b/>
          <w:bCs/>
          <w:color w:val="auto"/>
          <w:sz w:val="32"/>
          <w:szCs w:val="32"/>
          <w:highlight w:val="none"/>
        </w:rPr>
        <w:br w:type="page"/>
      </w:r>
    </w:p>
    <w:p w14:paraId="126A6AA9">
      <w:pPr>
        <w:pStyle w:val="12"/>
        <w:keepNext w:val="0"/>
        <w:keepLines w:val="0"/>
        <w:pageBreakBefore w:val="0"/>
        <w:widowControl w:val="0"/>
        <w:wordWrap/>
        <w:topLinePunct w:val="0"/>
        <w:bidi w:val="0"/>
        <w:jc w:val="both"/>
        <w:rPr>
          <w:rFonts w:hint="eastAsia" w:ascii="宋体" w:hAnsi="宋体" w:eastAsia="宋体" w:cs="宋体"/>
          <w:b/>
          <w:color w:val="auto"/>
          <w:sz w:val="32"/>
          <w:highlight w:val="none"/>
          <w:lang w:eastAsia="zh-CN"/>
        </w:rPr>
      </w:pPr>
      <w:r>
        <w:rPr>
          <w:rFonts w:hint="eastAsia" w:ascii="宋体" w:hAnsi="宋体" w:eastAsia="宋体" w:cs="宋体"/>
          <w:b/>
          <w:color w:val="auto"/>
          <w:sz w:val="32"/>
          <w:highlight w:val="none"/>
          <w:lang w:val="en-US" w:eastAsia="zh-CN"/>
        </w:rPr>
        <w:t>二、</w:t>
      </w:r>
      <w:r>
        <w:rPr>
          <w:rFonts w:hint="eastAsia" w:ascii="宋体" w:hAnsi="宋体" w:eastAsia="宋体" w:cs="宋体"/>
          <w:b/>
          <w:color w:val="auto"/>
          <w:sz w:val="32"/>
          <w:highlight w:val="none"/>
          <w:lang w:eastAsia="zh-CN"/>
        </w:rPr>
        <w:t>响应文件组成</w:t>
      </w:r>
      <w:bookmarkEnd w:id="1954"/>
      <w:bookmarkEnd w:id="1955"/>
      <w:bookmarkEnd w:id="1956"/>
    </w:p>
    <w:p w14:paraId="162058FD">
      <w:pPr>
        <w:pStyle w:val="12"/>
        <w:keepNext w:val="0"/>
        <w:keepLines w:val="0"/>
        <w:pageBreakBefore w:val="0"/>
        <w:widowControl w:val="0"/>
        <w:wordWrap/>
        <w:topLinePunct w:val="0"/>
        <w:bidi w:val="0"/>
        <w:jc w:val="both"/>
        <w:rPr>
          <w:rFonts w:hint="eastAsia" w:ascii="宋体" w:hAnsi="宋体" w:eastAsia="宋体" w:cs="宋体"/>
          <w:color w:val="auto"/>
          <w:highlight w:val="none"/>
        </w:rPr>
      </w:pPr>
    </w:p>
    <w:p w14:paraId="5B533141">
      <w:pPr>
        <w:pStyle w:val="9"/>
        <w:keepNext w:val="0"/>
        <w:keepLines w:val="0"/>
        <w:pageBreakBefore w:val="0"/>
        <w:widowControl w:val="0"/>
        <w:numPr>
          <w:ilvl w:val="0"/>
          <w:numId w:val="0"/>
        </w:numPr>
        <w:wordWrap/>
        <w:topLinePunct w:val="0"/>
        <w:bidi w:val="0"/>
        <w:rPr>
          <w:rFonts w:hint="eastAsia" w:ascii="宋体" w:hAnsi="宋体" w:eastAsia="宋体" w:cs="宋体"/>
          <w:color w:val="auto"/>
          <w:highlight w:val="none"/>
        </w:rPr>
      </w:pPr>
    </w:p>
    <w:p w14:paraId="592A34C9">
      <w:pPr>
        <w:keepNext w:val="0"/>
        <w:keepLines w:val="0"/>
        <w:pageBreakBefore w:val="0"/>
        <w:widowControl w:val="0"/>
        <w:numPr>
          <w:ilvl w:val="0"/>
          <w:numId w:val="0"/>
        </w:numPr>
        <w:wordWrap/>
        <w:topLinePunct w:val="0"/>
        <w:bidi w:val="0"/>
        <w:spacing w:line="400" w:lineRule="exact"/>
        <w:rPr>
          <w:rFonts w:hint="eastAsia" w:ascii="宋体" w:hAnsi="宋体" w:eastAsia="宋体" w:cs="宋体"/>
          <w:b/>
          <w:bCs/>
          <w:color w:val="auto"/>
          <w:sz w:val="28"/>
          <w:szCs w:val="28"/>
          <w:highlight w:val="none"/>
        </w:rPr>
      </w:pPr>
    </w:p>
    <w:p w14:paraId="1B73E6DF">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lang w:eastAsia="zh-CN"/>
        </w:rPr>
      </w:pPr>
    </w:p>
    <w:p w14:paraId="13ED9F04">
      <w:pPr>
        <w:keepNext w:val="0"/>
        <w:keepLines w:val="0"/>
        <w:pageBreakBefore w:val="0"/>
        <w:widowControl w:val="0"/>
        <w:numPr>
          <w:ilvl w:val="0"/>
          <w:numId w:val="9"/>
        </w:numPr>
        <w:wordWrap/>
        <w:topLinePunct w:val="0"/>
        <w:bidi w:val="0"/>
        <w:spacing w:line="400" w:lineRule="exact"/>
        <w:ind w:left="482" w:leftChars="0" w:firstLine="568" w:firstLineChars="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资格性响应证明材料</w:t>
      </w:r>
    </w:p>
    <w:p w14:paraId="329CB773">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2BF1C847">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0612E0AF">
      <w:pPr>
        <w:keepNext w:val="0"/>
        <w:keepLines w:val="0"/>
        <w:pageBreakBefore w:val="0"/>
        <w:widowControl w:val="0"/>
        <w:numPr>
          <w:ilvl w:val="0"/>
          <w:numId w:val="9"/>
        </w:numPr>
        <w:wordWrap/>
        <w:topLinePunct w:val="0"/>
        <w:bidi w:val="0"/>
        <w:spacing w:line="400" w:lineRule="exact"/>
        <w:ind w:left="482" w:leftChars="0" w:firstLine="568" w:firstLineChars="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符合性响应证明材料</w:t>
      </w:r>
    </w:p>
    <w:p w14:paraId="3160D78E">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1480E213">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582EEB96">
      <w:pPr>
        <w:keepNext w:val="0"/>
        <w:keepLines w:val="0"/>
        <w:pageBreakBefore w:val="0"/>
        <w:widowControl w:val="0"/>
        <w:numPr>
          <w:ilvl w:val="0"/>
          <w:numId w:val="9"/>
        </w:numPr>
        <w:wordWrap/>
        <w:topLinePunct w:val="0"/>
        <w:bidi w:val="0"/>
        <w:spacing w:line="400" w:lineRule="exact"/>
        <w:ind w:left="482" w:leftChars="0" w:firstLine="568" w:firstLineChars="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w:t>
      </w:r>
      <w:r>
        <w:rPr>
          <w:rFonts w:hint="eastAsia" w:ascii="宋体" w:hAnsi="宋体" w:eastAsia="宋体" w:cs="宋体"/>
          <w:b/>
          <w:bCs/>
          <w:color w:val="auto"/>
          <w:sz w:val="28"/>
          <w:szCs w:val="28"/>
          <w:highlight w:val="none"/>
          <w:lang w:eastAsia="zh-CN"/>
        </w:rPr>
        <w:t>他</w:t>
      </w:r>
      <w:r>
        <w:rPr>
          <w:rFonts w:hint="eastAsia" w:ascii="宋体" w:hAnsi="宋体" w:eastAsia="宋体" w:cs="宋体"/>
          <w:b/>
          <w:bCs/>
          <w:color w:val="auto"/>
          <w:sz w:val="28"/>
          <w:szCs w:val="28"/>
          <w:highlight w:val="none"/>
        </w:rPr>
        <w:t>有效证明材料</w:t>
      </w:r>
    </w:p>
    <w:p w14:paraId="5936A632">
      <w:pPr>
        <w:pStyle w:val="40"/>
        <w:keepNext w:val="0"/>
        <w:keepLines w:val="0"/>
        <w:pageBreakBefore w:val="0"/>
        <w:widowControl w:val="0"/>
        <w:wordWrap/>
        <w:topLinePunct w:val="0"/>
        <w:bidi w:val="0"/>
        <w:rPr>
          <w:rFonts w:hint="eastAsia" w:ascii="宋体" w:hAnsi="宋体" w:eastAsia="宋体" w:cs="宋体"/>
          <w:color w:val="auto"/>
          <w:highlight w:val="none"/>
        </w:rPr>
      </w:pPr>
    </w:p>
    <w:p w14:paraId="7B000225">
      <w:pPr>
        <w:keepNext w:val="0"/>
        <w:keepLines w:val="0"/>
        <w:pageBreakBefore w:val="0"/>
        <w:widowControl w:val="0"/>
        <w:tabs>
          <w:tab w:val="left" w:pos="5040"/>
        </w:tabs>
        <w:wordWrap/>
        <w:topLinePunct w:val="0"/>
        <w:bidi w:val="0"/>
        <w:spacing w:line="400" w:lineRule="exact"/>
        <w:rPr>
          <w:rFonts w:hint="eastAsia" w:ascii="宋体" w:hAnsi="宋体" w:eastAsia="宋体" w:cs="宋体"/>
          <w:color w:val="auto"/>
          <w:szCs w:val="21"/>
          <w:highlight w:val="none"/>
        </w:rPr>
      </w:pPr>
    </w:p>
    <w:p w14:paraId="08F9670A">
      <w:pPr>
        <w:rPr>
          <w:rFonts w:hint="eastAsia" w:ascii="宋体" w:hAnsi="宋体" w:eastAsia="宋体" w:cs="宋体"/>
          <w:color w:val="auto"/>
          <w:sz w:val="32"/>
          <w:szCs w:val="32"/>
          <w:highlight w:val="none"/>
          <w:lang w:eastAsia="zh-CN"/>
        </w:rPr>
      </w:pPr>
      <w:bookmarkStart w:id="1957" w:name="_Toc497927071"/>
      <w:bookmarkStart w:id="1958" w:name="_Toc7185"/>
      <w:bookmarkStart w:id="1959" w:name="_Toc11067"/>
      <w:r>
        <w:rPr>
          <w:rFonts w:hint="eastAsia" w:ascii="宋体" w:hAnsi="宋体" w:eastAsia="宋体" w:cs="宋体"/>
          <w:color w:val="auto"/>
          <w:sz w:val="32"/>
          <w:szCs w:val="32"/>
          <w:highlight w:val="none"/>
          <w:lang w:eastAsia="zh-CN"/>
        </w:rPr>
        <w:br w:type="page"/>
      </w:r>
    </w:p>
    <w:p w14:paraId="113D7915">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color w:val="auto"/>
          <w:sz w:val="32"/>
          <w:szCs w:val="32"/>
          <w:highlight w:val="none"/>
          <w:lang w:eastAsia="zh-CN"/>
        </w:rPr>
      </w:pPr>
      <w:bookmarkStart w:id="1960" w:name="_Toc32344"/>
      <w:r>
        <w:rPr>
          <w:rFonts w:hint="eastAsia" w:ascii="宋体" w:hAnsi="宋体" w:eastAsia="宋体" w:cs="宋体"/>
          <w:color w:val="auto"/>
          <w:sz w:val="32"/>
          <w:szCs w:val="32"/>
          <w:highlight w:val="none"/>
          <w:lang w:eastAsia="zh-CN"/>
        </w:rPr>
        <w:t>（</w:t>
      </w:r>
      <w:r>
        <w:rPr>
          <w:rFonts w:hint="eastAsia" w:ascii="宋体" w:hAnsi="宋体" w:cs="宋体"/>
          <w:color w:val="auto"/>
          <w:sz w:val="32"/>
          <w:szCs w:val="32"/>
          <w:highlight w:val="none"/>
          <w:lang w:eastAsia="zh-CN"/>
        </w:rPr>
        <w:t>一</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资格性响应证明材料目录</w:t>
      </w:r>
      <w:bookmarkEnd w:id="1957"/>
      <w:bookmarkEnd w:id="1958"/>
      <w:bookmarkEnd w:id="1959"/>
      <w:r>
        <w:rPr>
          <w:rFonts w:hint="eastAsia" w:ascii="宋体" w:hAnsi="宋体" w:eastAsia="宋体" w:cs="宋体"/>
          <w:color w:val="auto"/>
          <w:sz w:val="32"/>
          <w:szCs w:val="32"/>
          <w:highlight w:val="none"/>
          <w:lang w:eastAsia="zh-CN"/>
        </w:rPr>
        <w:t>（根据所提供内容自行编写）</w:t>
      </w:r>
      <w:bookmarkEnd w:id="1960"/>
    </w:p>
    <w:p w14:paraId="3DA9662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供应商相应的法定代表人、负责人、自然人身份证正反两面复印件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33CF34B2">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color w:val="auto"/>
          <w:szCs w:val="21"/>
          <w:highlight w:val="none"/>
          <w:lang w:eastAsia="zh-CN"/>
        </w:rPr>
        <w:t>半年内任意一个月</w:t>
      </w:r>
      <w:r>
        <w:rPr>
          <w:rFonts w:hint="eastAsia" w:ascii="宋体" w:hAnsi="宋体" w:eastAsia="宋体" w:cs="宋体"/>
          <w:color w:val="auto"/>
          <w:szCs w:val="21"/>
          <w:highlight w:val="none"/>
        </w:rPr>
        <w:t>社保证明复印件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（委托代理时必须提供）</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除供应商为以下三种情形的：</w:t>
      </w:r>
    </w:p>
    <w:p w14:paraId="38A10FE2">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6A3C6903">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2123CFC4">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5C8324A5">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（委托代理时必须提供）</w:t>
      </w:r>
    </w:p>
    <w:p w14:paraId="4D2796A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p w14:paraId="0EE3C15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p w14:paraId="1C3C460D">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5D63FEF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lang w:val="en-US" w:eastAsia="zh-CN"/>
        </w:rPr>
        <w:t>供应商有效的资质证书复印件及供应商有效的安全生产许可证书复印件</w:t>
      </w:r>
      <w:r>
        <w:rPr>
          <w:rFonts w:hint="eastAsia" w:ascii="宋体" w:hAnsi="宋体" w:eastAsia="宋体" w:cs="宋体"/>
          <w:b/>
          <w:bCs w:val="0"/>
          <w:color w:val="auto"/>
          <w:kern w:val="0"/>
          <w:szCs w:val="21"/>
          <w:highlight w:val="none"/>
          <w:lang w:val="en-US" w:eastAsia="zh-CN"/>
        </w:rPr>
        <w:t>（必须提供）；</w:t>
      </w:r>
    </w:p>
    <w:p w14:paraId="62BA81F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6.</w:t>
      </w:r>
      <w:r>
        <w:rPr>
          <w:rFonts w:hint="eastAsia" w:ascii="宋体" w:hAnsi="宋体" w:cs="宋体"/>
          <w:bCs/>
          <w:color w:val="auto"/>
          <w:sz w:val="21"/>
          <w:szCs w:val="21"/>
          <w:highlight w:val="none"/>
          <w:lang w:eastAsia="zh-CN"/>
        </w:rPr>
        <w:t>拟派项目负责人的注册二级建造师证书复印件、安全生产考核B证证书复印件及项目经理无在建工程承诺书</w:t>
      </w:r>
      <w:r>
        <w:rPr>
          <w:rFonts w:hint="eastAsia" w:ascii="宋体" w:hAnsi="宋体" w:cs="宋体"/>
          <w:bCs/>
          <w:color w:val="auto"/>
          <w:kern w:val="0"/>
          <w:szCs w:val="21"/>
          <w:highlight w:val="none"/>
          <w:lang w:val="en-US" w:eastAsia="zh-CN"/>
        </w:rPr>
        <w:t>（格式自拟）</w:t>
      </w:r>
      <w:r>
        <w:rPr>
          <w:rFonts w:hint="eastAsia" w:ascii="宋体" w:hAnsi="宋体" w:eastAsia="宋体" w:cs="宋体"/>
          <w:b/>
          <w:bCs w:val="0"/>
          <w:color w:val="auto"/>
          <w:kern w:val="0"/>
          <w:szCs w:val="21"/>
          <w:highlight w:val="none"/>
          <w:lang w:val="en-US" w:eastAsia="zh-CN"/>
        </w:rPr>
        <w:t>（必须提供）</w:t>
      </w:r>
    </w:p>
    <w:p w14:paraId="12C3F66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lang w:eastAsia="zh-CN"/>
        </w:rPr>
        <w:t>供应商2025年度财务状况报告</w:t>
      </w:r>
      <w:r>
        <w:rPr>
          <w:rFonts w:hint="eastAsia" w:ascii="宋体" w:hAnsi="宋体" w:eastAsia="宋体" w:cs="宋体"/>
          <w:b/>
          <w:bCs/>
          <w:color w:val="auto"/>
          <w:sz w:val="21"/>
          <w:szCs w:val="21"/>
          <w:highlight w:val="none"/>
          <w:lang w:val="en-US" w:eastAsia="zh-CN"/>
        </w:rPr>
        <w:t>（必须提供</w:t>
      </w:r>
      <w:r>
        <w:rPr>
          <w:rFonts w:hint="eastAsia" w:ascii="宋体" w:hAnsi="宋体" w:cs="宋体"/>
          <w:b/>
          <w:bCs/>
          <w:color w:val="auto"/>
          <w:szCs w:val="21"/>
          <w:highlight w:val="none"/>
          <w:lang w:eastAsia="zh-CN"/>
        </w:rPr>
        <w:t>，</w:t>
      </w:r>
      <w:r>
        <w:rPr>
          <w:rFonts w:ascii="宋体" w:hAnsi="宋体" w:cs="宋体"/>
          <w:b/>
          <w:bCs/>
          <w:color w:val="auto"/>
          <w:szCs w:val="21"/>
          <w:highlight w:val="none"/>
        </w:rPr>
        <w:t>可</w:t>
      </w:r>
      <w:r>
        <w:rPr>
          <w:rFonts w:hint="eastAsia" w:ascii="宋体" w:hAnsi="宋体" w:cs="宋体"/>
          <w:b/>
          <w:bCs/>
          <w:color w:val="auto"/>
          <w:szCs w:val="21"/>
          <w:highlight w:val="none"/>
          <w:lang w:eastAsia="zh-CN"/>
        </w:rPr>
        <w:t>以是磋商供应商</w:t>
      </w:r>
      <w:r>
        <w:rPr>
          <w:rFonts w:ascii="宋体" w:hAnsi="宋体" w:cs="宋体"/>
          <w:b/>
          <w:bCs/>
          <w:color w:val="auto"/>
          <w:szCs w:val="21"/>
          <w:highlight w:val="none"/>
        </w:rPr>
        <w:t>自行编制也可</w:t>
      </w:r>
      <w:r>
        <w:rPr>
          <w:rFonts w:hint="eastAsia" w:ascii="宋体" w:hAnsi="宋体" w:cs="宋体"/>
          <w:b/>
          <w:bCs/>
          <w:color w:val="auto"/>
          <w:szCs w:val="21"/>
          <w:highlight w:val="none"/>
          <w:lang w:eastAsia="zh-CN"/>
        </w:rPr>
        <w:t>是</w:t>
      </w:r>
      <w:r>
        <w:rPr>
          <w:rFonts w:ascii="宋体" w:hAnsi="宋体" w:cs="宋体"/>
          <w:b/>
          <w:bCs/>
          <w:color w:val="auto"/>
          <w:szCs w:val="21"/>
          <w:highlight w:val="none"/>
        </w:rPr>
        <w:t>通过</w:t>
      </w:r>
      <w:r>
        <w:rPr>
          <w:rFonts w:hint="eastAsia" w:ascii="宋体" w:hAnsi="宋体" w:cs="宋体"/>
          <w:b/>
          <w:bCs/>
          <w:color w:val="auto"/>
          <w:szCs w:val="21"/>
          <w:highlight w:val="none"/>
          <w:lang w:eastAsia="zh-CN"/>
        </w:rPr>
        <w:t>第三方</w:t>
      </w:r>
      <w:r>
        <w:rPr>
          <w:rFonts w:ascii="宋体" w:hAnsi="宋体" w:cs="宋体"/>
          <w:b/>
          <w:bCs/>
          <w:color w:val="auto"/>
          <w:szCs w:val="21"/>
          <w:highlight w:val="none"/>
        </w:rPr>
        <w:t>审计公司编制，如为自行编制至少须提供现金流量表、负债表及利润表</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val="0"/>
          <w:color w:val="auto"/>
          <w:kern w:val="0"/>
          <w:szCs w:val="21"/>
          <w:highlight w:val="none"/>
          <w:lang w:val="en-US" w:eastAsia="zh-CN"/>
        </w:rPr>
        <w:t>；</w:t>
      </w:r>
    </w:p>
    <w:p w14:paraId="742CD00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bCs/>
          <w:color w:val="auto"/>
          <w:kern w:val="0"/>
          <w:szCs w:val="21"/>
          <w:highlight w:val="none"/>
          <w:lang w:val="en-US" w:eastAsia="zh-CN"/>
        </w:rPr>
        <w:t>8.</w:t>
      </w:r>
      <w:r>
        <w:rPr>
          <w:rFonts w:hint="eastAsia" w:ascii="宋体" w:hAnsi="宋体" w:cs="宋体"/>
          <w:color w:val="auto"/>
          <w:szCs w:val="21"/>
          <w:highlight w:val="none"/>
          <w:lang w:eastAsia="zh-CN"/>
        </w:rPr>
        <w:t>供应商近半年内任意一个月依法缴纳税收的证明材料[增值税缴纳发票(税收完税证明)或企业所得税完税证明或税务部门出具的免税证明]复印件</w:t>
      </w:r>
      <w:r>
        <w:rPr>
          <w:rFonts w:hint="eastAsia" w:ascii="宋体" w:hAnsi="宋体" w:eastAsia="宋体" w:cs="宋体"/>
          <w:color w:val="auto"/>
          <w:szCs w:val="21"/>
          <w:highlight w:val="none"/>
        </w:rPr>
        <w:t>(税收完税证明)或企业所得税完税证明或税务部门出具的免税证明</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0B586F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9.</w:t>
      </w: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r>
        <w:rPr>
          <w:rFonts w:hint="eastAsia" w:ascii="宋体" w:hAnsi="宋体" w:eastAsia="宋体" w:cs="宋体"/>
          <w:b/>
          <w:bCs/>
          <w:color w:val="auto"/>
          <w:szCs w:val="21"/>
          <w:highlight w:val="none"/>
        </w:rPr>
        <w:t>。</w:t>
      </w:r>
    </w:p>
    <w:p w14:paraId="5797E132">
      <w:pPr>
        <w:keepNext w:val="0"/>
        <w:keepLines w:val="0"/>
        <w:pageBreakBefore w:val="0"/>
        <w:widowControl w:val="0"/>
        <w:wordWrap/>
        <w:topLinePunct w:val="0"/>
        <w:bidi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65C50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供应商相应的法定代表人、负责人、自然人身份证正反两面复印件（必须提供）；</w:t>
      </w:r>
    </w:p>
    <w:p w14:paraId="64C35D71">
      <w:pPr>
        <w:keepNext w:val="0"/>
        <w:keepLines w:val="0"/>
        <w:pageBreakBefore w:val="0"/>
        <w:widowControl w:val="0"/>
        <w:numPr>
          <w:ilvl w:val="0"/>
          <w:numId w:val="0"/>
        </w:numPr>
        <w:wordWrap/>
        <w:topLinePunct w:val="0"/>
        <w:bidi w:val="0"/>
        <w:spacing w:line="440" w:lineRule="atLeast"/>
        <w:outlineLvl w:val="9"/>
        <w:rPr>
          <w:rFonts w:hint="eastAsia"/>
          <w:color w:val="auto"/>
          <w:highlight w:val="none"/>
        </w:rPr>
      </w:pPr>
    </w:p>
    <w:p w14:paraId="3F6EE362">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的授权委托书</w:t>
      </w:r>
      <w:r>
        <w:rPr>
          <w:rFonts w:hint="eastAsia" w:ascii="宋体" w:hAnsi="宋体" w:eastAsia="宋体" w:cs="宋体"/>
          <w:b/>
          <w:color w:val="auto"/>
          <w:sz w:val="28"/>
          <w:szCs w:val="28"/>
          <w:highlight w:val="none"/>
          <w:lang w:eastAsia="zh-CN"/>
        </w:rPr>
        <w:t>原件</w:t>
      </w:r>
      <w:r>
        <w:rPr>
          <w:rFonts w:hint="eastAsia" w:ascii="宋体" w:hAnsi="宋体" w:eastAsia="宋体" w:cs="宋体"/>
          <w:b/>
          <w:color w:val="auto"/>
          <w:sz w:val="28"/>
          <w:szCs w:val="28"/>
          <w:highlight w:val="none"/>
        </w:rPr>
        <w:t>、委托代理人身份证正反面复印件以及由县级以上（含县级）社会养老保险经办机构出具的供应商为委托代理人交纳的响应文件递交截止时间前</w:t>
      </w:r>
      <w:r>
        <w:rPr>
          <w:rFonts w:hint="eastAsia" w:ascii="宋体" w:hAnsi="宋体" w:cs="宋体"/>
          <w:b/>
          <w:color w:val="auto"/>
          <w:sz w:val="28"/>
          <w:szCs w:val="28"/>
          <w:highlight w:val="none"/>
          <w:lang w:eastAsia="zh-CN"/>
        </w:rPr>
        <w:t>半年内任意一个月</w:t>
      </w:r>
      <w:r>
        <w:rPr>
          <w:rFonts w:hint="eastAsia" w:ascii="宋体" w:hAnsi="宋体" w:eastAsia="宋体" w:cs="宋体"/>
          <w:b/>
          <w:color w:val="auto"/>
          <w:sz w:val="28"/>
          <w:szCs w:val="28"/>
          <w:highlight w:val="none"/>
        </w:rPr>
        <w:t>社保证明复印件</w:t>
      </w:r>
      <w:r>
        <w:rPr>
          <w:rFonts w:hint="eastAsia" w:ascii="宋体" w:hAnsi="宋体" w:eastAsia="宋体" w:cs="宋体"/>
          <w:b/>
          <w:color w:val="auto"/>
          <w:sz w:val="28"/>
          <w:szCs w:val="28"/>
          <w:highlight w:val="none"/>
          <w:lang w:eastAsia="zh-CN"/>
        </w:rPr>
        <w:t>（委托代理时必须提供）。</w:t>
      </w:r>
      <w:r>
        <w:rPr>
          <w:rFonts w:hint="eastAsia" w:ascii="宋体" w:hAnsi="宋体" w:eastAsia="宋体" w:cs="宋体"/>
          <w:b/>
          <w:color w:val="auto"/>
          <w:sz w:val="28"/>
          <w:szCs w:val="28"/>
          <w:highlight w:val="none"/>
        </w:rPr>
        <w:t>除供应商为以下三种情形的：</w:t>
      </w:r>
    </w:p>
    <w:p w14:paraId="05F16B42">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如供应商为截标时间前60日以内成立的公司，可以提供供应商与委托代理人签订的劳动合同复印件代替社保证明复印件；</w:t>
      </w:r>
    </w:p>
    <w:p w14:paraId="6A129ABA">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（2）如供应商为事业单位，可以提供事业单位机构编制管理证复印件或事业单位机构为其发放工资的工资条复印件代替社保证明复印件；</w:t>
      </w:r>
    </w:p>
    <w:p w14:paraId="108350E6">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（3）如委托代理人为免缴纳社保人员，提供免缴纳社保的证明材料复印件及供应商与委托代理人签订的劳动合同复印件代替社保证明复印件。</w:t>
      </w:r>
    </w:p>
    <w:p w14:paraId="75D1DA5D">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属</w:t>
      </w:r>
      <w:r>
        <w:rPr>
          <w:rFonts w:hint="eastAsia" w:ascii="宋体" w:hAnsi="宋体" w:eastAsia="宋体" w:cs="宋体"/>
          <w:b/>
          <w:color w:val="auto"/>
          <w:sz w:val="21"/>
          <w:szCs w:val="21"/>
          <w:highlight w:val="none"/>
        </w:rPr>
        <w:t>自然人的应提供由县级以上（含县级）社会养老保险经办机构出具的自然人本人及委托代理人所交纳的响应文件递交截止时间前</w:t>
      </w:r>
      <w:r>
        <w:rPr>
          <w:rFonts w:hint="eastAsia" w:ascii="宋体" w:hAnsi="宋体" w:cs="宋体"/>
          <w:b/>
          <w:color w:val="auto"/>
          <w:sz w:val="21"/>
          <w:szCs w:val="21"/>
          <w:highlight w:val="none"/>
          <w:lang w:eastAsia="zh-CN"/>
        </w:rPr>
        <w:t>半年内任意一个月</w:t>
      </w:r>
      <w:r>
        <w:rPr>
          <w:rFonts w:hint="eastAsia" w:ascii="宋体" w:hAnsi="宋体" w:eastAsia="宋体" w:cs="宋体"/>
          <w:b/>
          <w:color w:val="auto"/>
          <w:sz w:val="21"/>
          <w:szCs w:val="21"/>
          <w:highlight w:val="none"/>
        </w:rPr>
        <w:t>社保证明复印件】（委托代理时必须提供）</w:t>
      </w:r>
    </w:p>
    <w:p w14:paraId="250E9A60">
      <w:pPr>
        <w:pStyle w:val="12"/>
        <w:keepNext w:val="0"/>
        <w:keepLines w:val="0"/>
        <w:pageBreakBefore w:val="0"/>
        <w:widowControl w:val="0"/>
        <w:wordWrap/>
        <w:topLinePunct w:val="0"/>
        <w:bidi w:val="0"/>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78AC5371">
      <w:pPr>
        <w:pStyle w:val="12"/>
        <w:keepNext w:val="0"/>
        <w:keepLines w:val="0"/>
        <w:pageBreakBefore w:val="0"/>
        <w:widowControl w:val="0"/>
        <w:wordWrap/>
        <w:topLinePunct w:val="0"/>
        <w:bidi w:val="0"/>
        <w:ind w:firstLine="630" w:firstLineChars="196"/>
        <w:jc w:val="center"/>
        <w:outlineLvl w:val="9"/>
        <w:rPr>
          <w:rFonts w:hint="eastAsia" w:ascii="宋体" w:hAnsi="宋体" w:eastAsia="宋体" w:cs="宋体"/>
          <w:b/>
          <w:color w:val="auto"/>
          <w:sz w:val="32"/>
          <w:highlight w:val="none"/>
        </w:rPr>
      </w:pPr>
      <w:bookmarkStart w:id="1961" w:name="_Toc964_WPSOffice_Level1"/>
      <w:bookmarkStart w:id="1962" w:name="_Toc5420_WPSOffice_Level1"/>
      <w:r>
        <w:rPr>
          <w:rFonts w:hint="eastAsia" w:ascii="宋体" w:hAnsi="宋体" w:eastAsia="宋体" w:cs="宋体"/>
          <w:b/>
          <w:color w:val="auto"/>
          <w:sz w:val="32"/>
          <w:highlight w:val="none"/>
        </w:rPr>
        <w:t>授权委托书（格式一）</w:t>
      </w:r>
      <w:bookmarkEnd w:id="1961"/>
      <w:bookmarkEnd w:id="1962"/>
    </w:p>
    <w:p w14:paraId="35FCE388">
      <w:pPr>
        <w:pStyle w:val="12"/>
        <w:keepNext w:val="0"/>
        <w:keepLines w:val="0"/>
        <w:pageBreakBefore w:val="0"/>
        <w:widowControl w:val="0"/>
        <w:wordWrap/>
        <w:topLinePunct w:val="0"/>
        <w:bidi w:val="0"/>
        <w:outlineLvl w:val="9"/>
        <w:rPr>
          <w:rFonts w:hint="eastAsia" w:ascii="宋体" w:hAnsi="宋体" w:eastAsia="宋体" w:cs="宋体"/>
          <w:color w:val="auto"/>
          <w:highlight w:val="none"/>
        </w:rPr>
      </w:pPr>
    </w:p>
    <w:p w14:paraId="2F88A4D0">
      <w:pPr>
        <w:keepNext w:val="0"/>
        <w:keepLines w:val="0"/>
        <w:pageBreakBefore w:val="0"/>
        <w:widowControl w:val="0"/>
        <w:wordWrap/>
        <w:topLinePunct w:val="0"/>
        <w:bidi w:val="0"/>
        <w:spacing w:line="400" w:lineRule="exact"/>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 xml:space="preserve">广西北部湾宏亚建设管理有限公司 </w:t>
      </w:r>
    </w:p>
    <w:p w14:paraId="2B4F6CF6">
      <w:pPr>
        <w:keepNext w:val="0"/>
        <w:keepLines w:val="0"/>
        <w:pageBreakBefore w:val="0"/>
        <w:widowControl w:val="0"/>
        <w:wordWrap/>
        <w:topLinePunct w:val="0"/>
        <w:bidi w:val="0"/>
        <w:spacing w:line="400" w:lineRule="exact"/>
        <w:outlineLvl w:val="9"/>
        <w:rPr>
          <w:rFonts w:hint="eastAsia" w:ascii="宋体" w:hAnsi="宋体" w:eastAsia="宋体" w:cs="宋体"/>
          <w:color w:val="auto"/>
          <w:szCs w:val="21"/>
          <w:highlight w:val="none"/>
        </w:rPr>
      </w:pPr>
    </w:p>
    <w:p w14:paraId="189FB697">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359664F4">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5F81FE92">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日起至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w:t>
      </w:r>
    </w:p>
    <w:p w14:paraId="1931A4F9">
      <w:pPr>
        <w:pStyle w:val="12"/>
        <w:keepNext w:val="0"/>
        <w:keepLines w:val="0"/>
        <w:pageBreakBefore w:val="0"/>
        <w:widowControl w:val="0"/>
        <w:kinsoku/>
        <w:wordWrap/>
        <w:overflowPunct/>
        <w:topLinePunct w:val="0"/>
        <w:autoSpaceDE/>
        <w:autoSpaceDN/>
        <w:bidi w:val="0"/>
        <w:adjustRightInd/>
        <w:spacing w:line="380" w:lineRule="exact"/>
        <w:textAlignment w:val="auto"/>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1C2585FD">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0F09A0CD">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kern w:val="0"/>
          <w:highlight w:val="none"/>
        </w:rPr>
      </w:pPr>
    </w:p>
    <w:p w14:paraId="7260876A">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7037CC6F">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szCs w:val="21"/>
          <w:highlight w:val="none"/>
        </w:rPr>
      </w:pPr>
    </w:p>
    <w:p w14:paraId="15CC21B3">
      <w:pPr>
        <w:keepNext w:val="0"/>
        <w:keepLines w:val="0"/>
        <w:pageBreakBefore w:val="0"/>
        <w:widowControl w:val="0"/>
        <w:kinsoku/>
        <w:wordWrap/>
        <w:overflowPunct/>
        <w:topLinePunct w:val="0"/>
        <w:autoSpaceDE/>
        <w:autoSpaceDN/>
        <w:bidi w:val="0"/>
        <w:adjustRightInd/>
        <w:snapToGrid w:val="0"/>
        <w:spacing w:line="380" w:lineRule="exact"/>
        <w:ind w:left="0" w:leftChars="0" w:firstLine="1880" w:firstLineChars="0"/>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D535106">
      <w:pPr>
        <w:keepNext w:val="0"/>
        <w:keepLines w:val="0"/>
        <w:pageBreakBefore w:val="0"/>
        <w:widowControl w:val="0"/>
        <w:kinsoku/>
        <w:wordWrap/>
        <w:overflowPunct/>
        <w:topLinePunct w:val="0"/>
        <w:autoSpaceDE/>
        <w:autoSpaceDN/>
        <w:bidi w:val="0"/>
        <w:adjustRightInd/>
        <w:snapToGrid w:val="0"/>
        <w:spacing w:line="380" w:lineRule="exact"/>
        <w:ind w:left="0" w:leftChars="0" w:firstLine="1880" w:firstLineChars="0"/>
        <w:textAlignment w:val="auto"/>
        <w:outlineLvl w:val="9"/>
        <w:rPr>
          <w:rFonts w:hint="eastAsia" w:ascii="宋体" w:hAnsi="宋体" w:eastAsia="宋体" w:cs="宋体"/>
          <w:color w:val="auto"/>
          <w:szCs w:val="21"/>
          <w:highlight w:val="none"/>
        </w:rPr>
      </w:pPr>
    </w:p>
    <w:p w14:paraId="6F272543">
      <w:pPr>
        <w:keepNext w:val="0"/>
        <w:keepLines w:val="0"/>
        <w:pageBreakBefore w:val="0"/>
        <w:widowControl w:val="0"/>
        <w:kinsoku/>
        <w:wordWrap/>
        <w:overflowPunct/>
        <w:topLinePunct w:val="0"/>
        <w:autoSpaceDE/>
        <w:autoSpaceDN/>
        <w:bidi w:val="0"/>
        <w:adjustRightInd/>
        <w:snapToGrid w:val="0"/>
        <w:spacing w:line="380" w:lineRule="exact"/>
        <w:ind w:left="0" w:leftChars="0" w:firstLine="188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法定代表人（负责人）签字（或</w:t>
      </w:r>
      <w:r>
        <w:rPr>
          <w:rFonts w:hint="eastAsia" w:ascii="宋体" w:hAnsi="宋体" w:eastAsia="宋体" w:cs="宋体"/>
          <w:color w:val="auto"/>
          <w:szCs w:val="21"/>
          <w:highlight w:val="none"/>
          <w:lang w:eastAsia="zh-CN"/>
        </w:rPr>
        <w:t>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BF86103">
      <w:pPr>
        <w:keepNext w:val="0"/>
        <w:keepLines w:val="0"/>
        <w:pageBreakBefore w:val="0"/>
        <w:widowControl w:val="0"/>
        <w:kinsoku/>
        <w:wordWrap/>
        <w:overflowPunct/>
        <w:topLinePunct w:val="0"/>
        <w:autoSpaceDE/>
        <w:autoSpaceDN/>
        <w:bidi w:val="0"/>
        <w:adjustRightInd/>
        <w:snapToGrid w:val="0"/>
        <w:spacing w:line="380" w:lineRule="exact"/>
        <w:ind w:firstLine="1890" w:firstLineChars="900"/>
        <w:textAlignment w:val="auto"/>
        <w:outlineLvl w:val="9"/>
        <w:rPr>
          <w:rFonts w:hint="eastAsia" w:ascii="宋体" w:hAnsi="宋体" w:eastAsia="宋体" w:cs="宋体"/>
          <w:color w:val="auto"/>
          <w:szCs w:val="21"/>
          <w:highlight w:val="none"/>
        </w:rPr>
      </w:pPr>
    </w:p>
    <w:p w14:paraId="4C4D91AE">
      <w:pPr>
        <w:keepNext w:val="0"/>
        <w:keepLines w:val="0"/>
        <w:pageBreakBefore w:val="0"/>
        <w:widowControl w:val="0"/>
        <w:kinsoku/>
        <w:wordWrap/>
        <w:overflowPunct/>
        <w:topLinePunct w:val="0"/>
        <w:autoSpaceDE/>
        <w:autoSpaceDN/>
        <w:bidi w:val="0"/>
        <w:adjustRightInd/>
        <w:snapToGrid w:val="0"/>
        <w:spacing w:line="380" w:lineRule="exact"/>
        <w:ind w:firstLine="4200" w:firstLineChars="20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AD825A1">
      <w:pPr>
        <w:pStyle w:val="12"/>
        <w:keepNext w:val="0"/>
        <w:keepLines w:val="0"/>
        <w:pageBreakBefore w:val="0"/>
        <w:widowControl w:val="0"/>
        <w:wordWrap/>
        <w:topLinePunct w:val="0"/>
        <w:bidi w:val="0"/>
        <w:jc w:val="both"/>
        <w:outlineLvl w:val="9"/>
        <w:rPr>
          <w:rFonts w:hint="eastAsia" w:ascii="宋体" w:hAnsi="宋体" w:eastAsia="宋体" w:cs="宋体"/>
          <w:b/>
          <w:color w:val="auto"/>
          <w:szCs w:val="21"/>
          <w:highlight w:val="none"/>
        </w:rPr>
      </w:pPr>
      <w:bookmarkStart w:id="1963" w:name="_Toc6975_WPSOffice_Level1"/>
      <w:bookmarkStart w:id="1964" w:name="_Toc21370_WPSOffice_Level1"/>
      <w:r>
        <w:rPr>
          <w:rFonts w:hint="eastAsia" w:ascii="宋体" w:hAnsi="宋体" w:eastAsia="宋体" w:cs="宋体"/>
          <w:b/>
          <w:color w:val="auto"/>
          <w:szCs w:val="21"/>
          <w:highlight w:val="none"/>
        </w:rPr>
        <w:t>附：委托代理人身份证正反面复印件</w:t>
      </w:r>
    </w:p>
    <w:p w14:paraId="185C02A6">
      <w:pPr>
        <w:pStyle w:val="7"/>
        <w:rPr>
          <w:rFonts w:hint="eastAsia"/>
          <w:color w:val="auto"/>
        </w:rPr>
      </w:pPr>
    </w:p>
    <w:p w14:paraId="033C6AFD">
      <w:pPr>
        <w:jc w:val="center"/>
        <w:rPr>
          <w:rFonts w:hint="eastAsia" w:ascii="宋体" w:hAnsi="宋体" w:eastAsia="宋体" w:cs="宋体"/>
          <w:b/>
          <w:color w:val="auto"/>
          <w:sz w:val="32"/>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32"/>
          <w:highlight w:val="none"/>
        </w:rPr>
        <w:t>授权委托书（格式二）</w:t>
      </w:r>
      <w:bookmarkEnd w:id="1963"/>
      <w:bookmarkEnd w:id="1964"/>
    </w:p>
    <w:p w14:paraId="73DB8F3A">
      <w:pPr>
        <w:pStyle w:val="12"/>
        <w:keepNext w:val="0"/>
        <w:keepLines w:val="0"/>
        <w:pageBreakBefore w:val="0"/>
        <w:widowControl w:val="0"/>
        <w:wordWrap/>
        <w:topLinePunct w:val="0"/>
        <w:bidi w:val="0"/>
        <w:jc w:val="both"/>
        <w:outlineLvl w:val="9"/>
        <w:rPr>
          <w:rFonts w:hint="eastAsia" w:ascii="宋体" w:hAnsi="宋体" w:eastAsia="宋体" w:cs="宋体"/>
          <w:b/>
          <w:color w:val="auto"/>
          <w:sz w:val="32"/>
          <w:highlight w:val="none"/>
        </w:rPr>
      </w:pPr>
    </w:p>
    <w:p w14:paraId="77A033F4">
      <w:pPr>
        <w:pStyle w:val="12"/>
        <w:keepNext w:val="0"/>
        <w:keepLines w:val="0"/>
        <w:pageBreakBefore w:val="0"/>
        <w:widowControl w:val="0"/>
        <w:wordWrap/>
        <w:topLinePunct w:val="0"/>
        <w:bidi w:val="0"/>
        <w:jc w:val="both"/>
        <w:outlineLvl w:val="9"/>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hAnsi="宋体" w:cs="宋体"/>
          <w:color w:val="auto"/>
          <w:szCs w:val="21"/>
          <w:highlight w:val="none"/>
          <w:u w:val="single"/>
          <w:lang w:eastAsia="zh-CN"/>
        </w:rPr>
        <w:t xml:space="preserve">广西北部湾宏亚建设管理有限公司 </w:t>
      </w:r>
    </w:p>
    <w:p w14:paraId="5F4DA068">
      <w:pPr>
        <w:keepNext w:val="0"/>
        <w:keepLines w:val="0"/>
        <w:pageBreakBefore w:val="0"/>
        <w:widowControl w:val="0"/>
        <w:wordWrap/>
        <w:topLinePunct w:val="0"/>
        <w:bidi w:val="0"/>
        <w:outlineLvl w:val="9"/>
        <w:rPr>
          <w:rFonts w:hint="eastAsia" w:ascii="宋体" w:hAnsi="宋体" w:eastAsia="宋体" w:cs="宋体"/>
          <w:color w:val="auto"/>
          <w:highlight w:val="none"/>
        </w:rPr>
      </w:pPr>
    </w:p>
    <w:p w14:paraId="46BBC1C0">
      <w:pPr>
        <w:pStyle w:val="12"/>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6CDFC4F1">
      <w:pPr>
        <w:pStyle w:val="12"/>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144A56A9">
      <w:pPr>
        <w:pStyle w:val="12"/>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日起至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w:t>
      </w:r>
    </w:p>
    <w:p w14:paraId="58692AEB">
      <w:pPr>
        <w:pStyle w:val="12"/>
        <w:keepNext w:val="0"/>
        <w:keepLines w:val="0"/>
        <w:pageBreakBefore w:val="0"/>
        <w:widowControl w:val="0"/>
        <w:wordWrap/>
        <w:topLinePunct w:val="0"/>
        <w:bidi w:val="0"/>
        <w:spacing w:line="340" w:lineRule="exact"/>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0C671DC1">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21F1FF4B">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kern w:val="0"/>
          <w:highlight w:val="none"/>
        </w:rPr>
      </w:pPr>
    </w:p>
    <w:p w14:paraId="3B82B9A4">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40522366">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szCs w:val="21"/>
          <w:highlight w:val="none"/>
        </w:rPr>
      </w:pPr>
    </w:p>
    <w:p w14:paraId="4E3B30DA">
      <w:pPr>
        <w:keepNext w:val="0"/>
        <w:keepLines w:val="0"/>
        <w:pageBreakBefore w:val="0"/>
        <w:widowControl w:val="0"/>
        <w:wordWrap/>
        <w:topLinePunct w:val="0"/>
        <w:bidi w:val="0"/>
        <w:snapToGrid w:val="0"/>
        <w:spacing w:line="340" w:lineRule="exact"/>
        <w:ind w:left="0" w:leftChars="0" w:firstLine="1879" w:firstLineChars="89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8153003">
      <w:pPr>
        <w:keepNext w:val="0"/>
        <w:keepLines w:val="0"/>
        <w:pageBreakBefore w:val="0"/>
        <w:widowControl w:val="0"/>
        <w:wordWrap/>
        <w:topLinePunct w:val="0"/>
        <w:bidi w:val="0"/>
        <w:snapToGrid w:val="0"/>
        <w:spacing w:line="340" w:lineRule="exact"/>
        <w:ind w:left="0" w:leftChars="0" w:firstLine="1879" w:firstLineChars="895"/>
        <w:outlineLvl w:val="9"/>
        <w:rPr>
          <w:rFonts w:hint="eastAsia" w:ascii="宋体" w:hAnsi="宋体" w:eastAsia="宋体" w:cs="宋体"/>
          <w:color w:val="auto"/>
          <w:szCs w:val="21"/>
          <w:highlight w:val="none"/>
        </w:rPr>
      </w:pPr>
    </w:p>
    <w:p w14:paraId="0E346F93">
      <w:pPr>
        <w:keepNext w:val="0"/>
        <w:keepLines w:val="0"/>
        <w:pageBreakBefore w:val="0"/>
        <w:widowControl w:val="0"/>
        <w:wordWrap/>
        <w:topLinePunct w:val="0"/>
        <w:bidi w:val="0"/>
        <w:snapToGrid w:val="0"/>
        <w:spacing w:line="340" w:lineRule="exact"/>
        <w:ind w:left="0" w:leftChars="0" w:firstLine="5025" w:firstLineChars="2393"/>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CCC6119">
      <w:pPr>
        <w:pStyle w:val="12"/>
        <w:keepNext w:val="0"/>
        <w:keepLines w:val="0"/>
        <w:pageBreakBefore w:val="0"/>
        <w:widowControl w:val="0"/>
        <w:wordWrap/>
        <w:topLinePunct w:val="0"/>
        <w:bidi w:val="0"/>
        <w:spacing w:line="400" w:lineRule="exact"/>
        <w:ind w:left="420" w:leftChars="200"/>
        <w:outlineLvl w:val="9"/>
        <w:rPr>
          <w:rFonts w:hint="eastAsia" w:ascii="宋体" w:hAnsi="宋体" w:eastAsia="宋体" w:cs="宋体"/>
          <w:color w:val="auto"/>
          <w:szCs w:val="21"/>
          <w:highlight w:val="none"/>
        </w:rPr>
      </w:pPr>
    </w:p>
    <w:p w14:paraId="057556CF">
      <w:pPr>
        <w:pStyle w:val="12"/>
        <w:keepNext w:val="0"/>
        <w:keepLines w:val="0"/>
        <w:pageBreakBefore w:val="0"/>
        <w:widowControl w:val="0"/>
        <w:wordWrap/>
        <w:topLinePunct w:val="0"/>
        <w:bidi w:val="0"/>
        <w:spacing w:line="400" w:lineRule="exact"/>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附：委托代理人身份证正反面复印件</w:t>
      </w:r>
    </w:p>
    <w:p w14:paraId="5038650D">
      <w:pPr>
        <w:keepNext w:val="0"/>
        <w:keepLines w:val="0"/>
        <w:pageBreakBefore w:val="0"/>
        <w:widowControl w:val="0"/>
        <w:wordWrap/>
        <w:topLinePunct w:val="0"/>
        <w:bidi w:val="0"/>
        <w:outlineLvl w:val="9"/>
        <w:rPr>
          <w:rFonts w:hint="eastAsia" w:ascii="宋体" w:hAnsi="宋体" w:eastAsia="宋体" w:cs="宋体"/>
          <w:b/>
          <w:color w:val="auto"/>
          <w:szCs w:val="21"/>
          <w:highlight w:val="none"/>
        </w:rPr>
      </w:pPr>
    </w:p>
    <w:p w14:paraId="740901A2">
      <w:pPr>
        <w:pStyle w:val="9"/>
        <w:keepNext w:val="0"/>
        <w:keepLines w:val="0"/>
        <w:pageBreakBefore w:val="0"/>
        <w:widowControl w:val="0"/>
        <w:wordWrap/>
        <w:topLinePunct w:val="0"/>
        <w:bidi w:val="0"/>
        <w:outlineLvl w:val="9"/>
        <w:rPr>
          <w:rFonts w:hint="eastAsia" w:ascii="宋体" w:hAnsi="宋体" w:eastAsia="宋体" w:cs="宋体"/>
          <w:b/>
          <w:color w:val="auto"/>
          <w:szCs w:val="21"/>
          <w:highlight w:val="none"/>
        </w:rPr>
      </w:pPr>
    </w:p>
    <w:p w14:paraId="57EF6046">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2"/>
          <w:sz w:val="28"/>
          <w:szCs w:val="28"/>
          <w:highlight w:val="none"/>
          <w:lang w:val="en-US" w:eastAsia="zh-CN" w:bidi="ar-SA"/>
        </w:rPr>
        <w:t>供应商</w:t>
      </w:r>
      <w:r>
        <w:rPr>
          <w:rFonts w:hint="eastAsia" w:ascii="宋体" w:hAnsi="宋体" w:eastAsia="宋体" w:cs="宋体"/>
          <w:b/>
          <w:color w:val="auto"/>
          <w:sz w:val="28"/>
          <w:szCs w:val="28"/>
          <w:highlight w:val="none"/>
        </w:rPr>
        <w:t>参加政府采购活动前3年内在经营活动中没有重大违法记录及有关信用信息的书面声明（必须提供）；</w:t>
      </w:r>
    </w:p>
    <w:p w14:paraId="776F6502">
      <w:pPr>
        <w:pStyle w:val="12"/>
        <w:keepNext w:val="0"/>
        <w:keepLines w:val="0"/>
        <w:pageBreakBefore w:val="0"/>
        <w:widowControl w:val="0"/>
        <w:wordWrap/>
        <w:topLinePunct w:val="0"/>
        <w:bidi w:val="0"/>
        <w:spacing w:line="400" w:lineRule="exact"/>
        <w:ind w:left="420" w:leftChars="200" w:firstLine="157" w:firstLineChars="49"/>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附件：</w:t>
      </w:r>
    </w:p>
    <w:p w14:paraId="352B8683">
      <w:pPr>
        <w:pStyle w:val="12"/>
        <w:keepNext w:val="0"/>
        <w:keepLines w:val="0"/>
        <w:pageBreakBefore w:val="0"/>
        <w:widowControl w:val="0"/>
        <w:wordWrap/>
        <w:topLinePunct w:val="0"/>
        <w:bidi w:val="0"/>
        <w:spacing w:line="400" w:lineRule="exact"/>
        <w:jc w:val="center"/>
        <w:outlineLvl w:val="9"/>
        <w:rPr>
          <w:rFonts w:hint="eastAsia" w:ascii="宋体" w:hAnsi="宋体" w:eastAsia="宋体" w:cs="宋体"/>
          <w:b/>
          <w:color w:val="auto"/>
          <w:sz w:val="32"/>
          <w:szCs w:val="32"/>
          <w:highlight w:val="none"/>
        </w:rPr>
      </w:pPr>
      <w:bookmarkStart w:id="1965" w:name="_Toc30304_WPSOffice_Level1"/>
      <w:bookmarkStart w:id="1966" w:name="_Toc30890_WPSOffice_Level1"/>
      <w:r>
        <w:rPr>
          <w:rFonts w:hint="eastAsia" w:ascii="宋体" w:hAnsi="宋体" w:eastAsia="宋体" w:cs="宋体"/>
          <w:b/>
          <w:color w:val="auto"/>
          <w:sz w:val="32"/>
          <w:szCs w:val="32"/>
          <w:highlight w:val="none"/>
        </w:rPr>
        <w:t>声   明</w:t>
      </w:r>
      <w:bookmarkEnd w:id="1965"/>
      <w:bookmarkEnd w:id="1966"/>
    </w:p>
    <w:p w14:paraId="3408EAEA">
      <w:pPr>
        <w:pStyle w:val="12"/>
        <w:keepNext w:val="0"/>
        <w:keepLines w:val="0"/>
        <w:pageBreakBefore w:val="0"/>
        <w:widowControl w:val="0"/>
        <w:wordWrap/>
        <w:topLinePunct w:val="0"/>
        <w:bidi w:val="0"/>
        <w:spacing w:line="400" w:lineRule="exact"/>
        <w:jc w:val="both"/>
        <w:outlineLvl w:val="9"/>
        <w:rPr>
          <w:rFonts w:hint="eastAsia" w:ascii="宋体" w:hAnsi="宋体" w:eastAsia="宋体" w:cs="宋体"/>
          <w:b/>
          <w:color w:val="auto"/>
          <w:sz w:val="32"/>
          <w:szCs w:val="32"/>
          <w:highlight w:val="none"/>
        </w:rPr>
      </w:pPr>
    </w:p>
    <w:p w14:paraId="66655BC3">
      <w:pPr>
        <w:pStyle w:val="12"/>
        <w:keepNext w:val="0"/>
        <w:keepLines w:val="0"/>
        <w:pageBreakBefore w:val="0"/>
        <w:widowControl w:val="0"/>
        <w:wordWrap/>
        <w:topLinePunct w:val="0"/>
        <w:bidi w:val="0"/>
        <w:spacing w:line="400" w:lineRule="exact"/>
        <w:jc w:val="both"/>
        <w:outlineLvl w:val="9"/>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hAnsi="宋体" w:cs="宋体"/>
          <w:color w:val="auto"/>
          <w:szCs w:val="21"/>
          <w:highlight w:val="none"/>
          <w:u w:val="single"/>
          <w:lang w:eastAsia="zh-CN"/>
        </w:rPr>
        <w:t xml:space="preserve">广西北部湾宏亚建设管理有限公司 </w:t>
      </w:r>
    </w:p>
    <w:p w14:paraId="08691958">
      <w:pPr>
        <w:keepNext w:val="0"/>
        <w:keepLines w:val="0"/>
        <w:pageBreakBefore w:val="0"/>
        <w:widowControl w:val="0"/>
        <w:wordWrap/>
        <w:topLinePunct w:val="0"/>
        <w:bidi w:val="0"/>
        <w:outlineLvl w:val="9"/>
        <w:rPr>
          <w:rFonts w:hint="eastAsia" w:ascii="宋体" w:hAnsi="宋体" w:eastAsia="宋体" w:cs="宋体"/>
          <w:color w:val="auto"/>
          <w:szCs w:val="21"/>
          <w:highlight w:val="none"/>
          <w:u w:val="single"/>
        </w:rPr>
      </w:pPr>
    </w:p>
    <w:p w14:paraId="6ED87007">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3C58220">
      <w:pPr>
        <w:keepNext w:val="0"/>
        <w:keepLines w:val="0"/>
        <w:pageBreakBefore w:val="0"/>
        <w:widowControl w:val="0"/>
        <w:wordWrap/>
        <w:topLinePunct w:val="0"/>
        <w:bidi w:val="0"/>
        <w:outlineLvl w:val="9"/>
        <w:rPr>
          <w:rFonts w:hint="eastAsia" w:ascii="宋体" w:hAnsi="宋体" w:eastAsia="宋体" w:cs="宋体"/>
          <w:color w:val="auto"/>
          <w:highlight w:val="none"/>
        </w:rPr>
      </w:pPr>
    </w:p>
    <w:p w14:paraId="1791B154">
      <w:pPr>
        <w:keepNext w:val="0"/>
        <w:keepLines w:val="0"/>
        <w:pageBreakBefore w:val="0"/>
        <w:widowControl w:val="0"/>
        <w:wordWrap/>
        <w:topLinePunct w:val="0"/>
        <w:bidi w:val="0"/>
        <w:snapToGrid w:val="0"/>
        <w:spacing w:line="400" w:lineRule="exact"/>
        <w:ind w:firstLine="1890" w:firstLineChars="900"/>
        <w:outlineLvl w:val="9"/>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2601A1D">
      <w:pPr>
        <w:pStyle w:val="12"/>
        <w:keepNext w:val="0"/>
        <w:keepLines w:val="0"/>
        <w:pageBreakBefore w:val="0"/>
        <w:widowControl w:val="0"/>
        <w:wordWrap/>
        <w:topLinePunct w:val="0"/>
        <w:bidi w:val="0"/>
        <w:ind w:firstLine="3990" w:firstLineChars="1900"/>
        <w:outlineLvl w:val="9"/>
        <w:rPr>
          <w:rFonts w:hint="eastAsia" w:ascii="宋体" w:hAnsi="宋体" w:eastAsia="宋体" w:cs="宋体"/>
          <w:color w:val="auto"/>
          <w:highlight w:val="none"/>
        </w:rPr>
      </w:pPr>
    </w:p>
    <w:p w14:paraId="7EAC71D7">
      <w:pPr>
        <w:pStyle w:val="12"/>
        <w:keepNext w:val="0"/>
        <w:keepLines w:val="0"/>
        <w:pageBreakBefore w:val="0"/>
        <w:widowControl w:val="0"/>
        <w:wordWrap/>
        <w:topLinePunct w:val="0"/>
        <w:bidi w:val="0"/>
        <w:ind w:firstLine="3990" w:firstLineChars="19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5D69BDBB">
      <w:pPr>
        <w:pStyle w:val="7"/>
        <w:rPr>
          <w:rFonts w:hint="eastAsia"/>
          <w:color w:val="auto"/>
        </w:rPr>
      </w:pPr>
    </w:p>
    <w:p w14:paraId="35C6F8F7">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5A9AB4F6">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的法人或者其他组织营业执照等证明文件复印件（必须提供，自然人除外）；</w:t>
      </w:r>
    </w:p>
    <w:p w14:paraId="4ADA1F86">
      <w:pPr>
        <w:keepNext w:val="0"/>
        <w:keepLines w:val="0"/>
        <w:pageBreakBefore w:val="0"/>
        <w:widowControl w:val="0"/>
        <w:tabs>
          <w:tab w:val="left" w:pos="1305"/>
        </w:tabs>
        <w:wordWrap/>
        <w:topLinePunct w:val="0"/>
        <w:bidi w:val="0"/>
        <w:spacing w:line="340" w:lineRule="exact"/>
        <w:outlineLvl w:val="9"/>
        <w:rPr>
          <w:rFonts w:hint="eastAsia" w:ascii="宋体" w:hAnsi="宋体" w:eastAsia="宋体" w:cs="宋体"/>
          <w:b/>
          <w:color w:val="auto"/>
          <w:szCs w:val="21"/>
          <w:highlight w:val="none"/>
        </w:rPr>
      </w:pPr>
    </w:p>
    <w:p w14:paraId="04C77A74">
      <w:pPr>
        <w:keepNext w:val="0"/>
        <w:keepLines w:val="0"/>
        <w:pageBreakBefore w:val="0"/>
        <w:widowControl w:val="0"/>
        <w:tabs>
          <w:tab w:val="left" w:pos="1305"/>
        </w:tabs>
        <w:wordWrap/>
        <w:topLinePunct w:val="0"/>
        <w:bidi w:val="0"/>
        <w:spacing w:line="400" w:lineRule="exact"/>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48CEED0D">
      <w:pPr>
        <w:keepNext w:val="0"/>
        <w:keepLines w:val="0"/>
        <w:pageBreakBefore w:val="0"/>
        <w:widowControl w:val="0"/>
        <w:wordWrap/>
        <w:topLinePunct w:val="0"/>
        <w:bidi w:val="0"/>
        <w:outlineLvl w:val="9"/>
        <w:rPr>
          <w:rFonts w:hint="eastAsia" w:ascii="宋体" w:hAnsi="宋体" w:eastAsia="宋体" w:cs="宋体"/>
          <w:b/>
          <w:bCs/>
          <w:color w:val="auto"/>
          <w:sz w:val="28"/>
          <w:szCs w:val="28"/>
          <w:highlight w:val="none"/>
        </w:rPr>
      </w:pPr>
    </w:p>
    <w:p w14:paraId="1DA44859">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5.供应商有效的资质证书复印件及供应商有效的安全生产许可证书复印件（必须提供）</w:t>
      </w:r>
      <w:r>
        <w:rPr>
          <w:rFonts w:hint="eastAsia" w:ascii="宋体" w:hAnsi="宋体" w:cs="宋体"/>
          <w:b/>
          <w:color w:val="auto"/>
          <w:sz w:val="28"/>
          <w:szCs w:val="28"/>
          <w:highlight w:val="none"/>
          <w:lang w:val="en-US" w:eastAsia="zh-CN"/>
        </w:rPr>
        <w:t>；</w:t>
      </w:r>
    </w:p>
    <w:p w14:paraId="47295660">
      <w:pPr>
        <w:keepNext w:val="0"/>
        <w:keepLines w:val="0"/>
        <w:pageBreakBefore w:val="0"/>
        <w:widowControl w:val="0"/>
        <w:wordWrap/>
        <w:topLinePunct w:val="0"/>
        <w:bidi w:val="0"/>
        <w:outlineLvl w:val="9"/>
        <w:rPr>
          <w:rFonts w:hint="eastAsia"/>
          <w:color w:val="auto"/>
          <w:highlight w:val="none"/>
          <w:lang w:val="en-US" w:eastAsia="zh-CN"/>
        </w:rPr>
      </w:pPr>
    </w:p>
    <w:p w14:paraId="6446343B">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bCs/>
          <w:iCs/>
          <w:color w:val="auto"/>
          <w:kern w:val="2"/>
          <w:sz w:val="28"/>
          <w:szCs w:val="28"/>
          <w:highlight w:val="none"/>
          <w:lang w:val="en-US" w:eastAsia="zh-CN" w:bidi="ar-SA"/>
        </w:rPr>
        <w:t>6.</w:t>
      </w:r>
      <w:r>
        <w:rPr>
          <w:rFonts w:hint="eastAsia" w:ascii="宋体" w:hAnsi="宋体" w:cs="宋体"/>
          <w:b/>
          <w:color w:val="auto"/>
          <w:sz w:val="28"/>
          <w:szCs w:val="28"/>
          <w:highlight w:val="none"/>
          <w:lang w:val="en-US" w:eastAsia="zh-CN"/>
        </w:rPr>
        <w:t>拟派项目负责人的注册二级建造师证书复印件、安全生产考核B证证书复印件及项目经理无在建工程承诺书（格式自拟）</w:t>
      </w:r>
      <w:r>
        <w:rPr>
          <w:rFonts w:hint="eastAsia" w:ascii="宋体" w:hAnsi="宋体" w:eastAsia="宋体" w:cs="宋体"/>
          <w:b/>
          <w:color w:val="auto"/>
          <w:sz w:val="28"/>
          <w:szCs w:val="28"/>
          <w:highlight w:val="none"/>
          <w:lang w:val="en-US" w:eastAsia="zh-CN"/>
        </w:rPr>
        <w:t>（必须提供）；</w:t>
      </w:r>
    </w:p>
    <w:p w14:paraId="5934ECCA">
      <w:pPr>
        <w:keepNext w:val="0"/>
        <w:keepLines w:val="0"/>
        <w:pageBreakBefore w:val="0"/>
        <w:widowControl w:val="0"/>
        <w:numPr>
          <w:ilvl w:val="0"/>
          <w:numId w:val="0"/>
        </w:numPr>
        <w:wordWrap/>
        <w:topLinePunct w:val="0"/>
        <w:bidi w:val="0"/>
        <w:spacing w:line="440" w:lineRule="atLeast"/>
        <w:outlineLvl w:val="9"/>
        <w:rPr>
          <w:rFonts w:hint="eastAsia" w:ascii="宋体" w:hAnsi="宋体" w:eastAsia="宋体" w:cs="宋体"/>
          <w:b/>
          <w:color w:val="auto"/>
          <w:sz w:val="28"/>
          <w:szCs w:val="28"/>
          <w:highlight w:val="none"/>
          <w:lang w:val="en-US" w:eastAsia="zh-CN"/>
        </w:rPr>
      </w:pPr>
    </w:p>
    <w:p w14:paraId="72D2F9F3">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hAnsi="宋体" w:cs="宋体"/>
          <w:b/>
          <w:color w:val="auto"/>
          <w:sz w:val="28"/>
          <w:szCs w:val="28"/>
          <w:highlight w:val="none"/>
          <w:lang w:val="en-US" w:eastAsia="zh-CN"/>
        </w:rPr>
        <w:t>7</w:t>
      </w:r>
      <w:r>
        <w:rPr>
          <w:rFonts w:hint="eastAsia" w:ascii="宋体" w:hAnsi="宋体" w:eastAsia="宋体" w:cs="宋体"/>
          <w:b/>
          <w:color w:val="auto"/>
          <w:sz w:val="28"/>
          <w:szCs w:val="28"/>
          <w:highlight w:val="none"/>
          <w:lang w:val="en-US" w:eastAsia="zh-CN"/>
        </w:rPr>
        <w:t>.</w:t>
      </w:r>
      <w:r>
        <w:rPr>
          <w:rFonts w:hint="eastAsia" w:ascii="宋体" w:hAnsi="宋体" w:cs="宋体"/>
          <w:b/>
          <w:color w:val="auto"/>
          <w:sz w:val="28"/>
          <w:szCs w:val="28"/>
          <w:highlight w:val="none"/>
          <w:lang w:val="en-US" w:eastAsia="zh-CN"/>
        </w:rPr>
        <w:t>供应商2025年度财务状况报告</w:t>
      </w:r>
      <w:r>
        <w:rPr>
          <w:rFonts w:hint="eastAsia" w:ascii="宋体" w:hAnsi="宋体" w:eastAsia="宋体" w:cs="宋体"/>
          <w:b/>
          <w:color w:val="auto"/>
          <w:sz w:val="28"/>
          <w:szCs w:val="28"/>
          <w:highlight w:val="none"/>
          <w:lang w:val="en-US" w:eastAsia="zh-CN"/>
        </w:rPr>
        <w:t>（必须提供，可以是磋商供应商自行编制也可是通过第三方审计公司编制，如为自行编制至少须提供现金流量表、负债表及利润表）；</w:t>
      </w:r>
    </w:p>
    <w:p w14:paraId="04E6D569">
      <w:pPr>
        <w:pStyle w:val="9"/>
        <w:keepNext w:val="0"/>
        <w:keepLines w:val="0"/>
        <w:pageBreakBefore w:val="0"/>
        <w:widowControl w:val="0"/>
        <w:wordWrap/>
        <w:topLinePunct w:val="0"/>
        <w:bidi w:val="0"/>
        <w:rPr>
          <w:rFonts w:hint="eastAsia" w:ascii="宋体" w:hAnsi="宋体" w:eastAsia="宋体" w:cs="宋体"/>
          <w:b/>
          <w:color w:val="auto"/>
          <w:sz w:val="28"/>
          <w:szCs w:val="28"/>
          <w:highlight w:val="none"/>
          <w:lang w:val="en-US" w:eastAsia="zh-CN"/>
        </w:rPr>
      </w:pPr>
    </w:p>
    <w:p w14:paraId="419805B9">
      <w:pPr>
        <w:keepNext w:val="0"/>
        <w:keepLines w:val="0"/>
        <w:pageBreakBefore w:val="0"/>
        <w:widowControl w:val="0"/>
        <w:numPr>
          <w:ilvl w:val="0"/>
          <w:numId w:val="0"/>
        </w:numPr>
        <w:wordWrap/>
        <w:topLinePunct w:val="0"/>
        <w:bidi w:val="0"/>
        <w:spacing w:line="440" w:lineRule="atLeast"/>
        <w:outlineLvl w:val="2"/>
        <w:rPr>
          <w:rFonts w:hint="eastAsia"/>
          <w:color w:val="auto"/>
          <w:highlight w:val="none"/>
          <w:lang w:val="en-US" w:eastAsia="zh-CN"/>
        </w:rPr>
      </w:pPr>
      <w:r>
        <w:rPr>
          <w:rFonts w:hint="eastAsia" w:ascii="宋体" w:hAnsi="宋体" w:cs="宋体"/>
          <w:b/>
          <w:color w:val="auto"/>
          <w:sz w:val="28"/>
          <w:szCs w:val="28"/>
          <w:highlight w:val="none"/>
          <w:lang w:val="en-US" w:eastAsia="zh-CN"/>
        </w:rPr>
        <w:t>8</w:t>
      </w:r>
      <w:r>
        <w:rPr>
          <w:rFonts w:hint="eastAsia" w:ascii="宋体" w:hAnsi="宋体" w:eastAsia="宋体" w:cs="宋体"/>
          <w:b/>
          <w:color w:val="auto"/>
          <w:sz w:val="28"/>
          <w:szCs w:val="28"/>
          <w:highlight w:val="none"/>
          <w:lang w:val="en-US" w:eastAsia="zh-CN"/>
        </w:rPr>
        <w:t>.供应商近半年内任意一个月依法缴纳税收的证明材料[增值税缴纳发票(税收完税证明)或企业所得税完税证明或税务部门出具的免税证明]复印件(税收完税证明)或企业所得税完税证明或税务部门出具的免税证明]复印件（必须提供）</w:t>
      </w:r>
      <w:r>
        <w:rPr>
          <w:rFonts w:hint="eastAsia" w:ascii="宋体" w:hAnsi="宋体" w:cs="宋体"/>
          <w:b/>
          <w:color w:val="auto"/>
          <w:sz w:val="28"/>
          <w:szCs w:val="28"/>
          <w:highlight w:val="none"/>
          <w:lang w:val="en-US" w:eastAsia="zh-CN"/>
        </w:rPr>
        <w:t>；</w:t>
      </w:r>
    </w:p>
    <w:p w14:paraId="48F08282">
      <w:pPr>
        <w:keepNext w:val="0"/>
        <w:keepLines w:val="0"/>
        <w:pageBreakBefore w:val="0"/>
        <w:widowControl w:val="0"/>
        <w:numPr>
          <w:ilvl w:val="0"/>
          <w:numId w:val="0"/>
        </w:numPr>
        <w:wordWrap/>
        <w:topLinePunct w:val="0"/>
        <w:bidi w:val="0"/>
        <w:spacing w:line="440" w:lineRule="atLeast"/>
        <w:outlineLvl w:val="9"/>
        <w:rPr>
          <w:rFonts w:hint="eastAsia" w:ascii="宋体" w:hAnsi="宋体" w:cs="宋体"/>
          <w:b/>
          <w:bCs/>
          <w:iCs/>
          <w:color w:val="auto"/>
          <w:kern w:val="2"/>
          <w:sz w:val="28"/>
          <w:szCs w:val="28"/>
          <w:highlight w:val="none"/>
          <w:lang w:val="en-US" w:eastAsia="zh-CN" w:bidi="ar-SA"/>
        </w:rPr>
      </w:pPr>
    </w:p>
    <w:p w14:paraId="0FD620EF">
      <w:pPr>
        <w:keepNext w:val="0"/>
        <w:keepLines w:val="0"/>
        <w:pageBreakBefore w:val="0"/>
        <w:widowControl w:val="0"/>
        <w:wordWrap/>
        <w:topLinePunct w:val="0"/>
        <w:bidi w:val="0"/>
        <w:outlineLvl w:val="9"/>
        <w:rPr>
          <w:rFonts w:hint="eastAsia" w:ascii="宋体" w:hAnsi="宋体" w:cs="宋体"/>
          <w:b/>
          <w:bCs/>
          <w:iCs/>
          <w:color w:val="auto"/>
          <w:kern w:val="2"/>
          <w:sz w:val="28"/>
          <w:szCs w:val="28"/>
          <w:highlight w:val="none"/>
          <w:lang w:val="en-US" w:eastAsia="zh-CN" w:bidi="ar-SA"/>
        </w:rPr>
      </w:pPr>
    </w:p>
    <w:p w14:paraId="69E40085">
      <w:pPr>
        <w:rPr>
          <w:rFonts w:hint="eastAsia" w:ascii="宋体" w:hAnsi="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br w:type="page"/>
      </w:r>
    </w:p>
    <w:p w14:paraId="4CC665CF">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9.</w:t>
      </w:r>
      <w:r>
        <w:rPr>
          <w:rFonts w:hint="eastAsia" w:ascii="宋体" w:hAnsi="宋体" w:eastAsia="宋体" w:cs="宋体"/>
          <w:b/>
          <w:bCs/>
          <w:iCs/>
          <w:color w:val="auto"/>
          <w:kern w:val="2"/>
          <w:sz w:val="28"/>
          <w:szCs w:val="28"/>
          <w:highlight w:val="none"/>
          <w:lang w:val="en-US" w:eastAsia="zh-CN" w:bidi="ar-SA"/>
        </w:rPr>
        <w:t>《</w:t>
      </w:r>
      <w:r>
        <w:rPr>
          <w:rFonts w:hint="eastAsia" w:ascii="宋体" w:hAnsi="宋体" w:eastAsia="宋体" w:cs="宋体"/>
          <w:b/>
          <w:color w:val="auto"/>
          <w:sz w:val="28"/>
          <w:szCs w:val="28"/>
          <w:highlight w:val="none"/>
          <w:lang w:val="en-US" w:eastAsia="zh-CN"/>
        </w:rPr>
        <w:t>中小企业</w:t>
      </w:r>
      <w:r>
        <w:rPr>
          <w:rFonts w:hint="eastAsia" w:ascii="宋体" w:hAnsi="宋体" w:eastAsia="宋体" w:cs="宋体"/>
          <w:b/>
          <w:bCs/>
          <w:iCs/>
          <w:color w:val="auto"/>
          <w:kern w:val="2"/>
          <w:sz w:val="28"/>
          <w:szCs w:val="28"/>
          <w:highlight w:val="none"/>
          <w:lang w:val="en-US" w:eastAsia="zh-CN" w:bidi="ar-SA"/>
        </w:rPr>
        <w:t>声明函》或《残疾人福利性单位声明函》或省级以上监狱管理局、戒毒管理局（含新疆生产建设兵团）出具的属于监狱企业的证明文件复印件（必须提供其中一项）</w:t>
      </w:r>
      <w:r>
        <w:rPr>
          <w:rFonts w:hint="eastAsia" w:ascii="宋体" w:hAnsi="宋体" w:cs="宋体"/>
          <w:b/>
          <w:bCs/>
          <w:iCs/>
          <w:color w:val="auto"/>
          <w:kern w:val="2"/>
          <w:sz w:val="28"/>
          <w:szCs w:val="28"/>
          <w:highlight w:val="none"/>
          <w:lang w:val="en-US" w:eastAsia="zh-CN" w:bidi="ar-SA"/>
        </w:rPr>
        <w:t>.</w:t>
      </w:r>
    </w:p>
    <w:p w14:paraId="7DF8F374">
      <w:pPr>
        <w:keepNext w:val="0"/>
        <w:keepLines w:val="0"/>
        <w:pageBreakBefore w:val="0"/>
        <w:widowControl w:val="0"/>
        <w:wordWrap/>
        <w:topLinePunct w:val="0"/>
        <w:bidi w:val="0"/>
        <w:jc w:val="center"/>
        <w:outlineLvl w:val="9"/>
        <w:rPr>
          <w:rStyle w:val="57"/>
          <w:rFonts w:ascii="宋体" w:hAnsi="宋体" w:cs="宋体"/>
          <w:b/>
          <w:bCs/>
          <w:color w:val="auto"/>
          <w:kern w:val="0"/>
          <w:sz w:val="21"/>
          <w:szCs w:val="21"/>
          <w:highlight w:val="none"/>
        </w:rPr>
      </w:pPr>
    </w:p>
    <w:p w14:paraId="6DB5D52D">
      <w:pPr>
        <w:keepNext w:val="0"/>
        <w:keepLines w:val="0"/>
        <w:pageBreakBefore w:val="0"/>
        <w:widowControl w:val="0"/>
        <w:wordWrap/>
        <w:topLinePunct w:val="0"/>
        <w:bidi w:val="0"/>
        <w:jc w:val="center"/>
        <w:outlineLvl w:val="9"/>
        <w:rPr>
          <w:rStyle w:val="57"/>
          <w:rFonts w:ascii="宋体" w:hAnsi="宋体" w:cs="宋体"/>
          <w:b/>
          <w:bCs/>
          <w:color w:val="auto"/>
          <w:kern w:val="0"/>
          <w:sz w:val="24"/>
          <w:szCs w:val="24"/>
          <w:highlight w:val="none"/>
        </w:rPr>
      </w:pPr>
      <w:r>
        <w:rPr>
          <w:rStyle w:val="57"/>
          <w:rFonts w:hint="eastAsia" w:ascii="宋体" w:hAnsi="宋体" w:cs="宋体"/>
          <w:b/>
          <w:bCs/>
          <w:color w:val="auto"/>
          <w:kern w:val="0"/>
          <w:sz w:val="24"/>
          <w:szCs w:val="24"/>
          <w:highlight w:val="none"/>
          <w:lang w:eastAsia="zh-CN"/>
        </w:rPr>
        <w:t>（</w:t>
      </w:r>
      <w:r>
        <w:rPr>
          <w:rStyle w:val="57"/>
          <w:rFonts w:hint="eastAsia" w:ascii="宋体" w:hAnsi="宋体" w:cs="宋体"/>
          <w:b/>
          <w:bCs/>
          <w:color w:val="auto"/>
          <w:kern w:val="0"/>
          <w:sz w:val="24"/>
          <w:szCs w:val="24"/>
          <w:highlight w:val="none"/>
          <w:lang w:val="en-US" w:eastAsia="zh-CN"/>
        </w:rPr>
        <w:t>1</w:t>
      </w:r>
      <w:r>
        <w:rPr>
          <w:rStyle w:val="57"/>
          <w:rFonts w:hint="eastAsia" w:ascii="宋体" w:hAnsi="宋体" w:cs="宋体"/>
          <w:b/>
          <w:bCs/>
          <w:color w:val="auto"/>
          <w:kern w:val="0"/>
          <w:sz w:val="24"/>
          <w:szCs w:val="24"/>
          <w:highlight w:val="none"/>
          <w:lang w:eastAsia="zh-CN"/>
        </w:rPr>
        <w:t>）</w:t>
      </w:r>
      <w:r>
        <w:rPr>
          <w:rStyle w:val="57"/>
          <w:rFonts w:ascii="宋体" w:hAnsi="宋体" w:cs="宋体"/>
          <w:b/>
          <w:bCs/>
          <w:color w:val="auto"/>
          <w:kern w:val="0"/>
          <w:sz w:val="24"/>
          <w:szCs w:val="24"/>
          <w:highlight w:val="none"/>
        </w:rPr>
        <w:t>中小企业声明函（</w:t>
      </w:r>
      <w:r>
        <w:rPr>
          <w:rStyle w:val="57"/>
          <w:rFonts w:hint="eastAsia" w:ascii="宋体" w:hAnsi="宋体" w:cs="宋体"/>
          <w:b/>
          <w:bCs/>
          <w:color w:val="auto"/>
          <w:kern w:val="0"/>
          <w:sz w:val="24"/>
          <w:szCs w:val="24"/>
          <w:highlight w:val="none"/>
        </w:rPr>
        <w:t>工程</w:t>
      </w:r>
      <w:r>
        <w:rPr>
          <w:rStyle w:val="57"/>
          <w:rFonts w:ascii="宋体" w:hAnsi="宋体" w:cs="宋体"/>
          <w:b/>
          <w:bCs/>
          <w:color w:val="auto"/>
          <w:kern w:val="0"/>
          <w:sz w:val="24"/>
          <w:szCs w:val="24"/>
          <w:highlight w:val="none"/>
        </w:rPr>
        <w:t>）</w:t>
      </w:r>
    </w:p>
    <w:p w14:paraId="6F4B297A">
      <w:pPr>
        <w:pStyle w:val="58"/>
        <w:keepNext w:val="0"/>
        <w:keepLines w:val="0"/>
        <w:pageBreakBefore w:val="0"/>
        <w:widowControl w:val="0"/>
        <w:wordWrap/>
        <w:topLinePunct w:val="0"/>
        <w:bidi w:val="0"/>
        <w:ind w:left="63" w:right="63"/>
        <w:outlineLvl w:val="9"/>
        <w:rPr>
          <w:color w:val="auto"/>
          <w:sz w:val="21"/>
          <w:szCs w:val="21"/>
          <w:highlight w:val="none"/>
        </w:rPr>
      </w:pPr>
    </w:p>
    <w:p w14:paraId="0D3DBC69">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本公司郑重声明，根据《政府采购促进中小企业发展管理办法》（财库﹝2020﹞46 号）的规定，本公司参加</w:t>
      </w:r>
      <w:r>
        <w:rPr>
          <w:rStyle w:val="57"/>
          <w:rFonts w:ascii="宋体" w:hAnsi="宋体"/>
          <w:color w:val="auto"/>
          <w:kern w:val="0"/>
          <w:sz w:val="21"/>
          <w:szCs w:val="21"/>
          <w:highlight w:val="none"/>
          <w:u w:val="single" w:color="000000"/>
        </w:rPr>
        <w:t>（单位名称）</w:t>
      </w:r>
      <w:r>
        <w:rPr>
          <w:rStyle w:val="57"/>
          <w:rFonts w:ascii="宋体" w:hAnsi="宋体"/>
          <w:color w:val="auto"/>
          <w:kern w:val="0"/>
          <w:sz w:val="21"/>
          <w:szCs w:val="21"/>
          <w:highlight w:val="none"/>
        </w:rPr>
        <w:t>的</w:t>
      </w:r>
      <w:r>
        <w:rPr>
          <w:rStyle w:val="57"/>
          <w:rFonts w:ascii="宋体" w:hAnsi="宋体"/>
          <w:color w:val="auto"/>
          <w:kern w:val="0"/>
          <w:sz w:val="21"/>
          <w:szCs w:val="21"/>
          <w:highlight w:val="none"/>
          <w:u w:val="single" w:color="000000"/>
        </w:rPr>
        <w:t>（项目名称）</w:t>
      </w:r>
      <w:r>
        <w:rPr>
          <w:rStyle w:val="57"/>
          <w:rFonts w:ascii="宋体" w:hAnsi="宋体"/>
          <w:color w:val="auto"/>
          <w:kern w:val="0"/>
          <w:sz w:val="21"/>
          <w:szCs w:val="21"/>
          <w:highlight w:val="none"/>
        </w:rPr>
        <w:t>采购活动，</w:t>
      </w:r>
      <w:r>
        <w:rPr>
          <w:rStyle w:val="57"/>
          <w:rFonts w:hint="eastAsia" w:ascii="宋体" w:hAnsi="宋体" w:eastAsia="宋体"/>
          <w:color w:val="auto"/>
          <w:kern w:val="0"/>
          <w:sz w:val="21"/>
          <w:szCs w:val="21"/>
          <w:highlight w:val="none"/>
          <w:lang w:val="en-US" w:eastAsia="zh-CN"/>
        </w:rPr>
        <w:t>工程的施工单位</w:t>
      </w:r>
      <w:r>
        <w:rPr>
          <w:rStyle w:val="57"/>
          <w:rFonts w:ascii="宋体" w:hAnsi="宋体"/>
          <w:color w:val="auto"/>
          <w:kern w:val="0"/>
          <w:sz w:val="21"/>
          <w:szCs w:val="21"/>
          <w:highlight w:val="none"/>
        </w:rPr>
        <w:t>全部</w:t>
      </w:r>
      <w:r>
        <w:rPr>
          <w:rStyle w:val="57"/>
          <w:rFonts w:hint="eastAsia" w:ascii="宋体" w:hAnsi="宋体" w:eastAsia="宋体"/>
          <w:color w:val="auto"/>
          <w:kern w:val="0"/>
          <w:sz w:val="21"/>
          <w:szCs w:val="21"/>
          <w:highlight w:val="none"/>
          <w:lang w:val="en-US" w:eastAsia="zh-CN"/>
        </w:rPr>
        <w:t>为</w:t>
      </w:r>
      <w:r>
        <w:rPr>
          <w:rStyle w:val="57"/>
          <w:rFonts w:ascii="宋体" w:hAnsi="宋体"/>
          <w:color w:val="auto"/>
          <w:kern w:val="0"/>
          <w:sz w:val="21"/>
          <w:szCs w:val="21"/>
          <w:highlight w:val="none"/>
        </w:rPr>
        <w:t>符合政策要求的中小企业。相关企业（含联合体中的中小企业、签订分包意向协议的中小企业）的具体情况如下：</w:t>
      </w:r>
    </w:p>
    <w:p w14:paraId="3DB1E270">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 xml:space="preserve">1. </w:t>
      </w:r>
      <w:r>
        <w:rPr>
          <w:rStyle w:val="57"/>
          <w:rFonts w:ascii="宋体" w:hAnsi="宋体"/>
          <w:color w:val="auto"/>
          <w:kern w:val="0"/>
          <w:sz w:val="21"/>
          <w:szCs w:val="21"/>
          <w:highlight w:val="none"/>
          <w:u w:val="single" w:color="000000"/>
        </w:rPr>
        <w:t xml:space="preserve">（标的名称） </w:t>
      </w:r>
      <w:r>
        <w:rPr>
          <w:rStyle w:val="57"/>
          <w:rFonts w:ascii="宋体" w:hAnsi="宋体"/>
          <w:color w:val="auto"/>
          <w:kern w:val="0"/>
          <w:sz w:val="21"/>
          <w:szCs w:val="21"/>
          <w:highlight w:val="none"/>
        </w:rPr>
        <w:t xml:space="preserve">，属于 </w:t>
      </w:r>
      <w:r>
        <w:rPr>
          <w:rStyle w:val="57"/>
          <w:rFonts w:ascii="宋体" w:hAnsi="宋体"/>
          <w:color w:val="auto"/>
          <w:kern w:val="0"/>
          <w:sz w:val="21"/>
          <w:szCs w:val="21"/>
          <w:highlight w:val="none"/>
          <w:u w:val="single" w:color="000000"/>
        </w:rPr>
        <w:t>（</w:t>
      </w:r>
      <w:r>
        <w:rPr>
          <w:rStyle w:val="57"/>
          <w:rFonts w:hint="eastAsia" w:ascii="宋体" w:hAnsi="宋体"/>
          <w:color w:val="auto"/>
          <w:kern w:val="0"/>
          <w:sz w:val="21"/>
          <w:szCs w:val="21"/>
          <w:highlight w:val="none"/>
          <w:u w:val="single" w:color="000000"/>
        </w:rPr>
        <w:t>招标</w:t>
      </w:r>
      <w:r>
        <w:rPr>
          <w:rStyle w:val="57"/>
          <w:rFonts w:ascii="宋体" w:hAnsi="宋体"/>
          <w:color w:val="auto"/>
          <w:kern w:val="0"/>
          <w:sz w:val="21"/>
          <w:szCs w:val="21"/>
          <w:highlight w:val="none"/>
          <w:u w:val="single" w:color="000000"/>
        </w:rPr>
        <w:t xml:space="preserve">文件中明确的所属行业） </w:t>
      </w:r>
      <w:r>
        <w:rPr>
          <w:rStyle w:val="57"/>
          <w:rFonts w:ascii="宋体" w:hAnsi="宋体"/>
          <w:color w:val="auto"/>
          <w:kern w:val="0"/>
          <w:sz w:val="21"/>
          <w:szCs w:val="21"/>
          <w:highlight w:val="none"/>
        </w:rPr>
        <w:t>； 承接企业为</w:t>
      </w:r>
      <w:r>
        <w:rPr>
          <w:rStyle w:val="57"/>
          <w:rFonts w:ascii="宋体" w:hAnsi="宋体"/>
          <w:color w:val="auto"/>
          <w:kern w:val="0"/>
          <w:sz w:val="21"/>
          <w:szCs w:val="21"/>
          <w:highlight w:val="none"/>
          <w:u w:val="single" w:color="000000"/>
        </w:rPr>
        <w:t>（企业名称）</w:t>
      </w:r>
      <w:r>
        <w:rPr>
          <w:rStyle w:val="57"/>
          <w:rFonts w:ascii="宋体" w:hAnsi="宋体"/>
          <w:color w:val="auto"/>
          <w:kern w:val="0"/>
          <w:sz w:val="21"/>
          <w:szCs w:val="21"/>
          <w:highlight w:val="none"/>
        </w:rPr>
        <w:t>，从业人员</w:t>
      </w:r>
      <w:r>
        <w:rPr>
          <w:rStyle w:val="57"/>
          <w:rFonts w:ascii="宋体" w:hAnsi="宋体"/>
          <w:color w:val="auto"/>
          <w:kern w:val="0"/>
          <w:sz w:val="21"/>
          <w:szCs w:val="21"/>
          <w:highlight w:val="none"/>
          <w:u w:val="single" w:color="000000"/>
        </w:rPr>
        <w:t xml:space="preserve">    </w:t>
      </w:r>
      <w:r>
        <w:rPr>
          <w:rStyle w:val="57"/>
          <w:rFonts w:ascii="宋体" w:hAnsi="宋体"/>
          <w:color w:val="auto"/>
          <w:kern w:val="0"/>
          <w:sz w:val="21"/>
          <w:szCs w:val="21"/>
          <w:highlight w:val="none"/>
        </w:rPr>
        <w:t>人，营业收入为</w:t>
      </w:r>
      <w:r>
        <w:rPr>
          <w:rStyle w:val="57"/>
          <w:rFonts w:ascii="宋体" w:hAnsi="宋体"/>
          <w:color w:val="auto"/>
          <w:kern w:val="0"/>
          <w:sz w:val="21"/>
          <w:szCs w:val="21"/>
          <w:highlight w:val="none"/>
          <w:u w:val="single" w:color="000000"/>
        </w:rPr>
        <w:t xml:space="preserve">    </w:t>
      </w:r>
      <w:r>
        <w:rPr>
          <w:rStyle w:val="57"/>
          <w:rFonts w:ascii="宋体" w:hAnsi="宋体"/>
          <w:color w:val="auto"/>
          <w:kern w:val="0"/>
          <w:sz w:val="21"/>
          <w:szCs w:val="21"/>
          <w:highlight w:val="none"/>
        </w:rPr>
        <w:t>万元，资产总额为</w:t>
      </w:r>
      <w:r>
        <w:rPr>
          <w:rStyle w:val="57"/>
          <w:rFonts w:ascii="宋体" w:hAnsi="宋体"/>
          <w:color w:val="auto"/>
          <w:kern w:val="0"/>
          <w:sz w:val="21"/>
          <w:szCs w:val="21"/>
          <w:highlight w:val="none"/>
          <w:u w:val="single" w:color="000000"/>
        </w:rPr>
        <w:t xml:space="preserve">    </w:t>
      </w:r>
      <w:r>
        <w:rPr>
          <w:rStyle w:val="57"/>
          <w:rFonts w:ascii="宋体" w:hAnsi="宋体"/>
          <w:color w:val="auto"/>
          <w:kern w:val="0"/>
          <w:sz w:val="21"/>
          <w:szCs w:val="21"/>
          <w:highlight w:val="none"/>
        </w:rPr>
        <w:t>万元，属于</w:t>
      </w:r>
      <w:r>
        <w:rPr>
          <w:rStyle w:val="57"/>
          <w:rFonts w:ascii="宋体" w:hAnsi="宋体"/>
          <w:color w:val="auto"/>
          <w:kern w:val="0"/>
          <w:sz w:val="21"/>
          <w:szCs w:val="21"/>
          <w:highlight w:val="none"/>
          <w:u w:val="single" w:color="000000"/>
        </w:rPr>
        <w:t>（中型企业、 小型企业、微型企业）</w:t>
      </w:r>
      <w:r>
        <w:rPr>
          <w:rStyle w:val="57"/>
          <w:rFonts w:ascii="宋体" w:hAnsi="宋体"/>
          <w:color w:val="auto"/>
          <w:kern w:val="0"/>
          <w:sz w:val="21"/>
          <w:szCs w:val="21"/>
          <w:highlight w:val="none"/>
        </w:rPr>
        <w:t xml:space="preserve">； </w:t>
      </w:r>
    </w:p>
    <w:p w14:paraId="41BA7345">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以上企业，不属于大企业的分支机构，不存在控股股东 为大企业的情形，也不存在与大企业的负责人为同一人的情形。</w:t>
      </w:r>
    </w:p>
    <w:p w14:paraId="64C9BA6C">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 xml:space="preserve">本企业对上述声明内容的真实性负责。如有虚假，将依法承担相应责任。 </w:t>
      </w:r>
    </w:p>
    <w:p w14:paraId="7E4401CA">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p>
    <w:p w14:paraId="31203DFD">
      <w:pPr>
        <w:keepNext w:val="0"/>
        <w:keepLines w:val="0"/>
        <w:pageBreakBefore w:val="0"/>
        <w:widowControl w:val="0"/>
        <w:wordWrap/>
        <w:topLinePunct w:val="0"/>
        <w:bidi w:val="0"/>
        <w:ind w:firstLine="2310" w:firstLineChars="11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9AF1A3A">
      <w:pPr>
        <w:pStyle w:val="12"/>
        <w:keepNext w:val="0"/>
        <w:keepLines w:val="0"/>
        <w:pageBreakBefore w:val="0"/>
        <w:widowControl w:val="0"/>
        <w:wordWrap/>
        <w:topLinePunct w:val="0"/>
        <w:bidi w:val="0"/>
        <w:spacing w:line="300" w:lineRule="exact"/>
        <w:ind w:left="2940" w:leftChars="1400" w:firstLine="630" w:firstLineChars="300"/>
        <w:outlineLvl w:val="9"/>
        <w:rPr>
          <w:rFonts w:hint="eastAsia" w:ascii="宋体" w:hAnsi="宋体" w:eastAsia="宋体" w:cs="宋体"/>
          <w:color w:val="auto"/>
          <w:highlight w:val="none"/>
        </w:rPr>
      </w:pPr>
    </w:p>
    <w:p w14:paraId="48B5BE0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outlineLvl w:val="9"/>
        <w:rPr>
          <w:rFonts w:hint="eastAsia"/>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53859393">
      <w:pPr>
        <w:keepNext w:val="0"/>
        <w:keepLines w:val="0"/>
        <w:pageBreakBefore w:val="0"/>
        <w:widowControl w:val="0"/>
        <w:wordWrap/>
        <w:topLinePunct w:val="0"/>
        <w:bidi w:val="0"/>
        <w:outlineLvl w:val="9"/>
        <w:rPr>
          <w:rFonts w:hint="eastAsia" w:ascii="宋体" w:hAnsi="宋体" w:eastAsia="宋体" w:cs="宋体"/>
          <w:b/>
          <w:color w:val="auto"/>
          <w:sz w:val="21"/>
          <w:szCs w:val="21"/>
          <w:highlight w:val="none"/>
        </w:rPr>
      </w:pPr>
    </w:p>
    <w:p w14:paraId="79FD66BE">
      <w:pPr>
        <w:keepNext w:val="0"/>
        <w:keepLines w:val="0"/>
        <w:pageBreakBefore w:val="0"/>
        <w:widowControl w:val="0"/>
        <w:wordWrap/>
        <w:topLinePunct w:val="0"/>
        <w:bidi w:val="0"/>
        <w:outlineLvl w:val="9"/>
        <w:rPr>
          <w:rStyle w:val="57"/>
          <w:rFonts w:ascii="宋体" w:hAnsi="宋体" w:cs="宋体"/>
          <w:b/>
          <w:bCs/>
          <w:color w:val="auto"/>
          <w:sz w:val="30"/>
          <w:szCs w:val="30"/>
          <w:highlight w:val="none"/>
        </w:rPr>
      </w:pPr>
      <w:r>
        <w:rPr>
          <w:rFonts w:hint="eastAsia" w:ascii="宋体" w:hAnsi="宋体" w:eastAsia="宋体" w:cs="宋体"/>
          <w:b/>
          <w:color w:val="auto"/>
          <w:sz w:val="21"/>
          <w:szCs w:val="21"/>
          <w:highlight w:val="none"/>
        </w:rPr>
        <w:t>备注：供应商应按照</w:t>
      </w:r>
      <w:r>
        <w:rPr>
          <w:rFonts w:hint="eastAsia" w:ascii="宋体" w:hAnsi="宋体" w:eastAsia="宋体" w:cs="宋体"/>
          <w:b/>
          <w:color w:val="auto"/>
          <w:sz w:val="21"/>
          <w:szCs w:val="21"/>
          <w:highlight w:val="none"/>
          <w:lang w:val="en-US" w:eastAsia="zh-CN"/>
        </w:rPr>
        <w:t>中小微型企业划分标准按照《国家统计局关于印发《统计上大中小微型企业划分办法〔2017〕》的通知》（国统字〔2017〕213号）</w:t>
      </w:r>
      <w:r>
        <w:rPr>
          <w:rFonts w:hint="eastAsia" w:ascii="宋体" w:hAnsi="宋体" w:eastAsia="宋体" w:cs="宋体"/>
          <w:b/>
          <w:color w:val="auto"/>
          <w:sz w:val="21"/>
          <w:szCs w:val="21"/>
          <w:highlight w:val="none"/>
        </w:rPr>
        <w:t>的划分标准进行如实申明，如提供虚假申明应依法承担相应法律责任。如成交人为小型和微型企业的，</w:t>
      </w:r>
      <w:r>
        <w:rPr>
          <w:rFonts w:hint="eastAsia" w:eastAsia="宋体" w:cs="宋体"/>
          <w:b/>
          <w:color w:val="auto"/>
          <w:sz w:val="21"/>
          <w:szCs w:val="21"/>
          <w:highlight w:val="none"/>
          <w:lang w:val="en-US" w:eastAsia="zh-CN"/>
        </w:rPr>
        <w:t>成交</w:t>
      </w:r>
      <w:r>
        <w:rPr>
          <w:rFonts w:hint="eastAsia" w:ascii="宋体" w:hAnsi="宋体" w:eastAsia="宋体" w:cs="宋体"/>
          <w:b/>
          <w:color w:val="auto"/>
          <w:sz w:val="21"/>
          <w:szCs w:val="21"/>
          <w:highlight w:val="none"/>
        </w:rPr>
        <w:t>结果将同时公告（或成交人的《中小企业声明函》，接受社会监督。</w:t>
      </w:r>
      <w:r>
        <w:rPr>
          <w:rStyle w:val="57"/>
          <w:rFonts w:ascii="宋体" w:hAnsi="宋体" w:cs="宋体"/>
          <w:b/>
          <w:bCs/>
          <w:color w:val="auto"/>
          <w:sz w:val="30"/>
          <w:szCs w:val="30"/>
          <w:highlight w:val="none"/>
        </w:rPr>
        <w:br w:type="page"/>
      </w:r>
    </w:p>
    <w:p w14:paraId="255D7030">
      <w:pPr>
        <w:keepNext w:val="0"/>
        <w:keepLines w:val="0"/>
        <w:pageBreakBefore w:val="0"/>
        <w:widowControl w:val="0"/>
        <w:wordWrap/>
        <w:topLinePunct w:val="0"/>
        <w:bidi w:val="0"/>
        <w:outlineLvl w:val="9"/>
        <w:rPr>
          <w:rStyle w:val="57"/>
          <w:rFonts w:ascii="宋体" w:hAnsi="宋体" w:cs="宋体"/>
          <w:b/>
          <w:bCs/>
          <w:color w:val="auto"/>
          <w:highlight w:val="none"/>
        </w:rPr>
      </w:pPr>
      <w:r>
        <w:rPr>
          <w:rStyle w:val="57"/>
          <w:rFonts w:ascii="宋体" w:hAnsi="宋体" w:cs="宋体"/>
          <w:b/>
          <w:bCs/>
          <w:color w:val="auto"/>
          <w:sz w:val="30"/>
          <w:szCs w:val="30"/>
          <w:highlight w:val="none"/>
        </w:rPr>
        <w:t>附表</w:t>
      </w:r>
    </w:p>
    <w:p w14:paraId="1E7B230F">
      <w:pPr>
        <w:keepNext w:val="0"/>
        <w:keepLines w:val="0"/>
        <w:pageBreakBefore w:val="0"/>
        <w:widowControl w:val="0"/>
        <w:wordWrap/>
        <w:topLinePunct w:val="0"/>
        <w:bidi w:val="0"/>
        <w:spacing w:before="120" w:after="120" w:line="400" w:lineRule="exact"/>
        <w:jc w:val="center"/>
        <w:outlineLvl w:val="9"/>
        <w:rPr>
          <w:rStyle w:val="57"/>
          <w:rFonts w:ascii="宋体" w:hAnsi="宋体" w:cs="宋体"/>
          <w:b/>
          <w:bCs/>
          <w:color w:val="auto"/>
          <w:kern w:val="0"/>
          <w:sz w:val="30"/>
          <w:szCs w:val="30"/>
          <w:highlight w:val="none"/>
        </w:rPr>
      </w:pPr>
      <w:r>
        <w:rPr>
          <w:rStyle w:val="57"/>
          <w:rFonts w:ascii="宋体" w:hAnsi="宋体" w:cs="宋体"/>
          <w:b/>
          <w:bCs/>
          <w:color w:val="auto"/>
          <w:kern w:val="0"/>
          <w:sz w:val="30"/>
          <w:szCs w:val="30"/>
          <w:highlight w:val="none"/>
        </w:rPr>
        <w:t>统计上大中小微型企业划分标准</w:t>
      </w:r>
    </w:p>
    <w:tbl>
      <w:tblPr>
        <w:tblStyle w:val="27"/>
        <w:tblW w:w="943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3"/>
        <w:gridCol w:w="1369"/>
        <w:gridCol w:w="709"/>
        <w:gridCol w:w="1125"/>
        <w:gridCol w:w="1701"/>
        <w:gridCol w:w="1426"/>
        <w:gridCol w:w="992"/>
      </w:tblGrid>
      <w:tr w14:paraId="067B6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trPr>
        <w:tc>
          <w:tcPr>
            <w:tcW w:w="211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4EED85C8">
            <w:pPr>
              <w:keepNext w:val="0"/>
              <w:keepLines w:val="0"/>
              <w:pageBreakBefore w:val="0"/>
              <w:widowControl w:val="0"/>
              <w:wordWrap/>
              <w:topLinePunct w:val="0"/>
              <w:bidi w:val="0"/>
              <w:spacing w:line="240" w:lineRule="exact"/>
              <w:jc w:val="center"/>
              <w:outlineLvl w:val="9"/>
              <w:rPr>
                <w:rStyle w:val="57"/>
                <w:rFonts w:ascii="宋体" w:hAnsi="宋体" w:cs="宋体"/>
                <w:b/>
                <w:bCs/>
                <w:color w:val="auto"/>
                <w:kern w:val="0"/>
                <w:sz w:val="18"/>
                <w:szCs w:val="21"/>
                <w:highlight w:val="none"/>
              </w:rPr>
            </w:pPr>
            <w:r>
              <w:rPr>
                <w:rStyle w:val="57"/>
                <w:rFonts w:ascii="宋体" w:hAnsi="宋体" w:cs="宋体"/>
                <w:b/>
                <w:bCs/>
                <w:color w:val="auto"/>
                <w:kern w:val="0"/>
                <w:sz w:val="18"/>
                <w:szCs w:val="21"/>
                <w:highlight w:val="none"/>
              </w:rPr>
              <w:t>行业名称</w:t>
            </w:r>
          </w:p>
        </w:tc>
        <w:tc>
          <w:tcPr>
            <w:tcW w:w="136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DB7C8F8">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指标名称</w:t>
            </w:r>
          </w:p>
        </w:tc>
        <w:tc>
          <w:tcPr>
            <w:tcW w:w="70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0EB4279">
            <w:pPr>
              <w:keepNext w:val="0"/>
              <w:keepLines w:val="0"/>
              <w:pageBreakBefore w:val="0"/>
              <w:widowControl w:val="0"/>
              <w:wordWrap/>
              <w:topLinePunct w:val="0"/>
              <w:bidi w:val="0"/>
              <w:jc w:val="center"/>
              <w:outlineLvl w:val="9"/>
              <w:rPr>
                <w:rStyle w:val="57"/>
                <w:rFonts w:hint="eastAsia" w:ascii="宋体" w:hAnsi="宋体" w:eastAsia="宋体" w:cs="宋体"/>
                <w:b/>
                <w:bCs/>
                <w:color w:val="auto"/>
                <w:kern w:val="0"/>
                <w:sz w:val="18"/>
                <w:szCs w:val="18"/>
                <w:highlight w:val="none"/>
                <w:lang w:eastAsia="zh-CN"/>
              </w:rPr>
            </w:pPr>
            <w:r>
              <w:rPr>
                <w:rStyle w:val="57"/>
                <w:rFonts w:ascii="宋体" w:hAnsi="宋体" w:cs="宋体"/>
                <w:b/>
                <w:bCs/>
                <w:color w:val="auto"/>
                <w:kern w:val="0"/>
                <w:sz w:val="18"/>
                <w:szCs w:val="18"/>
                <w:highlight w:val="none"/>
              </w:rPr>
              <w:t>计量</w:t>
            </w:r>
          </w:p>
          <w:p w14:paraId="7D91B08D">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4F0330F">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大型</w:t>
            </w:r>
          </w:p>
        </w:tc>
        <w:tc>
          <w:tcPr>
            <w:tcW w:w="170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3DC94986">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中型</w:t>
            </w:r>
          </w:p>
        </w:tc>
        <w:tc>
          <w:tcPr>
            <w:tcW w:w="1426"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D78754C">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小型</w:t>
            </w:r>
          </w:p>
        </w:tc>
        <w:tc>
          <w:tcPr>
            <w:tcW w:w="992"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A6B7C47">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微型</w:t>
            </w:r>
          </w:p>
        </w:tc>
      </w:tr>
      <w:tr w14:paraId="1CDA4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tcBorders>
              <w:top w:val="single" w:color="000000" w:sz="4" w:space="0"/>
              <w:left w:val="single" w:color="000000" w:sz="4" w:space="0"/>
              <w:bottom w:val="single" w:color="000000" w:sz="4" w:space="0"/>
              <w:right w:val="single" w:color="000000" w:sz="4" w:space="0"/>
            </w:tcBorders>
            <w:noWrap w:val="0"/>
            <w:vAlign w:val="center"/>
          </w:tcPr>
          <w:p w14:paraId="0BE48547">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农、林、牧、渔业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9D8A1F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ABADC6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7476B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F892FA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500≤Y＜20000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0C05D5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50≤Y＜500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749C8C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w:t>
            </w:r>
          </w:p>
        </w:tc>
      </w:tr>
      <w:tr w14:paraId="624B4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49584F6">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工业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321EB1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1E531D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9A137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A8C4EC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B979C7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C8D1FD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7F815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CA7350">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C5F6291">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8E0CD5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4140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Y≥40000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3FF01C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2000≤Y＜40000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3EEF8D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2B74FE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w:t>
            </w:r>
          </w:p>
        </w:tc>
      </w:tr>
      <w:tr w14:paraId="02FE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73C9E6C">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建筑业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B27046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155453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3560A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Y≥80000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E46374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6000≤Y＜80000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79964B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300≤Y＜6000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1A060F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w:t>
            </w:r>
          </w:p>
        </w:tc>
      </w:tr>
      <w:tr w14:paraId="7BF5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942858">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BC8490C">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22DDB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D8613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Z≥80000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314BF9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5000≤Z＜80000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D0B6DC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300≤Z＜5000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A68680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Z＜300</w:t>
            </w:r>
          </w:p>
        </w:tc>
      </w:tr>
      <w:tr w14:paraId="2072D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3E85D78">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批发业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837329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F825FB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275C71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88C67E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20≤X＜200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244D3A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5≤X＜20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F9D2FA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X＜5</w:t>
            </w:r>
          </w:p>
        </w:tc>
      </w:tr>
      <w:tr w14:paraId="3CA72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A342D">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4DC47B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47C6AD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329D3F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Y≥40000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651663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5000≤Y＜40000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486A9EB">
            <w:pPr>
              <w:keepNext w:val="0"/>
              <w:keepLines w:val="0"/>
              <w:pageBreakBefore w:val="0"/>
              <w:widowControl w:val="0"/>
              <w:wordWrap/>
              <w:topLinePunct w:val="0"/>
              <w:bidi w:val="0"/>
              <w:ind w:left="-1" w:leftChars="-1" w:hanging="1"/>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414BB6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w:t>
            </w:r>
          </w:p>
        </w:tc>
      </w:tr>
      <w:tr w14:paraId="47E93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91709FE">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零售业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B9CBFD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DC4736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DCF27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C9D917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C3E8792">
            <w:pPr>
              <w:keepNext w:val="0"/>
              <w:keepLines w:val="0"/>
              <w:pageBreakBefore w:val="0"/>
              <w:widowControl w:val="0"/>
              <w:wordWrap/>
              <w:topLinePunct w:val="0"/>
              <w:bidi w:val="0"/>
              <w:ind w:left="-1" w:leftChars="-1" w:hanging="1"/>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 xml:space="preserve">10≤X＜50 </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CED4FA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689CF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F6844">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B286567">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6638C4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3CC6F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DAE05C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500≤Y＜20000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989B17F">
            <w:pPr>
              <w:keepNext w:val="0"/>
              <w:keepLines w:val="0"/>
              <w:pageBreakBefore w:val="0"/>
              <w:widowControl w:val="0"/>
              <w:wordWrap/>
              <w:topLinePunct w:val="0"/>
              <w:bidi w:val="0"/>
              <w:ind w:left="-1" w:leftChars="-1" w:hanging="1"/>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100≤Y＜500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016CD3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2D6E7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8DA7C11">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交通运输业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96AA57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9FDD83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B21D1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A1F4D6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738CEB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178987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13CFB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CCA55">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E929101">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D3069C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30E9E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4058F8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5E4764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200≤Y＜3000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CCA94F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w:t>
            </w:r>
          </w:p>
        </w:tc>
      </w:tr>
      <w:tr w14:paraId="467A9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8205E1B">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仓储业*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F1DB0E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29BCA2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25B62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92039B3">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100≤X＜200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9439BA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27D34C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7E499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4D4DB">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601C421">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565645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AC17D4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922060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AD79B6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35D2B0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5D0D9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07599F9">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邮政业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D0653B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19CC9A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50A11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339F2E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7BA092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DF3A4A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38302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C8902">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2E95BE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7B4374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7ECF46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2691F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8C0B78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8E619F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20F33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F3A1EF0">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住宿业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6D3824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1BAB49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B8C51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3C6115C">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855FB7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3E9D6E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33A35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288E9">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65A6682">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97EE50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8E662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549E7C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8FAB4E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0D06AB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14981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046E627">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餐饮业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8D97A5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E4B3CA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5BC9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7196E09">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F8E4AD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AF616C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1DF0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CAA1C">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760331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BE79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86586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0C9216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E1B355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F884EC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52E08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BFFEC26">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信息传输业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6B6A01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971FC4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B20AB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56AE62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100≤X＜2000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758073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8A79A9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7EE9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F246D">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5A18897">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A66F47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EECD1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C49A98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1000≤Y＜100000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5F3442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0EAC56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03B81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0AC7376">
            <w:pPr>
              <w:keepNext w:val="0"/>
              <w:keepLines w:val="0"/>
              <w:pageBreakBefore w:val="0"/>
              <w:widowControl w:val="0"/>
              <w:wordWrap/>
              <w:topLinePunct w:val="0"/>
              <w:bidi w:val="0"/>
              <w:spacing w:line="240" w:lineRule="exact"/>
              <w:jc w:val="left"/>
              <w:outlineLvl w:val="9"/>
              <w:rPr>
                <w:rStyle w:val="57"/>
                <w:rFonts w:ascii="宋体" w:hAnsi="宋体"/>
                <w:color w:val="auto"/>
                <w:spacing w:val="-12"/>
                <w:kern w:val="0"/>
                <w:sz w:val="18"/>
                <w:szCs w:val="18"/>
                <w:highlight w:val="none"/>
              </w:rPr>
            </w:pPr>
            <w:r>
              <w:rPr>
                <w:rStyle w:val="57"/>
                <w:rFonts w:ascii="宋体" w:hAnsi="宋体"/>
                <w:color w:val="auto"/>
                <w:spacing w:val="-12"/>
                <w:kern w:val="0"/>
                <w:sz w:val="18"/>
                <w:szCs w:val="18"/>
                <w:highlight w:val="none"/>
              </w:rPr>
              <w:t>软件和信息技术服</w:t>
            </w:r>
            <w:r>
              <w:rPr>
                <w:rStyle w:val="57"/>
                <w:rFonts w:ascii="宋体" w:hAnsi="宋体"/>
                <w:color w:val="auto"/>
                <w:kern w:val="0"/>
                <w:sz w:val="18"/>
                <w:szCs w:val="18"/>
                <w:highlight w:val="none"/>
              </w:rPr>
              <w:t>务业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0E525F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018B18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7ECA3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8826665">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B389C4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0E9892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4EE4C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E2810">
            <w:pPr>
              <w:keepNext w:val="0"/>
              <w:keepLines w:val="0"/>
              <w:pageBreakBefore w:val="0"/>
              <w:widowControl w:val="0"/>
              <w:wordWrap/>
              <w:topLinePunct w:val="0"/>
              <w:bidi w:val="0"/>
              <w:jc w:val="left"/>
              <w:outlineLvl w:val="9"/>
              <w:rPr>
                <w:rStyle w:val="57"/>
                <w:rFonts w:ascii="宋体" w:hAnsi="宋体"/>
                <w:color w:val="auto"/>
                <w:spacing w:val="-12"/>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682B26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80C318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CCD4F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59F7FC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A10B8B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893323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w:t>
            </w:r>
          </w:p>
        </w:tc>
      </w:tr>
      <w:tr w14:paraId="754F4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E20EDD2">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房地产开发经营</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8ADCC4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E9EB33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37970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61F7AF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1000≤Y＜200000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2E2CA4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A0613E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6847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5CADA">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06FA0485">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F42D2A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D010A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D9687A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5000≤Z＜10000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A49B06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2000≤Z＜5000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D98D92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Z＜2000</w:t>
            </w:r>
          </w:p>
        </w:tc>
      </w:tr>
      <w:tr w14:paraId="74428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22C3EF0">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物业管理</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E7509E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FC2AD1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56C09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EB91F5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29C19C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DCE209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w:t>
            </w:r>
          </w:p>
        </w:tc>
      </w:tr>
      <w:tr w14:paraId="31F66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63CD4">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D7AF9CE">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E36CA2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C8F74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0CABF60">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1000≤Y＜5000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CFAEED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005942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Y＜500</w:t>
            </w:r>
          </w:p>
        </w:tc>
      </w:tr>
      <w:tr w14:paraId="385CF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30D543A">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租赁和商务服务业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8342DA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CFF02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6A77E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C2329E1">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A1F050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BE3EB0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78138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AD889">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1F8734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6F28FF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B60CC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Z≥120000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422519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8000≤Z＜120000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6182F5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100≤Z＜8000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43EE4E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Z＜100</w:t>
            </w:r>
          </w:p>
        </w:tc>
      </w:tr>
      <w:tr w14:paraId="26CAE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tcBorders>
              <w:top w:val="single" w:color="000000" w:sz="4" w:space="0"/>
              <w:left w:val="single" w:color="000000" w:sz="4" w:space="0"/>
              <w:bottom w:val="single" w:color="000000" w:sz="4" w:space="0"/>
              <w:right w:val="single" w:color="000000" w:sz="4" w:space="0"/>
            </w:tcBorders>
            <w:noWrap w:val="0"/>
            <w:vAlign w:val="center"/>
          </w:tcPr>
          <w:p w14:paraId="11441ACC">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其他未列明行业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BA0A57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028707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8175F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945276E">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969780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04041F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bl>
    <w:p w14:paraId="33FE1D92">
      <w:pPr>
        <w:keepNext w:val="0"/>
        <w:keepLines w:val="0"/>
        <w:pageBreakBefore w:val="0"/>
        <w:widowControl w:val="0"/>
        <w:wordWrap/>
        <w:topLinePunct w:val="0"/>
        <w:bidi w:val="0"/>
        <w:spacing w:line="540" w:lineRule="exact"/>
        <w:outlineLvl w:val="9"/>
        <w:rPr>
          <w:rStyle w:val="57"/>
          <w:rFonts w:ascii="宋体" w:hAnsi="宋体"/>
          <w:color w:val="auto"/>
          <w:spacing w:val="8"/>
          <w:kern w:val="0"/>
          <w:szCs w:val="21"/>
          <w:highlight w:val="none"/>
        </w:rPr>
      </w:pPr>
    </w:p>
    <w:p w14:paraId="6F0B1542">
      <w:pPr>
        <w:keepNext w:val="0"/>
        <w:keepLines w:val="0"/>
        <w:pageBreakBefore w:val="0"/>
        <w:widowControl w:val="0"/>
        <w:wordWrap/>
        <w:topLinePunct w:val="0"/>
        <w:bidi w:val="0"/>
        <w:spacing w:line="540" w:lineRule="exact"/>
        <w:outlineLvl w:val="9"/>
        <w:rPr>
          <w:rStyle w:val="57"/>
          <w:rFonts w:ascii="宋体" w:hAnsi="宋体"/>
          <w:color w:val="auto"/>
          <w:spacing w:val="8"/>
          <w:kern w:val="0"/>
          <w:szCs w:val="21"/>
          <w:highlight w:val="none"/>
        </w:rPr>
      </w:pPr>
      <w:r>
        <w:rPr>
          <w:rStyle w:val="57"/>
          <w:rFonts w:ascii="宋体" w:hAnsi="宋体"/>
          <w:color w:val="auto"/>
          <w:spacing w:val="8"/>
          <w:kern w:val="0"/>
          <w:szCs w:val="21"/>
          <w:highlight w:val="none"/>
        </w:rPr>
        <w:br w:type="column"/>
      </w:r>
      <w:r>
        <w:rPr>
          <w:rStyle w:val="57"/>
          <w:rFonts w:ascii="宋体" w:hAnsi="宋体"/>
          <w:color w:val="auto"/>
          <w:spacing w:val="8"/>
          <w:kern w:val="0"/>
          <w:szCs w:val="21"/>
          <w:highlight w:val="none"/>
        </w:rPr>
        <w:t>说明：</w:t>
      </w:r>
    </w:p>
    <w:p w14:paraId="56384BE9">
      <w:pPr>
        <w:pStyle w:val="59"/>
        <w:keepNext w:val="0"/>
        <w:keepLines w:val="0"/>
        <w:pageBreakBefore w:val="0"/>
        <w:widowControl w:val="0"/>
        <w:wordWrap/>
        <w:topLinePunct w:val="0"/>
        <w:bidi w:val="0"/>
        <w:spacing w:line="380" w:lineRule="exact"/>
        <w:ind w:firstLine="452" w:firstLineChars="200"/>
        <w:outlineLvl w:val="9"/>
        <w:rPr>
          <w:rStyle w:val="57"/>
          <w:rFonts w:hAnsi="宋体"/>
          <w:color w:val="auto"/>
          <w:spacing w:val="8"/>
          <w:szCs w:val="21"/>
          <w:highlight w:val="none"/>
        </w:rPr>
      </w:pPr>
      <w:r>
        <w:rPr>
          <w:rStyle w:val="57"/>
          <w:rFonts w:hAnsi="宋体"/>
          <w:color w:val="auto"/>
          <w:spacing w:val="8"/>
          <w:szCs w:val="21"/>
          <w:highlight w:val="none"/>
        </w:rPr>
        <w:t>1.大型、中型和小型企业须同时满足所列指标的下限，否则下划一档；微型企业只须满足所列指标中的一项即可。</w:t>
      </w:r>
    </w:p>
    <w:p w14:paraId="1D047455">
      <w:pPr>
        <w:pStyle w:val="59"/>
        <w:keepNext w:val="0"/>
        <w:keepLines w:val="0"/>
        <w:pageBreakBefore w:val="0"/>
        <w:widowControl w:val="0"/>
        <w:wordWrap/>
        <w:topLinePunct w:val="0"/>
        <w:bidi w:val="0"/>
        <w:spacing w:line="380" w:lineRule="exact"/>
        <w:ind w:firstLine="452" w:firstLineChars="200"/>
        <w:outlineLvl w:val="9"/>
        <w:rPr>
          <w:rStyle w:val="57"/>
          <w:rFonts w:hAnsi="宋体"/>
          <w:color w:val="auto"/>
          <w:spacing w:val="8"/>
          <w:szCs w:val="21"/>
          <w:highlight w:val="none"/>
        </w:rPr>
      </w:pPr>
      <w:r>
        <w:rPr>
          <w:rStyle w:val="57"/>
          <w:rFonts w:hAnsi="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Style w:val="57"/>
          <w:rFonts w:hint="eastAsia" w:hAnsi="宋体"/>
          <w:color w:val="auto"/>
          <w:spacing w:val="8"/>
          <w:szCs w:val="21"/>
          <w:highlight w:val="none"/>
          <w:lang w:eastAsia="zh-CN"/>
        </w:rPr>
        <w:t>；</w:t>
      </w:r>
      <w:r>
        <w:rPr>
          <w:rStyle w:val="57"/>
          <w:rFonts w:hAnsi="宋体"/>
          <w:color w:val="auto"/>
          <w:spacing w:val="8"/>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91D4D44">
      <w:pPr>
        <w:pStyle w:val="12"/>
        <w:keepNext w:val="0"/>
        <w:keepLines w:val="0"/>
        <w:pageBreakBefore w:val="0"/>
        <w:widowControl w:val="0"/>
        <w:wordWrap/>
        <w:topLinePunct w:val="0"/>
        <w:bidi w:val="0"/>
        <w:spacing w:line="340" w:lineRule="exact"/>
        <w:outlineLvl w:val="9"/>
        <w:rPr>
          <w:rFonts w:hint="eastAsia" w:ascii="宋体" w:hAnsi="宋体" w:eastAsia="宋体" w:cs="宋体"/>
          <w:b/>
          <w:color w:val="auto"/>
          <w:sz w:val="28"/>
          <w:szCs w:val="28"/>
          <w:highlight w:val="none"/>
          <w:lang w:val="en-US" w:eastAsia="zh-CN"/>
        </w:rPr>
      </w:pPr>
      <w:r>
        <w:rPr>
          <w:rStyle w:val="57"/>
          <w:rFonts w:hAnsi="宋体"/>
          <w:color w:val="auto"/>
          <w:spacing w:val="8"/>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BEA5F13">
      <w:pPr>
        <w:pStyle w:val="12"/>
        <w:keepNext w:val="0"/>
        <w:keepLines w:val="0"/>
        <w:pageBreakBefore w:val="0"/>
        <w:widowControl w:val="0"/>
        <w:wordWrap/>
        <w:topLinePunct w:val="0"/>
        <w:bidi w:val="0"/>
        <w:spacing w:line="340" w:lineRule="exact"/>
        <w:outlineLvl w:val="9"/>
        <w:rPr>
          <w:rFonts w:hint="eastAsia" w:ascii="宋体" w:hAnsi="宋体" w:eastAsia="宋体" w:cs="宋体"/>
          <w:b/>
          <w:color w:val="auto"/>
          <w:sz w:val="28"/>
          <w:szCs w:val="28"/>
          <w:highlight w:val="none"/>
          <w:lang w:val="en-US" w:eastAsia="zh-CN"/>
        </w:rPr>
      </w:pPr>
    </w:p>
    <w:p w14:paraId="53BFD34A">
      <w:pPr>
        <w:keepNext w:val="0"/>
        <w:keepLines w:val="0"/>
        <w:pageBreakBefore w:val="0"/>
        <w:widowControl w:val="0"/>
        <w:wordWrap/>
        <w:topLinePunct w:val="0"/>
        <w:bidi w:val="0"/>
        <w:jc w:val="center"/>
        <w:outlineLvl w:val="9"/>
        <w:rPr>
          <w:rStyle w:val="57"/>
          <w:rFonts w:hint="eastAsia" w:ascii="宋体" w:hAnsi="宋体" w:cs="宋体"/>
          <w:b/>
          <w:bCs/>
          <w:color w:val="auto"/>
          <w:kern w:val="0"/>
          <w:sz w:val="24"/>
          <w:szCs w:val="24"/>
          <w:highlight w:val="none"/>
        </w:rPr>
      </w:pPr>
      <w:r>
        <w:rPr>
          <w:rStyle w:val="57"/>
          <w:rFonts w:hint="eastAsia" w:ascii="宋体" w:hAnsi="宋体" w:cs="宋体"/>
          <w:b/>
          <w:bCs/>
          <w:color w:val="auto"/>
          <w:kern w:val="0"/>
          <w:sz w:val="24"/>
          <w:szCs w:val="24"/>
          <w:highlight w:val="none"/>
          <w:lang w:eastAsia="zh-CN"/>
        </w:rPr>
        <w:t>（</w:t>
      </w:r>
      <w:r>
        <w:rPr>
          <w:rStyle w:val="57"/>
          <w:rFonts w:hint="eastAsia" w:ascii="宋体" w:hAnsi="宋体" w:cs="宋体"/>
          <w:b/>
          <w:bCs/>
          <w:color w:val="auto"/>
          <w:kern w:val="0"/>
          <w:sz w:val="24"/>
          <w:szCs w:val="24"/>
          <w:highlight w:val="none"/>
          <w:lang w:val="en-US" w:eastAsia="zh-CN"/>
        </w:rPr>
        <w:t>2</w:t>
      </w:r>
      <w:r>
        <w:rPr>
          <w:rStyle w:val="57"/>
          <w:rFonts w:hint="eastAsia" w:ascii="宋体" w:hAnsi="宋体" w:cs="宋体"/>
          <w:b/>
          <w:bCs/>
          <w:color w:val="auto"/>
          <w:kern w:val="0"/>
          <w:sz w:val="24"/>
          <w:szCs w:val="24"/>
          <w:highlight w:val="none"/>
          <w:lang w:eastAsia="zh-CN"/>
        </w:rPr>
        <w:t>）</w:t>
      </w:r>
      <w:r>
        <w:rPr>
          <w:rStyle w:val="57"/>
          <w:rFonts w:hint="eastAsia" w:ascii="宋体" w:hAnsi="宋体" w:cs="宋体"/>
          <w:b/>
          <w:bCs/>
          <w:color w:val="auto"/>
          <w:kern w:val="0"/>
          <w:sz w:val="24"/>
          <w:szCs w:val="24"/>
          <w:highlight w:val="none"/>
        </w:rPr>
        <w:t>残疾人福利性单位声明函（格式）</w:t>
      </w:r>
    </w:p>
    <w:p w14:paraId="2302C941">
      <w:pPr>
        <w:keepNext w:val="0"/>
        <w:keepLines w:val="0"/>
        <w:pageBreakBefore w:val="0"/>
        <w:widowControl w:val="0"/>
        <w:wordWrap/>
        <w:topLinePunct w:val="0"/>
        <w:bidi w:val="0"/>
        <w:spacing w:line="588" w:lineRule="exact"/>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0B909B8">
      <w:pPr>
        <w:keepNext w:val="0"/>
        <w:keepLines w:val="0"/>
        <w:pageBreakBefore w:val="0"/>
        <w:widowControl w:val="0"/>
        <w:wordWrap/>
        <w:topLinePunct w:val="0"/>
        <w:bidi w:val="0"/>
        <w:spacing w:line="588" w:lineRule="exact"/>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本单位对上述声明的真实性负责。如有虚假，将依法承担相应责任。</w:t>
      </w:r>
    </w:p>
    <w:p w14:paraId="5C7DAA73">
      <w:pPr>
        <w:keepNext w:val="0"/>
        <w:keepLines w:val="0"/>
        <w:pageBreakBefore w:val="0"/>
        <w:widowControl w:val="0"/>
        <w:wordWrap/>
        <w:topLinePunct w:val="0"/>
        <w:bidi w:val="0"/>
        <w:spacing w:line="588" w:lineRule="exact"/>
        <w:ind w:firstLine="420" w:firstLineChars="200"/>
        <w:outlineLvl w:val="9"/>
        <w:rPr>
          <w:rFonts w:hint="eastAsia" w:ascii="宋体" w:hAnsi="宋体" w:eastAsia="宋体" w:cs="宋体"/>
          <w:color w:val="auto"/>
          <w:kern w:val="0"/>
          <w:sz w:val="21"/>
          <w:szCs w:val="21"/>
          <w:highlight w:val="none"/>
        </w:rPr>
      </w:pPr>
    </w:p>
    <w:p w14:paraId="6F1602AB">
      <w:pPr>
        <w:keepNext w:val="0"/>
        <w:keepLines w:val="0"/>
        <w:pageBreakBefore w:val="0"/>
        <w:widowControl w:val="0"/>
        <w:wordWrap/>
        <w:topLinePunct w:val="0"/>
        <w:bidi w:val="0"/>
        <w:ind w:firstLine="2310" w:firstLineChars="1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E190D00">
      <w:pPr>
        <w:pStyle w:val="12"/>
        <w:keepNext w:val="0"/>
        <w:keepLines w:val="0"/>
        <w:pageBreakBefore w:val="0"/>
        <w:widowControl w:val="0"/>
        <w:wordWrap/>
        <w:topLinePunct w:val="0"/>
        <w:bidi w:val="0"/>
        <w:spacing w:line="300" w:lineRule="exact"/>
        <w:ind w:left="2940" w:leftChars="1400" w:firstLine="630" w:firstLineChars="300"/>
        <w:outlineLvl w:val="9"/>
        <w:rPr>
          <w:rFonts w:hint="eastAsia" w:ascii="宋体" w:hAnsi="宋体" w:eastAsia="宋体" w:cs="宋体"/>
          <w:color w:val="auto"/>
          <w:sz w:val="21"/>
          <w:szCs w:val="21"/>
          <w:highlight w:val="none"/>
        </w:rPr>
      </w:pPr>
    </w:p>
    <w:p w14:paraId="5B62E823">
      <w:pPr>
        <w:keepNext w:val="0"/>
        <w:keepLines w:val="0"/>
        <w:pageBreakBefore w:val="0"/>
        <w:widowControl w:val="0"/>
        <w:wordWrap/>
        <w:topLinePunct w:val="0"/>
        <w:bidi w:val="0"/>
        <w:ind w:firstLine="4200" w:firstLineChars="2000"/>
        <w:outlineLvl w:val="9"/>
        <w:rPr>
          <w:rFonts w:hint="eastAsia" w:ascii="宋体" w:hAnsi="宋体" w:eastAsia="宋体" w:cs="宋体"/>
          <w:color w:val="auto"/>
          <w:sz w:val="21"/>
          <w:szCs w:val="21"/>
          <w:highlight w:val="none"/>
        </w:rPr>
      </w:pPr>
    </w:p>
    <w:p w14:paraId="280D53A3">
      <w:pPr>
        <w:keepNext w:val="0"/>
        <w:keepLines w:val="0"/>
        <w:pageBreakBefore w:val="0"/>
        <w:widowControl w:val="0"/>
        <w:wordWrap/>
        <w:topLinePunct w:val="0"/>
        <w:bidi w:val="0"/>
        <w:ind w:firstLine="4200" w:firstLineChars="20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41EE136B">
      <w:pPr>
        <w:keepNext w:val="0"/>
        <w:keepLines w:val="0"/>
        <w:pageBreakBefore w:val="0"/>
        <w:widowControl w:val="0"/>
        <w:wordWrap/>
        <w:topLinePunct w:val="0"/>
        <w:bidi w:val="0"/>
        <w:outlineLvl w:val="9"/>
        <w:rPr>
          <w:rFonts w:hint="eastAsia" w:ascii="宋体" w:hAnsi="宋体" w:eastAsia="宋体" w:cs="宋体"/>
          <w:color w:val="auto"/>
          <w:sz w:val="21"/>
          <w:szCs w:val="21"/>
          <w:highlight w:val="none"/>
          <w:u w:val="single"/>
        </w:rPr>
      </w:pPr>
    </w:p>
    <w:p w14:paraId="62146F8D">
      <w:pPr>
        <w:keepNext w:val="0"/>
        <w:keepLines w:val="0"/>
        <w:pageBreakBefore w:val="0"/>
        <w:widowControl w:val="0"/>
        <w:wordWrap/>
        <w:topLinePunct w:val="0"/>
        <w:bidi w:val="0"/>
        <w:outlineLvl w:val="9"/>
        <w:rPr>
          <w:rFonts w:hint="eastAsia" w:ascii="宋体" w:hAnsi="宋体" w:eastAsia="宋体" w:cs="宋体"/>
          <w:color w:val="auto"/>
          <w:sz w:val="21"/>
          <w:szCs w:val="21"/>
          <w:highlight w:val="none"/>
          <w:u w:val="single"/>
        </w:rPr>
      </w:pPr>
    </w:p>
    <w:p w14:paraId="672EBBD1">
      <w:pPr>
        <w:keepNext w:val="0"/>
        <w:keepLines w:val="0"/>
        <w:pageBreakBefore w:val="0"/>
        <w:widowControl w:val="0"/>
        <w:wordWrap/>
        <w:topLinePunct w:val="0"/>
        <w:bidi w:val="0"/>
        <w:jc w:val="center"/>
        <w:outlineLvl w:val="9"/>
        <w:rPr>
          <w:rStyle w:val="57"/>
          <w:rFonts w:hint="eastAsia" w:ascii="宋体" w:hAnsi="宋体" w:cs="宋体"/>
          <w:b/>
          <w:bCs/>
          <w:color w:val="auto"/>
          <w:kern w:val="0"/>
          <w:sz w:val="24"/>
          <w:szCs w:val="24"/>
          <w:highlight w:val="none"/>
          <w:lang w:val="en-US" w:eastAsia="zh-CN"/>
        </w:rPr>
      </w:pPr>
      <w:bookmarkStart w:id="1967" w:name="_Toc5077"/>
      <w:r>
        <w:rPr>
          <w:rStyle w:val="57"/>
          <w:rFonts w:hint="eastAsia" w:ascii="宋体" w:hAnsi="宋体" w:cs="宋体"/>
          <w:b/>
          <w:bCs/>
          <w:color w:val="auto"/>
          <w:kern w:val="0"/>
          <w:sz w:val="24"/>
          <w:szCs w:val="24"/>
          <w:highlight w:val="none"/>
          <w:lang w:val="en-US" w:eastAsia="zh-CN"/>
        </w:rPr>
        <w:t>（3）监狱企业的证明文件复印件[供应商如为监狱企业的，应当提供由省级以上监狱管理局、戒毒管理局（含新疆生产建设兵团）出具的属于监狱企业的证明文件, 否则不予享受优惠政策]</w:t>
      </w:r>
      <w:bookmarkEnd w:id="1967"/>
    </w:p>
    <w:p w14:paraId="21C7E3C0">
      <w:pPr>
        <w:pStyle w:val="9"/>
        <w:keepNext w:val="0"/>
        <w:keepLines w:val="0"/>
        <w:pageBreakBefore w:val="0"/>
        <w:widowControl w:val="0"/>
        <w:wordWrap/>
        <w:topLinePunct w:val="0"/>
        <w:bidi w:val="0"/>
        <w:rPr>
          <w:rFonts w:hint="eastAsia" w:hAnsi="宋体" w:eastAsia="宋体" w:cs="宋体"/>
          <w:b/>
          <w:color w:val="auto"/>
          <w:sz w:val="28"/>
          <w:szCs w:val="28"/>
          <w:highlight w:val="none"/>
          <w:lang w:val="en-US" w:eastAsia="zh-CN"/>
        </w:rPr>
      </w:pPr>
    </w:p>
    <w:p w14:paraId="015C82A2">
      <w:pPr>
        <w:rPr>
          <w:rFonts w:hint="eastAsia" w:ascii="宋体" w:hAnsi="宋体" w:cs="宋体"/>
          <w:b/>
          <w:bCs/>
          <w:color w:val="auto"/>
          <w:sz w:val="32"/>
          <w:szCs w:val="32"/>
          <w:highlight w:val="none"/>
          <w:lang w:eastAsia="zh-CN"/>
        </w:rPr>
      </w:pPr>
      <w:bookmarkStart w:id="1968" w:name="_Toc29882"/>
      <w:r>
        <w:rPr>
          <w:rFonts w:hint="eastAsia" w:ascii="宋体" w:hAnsi="宋体" w:cs="宋体"/>
          <w:b/>
          <w:bCs/>
          <w:color w:val="auto"/>
          <w:sz w:val="32"/>
          <w:szCs w:val="32"/>
          <w:highlight w:val="none"/>
          <w:lang w:eastAsia="zh-CN"/>
        </w:rPr>
        <w:br w:type="page"/>
      </w:r>
    </w:p>
    <w:p w14:paraId="377A89E1">
      <w:pPr>
        <w:keepNext w:val="0"/>
        <w:keepLines w:val="0"/>
        <w:pageBreakBefore w:val="0"/>
        <w:widowControl w:val="0"/>
        <w:numPr>
          <w:ilvl w:val="0"/>
          <w:numId w:val="0"/>
        </w:numPr>
        <w:wordWrap/>
        <w:topLinePunct w:val="0"/>
        <w:bidi w:val="0"/>
        <w:jc w:val="center"/>
        <w:outlineLvl w:val="1"/>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eastAsia="zh-CN"/>
        </w:rPr>
        <w:t>（二）</w:t>
      </w:r>
      <w:r>
        <w:rPr>
          <w:rFonts w:hint="eastAsia" w:ascii="宋体" w:hAnsi="宋体" w:eastAsia="宋体" w:cs="宋体"/>
          <w:b/>
          <w:bCs/>
          <w:color w:val="auto"/>
          <w:sz w:val="32"/>
          <w:szCs w:val="32"/>
          <w:highlight w:val="none"/>
        </w:rPr>
        <w:t>符合性响应证明材料目录</w:t>
      </w:r>
      <w:bookmarkEnd w:id="1968"/>
    </w:p>
    <w:p w14:paraId="5B00397F">
      <w:pPr>
        <w:keepNext w:val="0"/>
        <w:keepLines w:val="0"/>
        <w:pageBreakBefore w:val="0"/>
        <w:widowControl w:val="0"/>
        <w:numPr>
          <w:ilvl w:val="0"/>
          <w:numId w:val="0"/>
        </w:numPr>
        <w:wordWrap/>
        <w:topLinePunct w:val="0"/>
        <w:bidi w:val="0"/>
        <w:spacing w:line="360" w:lineRule="auto"/>
        <w:ind w:left="420" w:leftChars="0"/>
        <w:rPr>
          <w:rFonts w:hint="eastAsia" w:ascii="宋体" w:hAnsi="宋体" w:eastAsia="宋体" w:cs="宋体"/>
          <w:color w:val="auto"/>
          <w:sz w:val="24"/>
          <w:highlight w:val="none"/>
          <w:lang w:val="en-US" w:eastAsia="zh-CN"/>
        </w:rPr>
      </w:pPr>
    </w:p>
    <w:p w14:paraId="34C0E9C7">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bCs/>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响应函</w:t>
      </w:r>
      <w:r>
        <w:rPr>
          <w:rFonts w:hint="eastAsia" w:ascii="宋体" w:hAnsi="宋体" w:eastAsia="宋体" w:cs="宋体"/>
          <w:b/>
          <w:bCs/>
          <w:color w:val="auto"/>
          <w:sz w:val="24"/>
          <w:highlight w:val="none"/>
        </w:rPr>
        <w:t>（格式见附件）（必须提供</w:t>
      </w:r>
      <w:r>
        <w:rPr>
          <w:color w:val="auto"/>
          <w:highlight w:val="none"/>
        </w:rPr>
        <w:t>）</w:t>
      </w:r>
      <w:r>
        <w:rPr>
          <w:rFonts w:hint="eastAsia" w:ascii="宋体" w:hAnsi="宋体" w:eastAsia="宋体" w:cs="宋体"/>
          <w:b/>
          <w:bCs/>
          <w:color w:val="auto"/>
          <w:sz w:val="24"/>
          <w:highlight w:val="none"/>
          <w:lang w:eastAsia="zh-CN"/>
        </w:rPr>
        <w:t>；</w:t>
      </w:r>
    </w:p>
    <w:p w14:paraId="3991E7C8">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val="en-US" w:eastAsia="zh-CN"/>
        </w:rPr>
      </w:pPr>
    </w:p>
    <w:p w14:paraId="7A1C9633">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bCs/>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工程报价汇总表</w:t>
      </w:r>
      <w:r>
        <w:rPr>
          <w:rFonts w:hint="eastAsia" w:ascii="宋体" w:hAnsi="宋体" w:eastAsia="宋体" w:cs="宋体"/>
          <w:b/>
          <w:bCs/>
          <w:color w:val="auto"/>
          <w:sz w:val="24"/>
          <w:highlight w:val="none"/>
        </w:rPr>
        <w:t>（格式见附件）（必须提供）；</w:t>
      </w:r>
    </w:p>
    <w:p w14:paraId="5DFA243B">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val="en-US" w:eastAsia="zh-CN"/>
        </w:rPr>
      </w:pPr>
    </w:p>
    <w:p w14:paraId="434B3922">
      <w:pPr>
        <w:keepNext w:val="0"/>
        <w:keepLines w:val="0"/>
        <w:pageBreakBefore w:val="0"/>
        <w:widowControl w:val="0"/>
        <w:numPr>
          <w:ilvl w:val="0"/>
          <w:numId w:val="0"/>
        </w:numPr>
        <w:wordWrap/>
        <w:topLinePunct w:val="0"/>
        <w:bidi w:val="0"/>
        <w:spacing w:line="360" w:lineRule="auto"/>
        <w:ind w:left="420" w:leftChars="200" w:firstLine="0" w:firstLineChars="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3.标价工程量清单</w:t>
      </w:r>
      <w:r>
        <w:rPr>
          <w:rFonts w:hint="eastAsia" w:ascii="宋体" w:hAnsi="宋体" w:eastAsia="宋体" w:cs="宋体"/>
          <w:b/>
          <w:bCs/>
          <w:color w:val="auto"/>
          <w:sz w:val="24"/>
          <w:highlight w:val="none"/>
          <w:lang w:val="en-US" w:eastAsia="zh-CN"/>
        </w:rPr>
        <w:t>（必须提供）</w:t>
      </w:r>
      <w:r>
        <w:rPr>
          <w:rFonts w:hint="eastAsia" w:ascii="宋体" w:hAnsi="宋体" w:eastAsia="宋体" w:cs="宋体"/>
          <w:b w:val="0"/>
          <w:bCs w:val="0"/>
          <w:color w:val="auto"/>
          <w:sz w:val="24"/>
          <w:highlight w:val="none"/>
          <w:lang w:val="en-US" w:eastAsia="zh-CN"/>
        </w:rPr>
        <w:t>；</w:t>
      </w:r>
    </w:p>
    <w:p w14:paraId="33FE7B64">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highlight w:val="none"/>
        </w:rPr>
      </w:pPr>
    </w:p>
    <w:p w14:paraId="5CFD052D">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rPr>
        <w:t>拟投入本工程主要施工管理人员表</w:t>
      </w:r>
      <w:r>
        <w:rPr>
          <w:rFonts w:hint="eastAsia" w:ascii="宋体" w:hAnsi="宋体" w:eastAsia="宋体" w:cs="宋体"/>
          <w:b/>
          <w:bCs/>
          <w:color w:val="auto"/>
          <w:sz w:val="24"/>
          <w:highlight w:val="none"/>
        </w:rPr>
        <w:t>（必须提供）；</w:t>
      </w:r>
    </w:p>
    <w:p w14:paraId="0B588C5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并一起提供由县级以上（含县级）社会养老保险经办机构出具的供应商为项目实施人员交纳的响应文件递交截止时间前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b w:val="0"/>
          <w:bCs w:val="0"/>
          <w:color w:val="auto"/>
          <w:szCs w:val="21"/>
          <w:highlight w:val="none"/>
        </w:rPr>
        <w:t>；</w:t>
      </w:r>
    </w:p>
    <w:p w14:paraId="03EE4AF6">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highlight w:val="none"/>
        </w:rPr>
      </w:pPr>
    </w:p>
    <w:p w14:paraId="1BD3F0F0">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eastAsia="zh-CN"/>
        </w:rPr>
      </w:pPr>
      <w:r>
        <w:rPr>
          <w:rFonts w:hint="eastAsia" w:ascii="宋体" w:hAnsi="宋体" w:eastAsia="宋体" w:cs="宋体"/>
          <w:b w:val="0"/>
          <w:bCs w:val="0"/>
          <w:color w:val="auto"/>
          <w:sz w:val="24"/>
          <w:highlight w:val="none"/>
          <w:lang w:val="en-US" w:eastAsia="zh-CN"/>
        </w:rPr>
        <w:t>5.</w:t>
      </w:r>
      <w:r>
        <w:rPr>
          <w:rFonts w:hint="eastAsia" w:ascii="宋体" w:hAnsi="宋体" w:eastAsia="宋体" w:cs="宋体"/>
          <w:b w:val="0"/>
          <w:bCs w:val="0"/>
          <w:color w:val="auto"/>
          <w:sz w:val="24"/>
          <w:highlight w:val="none"/>
          <w:lang w:eastAsia="zh-CN"/>
        </w:rPr>
        <w:t>担任本工程的项目经理简历表（应附相关证书、身份证复印件）</w:t>
      </w:r>
      <w:r>
        <w:rPr>
          <w:rFonts w:hint="eastAsia" w:ascii="宋体" w:hAnsi="宋体" w:eastAsia="宋体" w:cs="宋体"/>
          <w:b/>
          <w:bCs/>
          <w:color w:val="auto"/>
          <w:sz w:val="24"/>
          <w:highlight w:val="none"/>
          <w:lang w:eastAsia="zh-CN"/>
        </w:rPr>
        <w:t>（必须提供）</w:t>
      </w:r>
      <w:r>
        <w:rPr>
          <w:rFonts w:hint="eastAsia" w:ascii="宋体" w:hAnsi="宋体" w:eastAsia="宋体" w:cs="宋体"/>
          <w:color w:val="auto"/>
          <w:sz w:val="24"/>
          <w:highlight w:val="none"/>
          <w:lang w:eastAsia="zh-CN"/>
        </w:rPr>
        <w:t>；</w:t>
      </w:r>
    </w:p>
    <w:p w14:paraId="0979D505">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eastAsia="zh-CN"/>
        </w:rPr>
      </w:pPr>
    </w:p>
    <w:p w14:paraId="3B45322C">
      <w:pPr>
        <w:keepNext w:val="0"/>
        <w:keepLines w:val="0"/>
        <w:pageBreakBefore w:val="0"/>
        <w:widowControl w:val="0"/>
        <w:numPr>
          <w:ilvl w:val="0"/>
          <w:numId w:val="0"/>
        </w:numPr>
        <w:wordWrap/>
        <w:topLinePunct w:val="0"/>
        <w:bidi w:val="0"/>
        <w:spacing w:line="360" w:lineRule="auto"/>
        <w:ind w:left="420" w:leftChars="200" w:firstLine="0" w:firstLineChars="0"/>
        <w:rPr>
          <w:rFonts w:hint="default"/>
          <w:b w:val="0"/>
          <w:bCs w:val="0"/>
          <w:color w:val="auto"/>
          <w:highlight w:val="none"/>
          <w:lang w:val="en-US" w:eastAsia="zh-CN"/>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lang w:eastAsia="zh-CN"/>
        </w:rPr>
        <w:t>施工组织设计方案</w:t>
      </w:r>
      <w:r>
        <w:rPr>
          <w:rFonts w:hint="eastAsia" w:ascii="宋体" w:hAnsi="宋体" w:eastAsia="宋体" w:cs="宋体"/>
          <w:b/>
          <w:bCs/>
          <w:color w:val="auto"/>
          <w:sz w:val="24"/>
          <w:highlight w:val="none"/>
          <w:lang w:eastAsia="zh-CN"/>
        </w:rPr>
        <w:t>（必须提供）</w:t>
      </w:r>
      <w:r>
        <w:rPr>
          <w:rFonts w:hint="eastAsia" w:ascii="宋体" w:hAnsi="宋体" w:eastAsia="宋体" w:cs="宋体"/>
          <w:color w:val="auto"/>
          <w:sz w:val="24"/>
          <w:highlight w:val="none"/>
          <w:lang w:eastAsia="zh-CN"/>
        </w:rPr>
        <w:t>；</w:t>
      </w:r>
    </w:p>
    <w:p w14:paraId="5F4A37F9">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eastAsia="zh-CN"/>
        </w:rPr>
      </w:pPr>
    </w:p>
    <w:p w14:paraId="43F2F71F">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7.建设工程项目管理承诺书</w:t>
      </w:r>
      <w:r>
        <w:rPr>
          <w:rFonts w:hint="eastAsia" w:ascii="宋体" w:hAnsi="宋体" w:eastAsia="宋体" w:cs="宋体"/>
          <w:b/>
          <w:bCs/>
          <w:color w:val="auto"/>
          <w:sz w:val="24"/>
          <w:highlight w:val="none"/>
          <w:lang w:val="en-US" w:eastAsia="zh-CN"/>
        </w:rPr>
        <w:t>（格式见附件，必须提供）</w:t>
      </w:r>
      <w:r>
        <w:rPr>
          <w:rFonts w:hint="eastAsia" w:ascii="宋体" w:hAnsi="宋体" w:eastAsia="宋体" w:cs="宋体"/>
          <w:b w:val="0"/>
          <w:bCs w:val="0"/>
          <w:color w:val="auto"/>
          <w:sz w:val="24"/>
          <w:highlight w:val="none"/>
          <w:lang w:val="en-US" w:eastAsia="zh-CN"/>
        </w:rPr>
        <w:t>；</w:t>
      </w:r>
    </w:p>
    <w:p w14:paraId="10972C2A">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val="0"/>
          <w:bCs w:val="0"/>
          <w:color w:val="auto"/>
          <w:sz w:val="24"/>
          <w:highlight w:val="none"/>
          <w:lang w:val="en-US" w:eastAsia="zh-CN"/>
        </w:rPr>
      </w:pPr>
    </w:p>
    <w:p w14:paraId="3725F1F4">
      <w:pPr>
        <w:keepNext w:val="0"/>
        <w:keepLines w:val="0"/>
        <w:pageBreakBefore w:val="0"/>
        <w:widowControl w:val="0"/>
        <w:numPr>
          <w:ilvl w:val="0"/>
          <w:numId w:val="0"/>
        </w:numPr>
        <w:wordWrap/>
        <w:topLinePunct w:val="0"/>
        <w:bidi w:val="0"/>
        <w:ind w:left="420" w:leftChars="0"/>
        <w:outlineLvl w:val="9"/>
        <w:rPr>
          <w:rFonts w:hint="default"/>
          <w:color w:val="auto"/>
          <w:highlight w:val="none"/>
          <w:lang w:val="en-US" w:eastAsia="zh-CN"/>
        </w:rPr>
      </w:pPr>
      <w:bookmarkStart w:id="1969" w:name="_Toc1014"/>
      <w:bookmarkStart w:id="1970" w:name="_Toc32505"/>
      <w:bookmarkStart w:id="1971" w:name="_Toc6633"/>
      <w:r>
        <w:rPr>
          <w:rFonts w:hint="eastAsia" w:ascii="宋体" w:hAnsi="宋体" w:eastAsia="宋体" w:cs="宋体"/>
          <w:b w:val="0"/>
          <w:bCs w:val="0"/>
          <w:color w:val="auto"/>
          <w:kern w:val="2"/>
          <w:sz w:val="24"/>
          <w:szCs w:val="24"/>
          <w:highlight w:val="none"/>
          <w:lang w:val="en-US" w:eastAsia="zh-CN" w:bidi="ar-SA"/>
        </w:rPr>
        <w:t>8.</w:t>
      </w:r>
      <w:bookmarkEnd w:id="1969"/>
      <w:bookmarkEnd w:id="1970"/>
      <w:bookmarkEnd w:id="1971"/>
      <w:bookmarkStart w:id="1972" w:name="_Toc6752"/>
      <w:bookmarkStart w:id="1973" w:name="_Toc13958"/>
      <w:bookmarkStart w:id="1974" w:name="_Toc9702"/>
      <w:r>
        <w:rPr>
          <w:rFonts w:hint="eastAsia" w:ascii="宋体" w:hAnsi="宋体" w:cs="宋体"/>
          <w:b w:val="0"/>
          <w:bCs w:val="0"/>
          <w:color w:val="auto"/>
          <w:kern w:val="2"/>
          <w:sz w:val="24"/>
          <w:szCs w:val="24"/>
          <w:highlight w:val="none"/>
          <w:lang w:val="en-US" w:eastAsia="zh-CN" w:bidi="ar-SA"/>
        </w:rPr>
        <w:t>渣土清运承诺书</w:t>
      </w:r>
      <w:r>
        <w:rPr>
          <w:rFonts w:hint="eastAsia" w:ascii="宋体" w:hAnsi="宋体" w:eastAsia="宋体" w:cs="宋体"/>
          <w:b/>
          <w:bCs/>
          <w:color w:val="auto"/>
          <w:kern w:val="2"/>
          <w:sz w:val="24"/>
          <w:szCs w:val="24"/>
          <w:highlight w:val="none"/>
          <w:lang w:val="en-US" w:eastAsia="zh-CN" w:bidi="ar-SA"/>
        </w:rPr>
        <w:t>（必须提供）</w:t>
      </w:r>
      <w:bookmarkEnd w:id="1972"/>
      <w:bookmarkEnd w:id="1973"/>
      <w:bookmarkEnd w:id="1974"/>
      <w:r>
        <w:rPr>
          <w:rFonts w:hint="eastAsia" w:ascii="宋体" w:hAnsi="宋体" w:cs="宋体"/>
          <w:b w:val="0"/>
          <w:bCs w:val="0"/>
          <w:color w:val="auto"/>
          <w:kern w:val="2"/>
          <w:sz w:val="24"/>
          <w:szCs w:val="24"/>
          <w:highlight w:val="none"/>
          <w:lang w:val="en-US" w:eastAsia="zh-CN" w:bidi="ar-SA"/>
        </w:rPr>
        <w:t>；</w:t>
      </w:r>
    </w:p>
    <w:p w14:paraId="06C1103B">
      <w:pPr>
        <w:pStyle w:val="40"/>
        <w:keepNext w:val="0"/>
        <w:keepLines w:val="0"/>
        <w:pageBreakBefore w:val="0"/>
        <w:widowControl w:val="0"/>
        <w:wordWrap/>
        <w:topLinePunct w:val="0"/>
        <w:bidi w:val="0"/>
        <w:rPr>
          <w:rFonts w:hint="eastAsia" w:ascii="宋体" w:hAnsi="宋体" w:eastAsia="宋体" w:cs="宋体"/>
          <w:color w:val="auto"/>
          <w:highlight w:val="none"/>
        </w:rPr>
      </w:pPr>
    </w:p>
    <w:p w14:paraId="5D268106">
      <w:pPr>
        <w:pStyle w:val="40"/>
        <w:keepNext w:val="0"/>
        <w:keepLines w:val="0"/>
        <w:pageBreakBefore w:val="0"/>
        <w:widowControl w:val="0"/>
        <w:wordWrap/>
        <w:topLinePunct w:val="0"/>
        <w:bidi w:val="0"/>
        <w:rPr>
          <w:rFonts w:hint="eastAsia" w:ascii="宋体" w:hAnsi="宋体" w:eastAsia="宋体" w:cs="宋体"/>
          <w:color w:val="auto"/>
          <w:highlight w:val="none"/>
        </w:rPr>
      </w:pPr>
    </w:p>
    <w:p w14:paraId="10CFA7C7">
      <w:pPr>
        <w:pStyle w:val="40"/>
        <w:keepNext w:val="0"/>
        <w:keepLines w:val="0"/>
        <w:pageBreakBefore w:val="0"/>
        <w:widowControl w:val="0"/>
        <w:wordWrap/>
        <w:topLinePunct w:val="0"/>
        <w:bidi w:val="0"/>
        <w:rPr>
          <w:rFonts w:hint="eastAsia" w:ascii="宋体" w:hAnsi="宋体" w:eastAsia="宋体" w:cs="宋体"/>
          <w:color w:val="auto"/>
          <w:highlight w:val="none"/>
        </w:rPr>
      </w:pPr>
    </w:p>
    <w:p w14:paraId="1D28F342">
      <w:pPr>
        <w:pStyle w:val="40"/>
        <w:keepNext w:val="0"/>
        <w:keepLines w:val="0"/>
        <w:pageBreakBefore w:val="0"/>
        <w:widowControl w:val="0"/>
        <w:wordWrap/>
        <w:topLinePunct w:val="0"/>
        <w:bidi w:val="0"/>
        <w:rPr>
          <w:rFonts w:hint="eastAsia" w:ascii="宋体" w:hAnsi="宋体" w:eastAsia="宋体" w:cs="宋体"/>
          <w:color w:val="auto"/>
          <w:highlight w:val="none"/>
        </w:rPr>
      </w:pPr>
    </w:p>
    <w:p w14:paraId="016B5C9C">
      <w:pPr>
        <w:pStyle w:val="9"/>
        <w:keepNext w:val="0"/>
        <w:keepLines w:val="0"/>
        <w:pageBreakBefore w:val="0"/>
        <w:widowControl w:val="0"/>
        <w:wordWrap/>
        <w:topLinePunct w:val="0"/>
        <w:bidi w:val="0"/>
        <w:rPr>
          <w:rFonts w:hint="eastAsia" w:ascii="宋体" w:hAnsi="宋体" w:eastAsia="宋体" w:cs="宋体"/>
          <w:color w:val="auto"/>
          <w:highlight w:val="none"/>
        </w:rPr>
      </w:pPr>
    </w:p>
    <w:p w14:paraId="24B506B0">
      <w:pPr>
        <w:keepNext w:val="0"/>
        <w:keepLines w:val="0"/>
        <w:pageBreakBefore w:val="0"/>
        <w:widowControl w:val="0"/>
        <w:wordWrap/>
        <w:topLinePunct w:val="0"/>
        <w:bidi w:val="0"/>
        <w:rPr>
          <w:rFonts w:hint="eastAsia" w:ascii="宋体" w:hAnsi="宋体" w:cs="宋体"/>
          <w:b/>
          <w:bCs/>
          <w:color w:val="auto"/>
          <w:sz w:val="28"/>
          <w:szCs w:val="28"/>
          <w:highlight w:val="none"/>
          <w:lang w:val="en-US" w:eastAsia="zh-CN"/>
        </w:rPr>
      </w:pPr>
      <w:bookmarkStart w:id="1975" w:name="_Toc497927072"/>
      <w:bookmarkStart w:id="1976" w:name="_Toc17617"/>
      <w:bookmarkStart w:id="1977" w:name="_Toc12920"/>
      <w:r>
        <w:rPr>
          <w:rFonts w:hint="eastAsia" w:ascii="宋体" w:hAnsi="宋体" w:cs="宋体"/>
          <w:b/>
          <w:bCs/>
          <w:color w:val="auto"/>
          <w:sz w:val="28"/>
          <w:szCs w:val="28"/>
          <w:highlight w:val="none"/>
          <w:lang w:val="en-US" w:eastAsia="zh-CN"/>
        </w:rPr>
        <w:br w:type="page"/>
      </w:r>
    </w:p>
    <w:p w14:paraId="03EA3B7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1.</w:t>
      </w:r>
      <w:r>
        <w:rPr>
          <w:rFonts w:hint="eastAsia" w:ascii="宋体" w:hAnsi="宋体" w:eastAsia="宋体" w:cs="宋体"/>
          <w:b/>
          <w:color w:val="auto"/>
          <w:sz w:val="28"/>
          <w:szCs w:val="28"/>
          <w:highlight w:val="none"/>
          <w:lang w:val="en-US" w:eastAsia="zh-CN"/>
        </w:rPr>
        <w:t>响应</w:t>
      </w:r>
      <w:r>
        <w:rPr>
          <w:rFonts w:hint="eastAsia" w:ascii="宋体" w:hAnsi="宋体" w:eastAsia="宋体" w:cs="宋体"/>
          <w:b/>
          <w:bCs/>
          <w:color w:val="auto"/>
          <w:sz w:val="28"/>
          <w:szCs w:val="28"/>
          <w:highlight w:val="none"/>
        </w:rPr>
        <w:t>函（格式见附件）（必须提供）</w:t>
      </w:r>
      <w:bookmarkEnd w:id="1975"/>
      <w:bookmarkEnd w:id="1976"/>
      <w:bookmarkEnd w:id="1977"/>
    </w:p>
    <w:p w14:paraId="202C55A4">
      <w:pPr>
        <w:pStyle w:val="40"/>
        <w:keepNext w:val="0"/>
        <w:keepLines w:val="0"/>
        <w:pageBreakBefore w:val="0"/>
        <w:widowControl w:val="0"/>
        <w:wordWrap/>
        <w:topLinePunct w:val="0"/>
        <w:bidi w:val="0"/>
        <w:rPr>
          <w:rFonts w:hint="eastAsia" w:ascii="宋体" w:hAnsi="宋体" w:eastAsia="宋体" w:cs="宋体"/>
          <w:color w:val="auto"/>
          <w:highlight w:val="none"/>
        </w:rPr>
      </w:pPr>
    </w:p>
    <w:p w14:paraId="27EC3596">
      <w:pPr>
        <w:pStyle w:val="12"/>
        <w:keepNext w:val="0"/>
        <w:keepLines w:val="0"/>
        <w:pageBreakBefore w:val="0"/>
        <w:widowControl w:val="0"/>
        <w:wordWrap/>
        <w:topLinePunct w:val="0"/>
        <w:bidi w:val="0"/>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附件：</w:t>
      </w:r>
    </w:p>
    <w:p w14:paraId="05142141">
      <w:pPr>
        <w:pStyle w:val="12"/>
        <w:keepNext w:val="0"/>
        <w:keepLines w:val="0"/>
        <w:pageBreakBefore w:val="0"/>
        <w:widowControl w:val="0"/>
        <w:wordWrap/>
        <w:topLinePunct w:val="0"/>
        <w:bidi w:val="0"/>
        <w:ind w:firstLine="803" w:firstLineChars="250"/>
        <w:jc w:val="center"/>
        <w:rPr>
          <w:rFonts w:hint="eastAsia" w:ascii="宋体" w:hAnsi="宋体" w:eastAsia="宋体" w:cs="宋体"/>
          <w:b/>
          <w:color w:val="auto"/>
          <w:sz w:val="32"/>
          <w:highlight w:val="none"/>
        </w:rPr>
      </w:pPr>
      <w:bookmarkStart w:id="1978" w:name="_Toc7273_WPSOffice_Level1"/>
      <w:bookmarkStart w:id="1979" w:name="_Toc17832_WPSOffice_Level1"/>
      <w:r>
        <w:rPr>
          <w:rFonts w:hint="eastAsia" w:ascii="宋体" w:hAnsi="宋体" w:eastAsia="宋体" w:cs="宋体"/>
          <w:b/>
          <w:color w:val="auto"/>
          <w:sz w:val="32"/>
          <w:highlight w:val="none"/>
        </w:rPr>
        <w:t>响 应 函 （格 式）</w:t>
      </w:r>
      <w:bookmarkEnd w:id="1978"/>
      <w:bookmarkEnd w:id="1979"/>
    </w:p>
    <w:p w14:paraId="248F48A6">
      <w:pPr>
        <w:keepNext w:val="0"/>
        <w:keepLines w:val="0"/>
        <w:pageBreakBefore w:val="0"/>
        <w:widowControl w:val="0"/>
        <w:wordWrap/>
        <w:topLinePunct w:val="0"/>
        <w:bidi w:val="0"/>
        <w:spacing w:line="240" w:lineRule="exact"/>
        <w:jc w:val="center"/>
        <w:rPr>
          <w:rFonts w:hint="eastAsia" w:ascii="宋体" w:hAnsi="宋体" w:eastAsia="宋体" w:cs="宋体"/>
          <w:color w:val="auto"/>
          <w:sz w:val="32"/>
          <w:highlight w:val="none"/>
        </w:rPr>
      </w:pPr>
    </w:p>
    <w:p w14:paraId="5F3F9A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广西北部湾宏亚建设管理有限公司</w:t>
      </w:r>
    </w:p>
    <w:p w14:paraId="5C947AB7">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根据贵方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项目竞争性磋商文件，项目编号：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（姓名）经正式授权并代表供应商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供应商单位名称），提交</w:t>
      </w:r>
      <w:r>
        <w:rPr>
          <w:rFonts w:hint="eastAsia" w:ascii="宋体" w:hAnsi="宋体" w:eastAsia="宋体" w:cs="宋体"/>
          <w:color w:val="auto"/>
          <w:highlight w:val="none"/>
          <w:lang w:eastAsia="zh-CN"/>
        </w:rPr>
        <w:t>电子</w:t>
      </w:r>
      <w:r>
        <w:rPr>
          <w:rFonts w:hint="eastAsia" w:ascii="宋体" w:hAnsi="宋体" w:eastAsia="宋体" w:cs="宋体"/>
          <w:color w:val="auto"/>
          <w:highlight w:val="none"/>
        </w:rPr>
        <w:t>响应文件</w:t>
      </w:r>
      <w:r>
        <w:rPr>
          <w:rFonts w:hint="eastAsia" w:ascii="宋体" w:hAnsi="宋体" w:eastAsia="宋体" w:cs="宋体"/>
          <w:color w:val="auto"/>
          <w:highlight w:val="none"/>
          <w:lang w:eastAsia="zh-CN"/>
        </w:rPr>
        <w:t>。</w:t>
      </w:r>
    </w:p>
    <w:p w14:paraId="0D05D56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411EFEA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 按磋商文件采购需求和磋商报价表：</w:t>
      </w:r>
    </w:p>
    <w:p w14:paraId="4B2B3414">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cs="宋体"/>
          <w:color w:val="auto"/>
          <w:sz w:val="21"/>
          <w:szCs w:val="21"/>
          <w:highlight w:val="none"/>
        </w:rPr>
        <w:t>按采购项目内容和报价表，</w:t>
      </w:r>
      <w:r>
        <w:rPr>
          <w:rFonts w:hint="eastAsia" w:hAnsi="宋体" w:cs="宋体"/>
          <w:color w:val="auto"/>
          <w:sz w:val="21"/>
          <w:szCs w:val="21"/>
          <w:highlight w:val="none"/>
          <w:lang w:eastAsia="zh-CN"/>
        </w:rPr>
        <w:t>磋商</w:t>
      </w:r>
      <w:r>
        <w:rPr>
          <w:rFonts w:hint="eastAsia" w:hAnsi="宋体" w:cs="宋体"/>
          <w:color w:val="auto"/>
          <w:sz w:val="21"/>
          <w:szCs w:val="21"/>
          <w:highlight w:val="none"/>
          <w:lang w:val="en-US" w:eastAsia="zh-CN"/>
        </w:rPr>
        <w:t>总</w:t>
      </w:r>
      <w:r>
        <w:rPr>
          <w:rFonts w:hint="eastAsia" w:ascii="宋体" w:hAnsi="宋体" w:cs="宋体"/>
          <w:color w:val="auto"/>
          <w:sz w:val="21"/>
          <w:szCs w:val="21"/>
          <w:highlight w:val="none"/>
        </w:rPr>
        <w:t>报价为(大写)</w:t>
      </w:r>
      <w:r>
        <w:rPr>
          <w:rFonts w:hint="eastAsia" w:ascii="宋体"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w:t>
      </w:r>
      <w:r>
        <w:rPr>
          <w:rFonts w:hint="eastAsia" w:ascii="宋体"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r>
        <w:rPr>
          <w:rFonts w:hint="eastAsia" w:ascii="宋体" w:hAnsi="宋体" w:cs="宋体"/>
          <w:color w:val="auto"/>
          <w:highlight w:val="none"/>
          <w:lang w:eastAsia="zh-CN"/>
        </w:rPr>
        <w:t>。</w:t>
      </w:r>
      <w:r>
        <w:rPr>
          <w:rFonts w:hint="eastAsia" w:ascii="宋体" w:hAnsi="宋体" w:cs="宋体"/>
          <w:color w:val="auto"/>
          <w:sz w:val="21"/>
          <w:szCs w:val="21"/>
          <w:highlight w:val="none"/>
        </w:rPr>
        <w:t>工程完工期：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none"/>
        </w:rPr>
        <w:t>天（日历日）；</w:t>
      </w:r>
      <w:r>
        <w:rPr>
          <w:rFonts w:hint="eastAsia" w:ascii="宋体" w:hAnsi="宋体" w:cs="宋体"/>
          <w:color w:val="auto"/>
          <w:sz w:val="21"/>
          <w:szCs w:val="21"/>
          <w:highlight w:val="none"/>
        </w:rPr>
        <w:t>质量</w:t>
      </w:r>
      <w:r>
        <w:rPr>
          <w:rFonts w:hint="eastAsia" w:hAnsi="宋体" w:cs="宋体"/>
          <w:color w:val="auto"/>
          <w:sz w:val="21"/>
          <w:szCs w:val="21"/>
          <w:highlight w:val="none"/>
          <w:lang w:val="en-US" w:eastAsia="zh-CN"/>
        </w:rPr>
        <w:t>标准</w:t>
      </w:r>
      <w:r>
        <w:rPr>
          <w:rFonts w:hint="eastAsia" w:hAnsi="宋体" w:cs="宋体"/>
          <w:color w:val="auto"/>
          <w:sz w:val="21"/>
          <w:szCs w:val="21"/>
          <w:highlight w:val="none"/>
          <w:u w:val="none"/>
          <w:lang w:eastAsia="zh-CN"/>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20618730">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2.我方承诺已具备磋商文件规定的供应商资格条件。</w:t>
      </w:r>
    </w:p>
    <w:p w14:paraId="4F7F4EDA">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3.我方已详细审核磋商文件，包括修改文件（如有的话）和有关附件，将自行承担因对全部磋商文件理解不正确或误解而产生的相应后果。</w:t>
      </w:r>
    </w:p>
    <w:p w14:paraId="5293CF63">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 响应文件有效期为</w:t>
      </w:r>
      <w:r>
        <w:rPr>
          <w:rFonts w:hint="eastAsia" w:ascii="宋体" w:hAnsi="宋体" w:eastAsia="宋体" w:cs="宋体"/>
          <w:color w:val="auto"/>
          <w:szCs w:val="21"/>
          <w:highlight w:val="none"/>
        </w:rPr>
        <w:t>响应文件递交截止时间之日起90天。</w:t>
      </w:r>
    </w:p>
    <w:p w14:paraId="2167C39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 如我方成交：</w:t>
      </w:r>
    </w:p>
    <w:p w14:paraId="724288F8">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（1）我方承诺在收到成交通知书后，在成交通知书规定的期限内与采购人签订合同。</w:t>
      </w:r>
    </w:p>
    <w:p w14:paraId="1C112B05">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（2）我方承诺按照磋商文件规定递交履约担保。</w:t>
      </w:r>
    </w:p>
    <w:p w14:paraId="00B66EA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（3）我方承诺本响应文件至本项目合同履行完毕止均保持有效，按磋商文件及政府采购法律、法规的规定履行合同责任和义务。</w:t>
      </w:r>
    </w:p>
    <w:p w14:paraId="0F9B6D1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与本项目有关的正式通讯地址为：</w:t>
      </w:r>
    </w:p>
    <w:p w14:paraId="17EC4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p>
    <w:p w14:paraId="6E5DCC9A">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邮编：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电话、传真：</w:t>
      </w:r>
      <w:r>
        <w:rPr>
          <w:rFonts w:hint="eastAsia" w:ascii="宋体" w:hAnsi="宋体" w:eastAsia="宋体" w:cs="宋体"/>
          <w:color w:val="auto"/>
          <w:sz w:val="21"/>
          <w:szCs w:val="21"/>
          <w:highlight w:val="none"/>
          <w:u w:val="single"/>
        </w:rPr>
        <w:t xml:space="preserve">            </w:t>
      </w:r>
    </w:p>
    <w:p w14:paraId="2D4CE645">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6A9967C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79714F46">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p w14:paraId="00BEB875">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val="en-US" w:eastAsia="zh-CN"/>
        </w:rPr>
        <w:t>(CA签章)</w:t>
      </w:r>
      <w:r>
        <w:rPr>
          <w:rFonts w:hint="eastAsia" w:ascii="宋体" w:hAnsi="宋体" w:eastAsia="宋体" w:cs="宋体"/>
          <w:bCs/>
          <w:color w:val="auto"/>
          <w:sz w:val="21"/>
          <w:szCs w:val="21"/>
          <w:highlight w:val="none"/>
        </w:rPr>
        <w:t>、自然人除外</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u w:val="single"/>
        </w:rPr>
        <w:t xml:space="preserve">                              </w:t>
      </w:r>
    </w:p>
    <w:p w14:paraId="0FACB93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法定代表人、负责人、自然人或相应的委托代理人签字</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或盖章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（属自然人的应在签名处加盖大拇指指印</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个人CA签章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B4CC133">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响应</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p>
    <w:p w14:paraId="71CFE7E2">
      <w:pPr>
        <w:pStyle w:val="7"/>
        <w:keepNext w:val="0"/>
        <w:keepLines w:val="0"/>
        <w:pageBreakBefore w:val="0"/>
        <w:widowControl w:val="0"/>
        <w:wordWrap/>
        <w:topLinePunct w:val="0"/>
        <w:bidi w:val="0"/>
        <w:rPr>
          <w:rFonts w:hint="eastAsia" w:ascii="宋体" w:hAnsi="宋体" w:eastAsia="宋体" w:cs="宋体"/>
          <w:color w:val="auto"/>
          <w:sz w:val="21"/>
          <w:szCs w:val="21"/>
          <w:highlight w:val="none"/>
          <w:u w:val="single"/>
        </w:rPr>
      </w:pPr>
    </w:p>
    <w:p w14:paraId="44D78A7A">
      <w:pPr>
        <w:keepNext w:val="0"/>
        <w:keepLines w:val="0"/>
        <w:pageBreakBefore w:val="0"/>
        <w:widowControl w:val="0"/>
        <w:wordWrap/>
        <w:topLinePunct w:val="0"/>
        <w:bidi w:val="0"/>
        <w:rPr>
          <w:rFonts w:hint="eastAsia" w:ascii="宋体" w:hAnsi="宋体" w:eastAsia="宋体" w:cs="宋体"/>
          <w:color w:val="auto"/>
          <w:sz w:val="21"/>
          <w:szCs w:val="21"/>
          <w:highlight w:val="none"/>
          <w:u w:val="single"/>
        </w:rPr>
      </w:pPr>
    </w:p>
    <w:p w14:paraId="599B7D17">
      <w:pPr>
        <w:pStyle w:val="7"/>
        <w:keepNext w:val="0"/>
        <w:keepLines w:val="0"/>
        <w:pageBreakBefore w:val="0"/>
        <w:widowControl w:val="0"/>
        <w:wordWrap/>
        <w:topLinePunct w:val="0"/>
        <w:bidi w:val="0"/>
        <w:rPr>
          <w:rFonts w:hint="eastAsia"/>
          <w:color w:val="auto"/>
          <w:highlight w:val="none"/>
          <w:lang w:val="en-US" w:eastAsia="zh-CN"/>
        </w:rPr>
      </w:pPr>
    </w:p>
    <w:p w14:paraId="4C607B02">
      <w:pPr>
        <w:keepNext w:val="0"/>
        <w:keepLines w:val="0"/>
        <w:pageBreakBefore w:val="0"/>
        <w:widowControl w:val="0"/>
        <w:wordWrap/>
        <w:topLinePunct w:val="0"/>
        <w:bidi w:val="0"/>
        <w:rPr>
          <w:rFonts w:hint="eastAsia"/>
          <w:color w:val="auto"/>
          <w:highlight w:val="none"/>
          <w:lang w:val="en-US" w:eastAsia="zh-CN"/>
        </w:rPr>
      </w:pPr>
    </w:p>
    <w:p w14:paraId="00382640">
      <w:pPr>
        <w:rPr>
          <w:rFonts w:hint="eastAsia" w:hAnsi="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p>
    <w:p w14:paraId="06C5B4F9">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color w:val="auto"/>
          <w:highlight w:val="none"/>
        </w:rPr>
      </w:pPr>
      <w:r>
        <w:rPr>
          <w:rFonts w:hint="eastAsia" w:hAnsi="宋体" w:cs="宋体"/>
          <w:b/>
          <w:color w:val="auto"/>
          <w:sz w:val="28"/>
          <w:szCs w:val="28"/>
          <w:highlight w:val="none"/>
          <w:lang w:val="en-US" w:eastAsia="zh-CN"/>
        </w:rPr>
        <w:t>2</w:t>
      </w:r>
      <w:r>
        <w:rPr>
          <w:rFonts w:hint="eastAsia" w:ascii="宋体" w:hAnsi="宋体" w:eastAsia="宋体" w:cs="宋体"/>
          <w:b/>
          <w:color w:val="auto"/>
          <w:sz w:val="28"/>
          <w:szCs w:val="28"/>
          <w:highlight w:val="none"/>
          <w:lang w:val="en-US" w:eastAsia="zh-CN"/>
        </w:rPr>
        <w:t>.工程报价汇总表</w:t>
      </w:r>
      <w:r>
        <w:rPr>
          <w:rFonts w:hint="eastAsia" w:ascii="宋体" w:hAnsi="宋体" w:eastAsia="宋体" w:cs="宋体"/>
          <w:b/>
          <w:color w:val="auto"/>
          <w:sz w:val="28"/>
          <w:szCs w:val="28"/>
          <w:highlight w:val="none"/>
        </w:rPr>
        <w:t>（必须提供）；</w:t>
      </w:r>
    </w:p>
    <w:p w14:paraId="4ADFE9E6">
      <w:pPr>
        <w:pStyle w:val="12"/>
        <w:keepNext w:val="0"/>
        <w:keepLines w:val="0"/>
        <w:pageBreakBefore w:val="0"/>
        <w:widowControl w:val="0"/>
        <w:wordWrap/>
        <w:topLinePunct w:val="0"/>
        <w:bidi w:val="0"/>
        <w:spacing w:line="320" w:lineRule="exact"/>
        <w:jc w:val="left"/>
        <w:rPr>
          <w:rFonts w:hint="eastAsia" w:ascii="宋体" w:hAnsi="宋体" w:eastAsia="宋体" w:cs="宋体"/>
          <w:b/>
          <w:color w:val="auto"/>
          <w:sz w:val="28"/>
          <w:szCs w:val="28"/>
          <w:highlight w:val="none"/>
        </w:rPr>
      </w:pPr>
    </w:p>
    <w:p w14:paraId="09CB4A32">
      <w:pPr>
        <w:keepNext w:val="0"/>
        <w:keepLines w:val="0"/>
        <w:pageBreakBefore w:val="0"/>
        <w:widowControl w:val="0"/>
        <w:wordWrap/>
        <w:topLinePunct w:val="0"/>
        <w:bidi w:val="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rPr>
        <w:t>工程报价汇总表</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格式</w:t>
      </w:r>
      <w:r>
        <w:rPr>
          <w:rFonts w:hint="eastAsia" w:ascii="宋体" w:hAnsi="宋体" w:eastAsia="宋体" w:cs="宋体"/>
          <w:b/>
          <w:color w:val="auto"/>
          <w:kern w:val="0"/>
          <w:sz w:val="24"/>
          <w:szCs w:val="24"/>
          <w:highlight w:val="none"/>
          <w:lang w:eastAsia="zh-CN"/>
        </w:rPr>
        <w:t>）</w:t>
      </w:r>
    </w:p>
    <w:p w14:paraId="471EFC4E">
      <w:pPr>
        <w:keepNext w:val="0"/>
        <w:keepLines w:val="0"/>
        <w:pageBreakBefore w:val="0"/>
        <w:widowControl w:val="0"/>
        <w:wordWrap/>
        <w:topLinePunct w:val="0"/>
        <w:bidi w:val="0"/>
        <w:jc w:val="center"/>
        <w:rPr>
          <w:rFonts w:hint="eastAsia" w:ascii="宋体" w:hAnsi="宋体" w:cs="宋体"/>
          <w:color w:val="auto"/>
          <w:kern w:val="0"/>
          <w:sz w:val="24"/>
          <w:highlight w:val="none"/>
        </w:rPr>
      </w:pPr>
    </w:p>
    <w:p w14:paraId="1A90422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工程名称</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币种：人民币</w:t>
      </w:r>
    </w:p>
    <w:tbl>
      <w:tblPr>
        <w:tblStyle w:val="27"/>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8"/>
        <w:gridCol w:w="2851"/>
      </w:tblGrid>
      <w:tr w14:paraId="6BB4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668" w:type="dxa"/>
            <w:noWrap w:val="0"/>
            <w:vAlign w:val="center"/>
          </w:tcPr>
          <w:p w14:paraId="5E189853">
            <w:pPr>
              <w:pStyle w:val="65"/>
              <w:widowControl/>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工程总造价（磋商总报价）：</w:t>
            </w:r>
          </w:p>
        </w:tc>
        <w:tc>
          <w:tcPr>
            <w:tcW w:w="2851" w:type="dxa"/>
            <w:noWrap w:val="0"/>
            <w:vAlign w:val="center"/>
          </w:tcPr>
          <w:p w14:paraId="206F19E8">
            <w:pPr>
              <w:pStyle w:val="65"/>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元</w:t>
            </w:r>
          </w:p>
        </w:tc>
      </w:tr>
      <w:tr w14:paraId="477B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668" w:type="dxa"/>
            <w:noWrap w:val="0"/>
            <w:vAlign w:val="center"/>
          </w:tcPr>
          <w:p w14:paraId="718F1782">
            <w:pPr>
              <w:pStyle w:val="65"/>
              <w:widowControl/>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承诺工期</w:t>
            </w:r>
          </w:p>
        </w:tc>
        <w:tc>
          <w:tcPr>
            <w:tcW w:w="2851" w:type="dxa"/>
            <w:noWrap w:val="0"/>
            <w:vAlign w:val="center"/>
          </w:tcPr>
          <w:p w14:paraId="35881D70">
            <w:pPr>
              <w:pStyle w:val="65"/>
              <w:widowControl/>
              <w:jc w:val="right"/>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天（日历日）</w:t>
            </w:r>
          </w:p>
        </w:tc>
      </w:tr>
      <w:tr w14:paraId="6739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668" w:type="dxa"/>
            <w:noWrap w:val="0"/>
            <w:vAlign w:val="center"/>
          </w:tcPr>
          <w:p w14:paraId="22462B18">
            <w:pPr>
              <w:pStyle w:val="65"/>
              <w:widowControl/>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承诺质量等级</w:t>
            </w:r>
          </w:p>
        </w:tc>
        <w:tc>
          <w:tcPr>
            <w:tcW w:w="2851" w:type="dxa"/>
            <w:noWrap w:val="0"/>
            <w:vAlign w:val="center"/>
          </w:tcPr>
          <w:p w14:paraId="2F5476F9">
            <w:pPr>
              <w:pStyle w:val="65"/>
              <w:widowControl/>
              <w:jc w:val="right"/>
              <w:rPr>
                <w:rFonts w:hint="eastAsia" w:ascii="Times New Roman" w:hAnsi="Times New Roman"/>
                <w:color w:val="auto"/>
                <w:sz w:val="24"/>
                <w:szCs w:val="24"/>
                <w:highlight w:val="none"/>
                <w:lang w:val="en-US" w:eastAsia="zh-CN"/>
              </w:rPr>
            </w:pPr>
          </w:p>
        </w:tc>
      </w:tr>
    </w:tbl>
    <w:p w14:paraId="50B088F9">
      <w:pPr>
        <w:pStyle w:val="65"/>
        <w:ind w:left="-178" w:leftChars="-85" w:firstLine="177" w:firstLineChars="74"/>
        <w:rPr>
          <w:rFonts w:ascii="Times New Roman" w:hAnsi="Times New Roman"/>
          <w:color w:val="auto"/>
          <w:sz w:val="24"/>
          <w:szCs w:val="24"/>
          <w:highlight w:val="none"/>
        </w:rPr>
      </w:pPr>
    </w:p>
    <w:p w14:paraId="5A552332">
      <w:pPr>
        <w:pStyle w:val="65"/>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olor w:val="auto"/>
          <w:szCs w:val="21"/>
          <w:highlight w:val="none"/>
        </w:rPr>
      </w:pPr>
    </w:p>
    <w:p w14:paraId="2B9DEF68">
      <w:pPr>
        <w:keepNext w:val="0"/>
        <w:keepLines w:val="0"/>
        <w:pageBreakBefore w:val="0"/>
        <w:widowControl w:val="0"/>
        <w:kinsoku/>
        <w:wordWrap/>
        <w:overflowPunct/>
        <w:topLinePunct w:val="0"/>
        <w:autoSpaceDE/>
        <w:autoSpaceDN/>
        <w:bidi w:val="0"/>
        <w:adjustRightInd/>
        <w:snapToGrid/>
        <w:spacing w:line="720" w:lineRule="auto"/>
        <w:textAlignment w:val="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，自然人除外）：</w:t>
      </w:r>
      <w:r>
        <w:rPr>
          <w:rFonts w:hint="eastAsia" w:ascii="宋体" w:hAnsi="宋体" w:eastAsia="宋体" w:cs="宋体"/>
          <w:color w:val="auto"/>
          <w:szCs w:val="21"/>
          <w:highlight w:val="none"/>
          <w:u w:val="single"/>
        </w:rPr>
        <w:t xml:space="preserve">                                        </w:t>
      </w:r>
    </w:p>
    <w:p w14:paraId="28C17A41">
      <w:pPr>
        <w:keepNext w:val="0"/>
        <w:keepLines w:val="0"/>
        <w:pageBreakBefore w:val="0"/>
        <w:widowControl w:val="0"/>
        <w:kinsoku/>
        <w:wordWrap/>
        <w:overflowPunct/>
        <w:topLinePunct w:val="0"/>
        <w:autoSpaceDE/>
        <w:autoSpaceDN/>
        <w:bidi w:val="0"/>
        <w:adjustRightInd/>
        <w:snapToGrid/>
        <w:spacing w:line="720" w:lineRule="auto"/>
        <w:textAlignment w:val="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法定代表人、负责人、自然人或相应的委托代理人签字或</w:t>
      </w:r>
      <w:r>
        <w:rPr>
          <w:rFonts w:hint="eastAsia" w:ascii="宋体" w:hAnsi="宋体" w:eastAsia="宋体" w:cs="宋体"/>
          <w:color w:val="auto"/>
          <w:highlight w:val="none"/>
          <w:lang w:eastAsia="zh-CN"/>
        </w:rPr>
        <w:t>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（属自然人的应在签名处加盖食指指印</w:t>
      </w:r>
      <w:r>
        <w:rPr>
          <w:rFonts w:hint="eastAsia" w:ascii="宋体" w:hAnsi="宋体" w:eastAsia="宋体" w:cs="宋体"/>
          <w:color w:val="auto"/>
          <w:highlight w:val="none"/>
          <w:lang w:eastAsia="zh-CN"/>
        </w:rPr>
        <w:t>或个人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0C7526C5">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68F703D8">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3.</w:t>
      </w:r>
      <w:r>
        <w:rPr>
          <w:rFonts w:hint="eastAsia" w:hAnsi="宋体" w:eastAsia="宋体" w:cs="宋体"/>
          <w:b/>
          <w:color w:val="auto"/>
          <w:sz w:val="28"/>
          <w:szCs w:val="28"/>
          <w:highlight w:val="none"/>
          <w:lang w:val="en-US" w:eastAsia="zh-CN"/>
        </w:rPr>
        <w:t>已</w:t>
      </w:r>
      <w:r>
        <w:rPr>
          <w:rFonts w:hint="eastAsia" w:ascii="宋体" w:hAnsi="宋体" w:eastAsia="宋体" w:cs="宋体"/>
          <w:b/>
          <w:color w:val="auto"/>
          <w:sz w:val="28"/>
          <w:szCs w:val="28"/>
          <w:highlight w:val="none"/>
          <w:lang w:val="en-US" w:eastAsia="zh-CN"/>
        </w:rPr>
        <w:t>标价工程量清单（必须提供）</w:t>
      </w:r>
    </w:p>
    <w:p w14:paraId="7020C19A">
      <w:pPr>
        <w:keepNext w:val="0"/>
        <w:keepLines w:val="0"/>
        <w:pageBreakBefore w:val="0"/>
        <w:widowControl w:val="0"/>
        <w:wordWrap/>
        <w:topLinePunct w:val="0"/>
        <w:bidi w:val="0"/>
        <w:snapToGrid w:val="0"/>
        <w:spacing w:line="240" w:lineRule="auto"/>
        <w:ind w:firstLine="420"/>
        <w:jc w:val="right"/>
        <w:rPr>
          <w:rFonts w:hint="eastAsia" w:ascii="宋体" w:hAnsi="宋体" w:eastAsia="宋体" w:cs="宋体"/>
          <w:color w:val="auto"/>
          <w:highlight w:val="none"/>
        </w:rPr>
      </w:pPr>
    </w:p>
    <w:p w14:paraId="56F441D6">
      <w:pPr>
        <w:keepNext w:val="0"/>
        <w:keepLines w:val="0"/>
        <w:pageBreakBefore w:val="0"/>
        <w:widowControl w:val="0"/>
        <w:wordWrap/>
        <w:topLinePunct w:val="0"/>
        <w:bidi w:val="0"/>
        <w:spacing w:line="240" w:lineRule="auto"/>
        <w:jc w:val="center"/>
        <w:outlineLvl w:val="9"/>
        <w:rPr>
          <w:rFonts w:hint="eastAsia" w:ascii="宋体" w:hAnsi="宋体" w:eastAsia="宋体" w:cs="宋体"/>
          <w:color w:val="auto"/>
          <w:sz w:val="24"/>
          <w:szCs w:val="24"/>
          <w:highlight w:val="none"/>
        </w:rPr>
      </w:pPr>
      <w:bookmarkStart w:id="1980" w:name="_Toc446943082"/>
      <w:bookmarkStart w:id="1981" w:name="_Toc271557289"/>
      <w:bookmarkStart w:id="1982" w:name="_Toc234659851"/>
      <w:bookmarkStart w:id="1983" w:name="_Toc394929435"/>
      <w:r>
        <w:rPr>
          <w:rFonts w:hint="eastAsia" w:ascii="宋体" w:hAnsi="宋体" w:eastAsia="宋体" w:cs="宋体"/>
          <w:color w:val="auto"/>
          <w:sz w:val="24"/>
          <w:szCs w:val="24"/>
          <w:highlight w:val="none"/>
        </w:rPr>
        <w:t>已标价工程量清单</w:t>
      </w:r>
      <w:bookmarkEnd w:id="1980"/>
      <w:bookmarkEnd w:id="1981"/>
      <w:bookmarkEnd w:id="1982"/>
      <w:bookmarkEnd w:id="1983"/>
    </w:p>
    <w:p w14:paraId="672FE051">
      <w:pPr>
        <w:keepNext w:val="0"/>
        <w:keepLines w:val="0"/>
        <w:pageBreakBefore w:val="0"/>
        <w:widowControl w:val="0"/>
        <w:wordWrap/>
        <w:topLinePunct w:val="0"/>
        <w:bidi w:val="0"/>
        <w:spacing w:line="240" w:lineRule="auto"/>
        <w:ind w:firstLine="420"/>
        <w:jc w:val="center"/>
        <w:rPr>
          <w:rFonts w:hint="eastAsia" w:ascii="宋体" w:hAnsi="宋体" w:eastAsia="宋体" w:cs="宋体"/>
          <w:color w:val="auto"/>
          <w:highlight w:val="none"/>
        </w:rPr>
      </w:pPr>
    </w:p>
    <w:p w14:paraId="154A5FC2">
      <w:pPr>
        <w:keepNext w:val="0"/>
        <w:keepLines w:val="0"/>
        <w:pageBreakBefore w:val="0"/>
        <w:widowControl w:val="0"/>
        <w:wordWrap/>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应按照第</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章“工程量清单”的要求逐项填报工程量清单，包括工程量清单说明、</w:t>
      </w:r>
      <w:r>
        <w:rPr>
          <w:rFonts w:hint="eastAsia" w:ascii="宋体" w:hAnsi="宋体" w:eastAsia="宋体" w:cs="宋体"/>
          <w:color w:val="auto"/>
          <w:szCs w:val="21"/>
          <w:highlight w:val="none"/>
          <w:lang w:eastAsia="zh-CN"/>
        </w:rPr>
        <w:t>磋商报价</w:t>
      </w:r>
      <w:r>
        <w:rPr>
          <w:rFonts w:hint="eastAsia" w:ascii="宋体" w:hAnsi="宋体" w:eastAsia="宋体" w:cs="宋体"/>
          <w:color w:val="auto"/>
          <w:szCs w:val="21"/>
          <w:highlight w:val="none"/>
        </w:rPr>
        <w:t>说明及工程量清单各项表格</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采购人</w:t>
      </w:r>
      <w:r>
        <w:rPr>
          <w:rFonts w:hint="eastAsia" w:ascii="宋体" w:hAnsi="宋体" w:eastAsia="宋体" w:cs="宋体"/>
          <w:b/>
          <w:bCs/>
          <w:color w:val="auto"/>
          <w:highlight w:val="none"/>
        </w:rPr>
        <w:t>提供的工程量清单</w:t>
      </w:r>
      <w:r>
        <w:rPr>
          <w:rFonts w:hint="eastAsia" w:ascii="宋体" w:hAnsi="宋体" w:eastAsia="宋体" w:cs="宋体"/>
          <w:b/>
          <w:bCs/>
          <w:color w:val="auto"/>
          <w:szCs w:val="21"/>
          <w:highlight w:val="none"/>
        </w:rPr>
        <w:t>）。</w:t>
      </w:r>
    </w:p>
    <w:p w14:paraId="0AEDCE1E">
      <w:pPr>
        <w:keepNext w:val="0"/>
        <w:keepLines w:val="0"/>
        <w:pageBreakBefore w:val="0"/>
        <w:widowControl w:val="0"/>
        <w:wordWrap/>
        <w:topLinePunct w:val="0"/>
        <w:bidi w:val="0"/>
        <w:spacing w:line="340" w:lineRule="exact"/>
        <w:rPr>
          <w:rFonts w:hint="eastAsia" w:ascii="宋体" w:hAnsi="宋体" w:eastAsia="宋体" w:cs="宋体"/>
          <w:color w:val="auto"/>
          <w:szCs w:val="21"/>
          <w:highlight w:val="none"/>
        </w:rPr>
      </w:pPr>
    </w:p>
    <w:p w14:paraId="7DD3B0A2">
      <w:pPr>
        <w:keepNext w:val="0"/>
        <w:keepLines w:val="0"/>
        <w:pageBreakBefore w:val="0"/>
        <w:widowControl w:val="0"/>
        <w:wordWrap/>
        <w:topLinePunct w:val="0"/>
        <w:bidi w:val="0"/>
        <w:spacing w:line="40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注：</w:t>
      </w:r>
      <w:r>
        <w:rPr>
          <w:rFonts w:hint="eastAsia" w:ascii="宋体" w:hAnsi="宋体" w:eastAsia="宋体" w:cs="宋体"/>
          <w:b/>
          <w:color w:val="auto"/>
          <w:sz w:val="24"/>
          <w:highlight w:val="none"/>
        </w:rPr>
        <w:t>当本</w:t>
      </w:r>
      <w:r>
        <w:rPr>
          <w:rFonts w:hint="eastAsia" w:ascii="宋体" w:hAnsi="宋体" w:eastAsia="宋体" w:cs="宋体"/>
          <w:b/>
          <w:color w:val="auto"/>
          <w:sz w:val="24"/>
          <w:highlight w:val="none"/>
          <w:lang w:eastAsia="zh-CN"/>
        </w:rPr>
        <w:t>清单</w:t>
      </w:r>
      <w:r>
        <w:rPr>
          <w:rFonts w:hint="eastAsia" w:ascii="宋体" w:hAnsi="宋体" w:eastAsia="宋体" w:cs="宋体"/>
          <w:b/>
          <w:color w:val="auto"/>
          <w:sz w:val="24"/>
          <w:highlight w:val="none"/>
        </w:rPr>
        <w:t>由多页构成时，需逐页加盖</w:t>
      </w:r>
      <w:r>
        <w:rPr>
          <w:rFonts w:hint="eastAsia" w:ascii="宋体" w:hAnsi="宋体" w:eastAsia="宋体" w:cs="宋体"/>
          <w:b/>
          <w:color w:val="auto"/>
          <w:sz w:val="24"/>
          <w:highlight w:val="none"/>
          <w:lang w:eastAsia="zh-CN"/>
        </w:rPr>
        <w:t>磋商供应商</w:t>
      </w:r>
      <w:r>
        <w:rPr>
          <w:rFonts w:hint="eastAsia" w:ascii="宋体" w:hAnsi="宋体" w:eastAsia="宋体" w:cs="宋体"/>
          <w:b/>
          <w:color w:val="auto"/>
          <w:sz w:val="24"/>
          <w:highlight w:val="none"/>
        </w:rPr>
        <w:t>公章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CA签章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（属自然人的须逐页签字</w:t>
      </w:r>
      <w:r>
        <w:rPr>
          <w:rFonts w:hint="eastAsia" w:ascii="宋体" w:hAnsi="宋体" w:eastAsia="宋体" w:cs="宋体"/>
          <w:b/>
          <w:color w:val="auto"/>
          <w:sz w:val="24"/>
          <w:highlight w:val="none"/>
          <w:lang w:eastAsia="zh-CN"/>
        </w:rPr>
        <w:t>或</w:t>
      </w:r>
      <w:r>
        <w:rPr>
          <w:rFonts w:hint="eastAsia" w:ascii="宋体" w:hAnsi="宋体" w:eastAsia="宋体" w:cs="宋体"/>
          <w:b/>
          <w:color w:val="auto"/>
          <w:sz w:val="24"/>
          <w:highlight w:val="none"/>
          <w:lang w:val="en-US" w:eastAsia="zh-CN"/>
        </w:rPr>
        <w:t>个人CA签章</w:t>
      </w:r>
      <w:r>
        <w:rPr>
          <w:rFonts w:hint="eastAsia" w:ascii="宋体" w:hAnsi="宋体" w:eastAsia="宋体" w:cs="宋体"/>
          <w:b/>
          <w:color w:val="auto"/>
          <w:sz w:val="24"/>
          <w:highlight w:val="none"/>
        </w:rPr>
        <w:t>）。</w:t>
      </w:r>
    </w:p>
    <w:p w14:paraId="343B0D49">
      <w:pPr>
        <w:pStyle w:val="9"/>
        <w:keepNext w:val="0"/>
        <w:keepLines w:val="0"/>
        <w:pageBreakBefore w:val="0"/>
        <w:widowControl w:val="0"/>
        <w:wordWrap/>
        <w:topLinePunct w:val="0"/>
        <w:bidi w:val="0"/>
        <w:rPr>
          <w:rFonts w:hint="eastAsia" w:ascii="宋体" w:hAnsi="宋体" w:eastAsia="宋体" w:cs="宋体"/>
          <w:color w:val="auto"/>
          <w:highlight w:val="none"/>
        </w:rPr>
      </w:pPr>
    </w:p>
    <w:p w14:paraId="4C6BD6C7">
      <w:pPr>
        <w:pStyle w:val="9"/>
        <w:keepNext w:val="0"/>
        <w:keepLines w:val="0"/>
        <w:pageBreakBefore w:val="0"/>
        <w:widowControl w:val="0"/>
        <w:wordWrap/>
        <w:topLinePunct w:val="0"/>
        <w:bidi w:val="0"/>
        <w:rPr>
          <w:rFonts w:hint="eastAsia" w:ascii="宋体" w:hAnsi="宋体" w:eastAsia="宋体" w:cs="宋体"/>
          <w:color w:val="auto"/>
          <w:highlight w:val="none"/>
        </w:rPr>
      </w:pPr>
    </w:p>
    <w:p w14:paraId="62EED1E7">
      <w:pPr>
        <w:rPr>
          <w:rFonts w:hint="eastAsia" w:hAnsi="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p>
    <w:p w14:paraId="2D33FB1D">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bCs/>
          <w:iCs/>
          <w:color w:val="auto"/>
          <w:kern w:val="2"/>
          <w:sz w:val="28"/>
          <w:szCs w:val="28"/>
          <w:highlight w:val="none"/>
          <w:lang w:val="en-US" w:eastAsia="zh-CN" w:bidi="ar-SA"/>
        </w:rPr>
      </w:pPr>
      <w:r>
        <w:rPr>
          <w:rFonts w:hint="eastAsia" w:hAnsi="宋体" w:cs="宋体"/>
          <w:b/>
          <w:color w:val="auto"/>
          <w:sz w:val="28"/>
          <w:szCs w:val="28"/>
          <w:highlight w:val="none"/>
          <w:lang w:val="en-US" w:eastAsia="zh-CN"/>
        </w:rPr>
        <w:t>4</w:t>
      </w:r>
      <w:r>
        <w:rPr>
          <w:rFonts w:hint="eastAsia" w:ascii="宋体" w:hAnsi="宋体" w:eastAsia="宋体" w:cs="宋体"/>
          <w:b/>
          <w:color w:val="auto"/>
          <w:sz w:val="28"/>
          <w:szCs w:val="28"/>
          <w:highlight w:val="none"/>
          <w:lang w:val="en-US" w:eastAsia="zh-CN"/>
        </w:rPr>
        <w:t>.</w:t>
      </w:r>
      <w:r>
        <w:rPr>
          <w:rFonts w:hint="eastAsia" w:ascii="宋体" w:hAnsi="宋体" w:eastAsia="宋体" w:cs="宋体"/>
          <w:b/>
          <w:bCs/>
          <w:iCs/>
          <w:color w:val="auto"/>
          <w:kern w:val="2"/>
          <w:sz w:val="28"/>
          <w:szCs w:val="28"/>
          <w:highlight w:val="none"/>
          <w:lang w:val="en-US" w:eastAsia="zh-CN" w:bidi="ar-SA"/>
        </w:rPr>
        <w:t>拟投入本工程主要施工管理人员表（必须提供）；</w:t>
      </w:r>
    </w:p>
    <w:p w14:paraId="0633FEAF">
      <w:pPr>
        <w:keepNext w:val="0"/>
        <w:keepLines w:val="0"/>
        <w:pageBreakBefore w:val="0"/>
        <w:widowControl w:val="0"/>
        <w:wordWrap/>
        <w:topLinePunct w:val="0"/>
        <w:bidi w:val="0"/>
        <w:spacing w:line="500" w:lineRule="exact"/>
        <w:jc w:val="center"/>
        <w:rPr>
          <w:rFonts w:hint="eastAsia" w:ascii="宋体" w:hAnsi="宋体" w:eastAsia="宋体" w:cs="宋体"/>
          <w:b/>
          <w:color w:val="auto"/>
          <w:sz w:val="24"/>
          <w:szCs w:val="24"/>
          <w:highlight w:val="none"/>
          <w:lang w:val="en-US" w:eastAsia="zh-CN"/>
        </w:rPr>
      </w:pPr>
    </w:p>
    <w:p w14:paraId="271CB386">
      <w:pPr>
        <w:keepNext w:val="0"/>
        <w:keepLines w:val="0"/>
        <w:pageBreakBefore w:val="0"/>
        <w:widowControl w:val="0"/>
        <w:wordWrap/>
        <w:topLinePunct w:val="0"/>
        <w:bidi w:val="0"/>
        <w:spacing w:line="5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主要施工管理人员表</w:t>
      </w:r>
    </w:p>
    <w:p w14:paraId="18862D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bl>
      <w:tblPr>
        <w:tblStyle w:val="27"/>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14:paraId="50A4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152E28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B192C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511A39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1B142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资质/职称</w:t>
            </w: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42B33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执业资格证号/上岗证号</w:t>
            </w:r>
          </w:p>
        </w:tc>
      </w:tr>
      <w:tr w14:paraId="701E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522D542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一、总部</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B82BE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20D77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6EA63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5ABF09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77C0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195C5D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1.项目主管</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65ED04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79398C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BCF599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1E139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6E8E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5FF947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2.其他人员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F2211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6D0479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1FDA3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6CA4C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75F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30BB9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68B046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51AF9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80EE5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BA615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5EBA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2EF6FF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二、现场</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703D484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8EDFA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6BA21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387EF3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32F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3C573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项目经理</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62ED5A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10D217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8E7D7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9561D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951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0E60FB0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2.项目副经理（如有）</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40F4DE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7C48F6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CFBF2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4DA1E5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F5E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53E43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3.技术负责人</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D9A380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0A5AE8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C5290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141C4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A04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684A72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4.施工员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72A090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4885131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ADC6E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DF5A3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5533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671864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14EB8D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4919D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57AC7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E13A8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587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6CAF2A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6.专职安全生产管理人员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40896F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752CBF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AD525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2D2F7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C0D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473C4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7.材料员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CB06F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B8D03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1145C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4D05404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E76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48AACB7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2D2A44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1A58C9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BDF94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7A262A1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bl>
    <w:p w14:paraId="447518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pacing w:val="-2"/>
          <w:kern w:val="0"/>
          <w:sz w:val="21"/>
          <w:szCs w:val="21"/>
          <w:highlight w:val="none"/>
        </w:rPr>
      </w:pPr>
      <w:r>
        <w:rPr>
          <w:rFonts w:hint="eastAsia" w:ascii="宋体" w:hAnsi="宋体" w:eastAsia="宋体" w:cs="宋体"/>
          <w:bCs/>
          <w:color w:val="auto"/>
          <w:spacing w:val="-2"/>
          <w:sz w:val="21"/>
          <w:szCs w:val="21"/>
          <w:highlight w:val="none"/>
        </w:rPr>
        <w:t>注：</w:t>
      </w:r>
      <w:r>
        <w:rPr>
          <w:rFonts w:hint="eastAsia" w:ascii="宋体" w:hAnsi="宋体" w:cs="宋体"/>
          <w:color w:val="auto"/>
          <w:spacing w:val="-2"/>
          <w:kern w:val="0"/>
          <w:sz w:val="21"/>
          <w:szCs w:val="21"/>
          <w:highlight w:val="none"/>
          <w:lang w:eastAsia="zh-CN"/>
        </w:rPr>
        <w:t>项目经理至少应附身份证复印件、责任工程师证书复印件、中级（含）以上职称证复印件（</w:t>
      </w:r>
      <w:r>
        <w:rPr>
          <w:rFonts w:hint="eastAsia" w:ascii="宋体" w:hAnsi="宋体" w:cs="宋体"/>
          <w:color w:val="auto"/>
          <w:spacing w:val="-2"/>
          <w:kern w:val="0"/>
          <w:sz w:val="21"/>
          <w:szCs w:val="21"/>
          <w:highlight w:val="none"/>
          <w:lang w:val="en-US" w:eastAsia="zh-CN"/>
        </w:rPr>
        <w:t>如有</w:t>
      </w:r>
      <w:r>
        <w:rPr>
          <w:rFonts w:hint="eastAsia" w:ascii="宋体" w:hAnsi="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rPr>
        <w:t>；技术负责人应附身份证复印件、职称证复印件</w:t>
      </w:r>
      <w:r>
        <w:rPr>
          <w:rFonts w:hint="eastAsia" w:ascii="宋体" w:hAnsi="宋体" w:cs="宋体"/>
          <w:color w:val="auto"/>
          <w:spacing w:val="-2"/>
          <w:kern w:val="0"/>
          <w:sz w:val="21"/>
          <w:szCs w:val="21"/>
          <w:highlight w:val="none"/>
          <w:lang w:eastAsia="zh-CN"/>
        </w:rPr>
        <w:t>（</w:t>
      </w:r>
      <w:r>
        <w:rPr>
          <w:rFonts w:hint="eastAsia" w:ascii="宋体" w:hAnsi="宋体" w:cs="宋体"/>
          <w:color w:val="auto"/>
          <w:spacing w:val="-2"/>
          <w:kern w:val="0"/>
          <w:sz w:val="21"/>
          <w:szCs w:val="21"/>
          <w:highlight w:val="none"/>
          <w:lang w:val="en-US" w:eastAsia="zh-CN"/>
        </w:rPr>
        <w:t>如有</w:t>
      </w:r>
      <w:r>
        <w:rPr>
          <w:rFonts w:hint="eastAsia" w:ascii="宋体" w:hAnsi="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rPr>
        <w:t>；专职安全生产管理人员至少应附身份证复印件、专职安全员安全生产考核合格证书（C类）复印件；其他主要人员（施工员、质检</w:t>
      </w:r>
      <w:r>
        <w:rPr>
          <w:rFonts w:hint="eastAsia" w:ascii="宋体" w:hAnsi="宋体" w:eastAsia="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lang w:val="en-US" w:eastAsia="zh-CN"/>
        </w:rPr>
        <w:t>量</w:t>
      </w:r>
      <w:r>
        <w:rPr>
          <w:rFonts w:hint="eastAsia" w:ascii="宋体" w:hAnsi="宋体" w:eastAsia="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rPr>
        <w:t>员、材料员）应附执业证或上岗证书复印件。</w:t>
      </w:r>
      <w:r>
        <w:rPr>
          <w:rFonts w:hint="eastAsia" w:ascii="宋体" w:hAnsi="宋体" w:eastAsia="宋体" w:cs="宋体"/>
          <w:color w:val="auto"/>
          <w:kern w:val="0"/>
          <w:sz w:val="21"/>
          <w:szCs w:val="21"/>
          <w:highlight w:val="none"/>
        </w:rPr>
        <w:t>同时还需提供社保部门出具</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为项目管理机构成员（包含项目经理、技术负责人、专职安全员、施工员、质检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量</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员、材料员）缴纳的响应文件递交截止时间前</w:t>
      </w:r>
      <w:r>
        <w:rPr>
          <w:rFonts w:hint="eastAsia" w:ascii="宋体" w:hAnsi="宋体" w:cs="宋体"/>
          <w:color w:val="auto"/>
          <w:kern w:val="0"/>
          <w:sz w:val="21"/>
          <w:szCs w:val="21"/>
          <w:highlight w:val="none"/>
          <w:lang w:eastAsia="zh-CN"/>
        </w:rPr>
        <w:t>半年内任意一个月</w:t>
      </w:r>
      <w:r>
        <w:rPr>
          <w:rFonts w:hint="eastAsia" w:ascii="宋体" w:hAnsi="宋体" w:eastAsia="宋体" w:cs="宋体"/>
          <w:color w:val="auto"/>
          <w:kern w:val="0"/>
          <w:sz w:val="21"/>
          <w:szCs w:val="21"/>
          <w:highlight w:val="none"/>
        </w:rPr>
        <w:t>社保证明复印件。若为近期新聘员工的，以提供劳动合同证明材料复印件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若</w:t>
      </w:r>
      <w:r>
        <w:rPr>
          <w:rFonts w:hint="eastAsia" w:ascii="宋体" w:hAnsi="宋体" w:eastAsia="宋体" w:cs="宋体"/>
          <w:color w:val="auto"/>
          <w:kern w:val="0"/>
          <w:sz w:val="21"/>
          <w:szCs w:val="21"/>
          <w:highlight w:val="none"/>
          <w:lang w:val="en-US" w:eastAsia="zh-CN"/>
        </w:rPr>
        <w:t>为退休员工则需提供退休证明及劳动合同</w:t>
      </w:r>
      <w:r>
        <w:rPr>
          <w:rFonts w:hint="eastAsia" w:ascii="宋体" w:hAnsi="宋体" w:eastAsia="宋体" w:cs="宋体"/>
          <w:color w:val="auto"/>
          <w:kern w:val="0"/>
          <w:sz w:val="21"/>
          <w:szCs w:val="21"/>
          <w:highlight w:val="none"/>
        </w:rPr>
        <w:t>为准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pacing w:val="-2"/>
          <w:kern w:val="0"/>
          <w:sz w:val="21"/>
          <w:szCs w:val="21"/>
          <w:highlight w:val="none"/>
        </w:rPr>
        <w:t>上述复印件均需加盖</w:t>
      </w:r>
      <w:r>
        <w:rPr>
          <w:rFonts w:hint="eastAsia" w:ascii="宋体" w:hAnsi="宋体" w:eastAsia="宋体" w:cs="宋体"/>
          <w:color w:val="auto"/>
          <w:spacing w:val="-2"/>
          <w:kern w:val="0"/>
          <w:sz w:val="21"/>
          <w:szCs w:val="21"/>
          <w:highlight w:val="none"/>
          <w:lang w:val="en-US" w:eastAsia="zh-CN"/>
        </w:rPr>
        <w:t>供应商</w:t>
      </w:r>
      <w:r>
        <w:rPr>
          <w:rFonts w:hint="eastAsia" w:ascii="宋体" w:hAnsi="宋体" w:eastAsia="宋体" w:cs="宋体"/>
          <w:color w:val="auto"/>
          <w:spacing w:val="-2"/>
          <w:kern w:val="0"/>
          <w:sz w:val="21"/>
          <w:szCs w:val="21"/>
          <w:highlight w:val="none"/>
        </w:rPr>
        <w:t>公章。</w:t>
      </w:r>
    </w:p>
    <w:p w14:paraId="50AAE428">
      <w:pPr>
        <w:pStyle w:val="12"/>
        <w:keepNext w:val="0"/>
        <w:keepLines w:val="0"/>
        <w:pageBreakBefore w:val="0"/>
        <w:widowControl w:val="0"/>
        <w:wordWrap/>
        <w:topLinePunct w:val="0"/>
        <w:bidi w:val="0"/>
        <w:spacing w:line="340" w:lineRule="exact"/>
        <w:jc w:val="center"/>
        <w:rPr>
          <w:rFonts w:hint="eastAsia" w:ascii="宋体" w:hAnsi="宋体" w:eastAsia="宋体" w:cs="宋体"/>
          <w:b/>
          <w:color w:val="auto"/>
          <w:sz w:val="32"/>
          <w:szCs w:val="32"/>
          <w:highlight w:val="none"/>
        </w:rPr>
      </w:pPr>
    </w:p>
    <w:p w14:paraId="0F58FB0E">
      <w:pPr>
        <w:pStyle w:val="7"/>
        <w:keepNext w:val="0"/>
        <w:keepLines w:val="0"/>
        <w:pageBreakBefore w:val="0"/>
        <w:widowControl w:val="0"/>
        <w:kinsoku/>
        <w:wordWrap/>
        <w:overflowPunct/>
        <w:topLinePunct w:val="0"/>
        <w:autoSpaceDE/>
        <w:autoSpaceDN/>
        <w:bidi w:val="0"/>
        <w:adjustRightInd/>
        <w:spacing w:line="600" w:lineRule="auto"/>
        <w:textAlignment w:val="auto"/>
        <w:rPr>
          <w:rFonts w:hint="eastAsia"/>
          <w:color w:val="auto"/>
          <w:highlight w:val="none"/>
        </w:rPr>
      </w:pPr>
    </w:p>
    <w:p w14:paraId="28A43BF0">
      <w:pPr>
        <w:keepNext w:val="0"/>
        <w:keepLines w:val="0"/>
        <w:pageBreakBefore w:val="0"/>
        <w:widowControl w:val="0"/>
        <w:kinsoku/>
        <w:wordWrap/>
        <w:overflowPunct/>
        <w:topLinePunct w:val="0"/>
        <w:autoSpaceDE/>
        <w:autoSpaceDN/>
        <w:bidi w:val="0"/>
        <w:adjustRightInd/>
        <w:snapToGrid w:val="0"/>
        <w:spacing w:line="600" w:lineRule="auto"/>
        <w:ind w:firstLine="1890" w:firstLineChars="9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highlight w:val="none"/>
          <w:u w:val="single"/>
        </w:rPr>
        <w:t xml:space="preserve">               </w:t>
      </w:r>
    </w:p>
    <w:p w14:paraId="1AF5B0C0">
      <w:pPr>
        <w:keepNext w:val="0"/>
        <w:keepLines w:val="0"/>
        <w:pageBreakBefore w:val="0"/>
        <w:widowControl w:val="0"/>
        <w:kinsoku/>
        <w:wordWrap/>
        <w:overflowPunct/>
        <w:topLinePunct w:val="0"/>
        <w:autoSpaceDE/>
        <w:autoSpaceDN/>
        <w:bidi w:val="0"/>
        <w:adjustRightInd/>
        <w:snapToGrid w:val="0"/>
        <w:spacing w:line="600" w:lineRule="auto"/>
        <w:ind w:firstLine="1890" w:firstLineChars="900"/>
        <w:textAlignment w:val="auto"/>
        <w:rPr>
          <w:rFonts w:hint="eastAsia" w:ascii="宋体" w:hAnsi="宋体" w:eastAsia="宋体" w:cs="宋体"/>
          <w:b/>
          <w:bCs/>
          <w:color w:val="auto"/>
          <w:szCs w:val="21"/>
          <w:highlight w:val="none"/>
        </w:rPr>
      </w:pP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期：</w:t>
      </w:r>
      <w:r>
        <w:rPr>
          <w:rFonts w:hint="eastAsia" w:ascii="宋体" w:hAnsi="宋体" w:eastAsia="宋体" w:cs="宋体"/>
          <w:color w:val="auto"/>
          <w:highlight w:val="none"/>
          <w:u w:val="single"/>
        </w:rPr>
        <w:t xml:space="preserve">                            </w:t>
      </w:r>
    </w:p>
    <w:p w14:paraId="14EA2179">
      <w:pPr>
        <w:pStyle w:val="9"/>
        <w:keepNext w:val="0"/>
        <w:keepLines w:val="0"/>
        <w:pageBreakBefore w:val="0"/>
        <w:widowControl w:val="0"/>
        <w:wordWrap/>
        <w:topLinePunct w:val="0"/>
        <w:bidi w:val="0"/>
        <w:rPr>
          <w:rFonts w:hint="eastAsia" w:ascii="宋体" w:hAnsi="宋体" w:eastAsia="宋体" w:cs="宋体"/>
          <w:b/>
          <w:bCs/>
          <w:color w:val="auto"/>
          <w:szCs w:val="21"/>
          <w:highlight w:val="none"/>
        </w:rPr>
      </w:pPr>
    </w:p>
    <w:p w14:paraId="43C56C40">
      <w:pPr>
        <w:rPr>
          <w:rFonts w:hint="eastAsia" w:hAnsi="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p>
    <w:p w14:paraId="5A525CC9">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.担任本工程的</w:t>
      </w:r>
      <w:r>
        <w:rPr>
          <w:rFonts w:hint="eastAsia" w:hAnsi="宋体" w:eastAsia="宋体" w:cs="宋体"/>
          <w:b/>
          <w:color w:val="auto"/>
          <w:sz w:val="28"/>
          <w:szCs w:val="28"/>
          <w:highlight w:val="none"/>
          <w:lang w:val="en-US" w:eastAsia="zh-CN"/>
        </w:rPr>
        <w:t>项目经理</w:t>
      </w:r>
      <w:r>
        <w:rPr>
          <w:rFonts w:hint="eastAsia" w:ascii="宋体" w:hAnsi="宋体" w:eastAsia="宋体" w:cs="宋体"/>
          <w:b/>
          <w:color w:val="auto"/>
          <w:sz w:val="28"/>
          <w:szCs w:val="28"/>
          <w:highlight w:val="none"/>
          <w:lang w:val="en-US" w:eastAsia="zh-CN"/>
        </w:rPr>
        <w:t>简历表（应附相关证书、身份证复印件）（必须提供）</w:t>
      </w:r>
      <w:r>
        <w:rPr>
          <w:rFonts w:hint="eastAsia" w:ascii="宋体" w:hAnsi="宋体" w:eastAsia="宋体" w:cs="宋体"/>
          <w:b/>
          <w:color w:val="auto"/>
          <w:sz w:val="28"/>
          <w:szCs w:val="28"/>
          <w:highlight w:val="none"/>
        </w:rPr>
        <w:t>；</w:t>
      </w:r>
    </w:p>
    <w:p w14:paraId="3DB380ED">
      <w:pPr>
        <w:keepNext w:val="0"/>
        <w:keepLines w:val="0"/>
        <w:pageBreakBefore w:val="0"/>
        <w:widowControl w:val="0"/>
        <w:wordWrap/>
        <w:topLinePunct w:val="0"/>
        <w:bidi w:val="0"/>
        <w:rPr>
          <w:rFonts w:hint="eastAsia" w:ascii="宋体" w:hAnsi="宋体" w:eastAsia="宋体" w:cs="宋体"/>
          <w:color w:val="auto"/>
          <w:highlight w:val="none"/>
        </w:rPr>
      </w:pPr>
    </w:p>
    <w:p w14:paraId="381E3EE6">
      <w:pPr>
        <w:keepNext w:val="0"/>
        <w:keepLines w:val="0"/>
        <w:pageBreakBefore w:val="0"/>
        <w:widowControl w:val="0"/>
        <w:wordWrap/>
        <w:topLinePunct w:val="0"/>
        <w:bidi w:val="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担任本工程的项目经理简历表</w:t>
      </w:r>
    </w:p>
    <w:p w14:paraId="45FD20B2">
      <w:pPr>
        <w:keepNext w:val="0"/>
        <w:keepLines w:val="0"/>
        <w:pageBreakBefore w:val="0"/>
        <w:widowControl w:val="0"/>
        <w:wordWrap/>
        <w:topLinePunct w:val="0"/>
        <w:bidi w:val="0"/>
        <w:jc w:val="center"/>
        <w:rPr>
          <w:rFonts w:hint="eastAsia" w:ascii="宋体" w:hAnsi="宋体" w:cs="宋体"/>
          <w:b/>
          <w:color w:val="auto"/>
          <w:sz w:val="32"/>
          <w:highlight w:val="none"/>
        </w:rPr>
      </w:pPr>
    </w:p>
    <w:tbl>
      <w:tblPr>
        <w:tblStyle w:val="27"/>
        <w:tblW w:w="841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608"/>
        <w:gridCol w:w="1072"/>
        <w:gridCol w:w="28"/>
        <w:gridCol w:w="508"/>
        <w:gridCol w:w="536"/>
        <w:gridCol w:w="1072"/>
        <w:gridCol w:w="268"/>
        <w:gridCol w:w="496"/>
        <w:gridCol w:w="442"/>
        <w:gridCol w:w="1206"/>
      </w:tblGrid>
      <w:tr w14:paraId="20D9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top w:val="single" w:color="auto" w:sz="8" w:space="0"/>
              <w:left w:val="single" w:color="auto" w:sz="8" w:space="0"/>
            </w:tcBorders>
            <w:noWrap w:val="0"/>
            <w:vAlign w:val="top"/>
          </w:tcPr>
          <w:p w14:paraId="2A183E8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姓  名</w:t>
            </w:r>
          </w:p>
        </w:tc>
        <w:tc>
          <w:tcPr>
            <w:tcW w:w="1608" w:type="dxa"/>
            <w:tcBorders>
              <w:top w:val="single" w:color="auto" w:sz="8" w:space="0"/>
            </w:tcBorders>
            <w:noWrap w:val="0"/>
            <w:vAlign w:val="top"/>
          </w:tcPr>
          <w:p w14:paraId="630EA43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072" w:type="dxa"/>
            <w:tcBorders>
              <w:top w:val="single" w:color="auto" w:sz="8" w:space="0"/>
            </w:tcBorders>
            <w:noWrap w:val="0"/>
            <w:vAlign w:val="top"/>
          </w:tcPr>
          <w:p w14:paraId="6405D38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性  别</w:t>
            </w:r>
          </w:p>
        </w:tc>
        <w:tc>
          <w:tcPr>
            <w:tcW w:w="1072" w:type="dxa"/>
            <w:gridSpan w:val="3"/>
            <w:tcBorders>
              <w:top w:val="single" w:color="auto" w:sz="8" w:space="0"/>
            </w:tcBorders>
            <w:noWrap w:val="0"/>
            <w:vAlign w:val="top"/>
          </w:tcPr>
          <w:p w14:paraId="009D0AE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340" w:type="dxa"/>
            <w:gridSpan w:val="2"/>
            <w:tcBorders>
              <w:top w:val="single" w:color="auto" w:sz="8" w:space="0"/>
            </w:tcBorders>
            <w:noWrap w:val="0"/>
            <w:vAlign w:val="top"/>
          </w:tcPr>
          <w:p w14:paraId="79B10A5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年  龄</w:t>
            </w:r>
          </w:p>
        </w:tc>
        <w:tc>
          <w:tcPr>
            <w:tcW w:w="2144" w:type="dxa"/>
            <w:gridSpan w:val="3"/>
            <w:tcBorders>
              <w:top w:val="single" w:color="auto" w:sz="8" w:space="0"/>
              <w:right w:val="single" w:color="auto" w:sz="8" w:space="0"/>
            </w:tcBorders>
            <w:noWrap w:val="0"/>
            <w:vAlign w:val="top"/>
          </w:tcPr>
          <w:p w14:paraId="35E9CD7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6729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0FFE2AB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职  务</w:t>
            </w:r>
          </w:p>
        </w:tc>
        <w:tc>
          <w:tcPr>
            <w:tcW w:w="1608" w:type="dxa"/>
            <w:noWrap w:val="0"/>
            <w:vAlign w:val="top"/>
          </w:tcPr>
          <w:p w14:paraId="024CEF6C">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072" w:type="dxa"/>
            <w:noWrap w:val="0"/>
            <w:vAlign w:val="top"/>
          </w:tcPr>
          <w:p w14:paraId="2448C86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职  称</w:t>
            </w:r>
          </w:p>
        </w:tc>
        <w:tc>
          <w:tcPr>
            <w:tcW w:w="1072" w:type="dxa"/>
            <w:gridSpan w:val="3"/>
            <w:noWrap w:val="0"/>
            <w:vAlign w:val="top"/>
          </w:tcPr>
          <w:p w14:paraId="1333D1B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340" w:type="dxa"/>
            <w:gridSpan w:val="2"/>
            <w:noWrap w:val="0"/>
            <w:vAlign w:val="top"/>
          </w:tcPr>
          <w:p w14:paraId="262DA920">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学  历</w:t>
            </w:r>
          </w:p>
        </w:tc>
        <w:tc>
          <w:tcPr>
            <w:tcW w:w="2144" w:type="dxa"/>
            <w:gridSpan w:val="3"/>
            <w:tcBorders>
              <w:right w:val="single" w:color="auto" w:sz="8" w:space="0"/>
            </w:tcBorders>
            <w:noWrap w:val="0"/>
            <w:vAlign w:val="top"/>
          </w:tcPr>
          <w:p w14:paraId="0C3CF60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0FFE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0" w:type="dxa"/>
            <w:tcBorders>
              <w:left w:val="single" w:color="auto" w:sz="8" w:space="0"/>
            </w:tcBorders>
            <w:noWrap w:val="0"/>
            <w:vAlign w:val="top"/>
          </w:tcPr>
          <w:p w14:paraId="1E48C8A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专  业</w:t>
            </w:r>
          </w:p>
        </w:tc>
        <w:tc>
          <w:tcPr>
            <w:tcW w:w="2708" w:type="dxa"/>
            <w:gridSpan w:val="3"/>
            <w:noWrap w:val="0"/>
            <w:vAlign w:val="top"/>
          </w:tcPr>
          <w:p w14:paraId="50E8E6EC">
            <w:pPr>
              <w:keepNext w:val="0"/>
              <w:keepLines w:val="0"/>
              <w:pageBreakBefore w:val="0"/>
              <w:widowControl w:val="0"/>
              <w:wordWrap/>
              <w:topLinePunct w:val="0"/>
              <w:bidi w:val="0"/>
              <w:spacing w:line="440" w:lineRule="exact"/>
              <w:rPr>
                <w:rFonts w:hint="eastAsia" w:ascii="宋体" w:hAnsi="宋体" w:cs="宋体"/>
                <w:color w:val="auto"/>
                <w:highlight w:val="none"/>
              </w:rPr>
            </w:pPr>
          </w:p>
        </w:tc>
        <w:tc>
          <w:tcPr>
            <w:tcW w:w="2880" w:type="dxa"/>
            <w:gridSpan w:val="5"/>
            <w:noWrap w:val="0"/>
            <w:vAlign w:val="top"/>
          </w:tcPr>
          <w:p w14:paraId="1498A445">
            <w:pPr>
              <w:keepNext w:val="0"/>
              <w:keepLines w:val="0"/>
              <w:pageBreakBefore w:val="0"/>
              <w:widowControl w:val="0"/>
              <w:wordWrap/>
              <w:topLinePunct w:val="0"/>
              <w:bidi w:val="0"/>
              <w:spacing w:line="440" w:lineRule="exact"/>
              <w:rPr>
                <w:rFonts w:hint="eastAsia" w:ascii="宋体" w:hAnsi="宋体" w:cs="宋体"/>
                <w:color w:val="auto"/>
                <w:highlight w:val="none"/>
              </w:rPr>
            </w:pPr>
            <w:r>
              <w:rPr>
                <w:rFonts w:hint="eastAsia" w:ascii="宋体" w:hAnsi="宋体" w:cs="宋体"/>
                <w:color w:val="auto"/>
                <w:highlight w:val="none"/>
              </w:rPr>
              <w:t>从事项目经理或建造师年限</w:t>
            </w:r>
          </w:p>
        </w:tc>
        <w:tc>
          <w:tcPr>
            <w:tcW w:w="1648" w:type="dxa"/>
            <w:gridSpan w:val="2"/>
            <w:tcBorders>
              <w:right w:val="single" w:color="auto" w:sz="8" w:space="0"/>
            </w:tcBorders>
            <w:noWrap w:val="0"/>
            <w:vAlign w:val="top"/>
          </w:tcPr>
          <w:p w14:paraId="7D5EDEC7">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 xml:space="preserve">         (年)</w:t>
            </w:r>
          </w:p>
        </w:tc>
      </w:tr>
      <w:tr w14:paraId="66CD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16" w:type="dxa"/>
            <w:gridSpan w:val="11"/>
            <w:tcBorders>
              <w:left w:val="single" w:color="auto" w:sz="8" w:space="0"/>
              <w:right w:val="single" w:color="auto" w:sz="8" w:space="0"/>
            </w:tcBorders>
            <w:noWrap w:val="0"/>
            <w:vAlign w:val="top"/>
          </w:tcPr>
          <w:p w14:paraId="593E26E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已完工程项目情况</w:t>
            </w:r>
          </w:p>
        </w:tc>
      </w:tr>
      <w:tr w14:paraId="4624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30C8ACF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建设单位</w:t>
            </w:r>
          </w:p>
        </w:tc>
        <w:tc>
          <w:tcPr>
            <w:tcW w:w="1608" w:type="dxa"/>
            <w:noWrap w:val="0"/>
            <w:vAlign w:val="top"/>
          </w:tcPr>
          <w:p w14:paraId="6EBA772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项目名称</w:t>
            </w:r>
          </w:p>
        </w:tc>
        <w:tc>
          <w:tcPr>
            <w:tcW w:w="1608" w:type="dxa"/>
            <w:gridSpan w:val="3"/>
            <w:noWrap w:val="0"/>
            <w:vAlign w:val="top"/>
          </w:tcPr>
          <w:p w14:paraId="50877A9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建设规模</w:t>
            </w:r>
          </w:p>
        </w:tc>
        <w:tc>
          <w:tcPr>
            <w:tcW w:w="1608" w:type="dxa"/>
            <w:gridSpan w:val="2"/>
            <w:noWrap w:val="0"/>
            <w:vAlign w:val="top"/>
          </w:tcPr>
          <w:p w14:paraId="792C83D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206" w:type="dxa"/>
            <w:gridSpan w:val="3"/>
            <w:noWrap w:val="0"/>
            <w:vAlign w:val="top"/>
          </w:tcPr>
          <w:p w14:paraId="599374C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工程质量</w:t>
            </w:r>
          </w:p>
        </w:tc>
        <w:tc>
          <w:tcPr>
            <w:tcW w:w="1206" w:type="dxa"/>
            <w:tcBorders>
              <w:right w:val="single" w:color="auto" w:sz="8" w:space="0"/>
            </w:tcBorders>
            <w:noWrap w:val="0"/>
            <w:vAlign w:val="top"/>
          </w:tcPr>
          <w:p w14:paraId="0C893D8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受奖情况</w:t>
            </w:r>
          </w:p>
        </w:tc>
      </w:tr>
      <w:tr w14:paraId="07E4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A7E242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18335D6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684C85A1">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5D2100C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0BD83F1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06E9E363">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072D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EA7B60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3F36411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026BD78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619933F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472748F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3AE69D70">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0EE9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085C0E3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26245ADD">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3FF61FA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0730654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6DBD2CD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58258026">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42F6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76040A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621D1DA6">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02239B2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59B5703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2A24E0D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4EC7A31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1016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82EC95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37B9750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593524D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4654344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7C084F3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602CC7A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7221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DA9FD10">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6B94B13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1F685D9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7474FCED">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48EF5D7C">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25026699">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7139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9067541">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06CF7D39">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37F4F4D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7CC25A56">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5074DAD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16D529A1">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6A94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bottom w:val="single" w:color="auto" w:sz="8" w:space="0"/>
            </w:tcBorders>
            <w:noWrap w:val="0"/>
            <w:vAlign w:val="top"/>
          </w:tcPr>
          <w:p w14:paraId="448F319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tcBorders>
              <w:bottom w:val="single" w:color="auto" w:sz="8" w:space="0"/>
            </w:tcBorders>
            <w:noWrap w:val="0"/>
            <w:vAlign w:val="top"/>
          </w:tcPr>
          <w:p w14:paraId="616E4C53">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tcBorders>
              <w:bottom w:val="single" w:color="auto" w:sz="8" w:space="0"/>
            </w:tcBorders>
            <w:noWrap w:val="0"/>
            <w:vAlign w:val="top"/>
          </w:tcPr>
          <w:p w14:paraId="72FB6E49">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tcBorders>
              <w:bottom w:val="single" w:color="auto" w:sz="8" w:space="0"/>
            </w:tcBorders>
            <w:noWrap w:val="0"/>
            <w:vAlign w:val="top"/>
          </w:tcPr>
          <w:p w14:paraId="4149C6BD">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tcBorders>
              <w:bottom w:val="single" w:color="auto" w:sz="8" w:space="0"/>
            </w:tcBorders>
            <w:noWrap w:val="0"/>
            <w:vAlign w:val="top"/>
          </w:tcPr>
          <w:p w14:paraId="7550CD2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bottom w:val="single" w:color="auto" w:sz="8" w:space="0"/>
              <w:right w:val="single" w:color="auto" w:sz="8" w:space="0"/>
            </w:tcBorders>
            <w:noWrap w:val="0"/>
            <w:vAlign w:val="top"/>
          </w:tcPr>
          <w:p w14:paraId="557BC07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bl>
    <w:p w14:paraId="20F88041">
      <w:pPr>
        <w:keepNext w:val="0"/>
        <w:keepLines w:val="0"/>
        <w:pageBreakBefore w:val="0"/>
        <w:widowControl w:val="0"/>
        <w:wordWrap/>
        <w:topLinePunct w:val="0"/>
        <w:bidi w:val="0"/>
        <w:snapToGrid w:val="0"/>
        <w:spacing w:line="400" w:lineRule="exact"/>
        <w:outlineLvl w:val="9"/>
        <w:rPr>
          <w:rFonts w:hint="eastAsia" w:ascii="宋体" w:hAnsi="宋体" w:cs="宋体"/>
          <w:b/>
          <w:color w:val="auto"/>
          <w:sz w:val="24"/>
          <w:highlight w:val="none"/>
        </w:rPr>
      </w:pPr>
    </w:p>
    <w:p w14:paraId="21009CBA">
      <w:pPr>
        <w:keepNext w:val="0"/>
        <w:keepLines w:val="0"/>
        <w:pageBreakBefore w:val="0"/>
        <w:widowControl w:val="0"/>
        <w:wordWrap/>
        <w:topLinePunct w:val="0"/>
        <w:bidi w:val="0"/>
        <w:ind w:firstLine="3092" w:firstLineChars="1100"/>
        <w:jc w:val="left"/>
        <w:rPr>
          <w:rFonts w:hint="eastAsia" w:ascii="宋体" w:hAnsi="宋体" w:eastAsia="宋体" w:cs="宋体"/>
          <w:b/>
          <w:color w:val="auto"/>
          <w:kern w:val="0"/>
          <w:sz w:val="28"/>
          <w:szCs w:val="28"/>
          <w:highlight w:val="none"/>
        </w:rPr>
      </w:pPr>
    </w:p>
    <w:p w14:paraId="0D05B4CD">
      <w:pPr>
        <w:keepNext w:val="0"/>
        <w:keepLines w:val="0"/>
        <w:pageBreakBefore w:val="0"/>
        <w:widowControl w:val="0"/>
        <w:wordWrap/>
        <w:topLinePunct w:val="0"/>
        <w:bidi w:val="0"/>
        <w:ind w:firstLine="1470" w:firstLineChars="7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B41EE11">
      <w:pPr>
        <w:pStyle w:val="12"/>
        <w:keepNext w:val="0"/>
        <w:keepLines w:val="0"/>
        <w:pageBreakBefore w:val="0"/>
        <w:widowControl w:val="0"/>
        <w:wordWrap/>
        <w:topLinePunct w:val="0"/>
        <w:bidi w:val="0"/>
        <w:spacing w:line="300" w:lineRule="exact"/>
        <w:ind w:left="2940" w:leftChars="1400" w:firstLine="630" w:firstLineChars="300"/>
        <w:rPr>
          <w:rFonts w:hint="eastAsia" w:ascii="宋体" w:hAnsi="宋体" w:eastAsia="宋体" w:cs="宋体"/>
          <w:color w:val="auto"/>
          <w:highlight w:val="none"/>
        </w:rPr>
      </w:pPr>
    </w:p>
    <w:p w14:paraId="510409E0">
      <w:pPr>
        <w:pStyle w:val="12"/>
        <w:keepNext w:val="0"/>
        <w:keepLines w:val="0"/>
        <w:pageBreakBefore w:val="0"/>
        <w:widowControl w:val="0"/>
        <w:wordWrap/>
        <w:topLinePunct w:val="0"/>
        <w:bidi w:val="0"/>
        <w:spacing w:line="300" w:lineRule="exact"/>
        <w:ind w:firstLine="4638" w:firstLineChars="16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53330079">
      <w:pPr>
        <w:pStyle w:val="12"/>
        <w:keepNext w:val="0"/>
        <w:keepLines w:val="0"/>
        <w:pageBreakBefore w:val="0"/>
        <w:widowControl w:val="0"/>
        <w:wordWrap/>
        <w:topLinePunct w:val="0"/>
        <w:bidi w:val="0"/>
        <w:spacing w:line="300" w:lineRule="exact"/>
        <w:rPr>
          <w:rFonts w:hint="eastAsia" w:ascii="宋体" w:hAnsi="宋体" w:eastAsia="宋体" w:cs="宋体"/>
          <w:b/>
          <w:color w:val="auto"/>
          <w:sz w:val="28"/>
          <w:szCs w:val="28"/>
          <w:highlight w:val="none"/>
        </w:rPr>
      </w:pPr>
    </w:p>
    <w:p w14:paraId="61653202">
      <w:pPr>
        <w:keepNext w:val="0"/>
        <w:keepLines w:val="0"/>
        <w:pageBreakBefore w:val="0"/>
        <w:widowControl w:val="0"/>
        <w:wordWrap/>
        <w:topLinePunct w:val="0"/>
        <w:bidi w:val="0"/>
        <w:snapToGrid w:val="0"/>
        <w:spacing w:line="300" w:lineRule="exact"/>
        <w:ind w:firstLine="4830" w:firstLineChars="230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3BD3A19E">
      <w:pPr>
        <w:keepNext w:val="0"/>
        <w:keepLines w:val="0"/>
        <w:pageBreakBefore w:val="0"/>
        <w:widowControl w:val="0"/>
        <w:wordWrap/>
        <w:topLinePunct w:val="0"/>
        <w:bidi w:val="0"/>
        <w:snapToGrid w:val="0"/>
        <w:spacing w:line="300" w:lineRule="exact"/>
        <w:ind w:firstLine="3570" w:firstLineChars="1700"/>
        <w:rPr>
          <w:rFonts w:hint="eastAsia" w:ascii="宋体" w:hAnsi="宋体" w:eastAsia="宋体" w:cs="宋体"/>
          <w:color w:val="auto"/>
          <w:highlight w:val="none"/>
          <w:u w:val="single"/>
        </w:rPr>
      </w:pPr>
    </w:p>
    <w:p w14:paraId="689E1D09">
      <w:pPr>
        <w:pStyle w:val="9"/>
        <w:keepNext w:val="0"/>
        <w:keepLines w:val="0"/>
        <w:pageBreakBefore w:val="0"/>
        <w:widowControl w:val="0"/>
        <w:wordWrap/>
        <w:topLinePunct w:val="0"/>
        <w:bidi w:val="0"/>
        <w:rPr>
          <w:rFonts w:hint="eastAsia" w:ascii="宋体" w:hAnsi="宋体" w:eastAsia="宋体" w:cs="宋体"/>
          <w:color w:val="auto"/>
          <w:highlight w:val="none"/>
          <w:u w:val="single"/>
        </w:rPr>
      </w:pPr>
    </w:p>
    <w:p w14:paraId="634480C4">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0A15EFA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6.施工组织设计方案（必须提供）</w:t>
      </w:r>
      <w:r>
        <w:rPr>
          <w:rFonts w:hint="eastAsia" w:ascii="宋体" w:hAnsi="宋体" w:eastAsia="宋体" w:cs="宋体"/>
          <w:b/>
          <w:color w:val="auto"/>
          <w:sz w:val="28"/>
          <w:szCs w:val="28"/>
          <w:highlight w:val="none"/>
        </w:rPr>
        <w:t>；</w:t>
      </w:r>
    </w:p>
    <w:p w14:paraId="1AE0F87E">
      <w:pPr>
        <w:keepNext w:val="0"/>
        <w:keepLines w:val="0"/>
        <w:pageBreakBefore w:val="0"/>
        <w:widowControl w:val="0"/>
        <w:wordWrap/>
        <w:topLinePunct w:val="0"/>
        <w:bidi w:val="0"/>
        <w:snapToGrid w:val="0"/>
        <w:spacing w:line="400" w:lineRule="exact"/>
        <w:jc w:val="center"/>
        <w:outlineLvl w:val="9"/>
        <w:rPr>
          <w:rFonts w:hint="eastAsia" w:ascii="宋体" w:hAnsi="宋体" w:cs="宋体"/>
          <w:b/>
          <w:color w:val="auto"/>
          <w:sz w:val="24"/>
          <w:szCs w:val="24"/>
          <w:highlight w:val="none"/>
          <w:lang w:val="en-US" w:eastAsia="zh-CN"/>
        </w:rPr>
      </w:pPr>
    </w:p>
    <w:p w14:paraId="2852C401">
      <w:pPr>
        <w:keepNext w:val="0"/>
        <w:keepLines w:val="0"/>
        <w:pageBreakBefore w:val="0"/>
        <w:widowControl w:val="0"/>
        <w:wordWrap/>
        <w:topLinePunct w:val="0"/>
        <w:bidi w:val="0"/>
        <w:snapToGrid w:val="0"/>
        <w:spacing w:line="400" w:lineRule="exact"/>
        <w:jc w:val="center"/>
        <w:outlineLvl w:val="9"/>
        <w:rPr>
          <w:rFonts w:hint="eastAsia" w:hAnsi="宋体" w:cs="Times New Roman"/>
          <w:b/>
          <w:color w:val="auto"/>
          <w:sz w:val="28"/>
          <w:szCs w:val="28"/>
        </w:rPr>
      </w:pPr>
      <w:r>
        <w:rPr>
          <w:rFonts w:hint="eastAsia" w:hAnsi="宋体" w:cs="Times New Roman"/>
          <w:b/>
          <w:color w:val="auto"/>
          <w:sz w:val="28"/>
          <w:szCs w:val="28"/>
        </w:rPr>
        <w:t>施工组织设计</w:t>
      </w:r>
    </w:p>
    <w:p w14:paraId="11C7EC68">
      <w:pPr>
        <w:keepNext w:val="0"/>
        <w:keepLines w:val="0"/>
        <w:pageBreakBefore w:val="0"/>
        <w:widowControl w:val="0"/>
        <w:wordWrap/>
        <w:topLinePunct w:val="0"/>
        <w:bidi w:val="0"/>
        <w:snapToGrid w:val="0"/>
        <w:spacing w:line="400" w:lineRule="exact"/>
        <w:jc w:val="center"/>
        <w:outlineLvl w:val="9"/>
        <w:rPr>
          <w:rFonts w:hint="eastAsia" w:hAnsi="宋体" w:cs="Times New Roman"/>
          <w:b/>
          <w:color w:val="auto"/>
          <w:sz w:val="28"/>
          <w:szCs w:val="28"/>
        </w:rPr>
      </w:pPr>
      <w:r>
        <w:rPr>
          <w:rFonts w:hint="eastAsia" w:hAnsi="宋体" w:cs="Times New Roman"/>
          <w:b/>
          <w:color w:val="auto"/>
          <w:sz w:val="28"/>
          <w:szCs w:val="28"/>
        </w:rPr>
        <w:t>（根据工程量清单及工程情况自行编制）</w:t>
      </w:r>
    </w:p>
    <w:p w14:paraId="36F408FC">
      <w:pPr>
        <w:keepNext w:val="0"/>
        <w:keepLines w:val="0"/>
        <w:pageBreakBefore w:val="0"/>
        <w:widowControl w:val="0"/>
        <w:wordWrap/>
        <w:topLinePunct w:val="0"/>
        <w:bidi w:val="0"/>
        <w:snapToGrid w:val="0"/>
        <w:spacing w:line="400" w:lineRule="exact"/>
        <w:jc w:val="center"/>
        <w:outlineLvl w:val="9"/>
        <w:rPr>
          <w:rFonts w:hint="eastAsia" w:ascii="宋体" w:hAnsi="宋体" w:cs="宋体"/>
          <w:b/>
          <w:color w:val="auto"/>
          <w:sz w:val="28"/>
          <w:szCs w:val="28"/>
          <w:highlight w:val="none"/>
        </w:rPr>
      </w:pPr>
      <w:r>
        <w:rPr>
          <w:rFonts w:hint="eastAsia" w:hAnsi="宋体" w:cs="Times New Roman"/>
          <w:b/>
          <w:color w:val="auto"/>
          <w:sz w:val="28"/>
          <w:szCs w:val="28"/>
        </w:rPr>
        <w:t>（格式自拟，必须提供）</w:t>
      </w:r>
    </w:p>
    <w:p w14:paraId="0062A26B">
      <w:pPr>
        <w:pStyle w:val="44"/>
        <w:keepNext w:val="0"/>
        <w:keepLines w:val="0"/>
        <w:pageBreakBefore w:val="0"/>
        <w:widowControl w:val="0"/>
        <w:wordWrap/>
        <w:topLinePunct w:val="0"/>
        <w:bidi w:val="0"/>
        <w:spacing w:line="300" w:lineRule="exact"/>
        <w:ind w:firstLine="425"/>
        <w:rPr>
          <w:rFonts w:hint="eastAsia" w:ascii="宋体" w:hAnsi="宋体" w:eastAsia="宋体" w:cs="宋体"/>
          <w:color w:val="auto"/>
          <w:highlight w:val="none"/>
        </w:rPr>
      </w:pPr>
    </w:p>
    <w:p w14:paraId="19D12B16">
      <w:pPr>
        <w:pStyle w:val="44"/>
        <w:keepNext w:val="0"/>
        <w:keepLines w:val="0"/>
        <w:pageBreakBefore w:val="0"/>
        <w:widowControl w:val="0"/>
        <w:wordWrap/>
        <w:topLinePunct w:val="0"/>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9E42DCE">
      <w:pPr>
        <w:pStyle w:val="44"/>
        <w:keepNext w:val="0"/>
        <w:keepLines w:val="0"/>
        <w:pageBreakBefore w:val="0"/>
        <w:widowControl w:val="0"/>
        <w:wordWrap/>
        <w:topLinePunct w:val="0"/>
        <w:bidi w:val="0"/>
        <w:rPr>
          <w:rFonts w:hint="eastAsia" w:ascii="宋体" w:hAnsi="宋体" w:eastAsia="宋体" w:cs="宋体"/>
          <w:color w:val="auto"/>
          <w:highlight w:val="none"/>
        </w:rPr>
      </w:pPr>
    </w:p>
    <w:p w14:paraId="30898812">
      <w:pPr>
        <w:pStyle w:val="7"/>
        <w:keepNext w:val="0"/>
        <w:keepLines w:val="0"/>
        <w:pageBreakBefore w:val="0"/>
        <w:widowControl w:val="0"/>
        <w:numPr>
          <w:ilvl w:val="0"/>
          <w:numId w:val="0"/>
        </w:numPr>
        <w:wordWrap/>
        <w:topLinePunct w:val="0"/>
        <w:bidi w:val="0"/>
        <w:jc w:val="both"/>
        <w:rPr>
          <w:rFonts w:hint="eastAsia"/>
          <w:color w:val="auto"/>
          <w:highlight w:val="none"/>
        </w:rPr>
      </w:pPr>
    </w:p>
    <w:p w14:paraId="14DACCA7">
      <w:pPr>
        <w:keepNext w:val="0"/>
        <w:keepLines w:val="0"/>
        <w:pageBreakBefore w:val="0"/>
        <w:widowControl w:val="0"/>
        <w:wordWrap/>
        <w:topLinePunct w:val="0"/>
        <w:bidi w:val="0"/>
        <w:ind w:firstLine="1470" w:firstLineChars="7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D5049B1">
      <w:pPr>
        <w:pStyle w:val="12"/>
        <w:keepNext w:val="0"/>
        <w:keepLines w:val="0"/>
        <w:pageBreakBefore w:val="0"/>
        <w:widowControl w:val="0"/>
        <w:wordWrap/>
        <w:topLinePunct w:val="0"/>
        <w:bidi w:val="0"/>
        <w:spacing w:line="300" w:lineRule="exact"/>
        <w:ind w:left="2940" w:leftChars="1400" w:firstLine="630" w:firstLineChars="300"/>
        <w:rPr>
          <w:rFonts w:hint="eastAsia" w:ascii="宋体" w:hAnsi="宋体" w:eastAsia="宋体" w:cs="宋体"/>
          <w:color w:val="auto"/>
          <w:highlight w:val="none"/>
        </w:rPr>
      </w:pPr>
    </w:p>
    <w:p w14:paraId="09A99193">
      <w:pPr>
        <w:pStyle w:val="12"/>
        <w:keepNext w:val="0"/>
        <w:keepLines w:val="0"/>
        <w:pageBreakBefore w:val="0"/>
        <w:widowControl w:val="0"/>
        <w:wordWrap/>
        <w:topLinePunct w:val="0"/>
        <w:bidi w:val="0"/>
        <w:spacing w:line="300" w:lineRule="exact"/>
        <w:ind w:firstLine="4638" w:firstLineChars="16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094636F9">
      <w:pPr>
        <w:pStyle w:val="12"/>
        <w:keepNext w:val="0"/>
        <w:keepLines w:val="0"/>
        <w:pageBreakBefore w:val="0"/>
        <w:widowControl w:val="0"/>
        <w:wordWrap/>
        <w:topLinePunct w:val="0"/>
        <w:bidi w:val="0"/>
        <w:spacing w:line="300" w:lineRule="exact"/>
        <w:rPr>
          <w:rFonts w:hint="eastAsia" w:ascii="宋体" w:hAnsi="宋体" w:eastAsia="宋体" w:cs="宋体"/>
          <w:b/>
          <w:color w:val="auto"/>
          <w:sz w:val="28"/>
          <w:szCs w:val="28"/>
          <w:highlight w:val="none"/>
        </w:rPr>
      </w:pPr>
    </w:p>
    <w:p w14:paraId="5B955564">
      <w:pPr>
        <w:keepNext w:val="0"/>
        <w:keepLines w:val="0"/>
        <w:pageBreakBefore w:val="0"/>
        <w:widowControl w:val="0"/>
        <w:wordWrap/>
        <w:topLinePunct w:val="0"/>
        <w:bidi w:val="0"/>
        <w:ind w:firstLine="1470" w:firstLineChars="700"/>
        <w:rPr>
          <w:rFonts w:hint="eastAsia"/>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6F8F5911">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2A433DE">
      <w:pPr>
        <w:spacing w:line="400" w:lineRule="exact"/>
        <w:ind w:firstLine="551" w:firstLineChars="196"/>
        <w:jc w:val="center"/>
        <w:outlineLvl w:val="2"/>
        <w:rPr>
          <w:rFonts w:hint="eastAsia" w:ascii="宋体" w:hAnsi="宋体" w:cs="宋体"/>
          <w:b/>
          <w:color w:val="auto"/>
          <w:kern w:val="0"/>
          <w:sz w:val="28"/>
          <w:szCs w:val="28"/>
        </w:rPr>
      </w:pPr>
      <w:r>
        <w:rPr>
          <w:rFonts w:hint="eastAsia" w:ascii="宋体" w:hAnsi="宋体" w:eastAsia="宋体" w:cs="宋体"/>
          <w:b/>
          <w:color w:val="auto"/>
          <w:sz w:val="28"/>
          <w:szCs w:val="28"/>
          <w:highlight w:val="none"/>
          <w:lang w:val="en-US" w:eastAsia="zh-CN"/>
        </w:rPr>
        <w:t>7.</w:t>
      </w:r>
      <w:r>
        <w:rPr>
          <w:rFonts w:hint="eastAsia" w:ascii="宋体" w:hAnsi="宋体" w:cs="宋体"/>
          <w:b/>
          <w:color w:val="auto"/>
          <w:kern w:val="0"/>
          <w:sz w:val="28"/>
          <w:szCs w:val="28"/>
        </w:rPr>
        <w:t>建设工程项目管理承诺书（必须提供）；</w:t>
      </w:r>
    </w:p>
    <w:p w14:paraId="20F86CBE">
      <w:pPr>
        <w:spacing w:line="400" w:lineRule="exact"/>
        <w:ind w:firstLine="551" w:firstLineChars="196"/>
        <w:rPr>
          <w:rFonts w:hint="eastAsia" w:ascii="宋体" w:hAnsi="宋体" w:cs="宋体"/>
          <w:b/>
          <w:color w:val="auto"/>
          <w:kern w:val="0"/>
          <w:sz w:val="28"/>
          <w:szCs w:val="28"/>
        </w:rPr>
      </w:pPr>
    </w:p>
    <w:p w14:paraId="715B59D4">
      <w:pPr>
        <w:spacing w:line="480" w:lineRule="auto"/>
        <w:jc w:val="left"/>
        <w:rPr>
          <w:rFonts w:ascii="宋体" w:hAnsi="宋体"/>
          <w:color w:val="auto"/>
        </w:rPr>
      </w:pPr>
      <w:r>
        <w:rPr>
          <w:rFonts w:ascii="宋体" w:hAnsi="宋体"/>
          <w:color w:val="auto"/>
          <w:u w:val="single"/>
        </w:rPr>
        <w:t xml:space="preserve"> </w:t>
      </w:r>
      <w:r>
        <w:rPr>
          <w:rFonts w:hint="eastAsia" w:ascii="宋体" w:hAnsi="宋体"/>
          <w:color w:val="auto"/>
          <w:u w:val="single"/>
          <w:lang w:eastAsia="zh-CN"/>
        </w:rPr>
        <w:t>灌阳县公安局</w:t>
      </w:r>
      <w:r>
        <w:rPr>
          <w:rFonts w:ascii="宋体" w:hAnsi="宋体"/>
          <w:color w:val="auto"/>
          <w:u w:val="single"/>
        </w:rPr>
        <w:t xml:space="preserve"> </w:t>
      </w:r>
      <w:r>
        <w:rPr>
          <w:rFonts w:ascii="宋体" w:hAnsi="宋体"/>
          <w:color w:val="auto"/>
        </w:rPr>
        <w:t>：</w:t>
      </w:r>
    </w:p>
    <w:p w14:paraId="426F75DE">
      <w:pPr>
        <w:spacing w:line="520" w:lineRule="exact"/>
        <w:ind w:firstLine="422" w:firstLineChars="201"/>
        <w:jc w:val="left"/>
        <w:rPr>
          <w:rFonts w:ascii="宋体" w:hAnsi="宋体"/>
          <w:color w:val="auto"/>
        </w:rPr>
      </w:pPr>
      <w:r>
        <w:rPr>
          <w:rFonts w:ascii="宋体" w:hAnsi="宋体"/>
          <w:color w:val="auto"/>
        </w:rPr>
        <w:t>作为参与</w:t>
      </w:r>
      <w:r>
        <w:rPr>
          <w:rFonts w:hint="eastAsia" w:ascii="宋体" w:hAnsi="宋体" w:cs="宋体"/>
          <w:color w:val="auto"/>
          <w:szCs w:val="21"/>
          <w:u w:val="single"/>
        </w:rPr>
        <w:t> </w:t>
      </w:r>
      <w:r>
        <w:rPr>
          <w:rFonts w:ascii="宋体" w:hAnsi="宋体"/>
          <w:color w:val="auto"/>
          <w:u w:val="single"/>
        </w:rPr>
        <w:t>（</w:t>
      </w:r>
      <w:r>
        <w:rPr>
          <w:rFonts w:hint="eastAsia" w:ascii="宋体" w:hAnsi="宋体"/>
          <w:color w:val="auto"/>
          <w:u w:val="single"/>
        </w:rPr>
        <w:t>项目</w:t>
      </w:r>
      <w:r>
        <w:rPr>
          <w:rFonts w:ascii="宋体" w:hAnsi="宋体"/>
          <w:color w:val="auto"/>
          <w:u w:val="single"/>
        </w:rPr>
        <w:t>名称</w:t>
      </w:r>
      <w:r>
        <w:rPr>
          <w:rFonts w:hint="eastAsia" w:ascii="宋体" w:hAnsi="宋体"/>
          <w:color w:val="auto"/>
          <w:u w:val="single"/>
        </w:rPr>
        <w:t xml:space="preserve">、项目编号  </w:t>
      </w:r>
      <w:r>
        <w:rPr>
          <w:rFonts w:ascii="宋体" w:hAnsi="宋体"/>
          <w:color w:val="auto"/>
          <w:u w:val="single"/>
        </w:rPr>
        <w:t>）</w:t>
      </w:r>
      <w:r>
        <w:rPr>
          <w:rFonts w:ascii="宋体" w:hAnsi="宋体"/>
          <w:color w:val="auto"/>
        </w:rPr>
        <w:t>项目的</w:t>
      </w:r>
      <w:r>
        <w:rPr>
          <w:rFonts w:hint="eastAsia" w:ascii="宋体" w:hAnsi="宋体"/>
          <w:color w:val="auto"/>
          <w:lang w:val="en-US" w:eastAsia="zh-CN"/>
        </w:rPr>
        <w:t>磋商供应商</w:t>
      </w:r>
      <w:r>
        <w:rPr>
          <w:rFonts w:ascii="宋体" w:hAnsi="宋体"/>
          <w:color w:val="auto"/>
        </w:rPr>
        <w:t>，根据国家、自治区及</w:t>
      </w:r>
      <w:r>
        <w:rPr>
          <w:rFonts w:hint="eastAsia" w:ascii="宋体" w:hAnsi="宋体"/>
          <w:color w:val="auto"/>
        </w:rPr>
        <w:t>桂林</w:t>
      </w:r>
      <w:r>
        <w:rPr>
          <w:rFonts w:ascii="宋体" w:hAnsi="宋体"/>
          <w:color w:val="auto"/>
        </w:rPr>
        <w:t>市相关文件规定，我方在此向</w:t>
      </w:r>
      <w:r>
        <w:rPr>
          <w:rFonts w:hint="eastAsia" w:ascii="宋体" w:hAnsi="宋体"/>
          <w:color w:val="auto"/>
        </w:rPr>
        <w:t>采购</w:t>
      </w:r>
      <w:r>
        <w:rPr>
          <w:rFonts w:ascii="宋体" w:hAnsi="宋体"/>
          <w:color w:val="auto"/>
        </w:rPr>
        <w:t>人承诺：</w:t>
      </w:r>
    </w:p>
    <w:p w14:paraId="6A363EA7">
      <w:pPr>
        <w:spacing w:line="520" w:lineRule="exact"/>
        <w:ind w:firstLine="422" w:firstLineChars="201"/>
        <w:jc w:val="lef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ascii="宋体" w:hAnsi="宋体"/>
          <w:color w:val="auto"/>
        </w:rPr>
        <w:t>，我方保证按照政府相关部门的规定，在</w:t>
      </w:r>
      <w:r>
        <w:rPr>
          <w:rFonts w:hint="eastAsia" w:ascii="宋体" w:hAnsi="宋体"/>
          <w:color w:val="auto"/>
        </w:rPr>
        <w:t>规定时间</w:t>
      </w:r>
      <w:r>
        <w:rPr>
          <w:rFonts w:ascii="宋体" w:hAnsi="宋体"/>
          <w:color w:val="auto"/>
        </w:rPr>
        <w:t>内足额将农民工工资保障金转入农民工工资保障金专用账户。一旦我方所承包的该项目中出现拖欠农民工和工人工资情况，由建设行政主管部门或财政部门从我方农民工工资保障金中先予划支。我方在中标后如不按时、足额存入农民工工资保障金的，将被取消中标资格。</w:t>
      </w:r>
    </w:p>
    <w:p w14:paraId="3B01BA91">
      <w:pPr>
        <w:spacing w:line="520" w:lineRule="exact"/>
        <w:ind w:left="-10" w:firstLine="455" w:firstLineChars="217"/>
        <w:jc w:val="lef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ascii="宋体" w:hAnsi="宋体"/>
          <w:color w:val="auto"/>
        </w:rPr>
        <w:t>，我方保证在施工过程中，严格执行桂建质安[20</w:t>
      </w:r>
      <w:r>
        <w:rPr>
          <w:rFonts w:hint="eastAsia" w:ascii="宋体" w:hAnsi="宋体"/>
          <w:color w:val="auto"/>
        </w:rPr>
        <w:t>15</w:t>
      </w:r>
      <w:r>
        <w:rPr>
          <w:rFonts w:ascii="宋体" w:hAnsi="宋体"/>
          <w:color w:val="auto"/>
        </w:rPr>
        <w:t>]</w:t>
      </w:r>
      <w:r>
        <w:rPr>
          <w:rFonts w:hint="eastAsia" w:ascii="宋体" w:hAnsi="宋体"/>
          <w:color w:val="auto"/>
        </w:rPr>
        <w:t>16</w:t>
      </w:r>
      <w:r>
        <w:rPr>
          <w:rFonts w:ascii="宋体" w:hAnsi="宋体"/>
          <w:color w:val="auto"/>
        </w:rPr>
        <w:t>号文《广西壮族自治区建筑工程安全文明施工费使用管理细则》的有关规定，确保建设工程各项安全防护、文明施工措施落实到位。如我方在该项目的承包中出现未按桂建质安[20</w:t>
      </w:r>
      <w:r>
        <w:rPr>
          <w:rFonts w:hint="eastAsia" w:ascii="宋体" w:hAnsi="宋体"/>
          <w:color w:val="auto"/>
        </w:rPr>
        <w:t>15</w:t>
      </w:r>
      <w:r>
        <w:rPr>
          <w:rFonts w:ascii="宋体" w:hAnsi="宋体"/>
          <w:color w:val="auto"/>
        </w:rPr>
        <w:t>]</w:t>
      </w:r>
      <w:r>
        <w:rPr>
          <w:rFonts w:hint="eastAsia" w:ascii="宋体" w:hAnsi="宋体"/>
          <w:color w:val="auto"/>
        </w:rPr>
        <w:t>16</w:t>
      </w:r>
      <w:r>
        <w:rPr>
          <w:rFonts w:ascii="宋体" w:hAnsi="宋体"/>
          <w:color w:val="auto"/>
        </w:rPr>
        <w:t>号文附件一规定执行的情形，我方愿意按照相关规定接受建设单位及有关主管部门的处罚。</w:t>
      </w:r>
    </w:p>
    <w:p w14:paraId="027C1878">
      <w:pPr>
        <w:spacing w:line="520" w:lineRule="exact"/>
        <w:ind w:left="-2" w:leftChars="-1" w:firstLine="449" w:firstLineChars="214"/>
        <w:jc w:val="lef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ascii="宋体" w:hAnsi="宋体"/>
          <w:color w:val="auto"/>
        </w:rPr>
        <w:t>，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C46FF54">
      <w:pPr>
        <w:pStyle w:val="64"/>
        <w:spacing w:line="520" w:lineRule="exact"/>
        <w:ind w:left="-10" w:firstLine="455" w:firstLineChars="217"/>
        <w:jc w:val="left"/>
        <w:rPr>
          <w:color w:val="auto"/>
          <w:szCs w:val="21"/>
        </w:rPr>
      </w:pPr>
      <w:r>
        <w:rPr>
          <w:rFonts w:hint="eastAsia"/>
          <w:color w:val="auto"/>
          <w:szCs w:val="21"/>
        </w:rPr>
        <w:t>4、</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hint="eastAsia"/>
          <w:color w:val="auto"/>
          <w:szCs w:val="21"/>
        </w:rPr>
        <w:t>，我方保证在施工过程中，严格执行《关于禁止使用不符合规范要求的竹脚手架的通知》（</w:t>
      </w:r>
      <w:r>
        <w:rPr>
          <w:color w:val="auto"/>
          <w:szCs w:val="21"/>
        </w:rPr>
        <w:t>桂建</w:t>
      </w:r>
      <w:r>
        <w:rPr>
          <w:rFonts w:hint="eastAsia"/>
          <w:color w:val="auto"/>
          <w:szCs w:val="21"/>
        </w:rPr>
        <w:t>管字</w:t>
      </w:r>
      <w:r>
        <w:rPr>
          <w:color w:val="auto"/>
          <w:szCs w:val="21"/>
        </w:rPr>
        <w:t>〔200</w:t>
      </w:r>
      <w:r>
        <w:rPr>
          <w:rFonts w:hint="eastAsia"/>
          <w:color w:val="auto"/>
          <w:szCs w:val="21"/>
        </w:rPr>
        <w:t>3</w:t>
      </w:r>
      <w:r>
        <w:rPr>
          <w:color w:val="auto"/>
          <w:szCs w:val="21"/>
        </w:rPr>
        <w:t>〕</w:t>
      </w:r>
      <w:r>
        <w:rPr>
          <w:rFonts w:hint="eastAsia"/>
          <w:color w:val="auto"/>
          <w:szCs w:val="21"/>
        </w:rPr>
        <w:t>40</w:t>
      </w:r>
      <w:r>
        <w:rPr>
          <w:color w:val="auto"/>
          <w:szCs w:val="21"/>
        </w:rPr>
        <w:t>号</w:t>
      </w:r>
      <w:r>
        <w:rPr>
          <w:rFonts w:hint="eastAsia"/>
          <w:color w:val="auto"/>
          <w:szCs w:val="21"/>
        </w:rPr>
        <w:t>）的有关规定，不使用竹脚手架。如我方在该</w:t>
      </w:r>
      <w:r>
        <w:rPr>
          <w:color w:val="auto"/>
          <w:szCs w:val="21"/>
        </w:rPr>
        <w:t>项目的承包中出现未按规定执行的情形，我方愿意按照相关规定接受建设单位及有关主管部门的处罚。</w:t>
      </w:r>
    </w:p>
    <w:p w14:paraId="7562B2B7">
      <w:pPr>
        <w:pStyle w:val="64"/>
        <w:spacing w:line="520" w:lineRule="exact"/>
        <w:ind w:left="-10" w:firstLine="455" w:firstLineChars="217"/>
        <w:jc w:val="left"/>
        <w:rPr>
          <w:color w:val="auto"/>
          <w:szCs w:val="21"/>
        </w:rPr>
      </w:pPr>
      <w:r>
        <w:rPr>
          <w:rFonts w:hint="eastAsia"/>
          <w:color w:val="auto"/>
          <w:szCs w:val="21"/>
        </w:rPr>
        <w:t>5、</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hint="eastAsia"/>
          <w:color w:val="auto"/>
          <w:szCs w:val="21"/>
        </w:rPr>
        <w:t>，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10396080">
      <w:pPr>
        <w:spacing w:line="400" w:lineRule="exact"/>
        <w:ind w:firstLine="551" w:firstLineChars="196"/>
        <w:rPr>
          <w:rFonts w:hint="eastAsia" w:ascii="宋体" w:hAnsi="宋体" w:cs="宋体"/>
          <w:b/>
          <w:color w:val="auto"/>
          <w:kern w:val="0"/>
          <w:sz w:val="28"/>
          <w:szCs w:val="28"/>
        </w:rPr>
      </w:pPr>
    </w:p>
    <w:p w14:paraId="6EBA2ABB">
      <w:pPr>
        <w:spacing w:line="400" w:lineRule="exact"/>
        <w:rPr>
          <w:rFonts w:hint="eastAsia" w:ascii="宋体" w:hAnsi="宋体" w:cs="宋体"/>
          <w:b/>
          <w:color w:val="auto"/>
          <w:kern w:val="0"/>
          <w:sz w:val="28"/>
          <w:szCs w:val="28"/>
        </w:rPr>
      </w:pPr>
    </w:p>
    <w:p w14:paraId="6864EC5A">
      <w:pPr>
        <w:snapToGrid w:val="0"/>
        <w:spacing w:line="360" w:lineRule="exact"/>
        <w:ind w:firstLine="2835" w:firstLineChars="1350"/>
        <w:outlineLvl w:val="9"/>
        <w:rPr>
          <w:rFonts w:ascii="宋体" w:hAnsi="宋体"/>
          <w:color w:val="auto"/>
          <w:szCs w:val="21"/>
          <w:u w:val="single"/>
        </w:rPr>
      </w:pPr>
      <w:r>
        <w:rPr>
          <w:rFonts w:hint="eastAsia" w:ascii="宋体" w:hAnsi="宋体"/>
          <w:color w:val="auto"/>
          <w:szCs w:val="21"/>
        </w:rPr>
        <w:t>供应商名称（加盖供应商CA证书签章）：</w:t>
      </w:r>
      <w:r>
        <w:rPr>
          <w:rFonts w:hint="eastAsia" w:ascii="宋体" w:hAnsi="宋体"/>
          <w:color w:val="auto"/>
          <w:szCs w:val="21"/>
          <w:u w:val="single"/>
        </w:rPr>
        <w:t xml:space="preserve">              </w:t>
      </w:r>
    </w:p>
    <w:p w14:paraId="21AF4605">
      <w:pPr>
        <w:snapToGrid w:val="0"/>
        <w:spacing w:line="360" w:lineRule="exact"/>
        <w:ind w:firstLine="3675" w:firstLineChars="1750"/>
        <w:outlineLvl w:val="9"/>
        <w:rPr>
          <w:rFonts w:hint="eastAsia" w:ascii="宋体" w:hAnsi="宋体"/>
          <w:color w:val="auto"/>
        </w:rPr>
      </w:pPr>
    </w:p>
    <w:p w14:paraId="2BE9B514">
      <w:pPr>
        <w:snapToGrid w:val="0"/>
        <w:spacing w:line="360" w:lineRule="exact"/>
        <w:ind w:firstLine="3675" w:firstLineChars="1750"/>
        <w:outlineLvl w:val="9"/>
        <w:rPr>
          <w:rFonts w:hint="eastAsia" w:ascii="宋体" w:hAnsi="宋体"/>
          <w:color w:val="auto"/>
          <w:szCs w:val="21"/>
        </w:rPr>
      </w:pPr>
      <w:r>
        <w:rPr>
          <w:rFonts w:hint="eastAsia" w:ascii="宋体" w:hAnsi="宋体"/>
          <w:color w:val="auto"/>
        </w:rPr>
        <w:t>日   期：</w:t>
      </w:r>
      <w:r>
        <w:rPr>
          <w:rFonts w:hint="eastAsia" w:ascii="宋体" w:hAnsi="宋体"/>
          <w:color w:val="auto"/>
          <w:u w:val="single"/>
        </w:rPr>
        <w:t xml:space="preserve">                         </w:t>
      </w:r>
    </w:p>
    <w:p w14:paraId="67AB3FC8">
      <w:pPr>
        <w:rPr>
          <w:rFonts w:hint="eastAsia" w:cs="宋体"/>
          <w:b/>
          <w:bCs/>
          <w:color w:val="auto"/>
          <w:sz w:val="28"/>
          <w:szCs w:val="28"/>
        </w:rPr>
      </w:pPr>
      <w:r>
        <w:rPr>
          <w:rFonts w:hint="eastAsia" w:cs="宋体"/>
          <w:b/>
          <w:bCs/>
          <w:color w:val="auto"/>
          <w:sz w:val="28"/>
          <w:szCs w:val="28"/>
        </w:rPr>
        <w:br w:type="page"/>
      </w:r>
    </w:p>
    <w:p w14:paraId="6D1923DB">
      <w:pPr>
        <w:pStyle w:val="64"/>
        <w:spacing w:line="360" w:lineRule="auto"/>
        <w:jc w:val="center"/>
        <w:rPr>
          <w:color w:val="auto"/>
          <w:szCs w:val="21"/>
        </w:rPr>
      </w:pPr>
      <w:r>
        <w:rPr>
          <w:rFonts w:hint="eastAsia" w:cs="宋体"/>
          <w:b/>
          <w:bCs/>
          <w:color w:val="auto"/>
          <w:sz w:val="28"/>
          <w:szCs w:val="28"/>
        </w:rPr>
        <w:t>广西壮族自治区建筑工程安全文明施工措施项目清单内容</w:t>
      </w:r>
    </w:p>
    <w:p w14:paraId="20C300A8">
      <w:pPr>
        <w:pStyle w:val="64"/>
        <w:spacing w:line="360" w:lineRule="auto"/>
        <w:ind w:firstLine="600" w:firstLineChars="250"/>
        <w:jc w:val="center"/>
        <w:rPr>
          <w:color w:val="auto"/>
          <w:sz w:val="24"/>
          <w:szCs w:val="24"/>
        </w:rPr>
      </w:pPr>
      <w:r>
        <w:rPr>
          <w:rFonts w:hint="eastAsia" w:cs="宋体"/>
          <w:color w:val="auto"/>
          <w:sz w:val="24"/>
          <w:szCs w:val="24"/>
        </w:rPr>
        <w:t>（桂建质〔</w:t>
      </w:r>
      <w:r>
        <w:rPr>
          <w:color w:val="auto"/>
          <w:sz w:val="24"/>
          <w:szCs w:val="24"/>
        </w:rPr>
        <w:t>2015</w:t>
      </w:r>
      <w:r>
        <w:rPr>
          <w:rFonts w:hint="eastAsia" w:cs="宋体"/>
          <w:color w:val="auto"/>
          <w:sz w:val="24"/>
          <w:szCs w:val="24"/>
        </w:rPr>
        <w:t>〕</w:t>
      </w:r>
      <w:r>
        <w:rPr>
          <w:color w:val="auto"/>
          <w:sz w:val="24"/>
          <w:szCs w:val="24"/>
        </w:rPr>
        <w:t>16</w:t>
      </w:r>
      <w:r>
        <w:rPr>
          <w:rFonts w:hint="eastAsia" w:cs="宋体"/>
          <w:color w:val="auto"/>
          <w:sz w:val="24"/>
          <w:szCs w:val="24"/>
        </w:rPr>
        <w:t>号文附件一）</w:t>
      </w:r>
    </w:p>
    <w:p w14:paraId="2E349D60">
      <w:pPr>
        <w:pStyle w:val="64"/>
        <w:spacing w:line="240" w:lineRule="atLeast"/>
        <w:jc w:val="center"/>
        <w:rPr>
          <w:rFonts w:ascii="宋体"/>
          <w:b/>
          <w:bCs/>
          <w:color w:val="auto"/>
          <w:sz w:val="24"/>
          <w:szCs w:val="24"/>
        </w:rPr>
      </w:pPr>
      <w:r>
        <w:rPr>
          <w:rFonts w:hint="eastAsia" w:ascii="宋体" w:hAnsi="宋体" w:cs="宋体"/>
          <w:b/>
          <w:bCs/>
          <w:color w:val="auto"/>
          <w:sz w:val="24"/>
          <w:szCs w:val="24"/>
        </w:rPr>
        <w:t>广西壮族自治区</w:t>
      </w:r>
    </w:p>
    <w:p w14:paraId="2A88FEBC">
      <w:pPr>
        <w:pStyle w:val="64"/>
        <w:spacing w:line="240" w:lineRule="atLeast"/>
        <w:ind w:firstLine="546"/>
        <w:jc w:val="center"/>
        <w:rPr>
          <w:b/>
          <w:bCs/>
          <w:color w:val="auto"/>
          <w:w w:val="90"/>
          <w:sz w:val="24"/>
          <w:szCs w:val="24"/>
        </w:rPr>
      </w:pPr>
      <w:r>
        <w:rPr>
          <w:rFonts w:hint="eastAsia" w:cs="宋体"/>
          <w:b/>
          <w:bCs/>
          <w:color w:val="auto"/>
          <w:w w:val="90"/>
          <w:sz w:val="24"/>
          <w:szCs w:val="24"/>
        </w:rPr>
        <w:t>建设工程安全文明施工措施项目清单内容</w:t>
      </w:r>
    </w:p>
    <w:p w14:paraId="40A451BE">
      <w:pPr>
        <w:pStyle w:val="64"/>
        <w:spacing w:line="240" w:lineRule="atLeast"/>
        <w:ind w:firstLine="546"/>
        <w:jc w:val="center"/>
        <w:rPr>
          <w:b/>
          <w:bCs/>
          <w:color w:val="auto"/>
          <w:w w:val="90"/>
          <w:sz w:val="24"/>
          <w:szCs w:val="24"/>
        </w:rPr>
      </w:pPr>
    </w:p>
    <w:tbl>
      <w:tblPr>
        <w:tblStyle w:val="27"/>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58A6D2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tcBorders>
              <w:top w:val="single" w:color="auto" w:sz="12" w:space="0"/>
            </w:tcBorders>
            <w:noWrap w:val="0"/>
            <w:vAlign w:val="center"/>
          </w:tcPr>
          <w:p w14:paraId="779018B2">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类别</w:t>
            </w:r>
          </w:p>
        </w:tc>
        <w:tc>
          <w:tcPr>
            <w:tcW w:w="2070" w:type="dxa"/>
            <w:gridSpan w:val="2"/>
            <w:tcBorders>
              <w:top w:val="single" w:color="auto" w:sz="12" w:space="0"/>
            </w:tcBorders>
            <w:noWrap w:val="0"/>
            <w:vAlign w:val="center"/>
          </w:tcPr>
          <w:p w14:paraId="41EEC52B">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项目名称</w:t>
            </w:r>
          </w:p>
        </w:tc>
        <w:tc>
          <w:tcPr>
            <w:tcW w:w="6645" w:type="dxa"/>
            <w:tcBorders>
              <w:top w:val="single" w:color="auto" w:sz="12" w:space="0"/>
            </w:tcBorders>
            <w:noWrap w:val="0"/>
            <w:vAlign w:val="center"/>
          </w:tcPr>
          <w:p w14:paraId="091AC829">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主要内容和要求</w:t>
            </w:r>
          </w:p>
        </w:tc>
      </w:tr>
      <w:tr w14:paraId="3312C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0D15450D">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文明</w:t>
            </w:r>
          </w:p>
          <w:p w14:paraId="1BC5CF20">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施工</w:t>
            </w:r>
          </w:p>
          <w:p w14:paraId="66949C4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与</w:t>
            </w:r>
          </w:p>
          <w:p w14:paraId="6F890CEE">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环境</w:t>
            </w:r>
          </w:p>
          <w:p w14:paraId="05EFDACE">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保护</w:t>
            </w:r>
          </w:p>
        </w:tc>
        <w:tc>
          <w:tcPr>
            <w:tcW w:w="2070" w:type="dxa"/>
            <w:gridSpan w:val="2"/>
            <w:noWrap w:val="0"/>
            <w:vAlign w:val="center"/>
          </w:tcPr>
          <w:p w14:paraId="337B066B">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安全警示</w:t>
            </w:r>
          </w:p>
          <w:p w14:paraId="71608E7F">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标志牌</w:t>
            </w:r>
          </w:p>
        </w:tc>
        <w:tc>
          <w:tcPr>
            <w:tcW w:w="6645" w:type="dxa"/>
            <w:noWrap w:val="0"/>
            <w:vAlign w:val="center"/>
          </w:tcPr>
          <w:p w14:paraId="446CB5F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在易发伤亡事故（或危险）处设置明显的、符合国家标准要求的安全警示标志牌。</w:t>
            </w:r>
          </w:p>
        </w:tc>
      </w:tr>
      <w:tr w14:paraId="4A2D4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7804975">
            <w:pPr>
              <w:pStyle w:val="64"/>
              <w:spacing w:line="300" w:lineRule="exact"/>
              <w:jc w:val="center"/>
              <w:rPr>
                <w:rFonts w:ascii="方正仿宋_GBK" w:eastAsia="方正仿宋_GBK"/>
                <w:color w:val="auto"/>
                <w:szCs w:val="21"/>
              </w:rPr>
            </w:pPr>
          </w:p>
        </w:tc>
        <w:tc>
          <w:tcPr>
            <w:tcW w:w="2070" w:type="dxa"/>
            <w:gridSpan w:val="2"/>
            <w:noWrap w:val="0"/>
            <w:vAlign w:val="center"/>
          </w:tcPr>
          <w:p w14:paraId="3220D713">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现场围挡</w:t>
            </w:r>
          </w:p>
        </w:tc>
        <w:tc>
          <w:tcPr>
            <w:tcW w:w="6645" w:type="dxa"/>
            <w:noWrap w:val="0"/>
            <w:vAlign w:val="center"/>
          </w:tcPr>
          <w:p w14:paraId="67F6F86E">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现场采用封闭围挡，高度不小于</w:t>
            </w:r>
            <w:r>
              <w:rPr>
                <w:rFonts w:ascii="方正仿宋_GBK" w:eastAsia="方正仿宋_GBK" w:cs="方正仿宋_GBK"/>
                <w:color w:val="auto"/>
                <w:szCs w:val="21"/>
              </w:rPr>
              <w:t>1.8m</w:t>
            </w:r>
            <w:r>
              <w:rPr>
                <w:rFonts w:hint="eastAsia" w:ascii="方正仿宋_GBK" w:eastAsia="方正仿宋_GBK" w:cs="方正仿宋_GBK"/>
                <w:color w:val="auto"/>
                <w:szCs w:val="21"/>
              </w:rPr>
              <w:t>。</w:t>
            </w:r>
          </w:p>
          <w:p w14:paraId="6E350D46">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围挡材料可用彩色、定型钢板，砌块等墙体。</w:t>
            </w:r>
          </w:p>
        </w:tc>
      </w:tr>
      <w:tr w14:paraId="09571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481EBF9">
            <w:pPr>
              <w:pStyle w:val="64"/>
              <w:spacing w:line="300" w:lineRule="exact"/>
              <w:jc w:val="center"/>
              <w:rPr>
                <w:rFonts w:ascii="方正仿宋_GBK" w:eastAsia="方正仿宋_GBK"/>
                <w:color w:val="auto"/>
                <w:szCs w:val="21"/>
              </w:rPr>
            </w:pPr>
          </w:p>
        </w:tc>
        <w:tc>
          <w:tcPr>
            <w:tcW w:w="2070" w:type="dxa"/>
            <w:gridSpan w:val="2"/>
            <w:noWrap w:val="0"/>
            <w:vAlign w:val="center"/>
          </w:tcPr>
          <w:p w14:paraId="0B050C85">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七牌二图</w:t>
            </w:r>
          </w:p>
        </w:tc>
        <w:tc>
          <w:tcPr>
            <w:tcW w:w="6645" w:type="dxa"/>
            <w:noWrap w:val="0"/>
            <w:vAlign w:val="center"/>
          </w:tcPr>
          <w:p w14:paraId="03BF558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在进门处悬挂工程概况、现场出入制度、管理人员名单及监督电话、安全生产规定、文明施工、消防保卫、节能公示等七牌以及施工现场总平面图、工程效果图。</w:t>
            </w:r>
          </w:p>
        </w:tc>
      </w:tr>
      <w:tr w14:paraId="3ABEE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52F92ED3">
            <w:pPr>
              <w:pStyle w:val="64"/>
              <w:spacing w:line="300" w:lineRule="exact"/>
              <w:jc w:val="center"/>
              <w:rPr>
                <w:rFonts w:ascii="方正仿宋_GBK" w:eastAsia="方正仿宋_GBK"/>
                <w:color w:val="auto"/>
                <w:szCs w:val="21"/>
              </w:rPr>
            </w:pPr>
          </w:p>
        </w:tc>
        <w:tc>
          <w:tcPr>
            <w:tcW w:w="2070" w:type="dxa"/>
            <w:gridSpan w:val="2"/>
            <w:noWrap w:val="0"/>
            <w:vAlign w:val="center"/>
          </w:tcPr>
          <w:p w14:paraId="180E065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企业标志</w:t>
            </w:r>
          </w:p>
        </w:tc>
        <w:tc>
          <w:tcPr>
            <w:tcW w:w="6645" w:type="dxa"/>
            <w:noWrap w:val="0"/>
            <w:vAlign w:val="center"/>
          </w:tcPr>
          <w:p w14:paraId="219E2BBA">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现场出入的大门应设有本企业标志或企业标识。</w:t>
            </w:r>
          </w:p>
        </w:tc>
      </w:tr>
      <w:tr w14:paraId="7056A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9150DDE">
            <w:pPr>
              <w:pStyle w:val="64"/>
              <w:spacing w:line="300" w:lineRule="exact"/>
              <w:jc w:val="center"/>
              <w:rPr>
                <w:rFonts w:ascii="方正仿宋_GBK" w:eastAsia="方正仿宋_GBK"/>
                <w:color w:val="auto"/>
                <w:szCs w:val="21"/>
              </w:rPr>
            </w:pPr>
          </w:p>
        </w:tc>
        <w:tc>
          <w:tcPr>
            <w:tcW w:w="2070" w:type="dxa"/>
            <w:gridSpan w:val="2"/>
            <w:noWrap w:val="0"/>
            <w:vAlign w:val="center"/>
          </w:tcPr>
          <w:p w14:paraId="739FA912">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场容场貌</w:t>
            </w:r>
          </w:p>
        </w:tc>
        <w:tc>
          <w:tcPr>
            <w:tcW w:w="6645" w:type="dxa"/>
            <w:noWrap w:val="0"/>
            <w:vAlign w:val="center"/>
          </w:tcPr>
          <w:p w14:paraId="708EA880">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道路畅通。</w:t>
            </w:r>
          </w:p>
          <w:p w14:paraId="3AF98663">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排水设施齐全畅通。</w:t>
            </w:r>
          </w:p>
          <w:p w14:paraId="6FBD7140">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工地地面硬化处理（办公区、生活区、现场道路、材料堆放、混凝土搅拌、砂浆搅拌、钢筋加工等场地和外脚手架基础等）。</w:t>
            </w:r>
          </w:p>
        </w:tc>
      </w:tr>
      <w:tr w14:paraId="1C5A1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4EFD4DD">
            <w:pPr>
              <w:pStyle w:val="64"/>
              <w:spacing w:line="300" w:lineRule="exact"/>
              <w:jc w:val="center"/>
              <w:rPr>
                <w:rFonts w:ascii="方正仿宋_GBK" w:eastAsia="方正仿宋_GBK"/>
                <w:color w:val="auto"/>
                <w:szCs w:val="21"/>
              </w:rPr>
            </w:pPr>
          </w:p>
        </w:tc>
        <w:tc>
          <w:tcPr>
            <w:tcW w:w="2070" w:type="dxa"/>
            <w:gridSpan w:val="2"/>
            <w:noWrap w:val="0"/>
            <w:vAlign w:val="center"/>
          </w:tcPr>
          <w:p w14:paraId="3052AA2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材料堆放</w:t>
            </w:r>
          </w:p>
        </w:tc>
        <w:tc>
          <w:tcPr>
            <w:tcW w:w="6645" w:type="dxa"/>
            <w:noWrap w:val="0"/>
            <w:vAlign w:val="center"/>
          </w:tcPr>
          <w:p w14:paraId="73513819">
            <w:pPr>
              <w:pStyle w:val="64"/>
              <w:numPr>
                <w:ilvl w:val="0"/>
                <w:numId w:val="10"/>
              </w:numPr>
              <w:spacing w:line="300" w:lineRule="exact"/>
              <w:rPr>
                <w:rFonts w:ascii="方正仿宋_GBK" w:eastAsia="方正仿宋_GBK"/>
                <w:color w:val="auto"/>
                <w:szCs w:val="21"/>
              </w:rPr>
            </w:pPr>
            <w:r>
              <w:rPr>
                <w:rFonts w:hint="eastAsia" w:ascii="方正仿宋_GBK" w:eastAsia="方正仿宋_GBK" w:cs="方正仿宋_GBK"/>
                <w:color w:val="auto"/>
                <w:szCs w:val="21"/>
              </w:rPr>
              <w:t>材料、构件、料具等堆放时，应有名称、品种、规格等标牌。</w:t>
            </w:r>
          </w:p>
          <w:p w14:paraId="77D18942">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水泥和其它易飞扬细颗粒建筑材料应封闭存放或采取覆盖等措施。</w:t>
            </w:r>
          </w:p>
          <w:p w14:paraId="3BE3E97C">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易燃、易爆和有毒有害物品分类存放。</w:t>
            </w:r>
          </w:p>
        </w:tc>
      </w:tr>
      <w:tr w14:paraId="249C9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7E89B62D">
            <w:pPr>
              <w:pStyle w:val="64"/>
              <w:spacing w:line="300" w:lineRule="exact"/>
              <w:jc w:val="center"/>
              <w:rPr>
                <w:rFonts w:ascii="方正仿宋_GBK" w:eastAsia="方正仿宋_GBK"/>
                <w:color w:val="auto"/>
                <w:szCs w:val="21"/>
              </w:rPr>
            </w:pPr>
          </w:p>
        </w:tc>
        <w:tc>
          <w:tcPr>
            <w:tcW w:w="2070" w:type="dxa"/>
            <w:gridSpan w:val="2"/>
            <w:noWrap w:val="0"/>
            <w:vAlign w:val="center"/>
          </w:tcPr>
          <w:p w14:paraId="71244FF9">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现场防火</w:t>
            </w:r>
          </w:p>
        </w:tc>
        <w:tc>
          <w:tcPr>
            <w:tcW w:w="6645" w:type="dxa"/>
            <w:noWrap w:val="0"/>
            <w:vAlign w:val="center"/>
          </w:tcPr>
          <w:p w14:paraId="08F9952D">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消防器材配置合理，符合消防要求。</w:t>
            </w:r>
          </w:p>
        </w:tc>
      </w:tr>
      <w:tr w14:paraId="5A9EF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8991D89">
            <w:pPr>
              <w:pStyle w:val="64"/>
              <w:spacing w:line="300" w:lineRule="exact"/>
              <w:jc w:val="center"/>
              <w:rPr>
                <w:rFonts w:ascii="方正仿宋_GBK" w:eastAsia="方正仿宋_GBK"/>
                <w:color w:val="auto"/>
                <w:szCs w:val="21"/>
              </w:rPr>
            </w:pPr>
          </w:p>
        </w:tc>
        <w:tc>
          <w:tcPr>
            <w:tcW w:w="2070" w:type="dxa"/>
            <w:gridSpan w:val="2"/>
            <w:noWrap w:val="0"/>
            <w:vAlign w:val="center"/>
          </w:tcPr>
          <w:p w14:paraId="340C4B83">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垃圾清运</w:t>
            </w:r>
          </w:p>
        </w:tc>
        <w:tc>
          <w:tcPr>
            <w:tcW w:w="6645" w:type="dxa"/>
            <w:noWrap w:val="0"/>
            <w:vAlign w:val="center"/>
          </w:tcPr>
          <w:p w14:paraId="086208B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施工现场应设置密闭式垃圾站，施工垃圾、生活垃圾应分类存放。</w:t>
            </w:r>
          </w:p>
          <w:p w14:paraId="5D8BC058">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施工垃圾必须采用相应容器或管道运输。</w:t>
            </w:r>
          </w:p>
        </w:tc>
      </w:tr>
      <w:tr w14:paraId="23D45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A25494">
            <w:pPr>
              <w:pStyle w:val="64"/>
              <w:spacing w:line="300" w:lineRule="exact"/>
              <w:jc w:val="center"/>
              <w:rPr>
                <w:rFonts w:ascii="方正仿宋_GBK" w:eastAsia="方正仿宋_GBK"/>
                <w:color w:val="auto"/>
                <w:szCs w:val="21"/>
              </w:rPr>
            </w:pPr>
          </w:p>
        </w:tc>
        <w:tc>
          <w:tcPr>
            <w:tcW w:w="2070" w:type="dxa"/>
            <w:gridSpan w:val="2"/>
            <w:noWrap w:val="0"/>
            <w:vAlign w:val="center"/>
          </w:tcPr>
          <w:p w14:paraId="17D3F3A4">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宣传栏、环保及不扰民措施</w:t>
            </w:r>
          </w:p>
        </w:tc>
        <w:tc>
          <w:tcPr>
            <w:tcW w:w="6645" w:type="dxa"/>
            <w:noWrap w:val="0"/>
            <w:vAlign w:val="center"/>
          </w:tcPr>
          <w:p w14:paraId="74D64A19">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宣传栏、安全宣传标语等，洗车（防止污染市区道路）、粉尘、噪声控制和排污（污水、废气）措施等。</w:t>
            </w:r>
          </w:p>
        </w:tc>
      </w:tr>
      <w:tr w14:paraId="3555A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35E8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临时设施</w:t>
            </w:r>
          </w:p>
        </w:tc>
        <w:tc>
          <w:tcPr>
            <w:tcW w:w="2070" w:type="dxa"/>
            <w:gridSpan w:val="2"/>
            <w:noWrap w:val="0"/>
            <w:vAlign w:val="center"/>
          </w:tcPr>
          <w:p w14:paraId="5F319D7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现场办公</w:t>
            </w:r>
          </w:p>
          <w:p w14:paraId="5A7C8C08">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生活设施</w:t>
            </w:r>
          </w:p>
        </w:tc>
        <w:tc>
          <w:tcPr>
            <w:tcW w:w="6645" w:type="dxa"/>
            <w:noWrap w:val="0"/>
            <w:vAlign w:val="center"/>
          </w:tcPr>
          <w:p w14:paraId="078F9F43">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施工现场办公、生活区与作业区分开设置，保持安全距离。</w:t>
            </w:r>
          </w:p>
          <w:p w14:paraId="5C09DBC8">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工地办公室、现场宿舍、食堂、厕所、饮水、沐浴、休息场所等符合卫生、消防安全要求。</w:t>
            </w:r>
          </w:p>
        </w:tc>
      </w:tr>
      <w:tr w14:paraId="6D9DE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D1F36D">
            <w:pPr>
              <w:pStyle w:val="64"/>
              <w:spacing w:line="300" w:lineRule="exact"/>
              <w:jc w:val="center"/>
              <w:rPr>
                <w:rFonts w:ascii="方正仿宋_GBK" w:eastAsia="方正仿宋_GBK"/>
                <w:color w:val="auto"/>
                <w:szCs w:val="21"/>
              </w:rPr>
            </w:pPr>
          </w:p>
        </w:tc>
        <w:tc>
          <w:tcPr>
            <w:tcW w:w="525" w:type="dxa"/>
            <w:vMerge w:val="restart"/>
            <w:noWrap w:val="0"/>
            <w:vAlign w:val="center"/>
          </w:tcPr>
          <w:p w14:paraId="17735D1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施工现场</w:t>
            </w:r>
          </w:p>
          <w:p w14:paraId="1551B125">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临时用电</w:t>
            </w:r>
          </w:p>
        </w:tc>
        <w:tc>
          <w:tcPr>
            <w:tcW w:w="1545" w:type="dxa"/>
            <w:noWrap w:val="0"/>
            <w:vAlign w:val="center"/>
          </w:tcPr>
          <w:p w14:paraId="736FC8B8">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配电线路</w:t>
            </w:r>
          </w:p>
        </w:tc>
        <w:tc>
          <w:tcPr>
            <w:tcW w:w="6645" w:type="dxa"/>
            <w:noWrap w:val="0"/>
            <w:vAlign w:val="center"/>
          </w:tcPr>
          <w:p w14:paraId="1912EE74">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按照</w:t>
            </w:r>
            <w:r>
              <w:rPr>
                <w:rFonts w:ascii="方正仿宋_GBK" w:eastAsia="方正仿宋_GBK" w:cs="方正仿宋_GBK"/>
                <w:color w:val="auto"/>
                <w:szCs w:val="21"/>
              </w:rPr>
              <w:t>TN-S</w:t>
            </w:r>
            <w:r>
              <w:rPr>
                <w:rFonts w:hint="eastAsia" w:ascii="方正仿宋_GBK" w:eastAsia="方正仿宋_GBK" w:cs="方正仿宋_GBK"/>
                <w:color w:val="auto"/>
                <w:szCs w:val="21"/>
              </w:rPr>
              <w:t>系统要求配备五芯电缆、四芯电缆和三芯电缆。</w:t>
            </w:r>
          </w:p>
          <w:p w14:paraId="7A49A8E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按要求架设临时用电线路的电杆、横担、瓷夹、瓷瓶等，或电缆埋地的地沟。</w:t>
            </w:r>
          </w:p>
          <w:p w14:paraId="4B87BB0F">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对靠近施工现场的外电线路，设置木质、塑料等绝缘体的防护设施。</w:t>
            </w:r>
          </w:p>
        </w:tc>
      </w:tr>
      <w:tr w14:paraId="2B3F2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53C0F43">
            <w:pPr>
              <w:pStyle w:val="64"/>
              <w:spacing w:line="300" w:lineRule="exact"/>
              <w:jc w:val="center"/>
              <w:rPr>
                <w:rFonts w:ascii="方正仿宋_GBK" w:eastAsia="方正仿宋_GBK"/>
                <w:color w:val="auto"/>
                <w:szCs w:val="21"/>
              </w:rPr>
            </w:pPr>
          </w:p>
        </w:tc>
        <w:tc>
          <w:tcPr>
            <w:tcW w:w="525" w:type="dxa"/>
            <w:vMerge w:val="continue"/>
            <w:noWrap w:val="0"/>
            <w:vAlign w:val="center"/>
          </w:tcPr>
          <w:p w14:paraId="0CBFA13C">
            <w:pPr>
              <w:pStyle w:val="64"/>
              <w:spacing w:line="300" w:lineRule="exact"/>
              <w:jc w:val="center"/>
              <w:rPr>
                <w:rFonts w:ascii="方正仿宋_GBK" w:eastAsia="方正仿宋_GBK"/>
                <w:color w:val="auto"/>
                <w:szCs w:val="21"/>
              </w:rPr>
            </w:pPr>
          </w:p>
        </w:tc>
        <w:tc>
          <w:tcPr>
            <w:tcW w:w="1545" w:type="dxa"/>
            <w:noWrap w:val="0"/>
            <w:vAlign w:val="center"/>
          </w:tcPr>
          <w:p w14:paraId="1C56419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配电箱</w:t>
            </w:r>
          </w:p>
          <w:p w14:paraId="54EF5B4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开关箱</w:t>
            </w:r>
          </w:p>
        </w:tc>
        <w:tc>
          <w:tcPr>
            <w:tcW w:w="6645" w:type="dxa"/>
            <w:noWrap w:val="0"/>
            <w:vAlign w:val="center"/>
          </w:tcPr>
          <w:p w14:paraId="1CA41CE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按三级配电要求，配备总配电箱、分配电箱、开关箱三类（铁质）标准电箱，开关箱应符合“一机、一箱、一闸、一漏”，三类电箱中的各类电器应是合格品。</w:t>
            </w:r>
          </w:p>
          <w:p w14:paraId="17850454">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按两级保护的要求，选取符合容量要求和质量合格的总配电箱和开关箱中的漏电保护器。</w:t>
            </w:r>
          </w:p>
          <w:p w14:paraId="32CBBB2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对大型、落地式分配电箱、开关箱设置防护棚和通透式围挡。</w:t>
            </w:r>
          </w:p>
        </w:tc>
      </w:tr>
      <w:tr w14:paraId="6A456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373DABDA">
            <w:pPr>
              <w:pStyle w:val="64"/>
              <w:spacing w:line="300" w:lineRule="exact"/>
              <w:jc w:val="center"/>
              <w:rPr>
                <w:rFonts w:ascii="方正仿宋_GBK" w:eastAsia="方正仿宋_GBK"/>
                <w:color w:val="auto"/>
                <w:szCs w:val="21"/>
              </w:rPr>
            </w:pPr>
          </w:p>
        </w:tc>
        <w:tc>
          <w:tcPr>
            <w:tcW w:w="525" w:type="dxa"/>
            <w:vMerge w:val="continue"/>
            <w:noWrap w:val="0"/>
            <w:vAlign w:val="center"/>
          </w:tcPr>
          <w:p w14:paraId="68171E95">
            <w:pPr>
              <w:pStyle w:val="64"/>
              <w:spacing w:line="300" w:lineRule="exact"/>
              <w:jc w:val="center"/>
              <w:rPr>
                <w:rFonts w:ascii="方正仿宋_GBK" w:eastAsia="方正仿宋_GBK"/>
                <w:color w:val="auto"/>
                <w:szCs w:val="21"/>
              </w:rPr>
            </w:pPr>
          </w:p>
        </w:tc>
        <w:tc>
          <w:tcPr>
            <w:tcW w:w="1545" w:type="dxa"/>
            <w:noWrap w:val="0"/>
            <w:vAlign w:val="center"/>
          </w:tcPr>
          <w:p w14:paraId="62CC353D">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接地装置</w:t>
            </w:r>
          </w:p>
        </w:tc>
        <w:tc>
          <w:tcPr>
            <w:tcW w:w="6645" w:type="dxa"/>
            <w:noWrap w:val="0"/>
            <w:vAlign w:val="center"/>
          </w:tcPr>
          <w:p w14:paraId="6610F69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施工现场应设置不少于三处的重复接地装置。</w:t>
            </w:r>
          </w:p>
        </w:tc>
      </w:tr>
      <w:tr w14:paraId="7666B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1A4EB8D5">
            <w:pPr>
              <w:pStyle w:val="64"/>
              <w:spacing w:line="300" w:lineRule="exact"/>
              <w:jc w:val="center"/>
              <w:rPr>
                <w:rFonts w:ascii="方正仿宋_GBK" w:eastAsia="方正仿宋_GBK"/>
                <w:color w:val="auto"/>
                <w:szCs w:val="21"/>
              </w:rPr>
            </w:pPr>
          </w:p>
        </w:tc>
        <w:tc>
          <w:tcPr>
            <w:tcW w:w="525" w:type="dxa"/>
            <w:vMerge w:val="continue"/>
            <w:noWrap w:val="0"/>
            <w:vAlign w:val="center"/>
          </w:tcPr>
          <w:p w14:paraId="57A36BDE">
            <w:pPr>
              <w:pStyle w:val="64"/>
              <w:spacing w:line="300" w:lineRule="exact"/>
              <w:jc w:val="center"/>
              <w:rPr>
                <w:rFonts w:ascii="方正仿宋_GBK" w:eastAsia="方正仿宋_GBK"/>
                <w:color w:val="auto"/>
                <w:szCs w:val="21"/>
              </w:rPr>
            </w:pPr>
          </w:p>
        </w:tc>
        <w:tc>
          <w:tcPr>
            <w:tcW w:w="1545" w:type="dxa"/>
            <w:noWrap w:val="0"/>
            <w:vAlign w:val="center"/>
          </w:tcPr>
          <w:p w14:paraId="2EB801E5">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现场变配电装置</w:t>
            </w:r>
          </w:p>
        </w:tc>
        <w:tc>
          <w:tcPr>
            <w:tcW w:w="6645" w:type="dxa"/>
            <w:noWrap w:val="0"/>
            <w:vAlign w:val="center"/>
          </w:tcPr>
          <w:p w14:paraId="0BADD716">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总配电房建筑材料必须达到消防防火要求，室内做硬地坪、电缆沟。</w:t>
            </w:r>
          </w:p>
        </w:tc>
      </w:tr>
      <w:tr w14:paraId="4783E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10F07D16">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类别</w:t>
            </w:r>
          </w:p>
        </w:tc>
        <w:tc>
          <w:tcPr>
            <w:tcW w:w="2070" w:type="dxa"/>
            <w:gridSpan w:val="2"/>
            <w:noWrap w:val="0"/>
            <w:vAlign w:val="center"/>
          </w:tcPr>
          <w:p w14:paraId="58C22E6C">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项目名称</w:t>
            </w:r>
          </w:p>
        </w:tc>
        <w:tc>
          <w:tcPr>
            <w:tcW w:w="6645" w:type="dxa"/>
            <w:noWrap w:val="0"/>
            <w:vAlign w:val="center"/>
          </w:tcPr>
          <w:p w14:paraId="221A43DE">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主要内容和要求</w:t>
            </w:r>
          </w:p>
        </w:tc>
      </w:tr>
      <w:tr w14:paraId="1156B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5732AE8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安全施工</w:t>
            </w:r>
          </w:p>
        </w:tc>
        <w:tc>
          <w:tcPr>
            <w:tcW w:w="525" w:type="dxa"/>
            <w:vMerge w:val="restart"/>
            <w:noWrap w:val="0"/>
            <w:vAlign w:val="center"/>
          </w:tcPr>
          <w:p w14:paraId="7AFE21D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高处作业防护</w:t>
            </w:r>
          </w:p>
        </w:tc>
        <w:tc>
          <w:tcPr>
            <w:tcW w:w="1545" w:type="dxa"/>
            <w:noWrap w:val="0"/>
            <w:vAlign w:val="center"/>
          </w:tcPr>
          <w:p w14:paraId="4004253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楼层、屋面、阳台等临边</w:t>
            </w:r>
          </w:p>
        </w:tc>
        <w:tc>
          <w:tcPr>
            <w:tcW w:w="6645" w:type="dxa"/>
            <w:noWrap w:val="0"/>
            <w:vAlign w:val="center"/>
          </w:tcPr>
          <w:p w14:paraId="403990C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设两道防护栏杆和</w:t>
            </w:r>
            <w:r>
              <w:rPr>
                <w:rFonts w:ascii="方正仿宋_GBK" w:eastAsia="方正仿宋_GBK" w:cs="方正仿宋_GBK"/>
                <w:color w:val="auto"/>
                <w:szCs w:val="21"/>
              </w:rPr>
              <w:t>18cm</w:t>
            </w:r>
            <w:r>
              <w:rPr>
                <w:rFonts w:hint="eastAsia" w:ascii="方正仿宋_GBK" w:eastAsia="方正仿宋_GBK" w:cs="方正仿宋_GBK"/>
                <w:color w:val="auto"/>
                <w:szCs w:val="21"/>
              </w:rPr>
              <w:t>高的踢脚板，用密目式安全立网全封闭。</w:t>
            </w:r>
          </w:p>
        </w:tc>
      </w:tr>
      <w:tr w14:paraId="77C6E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148C126">
            <w:pPr>
              <w:pStyle w:val="64"/>
              <w:spacing w:line="300" w:lineRule="exact"/>
              <w:jc w:val="center"/>
              <w:rPr>
                <w:rFonts w:ascii="方正仿宋_GBK" w:eastAsia="方正仿宋_GBK"/>
                <w:color w:val="auto"/>
                <w:szCs w:val="21"/>
              </w:rPr>
            </w:pPr>
          </w:p>
        </w:tc>
        <w:tc>
          <w:tcPr>
            <w:tcW w:w="525" w:type="dxa"/>
            <w:vMerge w:val="continue"/>
            <w:noWrap w:val="0"/>
            <w:vAlign w:val="center"/>
          </w:tcPr>
          <w:p w14:paraId="10138CCA">
            <w:pPr>
              <w:pStyle w:val="64"/>
              <w:spacing w:line="300" w:lineRule="exact"/>
              <w:jc w:val="center"/>
              <w:rPr>
                <w:rFonts w:ascii="方正仿宋_GBK" w:eastAsia="方正仿宋_GBK"/>
                <w:color w:val="auto"/>
                <w:szCs w:val="21"/>
              </w:rPr>
            </w:pPr>
          </w:p>
        </w:tc>
        <w:tc>
          <w:tcPr>
            <w:tcW w:w="1545" w:type="dxa"/>
            <w:noWrap w:val="0"/>
            <w:vAlign w:val="center"/>
          </w:tcPr>
          <w:p w14:paraId="3C6767D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通道口</w:t>
            </w:r>
          </w:p>
        </w:tc>
        <w:tc>
          <w:tcPr>
            <w:tcW w:w="6645" w:type="dxa"/>
            <w:noWrap w:val="0"/>
            <w:vAlign w:val="center"/>
          </w:tcPr>
          <w:p w14:paraId="2D5BCCD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设防护棚，防护棚应为不小于</w:t>
            </w:r>
            <w:r>
              <w:rPr>
                <w:rFonts w:ascii="方正仿宋_GBK" w:eastAsia="方正仿宋_GBK" w:cs="方正仿宋_GBK"/>
                <w:color w:val="auto"/>
                <w:szCs w:val="21"/>
              </w:rPr>
              <w:t>5cm</w:t>
            </w:r>
            <w:r>
              <w:rPr>
                <w:rFonts w:hint="eastAsia" w:ascii="方正仿宋_GBK" w:eastAsia="方正仿宋_GBK" w:cs="方正仿宋_GBK"/>
                <w:color w:val="auto"/>
                <w:szCs w:val="21"/>
              </w:rPr>
              <w:t>厚的木板或两道相距</w:t>
            </w:r>
            <w:r>
              <w:rPr>
                <w:rFonts w:ascii="方正仿宋_GBK" w:eastAsia="方正仿宋_GBK" w:cs="方正仿宋_GBK"/>
                <w:color w:val="auto"/>
                <w:szCs w:val="21"/>
              </w:rPr>
              <w:t>50cm</w:t>
            </w:r>
            <w:r>
              <w:rPr>
                <w:rFonts w:hint="eastAsia" w:ascii="方正仿宋_GBK" w:eastAsia="方正仿宋_GBK" w:cs="方正仿宋_GBK"/>
                <w:color w:val="auto"/>
                <w:szCs w:val="21"/>
              </w:rPr>
              <w:t>的竹笆。两侧应沿栏杆架用密目式安全网封闭。</w:t>
            </w:r>
          </w:p>
        </w:tc>
      </w:tr>
      <w:tr w14:paraId="6657A9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D0B2074">
            <w:pPr>
              <w:pStyle w:val="64"/>
              <w:spacing w:line="300" w:lineRule="exact"/>
              <w:jc w:val="center"/>
              <w:rPr>
                <w:rFonts w:ascii="方正仿宋_GBK" w:eastAsia="方正仿宋_GBK"/>
                <w:color w:val="auto"/>
                <w:szCs w:val="21"/>
              </w:rPr>
            </w:pPr>
          </w:p>
        </w:tc>
        <w:tc>
          <w:tcPr>
            <w:tcW w:w="525" w:type="dxa"/>
            <w:vMerge w:val="continue"/>
            <w:noWrap w:val="0"/>
            <w:vAlign w:val="center"/>
          </w:tcPr>
          <w:p w14:paraId="1CC1668E">
            <w:pPr>
              <w:pStyle w:val="64"/>
              <w:spacing w:line="300" w:lineRule="exact"/>
              <w:jc w:val="center"/>
              <w:rPr>
                <w:rFonts w:ascii="方正仿宋_GBK" w:eastAsia="方正仿宋_GBK"/>
                <w:color w:val="auto"/>
                <w:szCs w:val="21"/>
              </w:rPr>
            </w:pPr>
          </w:p>
        </w:tc>
        <w:tc>
          <w:tcPr>
            <w:tcW w:w="1545" w:type="dxa"/>
            <w:noWrap w:val="0"/>
            <w:vAlign w:val="center"/>
          </w:tcPr>
          <w:p w14:paraId="0398754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预留洞口</w:t>
            </w:r>
          </w:p>
        </w:tc>
        <w:tc>
          <w:tcPr>
            <w:tcW w:w="6645" w:type="dxa"/>
            <w:noWrap w:val="0"/>
            <w:vAlign w:val="center"/>
          </w:tcPr>
          <w:p w14:paraId="0CC83218">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用硬质材料全封闭，短边超过</w:t>
            </w:r>
            <w:r>
              <w:rPr>
                <w:rFonts w:ascii="方正仿宋_GBK" w:eastAsia="方正仿宋_GBK" w:cs="方正仿宋_GBK"/>
                <w:color w:val="auto"/>
                <w:szCs w:val="21"/>
              </w:rPr>
              <w:t>1.5m</w:t>
            </w:r>
            <w:r>
              <w:rPr>
                <w:rFonts w:hint="eastAsia" w:ascii="方正仿宋_GBK" w:eastAsia="方正仿宋_GBK" w:cs="方正仿宋_GBK"/>
                <w:color w:val="auto"/>
                <w:szCs w:val="21"/>
              </w:rPr>
              <w:t>长的洞口，除封闭外四周还应设有防护栏杆。</w:t>
            </w:r>
          </w:p>
        </w:tc>
      </w:tr>
      <w:tr w14:paraId="12195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1A871994">
            <w:pPr>
              <w:pStyle w:val="64"/>
              <w:spacing w:line="300" w:lineRule="exact"/>
              <w:jc w:val="center"/>
              <w:rPr>
                <w:rFonts w:ascii="方正仿宋_GBK" w:eastAsia="方正仿宋_GBK"/>
                <w:color w:val="auto"/>
                <w:szCs w:val="21"/>
              </w:rPr>
            </w:pPr>
          </w:p>
        </w:tc>
        <w:tc>
          <w:tcPr>
            <w:tcW w:w="525" w:type="dxa"/>
            <w:vMerge w:val="continue"/>
            <w:noWrap w:val="0"/>
            <w:vAlign w:val="center"/>
          </w:tcPr>
          <w:p w14:paraId="3C839E9C">
            <w:pPr>
              <w:pStyle w:val="64"/>
              <w:spacing w:line="300" w:lineRule="exact"/>
              <w:jc w:val="center"/>
              <w:rPr>
                <w:rFonts w:ascii="方正仿宋_GBK" w:eastAsia="方正仿宋_GBK"/>
                <w:color w:val="auto"/>
                <w:szCs w:val="21"/>
              </w:rPr>
            </w:pPr>
          </w:p>
        </w:tc>
        <w:tc>
          <w:tcPr>
            <w:tcW w:w="1545" w:type="dxa"/>
            <w:noWrap w:val="0"/>
            <w:vAlign w:val="center"/>
          </w:tcPr>
          <w:p w14:paraId="2950E562">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电梯井口</w:t>
            </w:r>
          </w:p>
        </w:tc>
        <w:tc>
          <w:tcPr>
            <w:tcW w:w="6645" w:type="dxa"/>
            <w:noWrap w:val="0"/>
            <w:vAlign w:val="center"/>
          </w:tcPr>
          <w:p w14:paraId="424A6D6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设置定型化、工具化的防护门，在电梯井内每隔</w:t>
            </w:r>
            <w:r>
              <w:rPr>
                <w:rFonts w:ascii="方正仿宋_GBK" w:eastAsia="方正仿宋_GBK" w:cs="方正仿宋_GBK"/>
                <w:color w:val="auto"/>
                <w:szCs w:val="21"/>
              </w:rPr>
              <w:t>2</w:t>
            </w:r>
            <w:r>
              <w:rPr>
                <w:rFonts w:hint="eastAsia" w:ascii="方正仿宋_GBK" w:eastAsia="方正仿宋_GBK" w:cs="方正仿宋_GBK"/>
                <w:color w:val="auto"/>
                <w:szCs w:val="21"/>
              </w:rPr>
              <w:t>层（不大于</w:t>
            </w:r>
            <w:r>
              <w:rPr>
                <w:rFonts w:ascii="方正仿宋_GBK" w:eastAsia="方正仿宋_GBK" w:cs="方正仿宋_GBK"/>
                <w:color w:val="auto"/>
                <w:szCs w:val="21"/>
              </w:rPr>
              <w:t>10m</w:t>
            </w:r>
            <w:r>
              <w:rPr>
                <w:rFonts w:hint="eastAsia" w:ascii="方正仿宋_GBK" w:eastAsia="方正仿宋_GBK" w:cs="方正仿宋_GBK"/>
                <w:color w:val="auto"/>
                <w:szCs w:val="21"/>
              </w:rPr>
              <w:t>）设置一道水平防护。</w:t>
            </w:r>
          </w:p>
        </w:tc>
      </w:tr>
      <w:tr w14:paraId="697D9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0265AE4">
            <w:pPr>
              <w:pStyle w:val="64"/>
              <w:spacing w:line="300" w:lineRule="exact"/>
              <w:jc w:val="center"/>
              <w:rPr>
                <w:rFonts w:ascii="方正仿宋_GBK" w:eastAsia="方正仿宋_GBK"/>
                <w:color w:val="auto"/>
                <w:szCs w:val="21"/>
              </w:rPr>
            </w:pPr>
          </w:p>
        </w:tc>
        <w:tc>
          <w:tcPr>
            <w:tcW w:w="525" w:type="dxa"/>
            <w:vMerge w:val="continue"/>
            <w:noWrap w:val="0"/>
            <w:vAlign w:val="center"/>
          </w:tcPr>
          <w:p w14:paraId="08D1D54D">
            <w:pPr>
              <w:pStyle w:val="64"/>
              <w:spacing w:line="300" w:lineRule="exact"/>
              <w:jc w:val="center"/>
              <w:rPr>
                <w:rFonts w:ascii="方正仿宋_GBK" w:eastAsia="方正仿宋_GBK"/>
                <w:color w:val="auto"/>
                <w:szCs w:val="21"/>
              </w:rPr>
            </w:pPr>
          </w:p>
        </w:tc>
        <w:tc>
          <w:tcPr>
            <w:tcW w:w="1545" w:type="dxa"/>
            <w:noWrap w:val="0"/>
            <w:vAlign w:val="center"/>
          </w:tcPr>
          <w:p w14:paraId="63EAFAB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楼梯边</w:t>
            </w:r>
          </w:p>
        </w:tc>
        <w:tc>
          <w:tcPr>
            <w:tcW w:w="6645" w:type="dxa"/>
            <w:noWrap w:val="0"/>
            <w:vAlign w:val="center"/>
          </w:tcPr>
          <w:p w14:paraId="7C408E49">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w:t>
            </w:r>
            <w:r>
              <w:rPr>
                <w:rFonts w:ascii="方正仿宋_GBK" w:eastAsia="方正仿宋_GBK" w:cs="方正仿宋_GBK"/>
                <w:color w:val="auto"/>
                <w:szCs w:val="21"/>
              </w:rPr>
              <w:t>1.2m</w:t>
            </w:r>
            <w:r>
              <w:rPr>
                <w:rFonts w:hint="eastAsia" w:ascii="方正仿宋_GBK" w:eastAsia="方正仿宋_GBK" w:cs="方正仿宋_GBK"/>
                <w:color w:val="auto"/>
                <w:szCs w:val="21"/>
              </w:rPr>
              <w:t>高的定型化、工具化的防护栏，</w:t>
            </w:r>
            <w:r>
              <w:rPr>
                <w:rFonts w:ascii="方正仿宋_GBK" w:eastAsia="方正仿宋_GBK" w:cs="方正仿宋_GBK"/>
                <w:color w:val="auto"/>
                <w:szCs w:val="21"/>
              </w:rPr>
              <w:t>18cm</w:t>
            </w:r>
            <w:r>
              <w:rPr>
                <w:rFonts w:hint="eastAsia" w:ascii="方正仿宋_GBK" w:eastAsia="方正仿宋_GBK" w:cs="方正仿宋_GBK"/>
                <w:color w:val="auto"/>
                <w:szCs w:val="21"/>
              </w:rPr>
              <w:t>高的踢脚板。</w:t>
            </w:r>
          </w:p>
        </w:tc>
      </w:tr>
      <w:tr w14:paraId="401F0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CC349CB">
            <w:pPr>
              <w:pStyle w:val="64"/>
              <w:spacing w:line="300" w:lineRule="exact"/>
              <w:jc w:val="center"/>
              <w:rPr>
                <w:rFonts w:ascii="方正仿宋_GBK" w:eastAsia="方正仿宋_GBK"/>
                <w:color w:val="auto"/>
                <w:szCs w:val="21"/>
              </w:rPr>
            </w:pPr>
          </w:p>
        </w:tc>
        <w:tc>
          <w:tcPr>
            <w:tcW w:w="525" w:type="dxa"/>
            <w:vMerge w:val="continue"/>
            <w:noWrap w:val="0"/>
            <w:vAlign w:val="center"/>
          </w:tcPr>
          <w:p w14:paraId="4AC5C196">
            <w:pPr>
              <w:pStyle w:val="64"/>
              <w:spacing w:line="300" w:lineRule="exact"/>
              <w:jc w:val="center"/>
              <w:rPr>
                <w:rFonts w:ascii="方正仿宋_GBK" w:eastAsia="方正仿宋_GBK"/>
                <w:color w:val="auto"/>
                <w:szCs w:val="21"/>
              </w:rPr>
            </w:pPr>
          </w:p>
        </w:tc>
        <w:tc>
          <w:tcPr>
            <w:tcW w:w="1545" w:type="dxa"/>
            <w:noWrap w:val="0"/>
            <w:vAlign w:val="center"/>
          </w:tcPr>
          <w:p w14:paraId="2A848475">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垂直方向交叉作业</w:t>
            </w:r>
          </w:p>
        </w:tc>
        <w:tc>
          <w:tcPr>
            <w:tcW w:w="6645" w:type="dxa"/>
            <w:noWrap w:val="0"/>
            <w:vAlign w:val="center"/>
          </w:tcPr>
          <w:p w14:paraId="6150DDC2">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设置防护隔离棚或其它设施。</w:t>
            </w:r>
          </w:p>
        </w:tc>
      </w:tr>
      <w:tr w14:paraId="3DFF7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90464A2">
            <w:pPr>
              <w:pStyle w:val="64"/>
              <w:spacing w:line="300" w:lineRule="exact"/>
              <w:jc w:val="center"/>
              <w:rPr>
                <w:rFonts w:ascii="方正仿宋_GBK" w:eastAsia="方正仿宋_GBK"/>
                <w:color w:val="auto"/>
                <w:szCs w:val="21"/>
              </w:rPr>
            </w:pPr>
          </w:p>
        </w:tc>
        <w:tc>
          <w:tcPr>
            <w:tcW w:w="525" w:type="dxa"/>
            <w:vMerge w:val="continue"/>
            <w:noWrap w:val="0"/>
            <w:vAlign w:val="center"/>
          </w:tcPr>
          <w:p w14:paraId="265E1FAA">
            <w:pPr>
              <w:pStyle w:val="64"/>
              <w:spacing w:line="300" w:lineRule="exact"/>
              <w:jc w:val="center"/>
              <w:rPr>
                <w:rFonts w:ascii="方正仿宋_GBK" w:eastAsia="方正仿宋_GBK"/>
                <w:color w:val="auto"/>
                <w:szCs w:val="21"/>
              </w:rPr>
            </w:pPr>
          </w:p>
        </w:tc>
        <w:tc>
          <w:tcPr>
            <w:tcW w:w="1545" w:type="dxa"/>
            <w:noWrap w:val="0"/>
            <w:vAlign w:val="center"/>
          </w:tcPr>
          <w:p w14:paraId="3380614C">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高处作业</w:t>
            </w:r>
          </w:p>
        </w:tc>
        <w:tc>
          <w:tcPr>
            <w:tcW w:w="6645" w:type="dxa"/>
            <w:noWrap w:val="0"/>
            <w:vAlign w:val="center"/>
          </w:tcPr>
          <w:p w14:paraId="5D0D24F2">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有悬挂安全带的悬索或其它设施，有操作平台，有上下的梯子或其它形式的通道。</w:t>
            </w:r>
          </w:p>
        </w:tc>
      </w:tr>
      <w:tr w14:paraId="66CF4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B504D4E">
            <w:pPr>
              <w:pStyle w:val="64"/>
              <w:spacing w:line="300" w:lineRule="exact"/>
              <w:jc w:val="center"/>
              <w:rPr>
                <w:rFonts w:ascii="方正仿宋_GBK" w:eastAsia="方正仿宋_GBK"/>
                <w:color w:val="auto"/>
                <w:szCs w:val="21"/>
              </w:rPr>
            </w:pPr>
          </w:p>
        </w:tc>
        <w:tc>
          <w:tcPr>
            <w:tcW w:w="525" w:type="dxa"/>
            <w:vMerge w:val="continue"/>
            <w:noWrap w:val="0"/>
            <w:vAlign w:val="center"/>
          </w:tcPr>
          <w:p w14:paraId="0B60D068">
            <w:pPr>
              <w:pStyle w:val="64"/>
              <w:spacing w:line="300" w:lineRule="exact"/>
              <w:jc w:val="center"/>
              <w:rPr>
                <w:rFonts w:ascii="方正仿宋_GBK" w:eastAsia="方正仿宋_GBK"/>
                <w:color w:val="auto"/>
                <w:szCs w:val="21"/>
              </w:rPr>
            </w:pPr>
          </w:p>
        </w:tc>
        <w:tc>
          <w:tcPr>
            <w:tcW w:w="1545" w:type="dxa"/>
            <w:noWrap w:val="0"/>
            <w:vAlign w:val="center"/>
          </w:tcPr>
          <w:p w14:paraId="1C0ECDF9">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基坑、物料平台</w:t>
            </w:r>
          </w:p>
        </w:tc>
        <w:tc>
          <w:tcPr>
            <w:tcW w:w="6645" w:type="dxa"/>
            <w:noWrap w:val="0"/>
            <w:vAlign w:val="center"/>
          </w:tcPr>
          <w:p w14:paraId="75059F70">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w:t>
            </w:r>
            <w:r>
              <w:rPr>
                <w:rFonts w:ascii="方正仿宋_GBK" w:eastAsia="方正仿宋_GBK" w:cs="方正仿宋_GBK"/>
                <w:color w:val="auto"/>
                <w:szCs w:val="21"/>
              </w:rPr>
              <w:t>1.2m</w:t>
            </w:r>
            <w:r>
              <w:rPr>
                <w:rFonts w:hint="eastAsia" w:ascii="方正仿宋_GBK" w:eastAsia="方正仿宋_GBK" w:cs="方正仿宋_GBK"/>
                <w:color w:val="auto"/>
                <w:szCs w:val="21"/>
              </w:rPr>
              <w:t>高标准化的防护栏，用密目式安全立网封闭，悬挂标识。</w:t>
            </w:r>
          </w:p>
        </w:tc>
      </w:tr>
      <w:tr w14:paraId="5EA54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A309BA3">
            <w:pPr>
              <w:pStyle w:val="64"/>
              <w:spacing w:line="300" w:lineRule="exact"/>
              <w:jc w:val="center"/>
              <w:rPr>
                <w:rFonts w:ascii="方正仿宋_GBK" w:eastAsia="方正仿宋_GBK"/>
                <w:color w:val="auto"/>
                <w:szCs w:val="21"/>
              </w:rPr>
            </w:pPr>
          </w:p>
        </w:tc>
        <w:tc>
          <w:tcPr>
            <w:tcW w:w="2070" w:type="dxa"/>
            <w:gridSpan w:val="2"/>
            <w:noWrap w:val="0"/>
            <w:vAlign w:val="center"/>
          </w:tcPr>
          <w:p w14:paraId="370A997A">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安全防护用品</w:t>
            </w:r>
          </w:p>
        </w:tc>
        <w:tc>
          <w:tcPr>
            <w:tcW w:w="6645" w:type="dxa"/>
            <w:noWrap w:val="0"/>
            <w:vAlign w:val="center"/>
          </w:tcPr>
          <w:p w14:paraId="7BCECAB7">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安全帽、安全带、特种作业人员（电工、焊工、架子工等）防护服装、用品等。</w:t>
            </w:r>
          </w:p>
        </w:tc>
      </w:tr>
      <w:tr w14:paraId="5BDC3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32F3CE1E">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其它</w:t>
            </w:r>
          </w:p>
        </w:tc>
        <w:tc>
          <w:tcPr>
            <w:tcW w:w="525" w:type="dxa"/>
            <w:vMerge w:val="restart"/>
            <w:noWrap w:val="0"/>
            <w:vAlign w:val="center"/>
          </w:tcPr>
          <w:p w14:paraId="5CB83F48">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机械设备防护</w:t>
            </w:r>
          </w:p>
        </w:tc>
        <w:tc>
          <w:tcPr>
            <w:tcW w:w="1545" w:type="dxa"/>
            <w:noWrap w:val="0"/>
            <w:vAlign w:val="center"/>
          </w:tcPr>
          <w:p w14:paraId="10477E92">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中小型机械</w:t>
            </w:r>
          </w:p>
        </w:tc>
        <w:tc>
          <w:tcPr>
            <w:tcW w:w="6645" w:type="dxa"/>
            <w:noWrap w:val="0"/>
            <w:vAlign w:val="center"/>
          </w:tcPr>
          <w:p w14:paraId="086191B3">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设防护棚（同通道口防护并有防雨措施）。</w:t>
            </w:r>
          </w:p>
        </w:tc>
      </w:tr>
      <w:tr w14:paraId="5DC91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4A9379F">
            <w:pPr>
              <w:pStyle w:val="64"/>
              <w:spacing w:line="300" w:lineRule="exact"/>
              <w:jc w:val="center"/>
              <w:rPr>
                <w:rFonts w:ascii="方正仿宋_GBK" w:eastAsia="方正仿宋_GBK"/>
                <w:color w:val="auto"/>
                <w:szCs w:val="21"/>
              </w:rPr>
            </w:pPr>
          </w:p>
        </w:tc>
        <w:tc>
          <w:tcPr>
            <w:tcW w:w="525" w:type="dxa"/>
            <w:vMerge w:val="continue"/>
            <w:noWrap w:val="0"/>
            <w:vAlign w:val="center"/>
          </w:tcPr>
          <w:p w14:paraId="153FC1AB">
            <w:pPr>
              <w:pStyle w:val="64"/>
              <w:spacing w:line="300" w:lineRule="exact"/>
              <w:jc w:val="center"/>
              <w:rPr>
                <w:rFonts w:ascii="方正仿宋_GBK" w:eastAsia="方正仿宋_GBK"/>
                <w:color w:val="auto"/>
                <w:szCs w:val="21"/>
              </w:rPr>
            </w:pPr>
          </w:p>
        </w:tc>
        <w:tc>
          <w:tcPr>
            <w:tcW w:w="1545" w:type="dxa"/>
            <w:noWrap w:val="0"/>
            <w:vAlign w:val="center"/>
          </w:tcPr>
          <w:p w14:paraId="3B2E431F">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垂直运输设备</w:t>
            </w:r>
          </w:p>
        </w:tc>
        <w:tc>
          <w:tcPr>
            <w:tcW w:w="6645" w:type="dxa"/>
            <w:noWrap w:val="0"/>
            <w:vAlign w:val="center"/>
          </w:tcPr>
          <w:p w14:paraId="54CD63E0">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垂直运输设备检测、检验、日常维护、保养等。</w:t>
            </w:r>
          </w:p>
          <w:p w14:paraId="573145A9">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物料提升机、施工电梯等物料平台搭设、外侧用密目式安全立网全封闭，有安全通道、安全防护门、防护棚等。</w:t>
            </w:r>
          </w:p>
        </w:tc>
      </w:tr>
      <w:tr w14:paraId="0A285E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D6A46B6">
            <w:pPr>
              <w:pStyle w:val="64"/>
              <w:spacing w:line="300" w:lineRule="exact"/>
              <w:jc w:val="center"/>
              <w:rPr>
                <w:rFonts w:ascii="方正仿宋_GBK" w:eastAsia="方正仿宋_GBK"/>
                <w:color w:val="auto"/>
                <w:szCs w:val="21"/>
              </w:rPr>
            </w:pPr>
          </w:p>
        </w:tc>
        <w:tc>
          <w:tcPr>
            <w:tcW w:w="2070" w:type="dxa"/>
            <w:gridSpan w:val="2"/>
            <w:noWrap w:val="0"/>
            <w:vAlign w:val="center"/>
          </w:tcPr>
          <w:p w14:paraId="6B97CA4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专家论证审查</w:t>
            </w:r>
          </w:p>
        </w:tc>
        <w:tc>
          <w:tcPr>
            <w:tcW w:w="6645" w:type="dxa"/>
            <w:noWrap w:val="0"/>
            <w:vAlign w:val="center"/>
          </w:tcPr>
          <w:p w14:paraId="206F665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超过一定规模的危险性较大分部分项工程专家论证审查。</w:t>
            </w:r>
          </w:p>
        </w:tc>
      </w:tr>
      <w:tr w14:paraId="746DF5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A892B18">
            <w:pPr>
              <w:pStyle w:val="64"/>
              <w:spacing w:line="300" w:lineRule="exact"/>
              <w:jc w:val="center"/>
              <w:rPr>
                <w:rFonts w:ascii="方正仿宋_GBK" w:eastAsia="方正仿宋_GBK"/>
                <w:color w:val="auto"/>
                <w:szCs w:val="21"/>
              </w:rPr>
            </w:pPr>
          </w:p>
        </w:tc>
        <w:tc>
          <w:tcPr>
            <w:tcW w:w="2070" w:type="dxa"/>
            <w:gridSpan w:val="2"/>
            <w:noWrap w:val="0"/>
            <w:vAlign w:val="center"/>
          </w:tcPr>
          <w:p w14:paraId="0B084E0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应急救援预案</w:t>
            </w:r>
          </w:p>
        </w:tc>
        <w:tc>
          <w:tcPr>
            <w:tcW w:w="6645" w:type="dxa"/>
            <w:noWrap w:val="0"/>
            <w:vAlign w:val="center"/>
          </w:tcPr>
          <w:p w14:paraId="2EA71F0C">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救援器材准备及演练等。</w:t>
            </w:r>
          </w:p>
        </w:tc>
      </w:tr>
      <w:tr w14:paraId="752C9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bottom w:val="single" w:color="auto" w:sz="12" w:space="0"/>
            </w:tcBorders>
            <w:noWrap w:val="0"/>
            <w:vAlign w:val="center"/>
          </w:tcPr>
          <w:p w14:paraId="6EE28841">
            <w:pPr>
              <w:pStyle w:val="64"/>
              <w:spacing w:line="300" w:lineRule="exact"/>
              <w:jc w:val="center"/>
              <w:rPr>
                <w:rFonts w:ascii="方正仿宋_GBK" w:eastAsia="方正仿宋_GBK"/>
                <w:color w:val="auto"/>
                <w:szCs w:val="21"/>
              </w:rPr>
            </w:pPr>
          </w:p>
        </w:tc>
        <w:tc>
          <w:tcPr>
            <w:tcW w:w="2070" w:type="dxa"/>
            <w:gridSpan w:val="2"/>
            <w:tcBorders>
              <w:bottom w:val="single" w:color="auto" w:sz="12" w:space="0"/>
            </w:tcBorders>
            <w:noWrap w:val="0"/>
            <w:vAlign w:val="center"/>
          </w:tcPr>
          <w:p w14:paraId="43667A0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非正常情况施工</w:t>
            </w:r>
          </w:p>
        </w:tc>
        <w:tc>
          <w:tcPr>
            <w:tcW w:w="6645" w:type="dxa"/>
            <w:tcBorders>
              <w:bottom w:val="single" w:color="auto" w:sz="12" w:space="0"/>
            </w:tcBorders>
            <w:noWrap w:val="0"/>
            <w:vAlign w:val="center"/>
          </w:tcPr>
          <w:p w14:paraId="399814C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其它特殊情况下的防护费用，如：城市主干道、人流密集、河边等处施工及文物、古建筑、古树保护等。</w:t>
            </w:r>
          </w:p>
        </w:tc>
      </w:tr>
    </w:tbl>
    <w:p w14:paraId="4ACF6B1E">
      <w:pPr>
        <w:pStyle w:val="64"/>
        <w:spacing w:line="240" w:lineRule="atLeast"/>
        <w:ind w:firstLine="546"/>
        <w:jc w:val="center"/>
        <w:rPr>
          <w:b/>
          <w:bCs/>
          <w:color w:val="auto"/>
          <w:w w:val="90"/>
          <w:sz w:val="24"/>
          <w:szCs w:val="24"/>
        </w:rPr>
      </w:pPr>
    </w:p>
    <w:p w14:paraId="0B5D5A20">
      <w:pPr>
        <w:pStyle w:val="64"/>
        <w:spacing w:before="156" w:beforeLines="50"/>
        <w:ind w:firstLine="420" w:firstLineChars="200"/>
        <w:rPr>
          <w:rFonts w:cs="宋体"/>
          <w:color w:val="auto"/>
          <w:szCs w:val="21"/>
        </w:rPr>
      </w:pPr>
      <w:r>
        <w:rPr>
          <w:rFonts w:hint="eastAsia" w:cs="宋体"/>
          <w:color w:val="auto"/>
          <w:szCs w:val="21"/>
        </w:rPr>
        <w:t>注：本表所列建筑工程安全文明施工费，是依据现行法律法规及标准规范确定的。如法律法规和标准规范修订，本表所列项目应按照修订后的法律法规和标准规范进行调整。</w:t>
      </w:r>
    </w:p>
    <w:p w14:paraId="713448C6">
      <w:pPr>
        <w:pStyle w:val="64"/>
        <w:spacing w:before="156" w:beforeLines="50"/>
        <w:ind w:firstLine="420" w:firstLineChars="200"/>
        <w:rPr>
          <w:rFonts w:cs="宋体"/>
          <w:color w:val="auto"/>
          <w:szCs w:val="21"/>
        </w:rPr>
      </w:pPr>
    </w:p>
    <w:p w14:paraId="1E89C9F4">
      <w:pPr>
        <w:rPr>
          <w:rFonts w:hint="eastAsia" w:ascii="宋体" w:hAnsi="宋体" w:eastAsia="宋体" w:cs="宋体"/>
          <w:b/>
          <w:color w:val="auto"/>
          <w:sz w:val="28"/>
          <w:szCs w:val="28"/>
          <w:highlight w:val="none"/>
          <w:lang w:val="en-US" w:eastAsia="zh-CN"/>
        </w:rPr>
      </w:pPr>
      <w:bookmarkStart w:id="1984" w:name="_Toc21891"/>
      <w:bookmarkStart w:id="1985" w:name="_Toc24798"/>
      <w:bookmarkStart w:id="1986" w:name="_Toc32582"/>
      <w:r>
        <w:rPr>
          <w:rFonts w:hint="eastAsia" w:ascii="宋体" w:hAnsi="宋体" w:eastAsia="宋体" w:cs="宋体"/>
          <w:b/>
          <w:color w:val="auto"/>
          <w:sz w:val="28"/>
          <w:szCs w:val="28"/>
          <w:highlight w:val="none"/>
          <w:lang w:val="en-US" w:eastAsia="zh-CN"/>
        </w:rPr>
        <w:br w:type="page"/>
      </w:r>
    </w:p>
    <w:p w14:paraId="00C2371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8.</w:t>
      </w:r>
      <w:bookmarkEnd w:id="1984"/>
      <w:bookmarkEnd w:id="1985"/>
      <w:bookmarkEnd w:id="1986"/>
      <w:bookmarkStart w:id="1987" w:name="_Toc10529"/>
      <w:bookmarkStart w:id="1988" w:name="_Toc21352"/>
      <w:bookmarkStart w:id="1989" w:name="_Toc297"/>
      <w:bookmarkStart w:id="1990" w:name="_Toc9339"/>
      <w:bookmarkStart w:id="1991" w:name="_Toc28672"/>
      <w:bookmarkStart w:id="1992" w:name="_Toc497927084"/>
      <w:r>
        <w:rPr>
          <w:rFonts w:hint="eastAsia" w:ascii="宋体" w:hAnsi="宋体" w:cs="宋体"/>
          <w:b/>
          <w:color w:val="auto"/>
          <w:sz w:val="28"/>
          <w:szCs w:val="28"/>
          <w:highlight w:val="none"/>
          <w:lang w:val="en-US" w:eastAsia="zh-CN"/>
        </w:rPr>
        <w:t>渣土清运承诺书</w:t>
      </w:r>
      <w:r>
        <w:rPr>
          <w:rFonts w:hint="eastAsia" w:ascii="宋体" w:hAnsi="宋体" w:eastAsia="宋体" w:cs="宋体"/>
          <w:b/>
          <w:color w:val="auto"/>
          <w:sz w:val="28"/>
          <w:szCs w:val="28"/>
          <w:highlight w:val="none"/>
          <w:lang w:val="en-US" w:eastAsia="zh-CN"/>
        </w:rPr>
        <w:t>（必须提供）。</w:t>
      </w:r>
      <w:bookmarkEnd w:id="1987"/>
      <w:bookmarkEnd w:id="1988"/>
      <w:bookmarkEnd w:id="1989"/>
    </w:p>
    <w:p w14:paraId="0F8FB459">
      <w:pPr>
        <w:keepNext w:val="0"/>
        <w:keepLines w:val="0"/>
        <w:pageBreakBefore w:val="0"/>
        <w:widowControl w:val="0"/>
        <w:numPr>
          <w:ilvl w:val="0"/>
          <w:numId w:val="0"/>
        </w:numPr>
        <w:wordWrap/>
        <w:topLinePunct w:val="0"/>
        <w:bidi w:val="0"/>
        <w:jc w:val="both"/>
        <w:rPr>
          <w:rFonts w:hint="eastAsia"/>
          <w:color w:val="auto"/>
          <w:highlight w:val="none"/>
        </w:rPr>
      </w:pPr>
    </w:p>
    <w:p w14:paraId="64B76570">
      <w:pPr>
        <w:spacing w:line="300" w:lineRule="auto"/>
        <w:jc w:val="left"/>
        <w:rPr>
          <w:rFonts w:hint="eastAsia" w:ascii="宋体" w:hAnsi="宋体"/>
          <w:b/>
          <w:color w:val="auto"/>
          <w:sz w:val="28"/>
          <w:szCs w:val="28"/>
        </w:rPr>
      </w:pPr>
      <w:r>
        <w:rPr>
          <w:rFonts w:hint="eastAsia" w:ascii="宋体" w:hAnsi="宋体"/>
          <w:b/>
          <w:color w:val="auto"/>
          <w:sz w:val="28"/>
          <w:szCs w:val="28"/>
        </w:rPr>
        <w:t>（按照桂林市建设工程招标站市建招字[2011]02号的规定承诺，格式自拟）</w:t>
      </w:r>
    </w:p>
    <w:p w14:paraId="1264A18D">
      <w:pPr>
        <w:keepNext w:val="0"/>
        <w:keepLines w:val="0"/>
        <w:pageBreakBefore w:val="0"/>
        <w:widowControl w:val="0"/>
        <w:wordWrap/>
        <w:topLinePunct w:val="0"/>
        <w:bidi w:val="0"/>
        <w:rPr>
          <w:rFonts w:hint="eastAsia"/>
          <w:color w:val="auto"/>
          <w:highlight w:val="none"/>
        </w:rPr>
      </w:pPr>
    </w:p>
    <w:p w14:paraId="261C38A3">
      <w:pPr>
        <w:rPr>
          <w:rFonts w:hint="eastAsia" w:ascii="宋体" w:hAnsi="宋体" w:eastAsia="宋体" w:cs="宋体"/>
          <w:b/>
          <w:bCs/>
          <w:color w:val="auto"/>
          <w:sz w:val="32"/>
          <w:szCs w:val="32"/>
          <w:highlight w:val="none"/>
        </w:rPr>
      </w:pPr>
      <w:bookmarkStart w:id="1993" w:name="_Toc13622"/>
      <w:r>
        <w:rPr>
          <w:rFonts w:hint="eastAsia" w:ascii="宋体" w:hAnsi="宋体" w:eastAsia="宋体" w:cs="宋体"/>
          <w:b/>
          <w:bCs/>
          <w:color w:val="auto"/>
          <w:sz w:val="32"/>
          <w:szCs w:val="32"/>
          <w:highlight w:val="none"/>
        </w:rPr>
        <w:br w:type="page"/>
      </w:r>
    </w:p>
    <w:p w14:paraId="49C7D71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eastAsia="zh-CN"/>
        </w:rPr>
        <w:t>三</w:t>
      </w:r>
      <w:r>
        <w:rPr>
          <w:rFonts w:hint="eastAsia" w:ascii="宋体" w:hAnsi="宋体" w:eastAsia="宋体" w:cs="宋体"/>
          <w:b/>
          <w:bCs/>
          <w:color w:val="auto"/>
          <w:sz w:val="32"/>
          <w:szCs w:val="32"/>
          <w:highlight w:val="none"/>
        </w:rPr>
        <w:t>）其</w:t>
      </w:r>
      <w:r>
        <w:rPr>
          <w:rFonts w:hint="eastAsia" w:ascii="宋体" w:hAnsi="宋体" w:eastAsia="宋体" w:cs="宋体"/>
          <w:b/>
          <w:bCs/>
          <w:color w:val="auto"/>
          <w:sz w:val="32"/>
          <w:szCs w:val="32"/>
          <w:highlight w:val="none"/>
          <w:lang w:eastAsia="zh-CN"/>
        </w:rPr>
        <w:t>他</w:t>
      </w:r>
      <w:r>
        <w:rPr>
          <w:rFonts w:hint="eastAsia" w:ascii="宋体" w:hAnsi="宋体" w:eastAsia="宋体" w:cs="宋体"/>
          <w:b/>
          <w:bCs/>
          <w:color w:val="auto"/>
          <w:sz w:val="32"/>
          <w:szCs w:val="32"/>
          <w:highlight w:val="none"/>
        </w:rPr>
        <w:t>有效证明材料目录</w:t>
      </w:r>
      <w:bookmarkEnd w:id="1990"/>
      <w:bookmarkEnd w:id="1991"/>
      <w:bookmarkEnd w:id="1992"/>
      <w:bookmarkEnd w:id="1993"/>
    </w:p>
    <w:p w14:paraId="7DBBBA6F">
      <w:pPr>
        <w:keepNext w:val="0"/>
        <w:keepLines w:val="0"/>
        <w:pageBreakBefore w:val="0"/>
        <w:widowControl w:val="0"/>
        <w:wordWrap/>
        <w:topLinePunct w:val="0"/>
        <w:bidi w:val="0"/>
        <w:spacing w:line="360" w:lineRule="auto"/>
        <w:ind w:firstLine="420" w:firstLineChars="200"/>
        <w:rPr>
          <w:rFonts w:hint="eastAsia" w:ascii="宋体" w:hAnsi="宋体" w:cs="宋体"/>
          <w:color w:val="auto"/>
          <w:sz w:val="21"/>
          <w:szCs w:val="21"/>
          <w:highlight w:val="none"/>
          <w:lang w:val="en-US" w:eastAsia="zh-CN"/>
        </w:rPr>
      </w:pPr>
    </w:p>
    <w:p w14:paraId="261B2CD8">
      <w:pPr>
        <w:keepNext w:val="0"/>
        <w:keepLines w:val="0"/>
        <w:pageBreakBefore w:val="0"/>
        <w:widowControl w:val="0"/>
        <w:wordWrap/>
        <w:topLinePunct w:val="0"/>
        <w:bidi w:val="0"/>
        <w:spacing w:line="360" w:lineRule="auto"/>
        <w:rPr>
          <w:rFonts w:hint="eastAsia" w:ascii="宋体" w:hAnsi="宋体" w:cs="宋体"/>
          <w:color w:val="auto"/>
          <w:sz w:val="21"/>
          <w:szCs w:val="21"/>
          <w:highlight w:val="none"/>
          <w:lang w:val="en-US" w:eastAsia="zh-CN"/>
        </w:rPr>
      </w:pPr>
    </w:p>
    <w:p w14:paraId="7D210B2A">
      <w:pPr>
        <w:keepNext w:val="0"/>
        <w:keepLines w:val="0"/>
        <w:pageBreakBefore w:val="0"/>
        <w:widowControl w:val="0"/>
        <w:wordWrap/>
        <w:topLinePunct w:val="0"/>
        <w:bidi w:val="0"/>
        <w:spacing w:line="240" w:lineRule="auto"/>
        <w:outlineLvl w:val="2"/>
        <w:rPr>
          <w:rFonts w:hint="eastAsia" w:ascii="宋体" w:hAnsi="宋体" w:eastAsia="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1.供应商2023年1月1日以来具有类似工程的业绩</w:t>
      </w:r>
      <w:r>
        <w:rPr>
          <w:rFonts w:hint="eastAsia" w:ascii="宋体" w:hAnsi="宋体" w:eastAsia="宋体" w:cs="宋体"/>
          <w:b/>
          <w:bCs/>
          <w:iCs/>
          <w:color w:val="auto"/>
          <w:kern w:val="2"/>
          <w:sz w:val="28"/>
          <w:szCs w:val="28"/>
          <w:highlight w:val="none"/>
          <w:lang w:val="en-US" w:eastAsia="zh-CN" w:bidi="ar-SA"/>
        </w:rPr>
        <w:t>（无不良记录，以中标（成交）通知书或签订的合同或竣工证明文件为准，并能清晰反映项目的名称、采购内容、采购金额、采购时间）（如有）；</w:t>
      </w:r>
    </w:p>
    <w:p w14:paraId="09D2B4F6">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1711013B">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270FAF74">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137D4116">
      <w:pPr>
        <w:keepNext w:val="0"/>
        <w:keepLines w:val="0"/>
        <w:pageBreakBefore w:val="0"/>
        <w:widowControl w:val="0"/>
        <w:wordWrap/>
        <w:topLinePunct w:val="0"/>
        <w:bidi w:val="0"/>
        <w:spacing w:line="240" w:lineRule="auto"/>
        <w:outlineLvl w:val="2"/>
        <w:rPr>
          <w:rFonts w:hint="eastAsia" w:ascii="宋体" w:hAnsi="宋体" w:cs="宋体"/>
          <w:b/>
          <w:bCs/>
          <w:iCs/>
          <w:color w:val="auto"/>
          <w:sz w:val="28"/>
          <w:szCs w:val="28"/>
          <w:highlight w:val="none"/>
          <w:lang w:val="en-US" w:eastAsia="zh-CN"/>
        </w:rPr>
      </w:pPr>
      <w:r>
        <w:rPr>
          <w:rFonts w:hint="eastAsia" w:ascii="宋体" w:hAnsi="宋体" w:cs="宋体"/>
          <w:b/>
          <w:bCs/>
          <w:iCs/>
          <w:color w:val="auto"/>
          <w:sz w:val="28"/>
          <w:szCs w:val="28"/>
          <w:highlight w:val="none"/>
          <w:lang w:val="en-US" w:eastAsia="zh-CN"/>
        </w:rPr>
        <w:t>2.供应商</w:t>
      </w:r>
      <w:r>
        <w:rPr>
          <w:rFonts w:hint="eastAsia" w:ascii="宋体" w:hAnsi="宋体" w:cs="宋体"/>
          <w:b/>
          <w:bCs/>
          <w:iCs/>
          <w:color w:val="auto"/>
          <w:sz w:val="28"/>
          <w:szCs w:val="28"/>
          <w:highlight w:val="none"/>
          <w:lang w:eastAsia="zh-CN"/>
        </w:rPr>
        <w:t>2023年1月1日</w:t>
      </w:r>
      <w:r>
        <w:rPr>
          <w:rFonts w:hint="eastAsia" w:ascii="宋体" w:hAnsi="宋体" w:cs="宋体"/>
          <w:b/>
          <w:bCs/>
          <w:iCs/>
          <w:color w:val="auto"/>
          <w:sz w:val="28"/>
          <w:szCs w:val="28"/>
          <w:highlight w:val="none"/>
          <w:lang w:val="en-US" w:eastAsia="zh-CN"/>
        </w:rPr>
        <w:t>以来</w:t>
      </w:r>
      <w:r>
        <w:rPr>
          <w:rFonts w:hint="eastAsia" w:ascii="宋体" w:hAnsi="宋体" w:cs="宋体"/>
          <w:b/>
          <w:bCs/>
          <w:iCs/>
          <w:color w:val="auto"/>
          <w:sz w:val="28"/>
          <w:szCs w:val="28"/>
          <w:highlight w:val="none"/>
        </w:rPr>
        <w:t>获奖情况</w:t>
      </w:r>
      <w:r>
        <w:rPr>
          <w:rFonts w:hint="eastAsia" w:ascii="宋体" w:hAnsi="宋体" w:cs="宋体"/>
          <w:b/>
          <w:bCs/>
          <w:iCs/>
          <w:color w:val="auto"/>
          <w:sz w:val="28"/>
          <w:szCs w:val="28"/>
          <w:highlight w:val="none"/>
          <w:lang w:eastAsia="zh-CN"/>
        </w:rPr>
        <w:t>（</w:t>
      </w:r>
      <w:r>
        <w:rPr>
          <w:rFonts w:hint="eastAsia" w:ascii="宋体" w:hAnsi="宋体" w:cs="宋体"/>
          <w:b/>
          <w:bCs/>
          <w:iCs/>
          <w:color w:val="auto"/>
          <w:sz w:val="28"/>
          <w:szCs w:val="28"/>
          <w:highlight w:val="none"/>
          <w:lang w:val="en-US" w:eastAsia="zh-CN"/>
        </w:rPr>
        <w:t>如有</w:t>
      </w:r>
      <w:r>
        <w:rPr>
          <w:rFonts w:hint="eastAsia" w:ascii="宋体" w:hAnsi="宋体" w:cs="宋体"/>
          <w:b/>
          <w:bCs/>
          <w:iCs/>
          <w:color w:val="auto"/>
          <w:sz w:val="28"/>
          <w:szCs w:val="28"/>
          <w:highlight w:val="none"/>
          <w:lang w:eastAsia="zh-CN"/>
        </w:rPr>
        <w:t>）</w:t>
      </w:r>
    </w:p>
    <w:p w14:paraId="519CFD4E">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7F1FFDAD">
      <w:pPr>
        <w:keepNext w:val="0"/>
        <w:keepLines w:val="0"/>
        <w:pageBreakBefore w:val="0"/>
        <w:widowControl w:val="0"/>
        <w:wordWrap/>
        <w:topLinePunct w:val="0"/>
        <w:bidi w:val="0"/>
        <w:spacing w:line="240" w:lineRule="auto"/>
        <w:rPr>
          <w:rFonts w:hint="default" w:ascii="宋体" w:hAnsi="宋体" w:eastAsia="宋体" w:cs="宋体"/>
          <w:b/>
          <w:bCs/>
          <w:iCs/>
          <w:color w:val="auto"/>
          <w:kern w:val="2"/>
          <w:sz w:val="28"/>
          <w:szCs w:val="28"/>
          <w:highlight w:val="none"/>
          <w:lang w:val="en-US" w:eastAsia="zh-CN" w:bidi="ar-SA"/>
        </w:rPr>
      </w:pPr>
    </w:p>
    <w:p w14:paraId="4DE6A25F">
      <w:pPr>
        <w:keepNext w:val="0"/>
        <w:keepLines w:val="0"/>
        <w:pageBreakBefore w:val="0"/>
        <w:widowControl w:val="0"/>
        <w:wordWrap/>
        <w:topLinePunct w:val="0"/>
        <w:bidi w:val="0"/>
        <w:spacing w:line="240" w:lineRule="auto"/>
        <w:rPr>
          <w:rFonts w:hint="default" w:ascii="宋体" w:hAnsi="宋体" w:eastAsia="宋体" w:cs="宋体"/>
          <w:b/>
          <w:bCs/>
          <w:iCs/>
          <w:color w:val="auto"/>
          <w:kern w:val="2"/>
          <w:sz w:val="28"/>
          <w:szCs w:val="28"/>
          <w:highlight w:val="none"/>
          <w:lang w:val="en-US" w:eastAsia="zh-CN" w:bidi="ar-SA"/>
        </w:rPr>
      </w:pPr>
    </w:p>
    <w:p w14:paraId="21A61A33">
      <w:pPr>
        <w:keepNext w:val="0"/>
        <w:keepLines w:val="0"/>
        <w:pageBreakBefore w:val="0"/>
        <w:widowControl w:val="0"/>
        <w:wordWrap/>
        <w:topLinePunct w:val="0"/>
        <w:bidi w:val="0"/>
        <w:spacing w:line="240" w:lineRule="auto"/>
        <w:outlineLvl w:val="2"/>
        <w:rPr>
          <w:rFonts w:hint="eastAsia" w:ascii="宋体" w:hAnsi="宋体" w:eastAsia="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3</w:t>
      </w:r>
      <w:r>
        <w:rPr>
          <w:rFonts w:hint="eastAsia" w:ascii="宋体" w:hAnsi="宋体" w:eastAsia="宋体" w:cs="宋体"/>
          <w:b/>
          <w:bCs/>
          <w:iCs/>
          <w:color w:val="auto"/>
          <w:kern w:val="2"/>
          <w:sz w:val="28"/>
          <w:szCs w:val="28"/>
          <w:highlight w:val="none"/>
          <w:lang w:val="en-US" w:eastAsia="zh-CN" w:bidi="ar-SA"/>
        </w:rPr>
        <w:t>.供应商可结合本项目的评审办法视自身情况自行提交其它相关证明材料。</w:t>
      </w:r>
    </w:p>
    <w:p w14:paraId="58B667E4">
      <w:pPr>
        <w:keepNext w:val="0"/>
        <w:keepLines w:val="0"/>
        <w:pageBreakBefore w:val="0"/>
        <w:widowControl w:val="0"/>
        <w:wordWrap/>
        <w:topLinePunct w:val="0"/>
        <w:bidi w:val="0"/>
        <w:spacing w:line="360" w:lineRule="auto"/>
        <w:ind w:firstLine="480" w:firstLineChars="200"/>
        <w:rPr>
          <w:rFonts w:hint="eastAsia" w:ascii="宋体" w:hAnsi="宋体" w:eastAsia="宋体" w:cs="宋体"/>
          <w:color w:val="auto"/>
          <w:sz w:val="24"/>
          <w:highlight w:val="none"/>
        </w:rPr>
      </w:pPr>
    </w:p>
    <w:p w14:paraId="7FBD7D79">
      <w:pPr>
        <w:keepNext w:val="0"/>
        <w:keepLines w:val="0"/>
        <w:pageBreakBefore w:val="0"/>
        <w:widowControl w:val="0"/>
        <w:wordWrap/>
        <w:topLinePunct w:val="0"/>
        <w:bidi w:val="0"/>
        <w:outlineLvl w:val="9"/>
        <w:rPr>
          <w:rFonts w:hint="eastAsia"/>
          <w:color w:val="auto"/>
          <w:highlight w:val="none"/>
        </w:rPr>
      </w:pPr>
      <w:r>
        <w:rPr>
          <w:rFonts w:hint="eastAsia"/>
          <w:color w:val="auto"/>
          <w:highlight w:val="none"/>
        </w:rPr>
        <w:br w:type="page"/>
      </w:r>
    </w:p>
    <w:p w14:paraId="7EAC9AD7">
      <w:pPr>
        <w:pStyle w:val="2"/>
        <w:keepNext w:val="0"/>
        <w:keepLines w:val="0"/>
        <w:pageBreakBefore w:val="0"/>
        <w:widowControl w:val="0"/>
        <w:wordWrap/>
        <w:topLinePunct w:val="0"/>
        <w:bidi w:val="0"/>
        <w:spacing w:line="240" w:lineRule="auto"/>
        <w:jc w:val="center"/>
        <w:outlineLvl w:val="0"/>
        <w:rPr>
          <w:rFonts w:hint="eastAsia"/>
          <w:color w:val="auto"/>
          <w:highlight w:val="none"/>
        </w:rPr>
      </w:pPr>
      <w:bookmarkStart w:id="1994" w:name="_Toc25736"/>
      <w:r>
        <w:rPr>
          <w:rFonts w:hint="eastAsia"/>
          <w:color w:val="auto"/>
          <w:highlight w:val="none"/>
        </w:rPr>
        <w:t>第七章</w:t>
      </w:r>
      <w:r>
        <w:rPr>
          <w:rFonts w:hint="eastAsia"/>
          <w:color w:val="auto"/>
          <w:highlight w:val="none"/>
          <w:lang w:val="en-US" w:eastAsia="zh-CN"/>
        </w:rPr>
        <w:t xml:space="preserve"> </w:t>
      </w:r>
      <w:r>
        <w:rPr>
          <w:rFonts w:hint="eastAsia"/>
          <w:color w:val="auto"/>
          <w:highlight w:val="none"/>
        </w:rPr>
        <w:t>图纸</w:t>
      </w:r>
      <w:bookmarkEnd w:id="1994"/>
    </w:p>
    <w:p w14:paraId="497433B7">
      <w:pPr>
        <w:keepNext w:val="0"/>
        <w:keepLines w:val="0"/>
        <w:pageBreakBefore w:val="0"/>
        <w:widowControl w:val="0"/>
        <w:wordWrap/>
        <w:topLinePunct w:val="0"/>
        <w:bidi w:val="0"/>
        <w:jc w:val="center"/>
        <w:rPr>
          <w:rFonts w:hint="eastAsia"/>
          <w:color w:val="auto"/>
          <w:highlight w:val="none"/>
        </w:rPr>
      </w:pPr>
    </w:p>
    <w:p w14:paraId="7571A44F">
      <w:pPr>
        <w:keepNext w:val="0"/>
        <w:keepLines w:val="0"/>
        <w:pageBreakBefore w:val="0"/>
        <w:widowControl w:val="0"/>
        <w:wordWrap/>
        <w:topLinePunct w:val="0"/>
        <w:bidi w:val="0"/>
        <w:spacing w:line="240" w:lineRule="auto"/>
        <w:jc w:val="center"/>
        <w:outlineLvl w:val="9"/>
        <w:rPr>
          <w:rFonts w:hint="default"/>
          <w:color w:val="auto"/>
          <w:sz w:val="36"/>
          <w:szCs w:val="36"/>
          <w:highlight w:val="none"/>
          <w:lang w:val="en-US" w:eastAsia="zh-CN"/>
        </w:rPr>
      </w:pPr>
      <w:r>
        <w:rPr>
          <w:rFonts w:hint="default"/>
          <w:color w:val="auto"/>
          <w:sz w:val="36"/>
          <w:szCs w:val="36"/>
          <w:highlight w:val="none"/>
          <w:lang w:val="en-US" w:eastAsia="zh-CN"/>
        </w:rPr>
        <w:t>另附（电子版自行下载）</w:t>
      </w:r>
    </w:p>
    <w:p w14:paraId="1D3EA79E">
      <w:pPr>
        <w:keepNext w:val="0"/>
        <w:keepLines w:val="0"/>
        <w:pageBreakBefore w:val="0"/>
        <w:widowControl w:val="0"/>
        <w:wordWrap/>
        <w:topLinePunct w:val="0"/>
        <w:bidi w:val="0"/>
        <w:rPr>
          <w:color w:val="auto"/>
          <w:highlight w:val="none"/>
        </w:rPr>
      </w:pPr>
    </w:p>
    <w:p w14:paraId="4E4D2CEA">
      <w:pPr>
        <w:keepNext w:val="0"/>
        <w:keepLines w:val="0"/>
        <w:pageBreakBefore w:val="0"/>
        <w:widowControl w:val="0"/>
        <w:wordWrap/>
        <w:topLinePunct w:val="0"/>
        <w:bidi w:val="0"/>
        <w:rPr>
          <w:color w:val="auto"/>
          <w:highlight w:val="none"/>
        </w:rPr>
      </w:pPr>
    </w:p>
    <w:p w14:paraId="61F93AB6">
      <w:pPr>
        <w:keepNext w:val="0"/>
        <w:keepLines w:val="0"/>
        <w:pageBreakBefore w:val="0"/>
        <w:widowControl w:val="0"/>
        <w:wordWrap/>
        <w:topLinePunct w:val="0"/>
        <w:bidi w:val="0"/>
        <w:rPr>
          <w:color w:val="auto"/>
        </w:rPr>
      </w:pPr>
    </w:p>
    <w:sectPr>
      <w:headerReference r:id="rId8" w:type="default"/>
      <w:footerReference r:id="rId9" w:type="default"/>
      <w:pgSz w:w="11910" w:h="16850"/>
      <w:pgMar w:top="1304" w:right="1134" w:bottom="1191" w:left="1247"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C1825F-E9FC-4422-8B30-EFA080C294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8D7A77B-9C5C-4628-9870-31E627EF6FB9}"/>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monospac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隶书">
    <w:panose1 w:val="02010509060101010101"/>
    <w:charset w:val="86"/>
    <w:family w:val="modern"/>
    <w:pitch w:val="default"/>
    <w:sig w:usb0="00000001" w:usb1="080E0000" w:usb2="00000000" w:usb3="00000000" w:csb0="00040000" w:csb1="00000000"/>
    <w:embedRegular r:id="rId3" w:fontKey="{5FD9103B-0726-4538-987B-DFA0D4FD8EEF}"/>
  </w:font>
  <w:font w:name="仿宋_GB2312">
    <w:altName w:val="仿宋"/>
    <w:panose1 w:val="02010609030101010101"/>
    <w:charset w:val="86"/>
    <w:family w:val="modern"/>
    <w:pitch w:val="default"/>
    <w:sig w:usb0="00000000" w:usb1="00000000" w:usb2="00000000" w:usb3="00000000" w:csb0="00040000" w:csb1="00000000"/>
    <w:embedRegular r:id="rId4" w:fontKey="{5005F8B8-1131-4946-8055-1FB8A6247EC4}"/>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5" w:fontKey="{80364E3A-A228-41D1-9453-6E812F61D748}"/>
  </w:font>
  <w:font w:name="方正仿宋_GBK">
    <w:panose1 w:val="02000000000000000000"/>
    <w:charset w:val="86"/>
    <w:family w:val="script"/>
    <w:pitch w:val="default"/>
    <w:sig w:usb0="A00002BF" w:usb1="38CF7CFA" w:usb2="00082016" w:usb3="00000000" w:csb0="00040001" w:csb1="00000000"/>
    <w:embedRegular r:id="rId6" w:fontKey="{2DE1CADC-7091-4976-9879-5A584C0A725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47BD0">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1B504A1">
                          <w:pPr>
                            <w:pStyle w:val="13"/>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OwMsfEAQAAmgMAAA4AAAAAAAAAAQAgAAAAHwEAAGRycy9lMm9Eb2MueG1s&#10;UEsFBgAAAAAGAAYAWQEAAFUFAAAAAA==&#10;">
              <v:fill on="f" focussize="0,0"/>
              <v:stroke on="f"/>
              <v:imagedata o:title=""/>
              <o:lock v:ext="edit" aspectratio="f"/>
              <v:textbox inset="0mm,0mm,0mm,0mm" style="mso-fit-shape-to-text:t;">
                <w:txbxContent>
                  <w:p w14:paraId="41B504A1">
                    <w:pPr>
                      <w:pStyle w:val="13"/>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35B76">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2780789">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fqq+fEAQAAmgMAAA4AAAAAAAAAAQAgAAAAHwEAAGRycy9lMm9Eb2MueG1s&#10;UEsFBgAAAAAGAAYAWQEAAFUFAAAAAA==&#10;">
              <v:fill on="f" focussize="0,0"/>
              <v:stroke on="f"/>
              <v:imagedata o:title=""/>
              <o:lock v:ext="edit" aspectratio="f"/>
              <v:textbox inset="0mm,0mm,0mm,0mm" style="mso-fit-shape-to-text:t;">
                <w:txbxContent>
                  <w:p w14:paraId="62780789">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1DABC">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矩形 409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3012EDB">
                          <w:pPr>
                            <w:pStyle w:val="13"/>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Bsme5pyAEAAKADAAAOAAAAAAAAAAEAIAAAAB8BAABkcnMvZTJvRG9j&#10;LnhtbFBLBQYAAAAABgAGAFkBAABZBQAAAAA=&#10;">
              <v:fill on="f" focussize="0,0"/>
              <v:stroke on="f"/>
              <v:imagedata o:title=""/>
              <o:lock v:ext="edit" aspectratio="f"/>
              <v:textbox inset="0mm,0mm,0mm,0mm" style="mso-fit-shape-to-text:t;">
                <w:txbxContent>
                  <w:p w14:paraId="43012EDB">
                    <w:pPr>
                      <w:pStyle w:val="13"/>
                    </w:pPr>
                    <w:r>
                      <w:fldChar w:fldCharType="begin"/>
                    </w:r>
                    <w:r>
                      <w:instrText xml:space="preserve"> PAGE  \* MERGEFORMAT </w:instrText>
                    </w:r>
                    <w:r>
                      <w:fldChar w:fldCharType="separate"/>
                    </w:r>
                    <w:r>
                      <w:t>4</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9B69">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矩形 410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F89854B">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vXcEWcYBAACgAwAADgAAAAAAAAABACAAAAAfAQAAZHJzL2Uyb0RvYy54&#10;bWxQSwUGAAAAAAYABgBZAQAAVwUAAAAA&#10;">
              <v:fill on="f" focussize="0,0"/>
              <v:stroke on="f"/>
              <v:imagedata o:title=""/>
              <o:lock v:ext="edit" aspectratio="f"/>
              <v:textbox inset="0mm,0mm,0mm,0mm" style="mso-fit-shape-to-text:t;">
                <w:txbxContent>
                  <w:p w14:paraId="1F89854B">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A22A">
    <w:pPr>
      <w:pStyle w:val="13"/>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DA806">
                          <w:pPr>
                            <w:pStyle w:val="13"/>
                            <w:jc w:val="center"/>
                          </w:pPr>
                          <w:r>
                            <w:fldChar w:fldCharType="begin"/>
                          </w:r>
                          <w:r>
                            <w:instrText xml:space="preserve">PAGE   \* MERGEFORMAT</w:instrText>
                          </w:r>
                          <w:r>
                            <w:fldChar w:fldCharType="separate"/>
                          </w:r>
                          <w:r>
                            <w:rPr>
                              <w:lang w:val="zh-CN"/>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DDA806">
                    <w:pPr>
                      <w:pStyle w:val="13"/>
                      <w:jc w:val="center"/>
                    </w:pPr>
                    <w:r>
                      <w:fldChar w:fldCharType="begin"/>
                    </w:r>
                    <w:r>
                      <w:instrText xml:space="preserve">PAGE   \* MERGEFORMAT</w:instrText>
                    </w:r>
                    <w:r>
                      <w:fldChar w:fldCharType="separate"/>
                    </w:r>
                    <w:r>
                      <w:rPr>
                        <w:lang w:val="zh-CN"/>
                      </w:rPr>
                      <w:t>65</w:t>
                    </w:r>
                    <w:r>
                      <w:fldChar w:fldCharType="end"/>
                    </w:r>
                  </w:p>
                </w:txbxContent>
              </v:textbox>
            </v:shape>
          </w:pict>
        </mc:Fallback>
      </mc:AlternateContent>
    </w:r>
  </w:p>
  <w:p w14:paraId="24A0D49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4239">
    <w:pPr>
      <w:pStyle w:val="1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矩形 410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D9C915B">
                          <w:pPr>
                            <w:pStyle w:val="13"/>
                          </w:pPr>
                          <w:r>
                            <w:fldChar w:fldCharType="begin"/>
                          </w:r>
                          <w:r>
                            <w:instrText xml:space="preserve"> PAGE  \* MERGEFORMAT </w:instrText>
                          </w:r>
                          <w:r>
                            <w:fldChar w:fldCharType="separate"/>
                          </w:r>
                          <w:r>
                            <w:t>64</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PhLAYDHAQAAoAMAAA4AAAAAAAAAAQAgAAAAHwEAAGRycy9lMm9Eb2Mu&#10;eG1sUEsFBgAAAAAGAAYAWQEAAFgFAAAAAA==&#10;">
              <v:fill on="f" focussize="0,0"/>
              <v:stroke on="f"/>
              <v:imagedata o:title=""/>
              <o:lock v:ext="edit" aspectratio="f"/>
              <v:textbox inset="0mm,0mm,0mm,0mm" style="mso-fit-shape-to-text:t;">
                <w:txbxContent>
                  <w:p w14:paraId="2D9C915B">
                    <w:pPr>
                      <w:pStyle w:val="13"/>
                    </w:pPr>
                    <w:r>
                      <w:fldChar w:fldCharType="begin"/>
                    </w:r>
                    <w:r>
                      <w:instrText xml:space="preserve"> PAGE  \* MERGEFORMAT </w:instrText>
                    </w:r>
                    <w:r>
                      <w:fldChar w:fldCharType="separate"/>
                    </w:r>
                    <w:r>
                      <w:t>64</w:t>
                    </w:r>
                    <w:r>
                      <w:fldChar w:fldCharType="end"/>
                    </w:r>
                  </w:p>
                </w:txbxContent>
              </v:textbox>
            </v:rect>
          </w:pict>
        </mc:Fallback>
      </mc:AlternateContent>
    </w:r>
  </w:p>
  <w:p w14:paraId="1B2643ED">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24C5">
    <w:pPr>
      <w:pStyle w:val="14"/>
      <w:pBdr>
        <w:top w:val="none" w:color="auto" w:sz="0" w:space="0"/>
        <w:left w:val="none" w:color="auto" w:sz="0" w:space="0"/>
        <w:bottom w:val="none" w:color="auto" w:sz="0" w:space="1"/>
        <w:right w:val="none" w:color="auto" w:sz="0" w:space="0"/>
        <w:between w:val="none" w:color="auto" w:sz="0" w:space="0"/>
      </w:pBdr>
      <w:ind w:firstLine="0" w:firstLineChars="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2"/>
      <w:numFmt w:val="decimal"/>
      <w:suff w:val="nothing"/>
      <w:lvlText w:val="（%1）"/>
      <w:lvlJc w:val="left"/>
    </w:lvl>
  </w:abstractNum>
  <w:abstractNum w:abstractNumId="1">
    <w:nsid w:val="00000003"/>
    <w:multiLevelType w:val="singleLevel"/>
    <w:tmpl w:val="00000003"/>
    <w:lvl w:ilvl="0" w:tentative="0">
      <w:start w:val="1"/>
      <w:numFmt w:val="chineseCounting"/>
      <w:suff w:val="space"/>
      <w:lvlText w:val="第%1部分"/>
      <w:lvlJc w:val="left"/>
      <w:rPr>
        <w:rFonts w:hint="eastAsia"/>
      </w:rPr>
    </w:lvl>
  </w:abstractNum>
  <w:abstractNum w:abstractNumId="2">
    <w:nsid w:val="00000005"/>
    <w:multiLevelType w:val="multilevel"/>
    <w:tmpl w:val="00000005"/>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3">
    <w:nsid w:val="00000009"/>
    <w:multiLevelType w:val="singleLevel"/>
    <w:tmpl w:val="00000009"/>
    <w:lvl w:ilvl="0" w:tentative="0">
      <w:start w:val="4"/>
      <w:numFmt w:val="decimal"/>
      <w:suff w:val="nothing"/>
      <w:lvlText w:val="（%1）"/>
      <w:lvlJc w:val="left"/>
    </w:lvl>
  </w:abstractNum>
  <w:abstractNum w:abstractNumId="4">
    <w:nsid w:val="0000000A"/>
    <w:multiLevelType w:val="singleLevel"/>
    <w:tmpl w:val="0000000A"/>
    <w:lvl w:ilvl="0" w:tentative="0">
      <w:start w:val="2"/>
      <w:numFmt w:val="decimal"/>
      <w:suff w:val="nothing"/>
      <w:lvlText w:val="（%1）"/>
      <w:lvlJc w:val="left"/>
    </w:lvl>
  </w:abstractNum>
  <w:abstractNum w:abstractNumId="5">
    <w:nsid w:val="0000000C"/>
    <w:multiLevelType w:val="singleLevel"/>
    <w:tmpl w:val="0000000C"/>
    <w:lvl w:ilvl="0" w:tentative="0">
      <w:start w:val="6"/>
      <w:numFmt w:val="chineseCounting"/>
      <w:suff w:val="nothing"/>
      <w:lvlText w:val="%1、"/>
      <w:lvlJc w:val="left"/>
      <w:rPr>
        <w:rFonts w:hint="eastAsia"/>
      </w:rPr>
    </w:lvl>
  </w:abstractNum>
  <w:abstractNum w:abstractNumId="6">
    <w:nsid w:val="0000000D"/>
    <w:multiLevelType w:val="singleLevel"/>
    <w:tmpl w:val="0000000D"/>
    <w:lvl w:ilvl="0" w:tentative="0">
      <w:start w:val="2"/>
      <w:numFmt w:val="decimal"/>
      <w:lvlText w:val="%1."/>
      <w:lvlJc w:val="left"/>
      <w:pPr>
        <w:tabs>
          <w:tab w:val="left" w:pos="312"/>
        </w:tabs>
      </w:pPr>
    </w:lvl>
  </w:abstractNum>
  <w:abstractNum w:abstractNumId="7">
    <w:nsid w:val="00000010"/>
    <w:multiLevelType w:val="singleLevel"/>
    <w:tmpl w:val="00000010"/>
    <w:lvl w:ilvl="0" w:tentative="0">
      <w:start w:val="5"/>
      <w:numFmt w:val="decimal"/>
      <w:suff w:val="space"/>
      <w:lvlText w:val="%1."/>
      <w:lvlJc w:val="left"/>
    </w:lvl>
  </w:abstractNum>
  <w:abstractNum w:abstractNumId="8">
    <w:nsid w:val="66D869F1"/>
    <w:multiLevelType w:val="singleLevel"/>
    <w:tmpl w:val="66D869F1"/>
    <w:lvl w:ilvl="0" w:tentative="0">
      <w:start w:val="1"/>
      <w:numFmt w:val="chineseCounting"/>
      <w:suff w:val="nothing"/>
      <w:lvlText w:val="（%1）"/>
      <w:lvlJc w:val="left"/>
      <w:pPr>
        <w:ind w:left="482"/>
      </w:pPr>
      <w:rPr>
        <w:rFonts w:hint="eastAsia"/>
      </w:rPr>
    </w:lvl>
  </w:abstractNum>
  <w:abstractNum w:abstractNumId="9">
    <w:nsid w:val="7D335EFA"/>
    <w:multiLevelType w:val="singleLevel"/>
    <w:tmpl w:val="7D335EFA"/>
    <w:lvl w:ilvl="0" w:tentative="0">
      <w:start w:val="1"/>
      <w:numFmt w:val="decimal"/>
      <w:suff w:val="space"/>
      <w:lvlText w:val="%1."/>
      <w:lvlJc w:val="left"/>
    </w:lvl>
  </w:abstractNum>
  <w:num w:numId="1">
    <w:abstractNumId w:val="2"/>
  </w:num>
  <w:num w:numId="2">
    <w:abstractNumId w:val="7"/>
  </w:num>
  <w:num w:numId="3">
    <w:abstractNumId w:val="0"/>
  </w:num>
  <w:num w:numId="4">
    <w:abstractNumId w:val="1"/>
  </w:num>
  <w:num w:numId="5">
    <w:abstractNumId w:val="3"/>
  </w:num>
  <w:num w:numId="6">
    <w:abstractNumId w:val="4"/>
  </w:num>
  <w:num w:numId="7">
    <w:abstractNumId w:val="5"/>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5OTBjMGE3NzAzY2JmZjg2MTZhMGMwYTFkYWIxODQifQ=="/>
    <w:docVar w:name="KSO_WPS_MARK_KEY" w:val="a3adb148-270f-42ae-9ec3-2fe99b1ace6b"/>
  </w:docVars>
  <w:rsids>
    <w:rsidRoot w:val="23B209CE"/>
    <w:rsid w:val="00854A72"/>
    <w:rsid w:val="00930024"/>
    <w:rsid w:val="00FA5C08"/>
    <w:rsid w:val="01747E56"/>
    <w:rsid w:val="01810306"/>
    <w:rsid w:val="01937374"/>
    <w:rsid w:val="01B26CA5"/>
    <w:rsid w:val="01C144D9"/>
    <w:rsid w:val="01CA6557"/>
    <w:rsid w:val="01DE5CAD"/>
    <w:rsid w:val="021013A5"/>
    <w:rsid w:val="02111B48"/>
    <w:rsid w:val="022A4193"/>
    <w:rsid w:val="02373978"/>
    <w:rsid w:val="024E143B"/>
    <w:rsid w:val="025F388A"/>
    <w:rsid w:val="02E90EEC"/>
    <w:rsid w:val="02F97044"/>
    <w:rsid w:val="03462ABC"/>
    <w:rsid w:val="035D4C71"/>
    <w:rsid w:val="03BF4B97"/>
    <w:rsid w:val="042042C5"/>
    <w:rsid w:val="045A35CA"/>
    <w:rsid w:val="046917C8"/>
    <w:rsid w:val="048E5251"/>
    <w:rsid w:val="04C3537C"/>
    <w:rsid w:val="0513305A"/>
    <w:rsid w:val="05467449"/>
    <w:rsid w:val="055B3806"/>
    <w:rsid w:val="05951810"/>
    <w:rsid w:val="06336531"/>
    <w:rsid w:val="06435EAF"/>
    <w:rsid w:val="068C3E93"/>
    <w:rsid w:val="069074E0"/>
    <w:rsid w:val="06E4782C"/>
    <w:rsid w:val="06E55C44"/>
    <w:rsid w:val="06FB0143"/>
    <w:rsid w:val="07A1571D"/>
    <w:rsid w:val="086955C6"/>
    <w:rsid w:val="08BB5A99"/>
    <w:rsid w:val="08F136C4"/>
    <w:rsid w:val="09016473"/>
    <w:rsid w:val="091268D2"/>
    <w:rsid w:val="098F3F42"/>
    <w:rsid w:val="09954AB1"/>
    <w:rsid w:val="09A6701A"/>
    <w:rsid w:val="09B434E5"/>
    <w:rsid w:val="09D81E6C"/>
    <w:rsid w:val="09EA30C6"/>
    <w:rsid w:val="09F2400E"/>
    <w:rsid w:val="09FF4C04"/>
    <w:rsid w:val="0A540824"/>
    <w:rsid w:val="0A623D92"/>
    <w:rsid w:val="0A68645A"/>
    <w:rsid w:val="0A8C6210"/>
    <w:rsid w:val="0AC4545B"/>
    <w:rsid w:val="0AC92FC0"/>
    <w:rsid w:val="0B1526A9"/>
    <w:rsid w:val="0B7E7B06"/>
    <w:rsid w:val="0B815649"/>
    <w:rsid w:val="0BC966AE"/>
    <w:rsid w:val="0BD6146D"/>
    <w:rsid w:val="0BF26547"/>
    <w:rsid w:val="0C9462C4"/>
    <w:rsid w:val="0C9F66CF"/>
    <w:rsid w:val="0CFB167C"/>
    <w:rsid w:val="0D3B5CCB"/>
    <w:rsid w:val="0D4D384D"/>
    <w:rsid w:val="0D814026"/>
    <w:rsid w:val="0D851C9F"/>
    <w:rsid w:val="0E685C3E"/>
    <w:rsid w:val="0E814C31"/>
    <w:rsid w:val="0E836F5A"/>
    <w:rsid w:val="0E8A2861"/>
    <w:rsid w:val="0E8C5E08"/>
    <w:rsid w:val="0E985859"/>
    <w:rsid w:val="0F3D3F7D"/>
    <w:rsid w:val="0FA364D6"/>
    <w:rsid w:val="0FB87AA7"/>
    <w:rsid w:val="100625C1"/>
    <w:rsid w:val="10117CE4"/>
    <w:rsid w:val="110D5B7B"/>
    <w:rsid w:val="110E3E23"/>
    <w:rsid w:val="111839AB"/>
    <w:rsid w:val="114B314A"/>
    <w:rsid w:val="115B4F75"/>
    <w:rsid w:val="11AF4BBA"/>
    <w:rsid w:val="11CB3AC2"/>
    <w:rsid w:val="121466E6"/>
    <w:rsid w:val="12274A70"/>
    <w:rsid w:val="12927940"/>
    <w:rsid w:val="129E2CF7"/>
    <w:rsid w:val="131B4F5E"/>
    <w:rsid w:val="133D1DB4"/>
    <w:rsid w:val="138A52B7"/>
    <w:rsid w:val="13DF73EA"/>
    <w:rsid w:val="13E64BF6"/>
    <w:rsid w:val="13EE3A98"/>
    <w:rsid w:val="14CA2983"/>
    <w:rsid w:val="15333EEC"/>
    <w:rsid w:val="154F3F14"/>
    <w:rsid w:val="15543DCE"/>
    <w:rsid w:val="15642EE4"/>
    <w:rsid w:val="159643E7"/>
    <w:rsid w:val="159C7209"/>
    <w:rsid w:val="15AB60E4"/>
    <w:rsid w:val="15B14D7D"/>
    <w:rsid w:val="15CA279E"/>
    <w:rsid w:val="15E622AE"/>
    <w:rsid w:val="15FC62BD"/>
    <w:rsid w:val="16310E58"/>
    <w:rsid w:val="16465E0D"/>
    <w:rsid w:val="16616190"/>
    <w:rsid w:val="16665843"/>
    <w:rsid w:val="16717134"/>
    <w:rsid w:val="16A6074B"/>
    <w:rsid w:val="174773A9"/>
    <w:rsid w:val="174A07CA"/>
    <w:rsid w:val="17603632"/>
    <w:rsid w:val="17880A68"/>
    <w:rsid w:val="17A64643"/>
    <w:rsid w:val="182757CA"/>
    <w:rsid w:val="183A22A9"/>
    <w:rsid w:val="18995E33"/>
    <w:rsid w:val="18CE6C54"/>
    <w:rsid w:val="18D8747C"/>
    <w:rsid w:val="18DD0389"/>
    <w:rsid w:val="190951E0"/>
    <w:rsid w:val="193502FE"/>
    <w:rsid w:val="19392E3F"/>
    <w:rsid w:val="196B6B32"/>
    <w:rsid w:val="1A5A3C35"/>
    <w:rsid w:val="1B235074"/>
    <w:rsid w:val="1C273F78"/>
    <w:rsid w:val="1C905109"/>
    <w:rsid w:val="1C9F0600"/>
    <w:rsid w:val="1D232A04"/>
    <w:rsid w:val="1D2C3EA2"/>
    <w:rsid w:val="1DA7240B"/>
    <w:rsid w:val="1DB623BE"/>
    <w:rsid w:val="1E1E141D"/>
    <w:rsid w:val="1E870D71"/>
    <w:rsid w:val="1EB50842"/>
    <w:rsid w:val="1EC473C2"/>
    <w:rsid w:val="1ED32208"/>
    <w:rsid w:val="1ED716F6"/>
    <w:rsid w:val="1EE55015"/>
    <w:rsid w:val="1F1032A0"/>
    <w:rsid w:val="1F1316D4"/>
    <w:rsid w:val="1F501AAA"/>
    <w:rsid w:val="204A64FA"/>
    <w:rsid w:val="206F41B2"/>
    <w:rsid w:val="208E4B8B"/>
    <w:rsid w:val="20B10327"/>
    <w:rsid w:val="20D02B91"/>
    <w:rsid w:val="20F42C33"/>
    <w:rsid w:val="210B2B5C"/>
    <w:rsid w:val="21B4613A"/>
    <w:rsid w:val="21E604A4"/>
    <w:rsid w:val="21F04E7F"/>
    <w:rsid w:val="22410797"/>
    <w:rsid w:val="225E509B"/>
    <w:rsid w:val="22936DBB"/>
    <w:rsid w:val="22FD6FFC"/>
    <w:rsid w:val="233A6539"/>
    <w:rsid w:val="233F60BE"/>
    <w:rsid w:val="23B209CE"/>
    <w:rsid w:val="24267689"/>
    <w:rsid w:val="24750783"/>
    <w:rsid w:val="24D71B14"/>
    <w:rsid w:val="24E32A79"/>
    <w:rsid w:val="2593624D"/>
    <w:rsid w:val="25D56865"/>
    <w:rsid w:val="25F64473"/>
    <w:rsid w:val="26107DAF"/>
    <w:rsid w:val="26263565"/>
    <w:rsid w:val="26B27A86"/>
    <w:rsid w:val="26CE5E33"/>
    <w:rsid w:val="272F61A5"/>
    <w:rsid w:val="27C47BDC"/>
    <w:rsid w:val="27E40FE2"/>
    <w:rsid w:val="27F31225"/>
    <w:rsid w:val="28112E31"/>
    <w:rsid w:val="28240B14"/>
    <w:rsid w:val="28416434"/>
    <w:rsid w:val="28610884"/>
    <w:rsid w:val="28856C91"/>
    <w:rsid w:val="289C18BC"/>
    <w:rsid w:val="28BE7A85"/>
    <w:rsid w:val="28DE1ED5"/>
    <w:rsid w:val="294361DC"/>
    <w:rsid w:val="294A756A"/>
    <w:rsid w:val="29504EF8"/>
    <w:rsid w:val="297B2F8F"/>
    <w:rsid w:val="29954C89"/>
    <w:rsid w:val="29CE3619"/>
    <w:rsid w:val="2A0A2709"/>
    <w:rsid w:val="2A1B07AF"/>
    <w:rsid w:val="2A3C3B80"/>
    <w:rsid w:val="2AA768F7"/>
    <w:rsid w:val="2AA902C1"/>
    <w:rsid w:val="2AC109ED"/>
    <w:rsid w:val="2B092F16"/>
    <w:rsid w:val="2B3A390D"/>
    <w:rsid w:val="2BA36C87"/>
    <w:rsid w:val="2BA44DCA"/>
    <w:rsid w:val="2BD55DD1"/>
    <w:rsid w:val="2C252851"/>
    <w:rsid w:val="2C5405BE"/>
    <w:rsid w:val="2C5B2595"/>
    <w:rsid w:val="2C710C40"/>
    <w:rsid w:val="2C994A91"/>
    <w:rsid w:val="2CC807E2"/>
    <w:rsid w:val="2CE51307"/>
    <w:rsid w:val="2CFB0902"/>
    <w:rsid w:val="2D1316FD"/>
    <w:rsid w:val="2D2F0DD7"/>
    <w:rsid w:val="2D327988"/>
    <w:rsid w:val="2D416F5A"/>
    <w:rsid w:val="2D4A5D8B"/>
    <w:rsid w:val="2D4E36E0"/>
    <w:rsid w:val="2D7D7F0E"/>
    <w:rsid w:val="2D881B71"/>
    <w:rsid w:val="2D8A43D9"/>
    <w:rsid w:val="2D8D7A26"/>
    <w:rsid w:val="2DC41EB4"/>
    <w:rsid w:val="2DDF4725"/>
    <w:rsid w:val="2E2F6D2F"/>
    <w:rsid w:val="2E505623"/>
    <w:rsid w:val="2E8F2AA0"/>
    <w:rsid w:val="2EEB1EFD"/>
    <w:rsid w:val="2F083808"/>
    <w:rsid w:val="2F2D7712"/>
    <w:rsid w:val="2F570FD7"/>
    <w:rsid w:val="2FBA3A84"/>
    <w:rsid w:val="2FCA6D0F"/>
    <w:rsid w:val="307733DF"/>
    <w:rsid w:val="309923A3"/>
    <w:rsid w:val="30A13F14"/>
    <w:rsid w:val="30F2476F"/>
    <w:rsid w:val="319215BA"/>
    <w:rsid w:val="31BE0AF5"/>
    <w:rsid w:val="31C816DA"/>
    <w:rsid w:val="321C4D20"/>
    <w:rsid w:val="322F14F8"/>
    <w:rsid w:val="323E0EA4"/>
    <w:rsid w:val="32625925"/>
    <w:rsid w:val="32731C98"/>
    <w:rsid w:val="329B25B1"/>
    <w:rsid w:val="32B85545"/>
    <w:rsid w:val="32C73614"/>
    <w:rsid w:val="32CD46FA"/>
    <w:rsid w:val="32D1748A"/>
    <w:rsid w:val="3342616B"/>
    <w:rsid w:val="3370276B"/>
    <w:rsid w:val="33E228F6"/>
    <w:rsid w:val="342F58BD"/>
    <w:rsid w:val="346C65E7"/>
    <w:rsid w:val="34BB756E"/>
    <w:rsid w:val="34FB407A"/>
    <w:rsid w:val="351C510B"/>
    <w:rsid w:val="352855CC"/>
    <w:rsid w:val="35436F4B"/>
    <w:rsid w:val="3622665A"/>
    <w:rsid w:val="36375435"/>
    <w:rsid w:val="36D3462E"/>
    <w:rsid w:val="36FF7BE6"/>
    <w:rsid w:val="37321D6A"/>
    <w:rsid w:val="377476F6"/>
    <w:rsid w:val="37E008FA"/>
    <w:rsid w:val="3810197F"/>
    <w:rsid w:val="38674207"/>
    <w:rsid w:val="38B84349"/>
    <w:rsid w:val="392408C7"/>
    <w:rsid w:val="397D4DF2"/>
    <w:rsid w:val="39AC2DE9"/>
    <w:rsid w:val="39AE0E6C"/>
    <w:rsid w:val="39F2758E"/>
    <w:rsid w:val="3A1F2379"/>
    <w:rsid w:val="3A4A5C49"/>
    <w:rsid w:val="3A960ABE"/>
    <w:rsid w:val="3AB33BF5"/>
    <w:rsid w:val="3ACE232F"/>
    <w:rsid w:val="3B2415F7"/>
    <w:rsid w:val="3B2C2032"/>
    <w:rsid w:val="3B4A33FA"/>
    <w:rsid w:val="3B8E578E"/>
    <w:rsid w:val="3BAA1905"/>
    <w:rsid w:val="3C801D8D"/>
    <w:rsid w:val="3CA241F3"/>
    <w:rsid w:val="3CD63197"/>
    <w:rsid w:val="3D0973F3"/>
    <w:rsid w:val="3D324146"/>
    <w:rsid w:val="3D672791"/>
    <w:rsid w:val="3D6C0B43"/>
    <w:rsid w:val="3DBD58B9"/>
    <w:rsid w:val="3E417A1E"/>
    <w:rsid w:val="3E4823FE"/>
    <w:rsid w:val="3E620F26"/>
    <w:rsid w:val="3E9E2973"/>
    <w:rsid w:val="3EA451FF"/>
    <w:rsid w:val="3EB56CCB"/>
    <w:rsid w:val="3EC56310"/>
    <w:rsid w:val="3EF773F3"/>
    <w:rsid w:val="3F8E7D59"/>
    <w:rsid w:val="411E127C"/>
    <w:rsid w:val="4176182C"/>
    <w:rsid w:val="41E1725C"/>
    <w:rsid w:val="422A5808"/>
    <w:rsid w:val="42543E0F"/>
    <w:rsid w:val="42701998"/>
    <w:rsid w:val="428D0A5E"/>
    <w:rsid w:val="42C27D1A"/>
    <w:rsid w:val="42DF33AE"/>
    <w:rsid w:val="42F02AD9"/>
    <w:rsid w:val="42F223AD"/>
    <w:rsid w:val="43106535"/>
    <w:rsid w:val="435E7881"/>
    <w:rsid w:val="43C6701F"/>
    <w:rsid w:val="43E4263E"/>
    <w:rsid w:val="43EA173C"/>
    <w:rsid w:val="44817FB7"/>
    <w:rsid w:val="44C71C31"/>
    <w:rsid w:val="451C5E07"/>
    <w:rsid w:val="454C3B6C"/>
    <w:rsid w:val="454F5136"/>
    <w:rsid w:val="456E0E90"/>
    <w:rsid w:val="456E3A27"/>
    <w:rsid w:val="46E110B6"/>
    <w:rsid w:val="477A6033"/>
    <w:rsid w:val="47876685"/>
    <w:rsid w:val="47C307BC"/>
    <w:rsid w:val="47F53158"/>
    <w:rsid w:val="48504112"/>
    <w:rsid w:val="48627FD5"/>
    <w:rsid w:val="48837E5F"/>
    <w:rsid w:val="489F6B33"/>
    <w:rsid w:val="48EE729C"/>
    <w:rsid w:val="49096D51"/>
    <w:rsid w:val="491B4E9A"/>
    <w:rsid w:val="492E6109"/>
    <w:rsid w:val="499165E2"/>
    <w:rsid w:val="49B87D1D"/>
    <w:rsid w:val="49C80690"/>
    <w:rsid w:val="49F517A6"/>
    <w:rsid w:val="49FA46A4"/>
    <w:rsid w:val="4A49083D"/>
    <w:rsid w:val="4AA12965"/>
    <w:rsid w:val="4AA91EEB"/>
    <w:rsid w:val="4AD8457E"/>
    <w:rsid w:val="4AE77D71"/>
    <w:rsid w:val="4B853E5E"/>
    <w:rsid w:val="4B9761E7"/>
    <w:rsid w:val="4BA34B8C"/>
    <w:rsid w:val="4BBA0742"/>
    <w:rsid w:val="4BE76297"/>
    <w:rsid w:val="4BF90C50"/>
    <w:rsid w:val="4C001FDF"/>
    <w:rsid w:val="4C863C7B"/>
    <w:rsid w:val="4D550108"/>
    <w:rsid w:val="4D5E614B"/>
    <w:rsid w:val="4DC67CB4"/>
    <w:rsid w:val="4E090986"/>
    <w:rsid w:val="4E7919E9"/>
    <w:rsid w:val="4EB1136E"/>
    <w:rsid w:val="4ED5769D"/>
    <w:rsid w:val="4EE51018"/>
    <w:rsid w:val="4F633143"/>
    <w:rsid w:val="4F716ADB"/>
    <w:rsid w:val="4F943127"/>
    <w:rsid w:val="4F957A56"/>
    <w:rsid w:val="4FB77937"/>
    <w:rsid w:val="4FD454FD"/>
    <w:rsid w:val="4FF5782A"/>
    <w:rsid w:val="500D180C"/>
    <w:rsid w:val="502344EE"/>
    <w:rsid w:val="502913D8"/>
    <w:rsid w:val="5038161B"/>
    <w:rsid w:val="50C25AB5"/>
    <w:rsid w:val="50D82199"/>
    <w:rsid w:val="50D929EE"/>
    <w:rsid w:val="51394A0A"/>
    <w:rsid w:val="516B4221"/>
    <w:rsid w:val="51B51175"/>
    <w:rsid w:val="51B73F2E"/>
    <w:rsid w:val="52592449"/>
    <w:rsid w:val="5277467D"/>
    <w:rsid w:val="52891B1E"/>
    <w:rsid w:val="52B61649"/>
    <w:rsid w:val="52E11055"/>
    <w:rsid w:val="5302663C"/>
    <w:rsid w:val="53245B96"/>
    <w:rsid w:val="53717EB1"/>
    <w:rsid w:val="53B37937"/>
    <w:rsid w:val="53FC0BBB"/>
    <w:rsid w:val="54225EF4"/>
    <w:rsid w:val="54556C40"/>
    <w:rsid w:val="54AB2D04"/>
    <w:rsid w:val="55494F54"/>
    <w:rsid w:val="55B72D22"/>
    <w:rsid w:val="55F528ED"/>
    <w:rsid w:val="560B1CAC"/>
    <w:rsid w:val="56D818DD"/>
    <w:rsid w:val="576F3CA2"/>
    <w:rsid w:val="58245DE3"/>
    <w:rsid w:val="58432FA3"/>
    <w:rsid w:val="58501BF8"/>
    <w:rsid w:val="58A61818"/>
    <w:rsid w:val="58B06B3A"/>
    <w:rsid w:val="59392DDA"/>
    <w:rsid w:val="59562377"/>
    <w:rsid w:val="5960230F"/>
    <w:rsid w:val="596C2A61"/>
    <w:rsid w:val="59B63CDD"/>
    <w:rsid w:val="5A0F5839"/>
    <w:rsid w:val="5A2E27F7"/>
    <w:rsid w:val="5A917744"/>
    <w:rsid w:val="5AAA7A0F"/>
    <w:rsid w:val="5B083477"/>
    <w:rsid w:val="5B182331"/>
    <w:rsid w:val="5B2F1F99"/>
    <w:rsid w:val="5B7C7503"/>
    <w:rsid w:val="5BBA7DD7"/>
    <w:rsid w:val="5BEA2363"/>
    <w:rsid w:val="5C341784"/>
    <w:rsid w:val="5C4952DC"/>
    <w:rsid w:val="5C93389B"/>
    <w:rsid w:val="5CAC13C7"/>
    <w:rsid w:val="5D117222"/>
    <w:rsid w:val="5D1D22C5"/>
    <w:rsid w:val="5D1F7594"/>
    <w:rsid w:val="5D283143"/>
    <w:rsid w:val="5E0771FD"/>
    <w:rsid w:val="5E1922E2"/>
    <w:rsid w:val="5E1E0FC7"/>
    <w:rsid w:val="5E2751A9"/>
    <w:rsid w:val="5E4A70E9"/>
    <w:rsid w:val="5E563C2D"/>
    <w:rsid w:val="5E954808"/>
    <w:rsid w:val="5F0157EA"/>
    <w:rsid w:val="5F2C10F2"/>
    <w:rsid w:val="5F710B0D"/>
    <w:rsid w:val="5FE506D1"/>
    <w:rsid w:val="606324FB"/>
    <w:rsid w:val="60ED2193"/>
    <w:rsid w:val="612C0CA6"/>
    <w:rsid w:val="61CC1F25"/>
    <w:rsid w:val="61CD6067"/>
    <w:rsid w:val="622775C0"/>
    <w:rsid w:val="624C78D4"/>
    <w:rsid w:val="62AA720C"/>
    <w:rsid w:val="62F523AF"/>
    <w:rsid w:val="62F80645"/>
    <w:rsid w:val="631E743D"/>
    <w:rsid w:val="638B442C"/>
    <w:rsid w:val="63D731CD"/>
    <w:rsid w:val="63E47698"/>
    <w:rsid w:val="645B401D"/>
    <w:rsid w:val="660A5573"/>
    <w:rsid w:val="669141F7"/>
    <w:rsid w:val="66D17929"/>
    <w:rsid w:val="66E24E6A"/>
    <w:rsid w:val="672B7AA1"/>
    <w:rsid w:val="673D5A3D"/>
    <w:rsid w:val="67537840"/>
    <w:rsid w:val="675B41A5"/>
    <w:rsid w:val="67BD6138"/>
    <w:rsid w:val="67CF437D"/>
    <w:rsid w:val="67D2295F"/>
    <w:rsid w:val="68172D06"/>
    <w:rsid w:val="686C3925"/>
    <w:rsid w:val="68997F4C"/>
    <w:rsid w:val="68BC1A6D"/>
    <w:rsid w:val="68C85398"/>
    <w:rsid w:val="69305F28"/>
    <w:rsid w:val="693160D9"/>
    <w:rsid w:val="69334B40"/>
    <w:rsid w:val="695E05AF"/>
    <w:rsid w:val="69B02971"/>
    <w:rsid w:val="6A283551"/>
    <w:rsid w:val="6A2E78BF"/>
    <w:rsid w:val="6ABA7D22"/>
    <w:rsid w:val="6AD4162A"/>
    <w:rsid w:val="6AD62942"/>
    <w:rsid w:val="6B160431"/>
    <w:rsid w:val="6B3D0830"/>
    <w:rsid w:val="6B413622"/>
    <w:rsid w:val="6B971CE9"/>
    <w:rsid w:val="6BEC5C84"/>
    <w:rsid w:val="6BEE32A7"/>
    <w:rsid w:val="6C07586F"/>
    <w:rsid w:val="6C0907CB"/>
    <w:rsid w:val="6C1E1A90"/>
    <w:rsid w:val="6C472EBA"/>
    <w:rsid w:val="6C7831D1"/>
    <w:rsid w:val="6CAE4B4B"/>
    <w:rsid w:val="6CE32BE3"/>
    <w:rsid w:val="6D382A5C"/>
    <w:rsid w:val="6D670B53"/>
    <w:rsid w:val="6DA67458"/>
    <w:rsid w:val="6E48423C"/>
    <w:rsid w:val="6E625D89"/>
    <w:rsid w:val="6E66587A"/>
    <w:rsid w:val="6E7051C3"/>
    <w:rsid w:val="6E7D71C4"/>
    <w:rsid w:val="6E972615"/>
    <w:rsid w:val="6ECD796F"/>
    <w:rsid w:val="6ECE315C"/>
    <w:rsid w:val="6ED22F0F"/>
    <w:rsid w:val="6ED963DF"/>
    <w:rsid w:val="6EDF3717"/>
    <w:rsid w:val="6F0961EC"/>
    <w:rsid w:val="6F0F3D67"/>
    <w:rsid w:val="6F143527"/>
    <w:rsid w:val="6F8C4DB8"/>
    <w:rsid w:val="6F991C7F"/>
    <w:rsid w:val="6FBF1BB3"/>
    <w:rsid w:val="701A0E55"/>
    <w:rsid w:val="704A2F79"/>
    <w:rsid w:val="70514AD5"/>
    <w:rsid w:val="70A72179"/>
    <w:rsid w:val="70F712E9"/>
    <w:rsid w:val="711D2C54"/>
    <w:rsid w:val="71A36DE5"/>
    <w:rsid w:val="71F6680B"/>
    <w:rsid w:val="721B6FB3"/>
    <w:rsid w:val="722E3777"/>
    <w:rsid w:val="72C62D8B"/>
    <w:rsid w:val="72F0605A"/>
    <w:rsid w:val="73A6496A"/>
    <w:rsid w:val="74116287"/>
    <w:rsid w:val="74A30C47"/>
    <w:rsid w:val="74C43904"/>
    <w:rsid w:val="757431AF"/>
    <w:rsid w:val="75EC1E64"/>
    <w:rsid w:val="76397D18"/>
    <w:rsid w:val="76402E54"/>
    <w:rsid w:val="766813E4"/>
    <w:rsid w:val="76C32FEB"/>
    <w:rsid w:val="77000835"/>
    <w:rsid w:val="77003F6C"/>
    <w:rsid w:val="77021803"/>
    <w:rsid w:val="771334B6"/>
    <w:rsid w:val="773159AE"/>
    <w:rsid w:val="777059BB"/>
    <w:rsid w:val="77A658F0"/>
    <w:rsid w:val="77C1659D"/>
    <w:rsid w:val="77DC4DFE"/>
    <w:rsid w:val="77DF7C32"/>
    <w:rsid w:val="77E872FF"/>
    <w:rsid w:val="783562BD"/>
    <w:rsid w:val="785B5495"/>
    <w:rsid w:val="7899684C"/>
    <w:rsid w:val="78A51694"/>
    <w:rsid w:val="78BC7FAA"/>
    <w:rsid w:val="78F11590"/>
    <w:rsid w:val="792C4982"/>
    <w:rsid w:val="79565D35"/>
    <w:rsid w:val="79594288"/>
    <w:rsid w:val="798E2128"/>
    <w:rsid w:val="7996525F"/>
    <w:rsid w:val="79A25CE0"/>
    <w:rsid w:val="79B52941"/>
    <w:rsid w:val="7A3945A5"/>
    <w:rsid w:val="7A9C45BE"/>
    <w:rsid w:val="7AB3762E"/>
    <w:rsid w:val="7ACA53E2"/>
    <w:rsid w:val="7B184E96"/>
    <w:rsid w:val="7C405169"/>
    <w:rsid w:val="7C6929D9"/>
    <w:rsid w:val="7C6D071B"/>
    <w:rsid w:val="7C75312C"/>
    <w:rsid w:val="7C763CBA"/>
    <w:rsid w:val="7CAD6D69"/>
    <w:rsid w:val="7CC96E10"/>
    <w:rsid w:val="7D1E37C3"/>
    <w:rsid w:val="7D8506D3"/>
    <w:rsid w:val="7D983576"/>
    <w:rsid w:val="7DBA34EC"/>
    <w:rsid w:val="7DDC0909"/>
    <w:rsid w:val="7DE30CC2"/>
    <w:rsid w:val="7DE63BF1"/>
    <w:rsid w:val="7E0834F3"/>
    <w:rsid w:val="7E350DC4"/>
    <w:rsid w:val="7E8E5955"/>
    <w:rsid w:val="7F3F5052"/>
    <w:rsid w:val="7F966D88"/>
    <w:rsid w:val="7FE4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6"/>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42"/>
    <w:qFormat/>
    <w:uiPriority w:val="0"/>
    <w:pPr>
      <w:keepNext/>
      <w:keepLines/>
      <w:widowControl/>
      <w:spacing w:before="260" w:after="260" w:line="416" w:lineRule="auto"/>
      <w:outlineLvl w:val="2"/>
    </w:pPr>
    <w:rPr>
      <w:b/>
      <w:bCs/>
      <w:sz w:val="24"/>
      <w:szCs w:val="32"/>
    </w:rPr>
  </w:style>
  <w:style w:type="paragraph" w:styleId="5">
    <w:name w:val="heading 4"/>
    <w:basedOn w:val="1"/>
    <w:next w:val="1"/>
    <w:qFormat/>
    <w:uiPriority w:val="0"/>
    <w:pPr>
      <w:keepNext/>
      <w:keepLines/>
      <w:widowControl/>
      <w:spacing w:before="200" w:line="276" w:lineRule="auto"/>
      <w:jc w:val="left"/>
      <w:outlineLvl w:val="3"/>
    </w:pPr>
    <w:rPr>
      <w:rFonts w:ascii="Calibri Light" w:hAnsi="Calibri Light" w:cs="Times New Roman"/>
      <w:b/>
      <w:bCs/>
      <w:iCs/>
      <w:szCs w:val="22"/>
    </w:rPr>
  </w:style>
  <w:style w:type="paragraph" w:styleId="6">
    <w:name w:val="heading 5"/>
    <w:basedOn w:val="1"/>
    <w:next w:val="1"/>
    <w:qFormat/>
    <w:uiPriority w:val="99"/>
    <w:pPr>
      <w:keepNext/>
      <w:keepLines/>
      <w:spacing w:before="280" w:after="290" w:line="376" w:lineRule="auto"/>
      <w:outlineLvl w:val="4"/>
    </w:pPr>
    <w:rPr>
      <w:b/>
      <w:bCs/>
      <w:sz w:val="28"/>
      <w:szCs w:val="28"/>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7">
    <w:name w:val="index 8"/>
    <w:basedOn w:val="1"/>
    <w:next w:val="1"/>
    <w:qFormat/>
    <w:uiPriority w:val="0"/>
    <w:pPr>
      <w:ind w:left="1400" w:leftChars="1400" w:firstLine="0"/>
    </w:pPr>
  </w:style>
  <w:style w:type="paragraph" w:styleId="8">
    <w:name w:val="annotation text"/>
    <w:basedOn w:val="1"/>
    <w:qFormat/>
    <w:uiPriority w:val="0"/>
    <w:pPr>
      <w:widowControl/>
      <w:jc w:val="left"/>
    </w:pPr>
    <w:rPr>
      <w:rFonts w:ascii="Calibri" w:hAnsi="Calibri" w:eastAsia="宋体" w:cs="Times New Roman"/>
    </w:rPr>
  </w:style>
  <w:style w:type="paragraph" w:styleId="9">
    <w:name w:val="Body Text"/>
    <w:basedOn w:val="1"/>
    <w:next w:val="1"/>
    <w:qFormat/>
    <w:uiPriority w:val="0"/>
    <w:pPr>
      <w:spacing w:after="120"/>
    </w:pPr>
  </w:style>
  <w:style w:type="paragraph" w:styleId="10">
    <w:name w:val="Body Text Indent"/>
    <w:basedOn w:val="1"/>
    <w:qFormat/>
    <w:uiPriority w:val="0"/>
    <w:pPr>
      <w:spacing w:after="120" w:line="360" w:lineRule="exact"/>
      <w:ind w:left="420" w:leftChars="200" w:firstLine="200" w:firstLineChars="200"/>
    </w:pPr>
  </w:style>
  <w:style w:type="paragraph" w:styleId="11">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12">
    <w:name w:val="Plain Text"/>
    <w:basedOn w:val="1"/>
    <w:next w:val="7"/>
    <w:qFormat/>
    <w:uiPriority w:val="0"/>
    <w:rPr>
      <w:rFonts w:ascii="宋体" w:hAnsi="Courier New" w:cs="Times New Roman"/>
      <w:szCs w:val="22"/>
    </w:rPr>
  </w:style>
  <w:style w:type="paragraph" w:styleId="13">
    <w:name w:val="footer"/>
    <w:basedOn w:val="1"/>
    <w:next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2"/>
    <w:basedOn w:val="1"/>
    <w:next w:val="1"/>
    <w:qFormat/>
    <w:uiPriority w:val="39"/>
    <w:pPr>
      <w:ind w:left="420" w:leftChars="200"/>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99"/>
    <w:pPr>
      <w:jc w:val="center"/>
    </w:pPr>
    <w:rPr>
      <w:rFonts w:ascii="Arial" w:hAnsi="Arial" w:eastAsia="宋体" w:cs="Arial"/>
      <w:b/>
      <w:sz w:val="32"/>
      <w:u w:val="single"/>
    </w:rPr>
  </w:style>
  <w:style w:type="paragraph" w:styleId="19">
    <w:name w:val="Body Text First Indent"/>
    <w:basedOn w:val="20"/>
    <w:next w:val="23"/>
    <w:qFormat/>
    <w:uiPriority w:val="0"/>
    <w:pPr>
      <w:spacing w:after="120"/>
      <w:ind w:firstLine="420" w:firstLineChars="100"/>
    </w:pPr>
    <w:rPr>
      <w:rFonts w:ascii="Times New Roman" w:hAnsi="Times New Roman"/>
      <w:szCs w:val="24"/>
    </w:rPr>
  </w:style>
  <w:style w:type="paragraph" w:customStyle="1" w:styleId="20">
    <w:name w:val="正文文本_0"/>
    <w:basedOn w:val="21"/>
    <w:next w:val="22"/>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21">
    <w:name w:val="正文_0"/>
    <w:next w:val="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2_0"/>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缩进_0"/>
    <w:basedOn w:val="22"/>
    <w:next w:val="24"/>
    <w:qFormat/>
    <w:uiPriority w:val="99"/>
    <w:pPr>
      <w:ind w:firstLine="420"/>
    </w:pPr>
    <w:rPr>
      <w:rFonts w:ascii="Times New Roman" w:hAnsi="Times New Roman"/>
      <w:szCs w:val="20"/>
    </w:rPr>
  </w:style>
  <w:style w:type="paragraph" w:customStyle="1" w:styleId="24">
    <w:name w:val="_Style 50"/>
    <w:basedOn w:val="22"/>
    <w:next w:val="25"/>
    <w:qFormat/>
    <w:uiPriority w:val="0"/>
    <w:pPr>
      <w:widowControl/>
      <w:spacing w:before="100" w:beforeAutospacing="1" w:after="100" w:afterAutospacing="1"/>
    </w:pPr>
    <w:rPr>
      <w:rFonts w:ascii="宋体" w:hAnsi="宋体"/>
    </w:rPr>
  </w:style>
  <w:style w:type="paragraph" w:customStyle="1" w:styleId="25">
    <w:name w:val="普通(网站)_0"/>
    <w:basedOn w:val="22"/>
    <w:next w:val="22"/>
    <w:qFormat/>
    <w:uiPriority w:val="0"/>
    <w:pPr>
      <w:widowControl/>
      <w:spacing w:before="100" w:beforeAutospacing="1" w:after="100" w:afterAutospacing="1"/>
      <w:jc w:val="left"/>
    </w:pPr>
    <w:rPr>
      <w:rFonts w:ascii="宋体" w:hAnsi="宋体" w:cs="宋体"/>
      <w:kern w:val="0"/>
      <w:sz w:val="24"/>
      <w:szCs w:val="24"/>
    </w:rPr>
  </w:style>
  <w:style w:type="paragraph" w:styleId="26">
    <w:name w:val="Body Text First Indent 2"/>
    <w:basedOn w:val="10"/>
    <w:qFormat/>
    <w:uiPriority w:val="99"/>
    <w:pPr>
      <w:ind w:firstLine="420" w:firstLineChars="200"/>
    </w:p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FollowedHyperlink"/>
    <w:basedOn w:val="29"/>
    <w:qFormat/>
    <w:uiPriority w:val="0"/>
    <w:rPr>
      <w:color w:val="800080"/>
      <w:u w:val="none"/>
    </w:rPr>
  </w:style>
  <w:style w:type="character" w:styleId="31">
    <w:name w:val="HTML Definition"/>
    <w:basedOn w:val="29"/>
    <w:qFormat/>
    <w:uiPriority w:val="0"/>
  </w:style>
  <w:style w:type="character" w:styleId="32">
    <w:name w:val="HTML Typewriter"/>
    <w:basedOn w:val="29"/>
    <w:qFormat/>
    <w:uiPriority w:val="0"/>
    <w:rPr>
      <w:rFonts w:hint="default" w:ascii="monospace" w:hAnsi="monospace" w:eastAsia="monospace" w:cs="monospace"/>
      <w:sz w:val="20"/>
    </w:rPr>
  </w:style>
  <w:style w:type="character" w:styleId="33">
    <w:name w:val="HTML Acronym"/>
    <w:basedOn w:val="29"/>
    <w:qFormat/>
    <w:uiPriority w:val="0"/>
  </w:style>
  <w:style w:type="character" w:styleId="34">
    <w:name w:val="HTML Variable"/>
    <w:basedOn w:val="29"/>
    <w:qFormat/>
    <w:uiPriority w:val="0"/>
  </w:style>
  <w:style w:type="character" w:styleId="35">
    <w:name w:val="Hyperlink"/>
    <w:basedOn w:val="29"/>
    <w:qFormat/>
    <w:uiPriority w:val="0"/>
    <w:rPr>
      <w:color w:val="0000FF"/>
      <w:u w:val="single"/>
    </w:rPr>
  </w:style>
  <w:style w:type="character" w:styleId="36">
    <w:name w:val="HTML Code"/>
    <w:basedOn w:val="29"/>
    <w:qFormat/>
    <w:uiPriority w:val="0"/>
    <w:rPr>
      <w:rFonts w:hint="default" w:ascii="monospace" w:hAnsi="monospace" w:eastAsia="monospace" w:cs="monospace"/>
      <w:sz w:val="20"/>
    </w:rPr>
  </w:style>
  <w:style w:type="character" w:styleId="37">
    <w:name w:val="HTML Cite"/>
    <w:basedOn w:val="29"/>
    <w:qFormat/>
    <w:uiPriority w:val="0"/>
  </w:style>
  <w:style w:type="character" w:styleId="38">
    <w:name w:val="HTML Keyboard"/>
    <w:basedOn w:val="29"/>
    <w:qFormat/>
    <w:uiPriority w:val="0"/>
    <w:rPr>
      <w:rFonts w:hint="default" w:ascii="monospace" w:hAnsi="monospace" w:eastAsia="monospace" w:cs="monospace"/>
      <w:sz w:val="20"/>
    </w:rPr>
  </w:style>
  <w:style w:type="character" w:styleId="39">
    <w:name w:val="HTML Sample"/>
    <w:basedOn w:val="29"/>
    <w:qFormat/>
    <w:uiPriority w:val="0"/>
    <w:rPr>
      <w:rFonts w:ascii="monospace" w:hAnsi="monospace" w:eastAsia="monospace" w:cs="monospace"/>
    </w:rPr>
  </w:style>
  <w:style w:type="paragraph" w:customStyle="1" w:styleId="40">
    <w:name w:val="Default"/>
    <w:basedOn w:val="18"/>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41">
    <w:name w:val="List Paragraph"/>
    <w:basedOn w:val="1"/>
    <w:qFormat/>
    <w:uiPriority w:val="0"/>
    <w:pPr>
      <w:ind w:firstLine="420" w:firstLineChars="200"/>
    </w:pPr>
  </w:style>
  <w:style w:type="character" w:customStyle="1" w:styleId="42">
    <w:name w:val="标题 3 字符"/>
    <w:link w:val="4"/>
    <w:qFormat/>
    <w:uiPriority w:val="0"/>
    <w:rPr>
      <w:b/>
      <w:bCs/>
      <w:sz w:val="24"/>
      <w:szCs w:val="32"/>
    </w:rPr>
  </w:style>
  <w:style w:type="paragraph" w:customStyle="1" w:styleId="43">
    <w:name w:val="表格文字"/>
    <w:basedOn w:val="1"/>
    <w:qFormat/>
    <w:uiPriority w:val="0"/>
    <w:pPr>
      <w:spacing w:before="25" w:after="25" w:line="240" w:lineRule="auto"/>
      <w:ind w:firstLine="0"/>
      <w:jc w:val="left"/>
    </w:pPr>
    <w:rPr>
      <w:bCs/>
      <w:spacing w:val="10"/>
      <w:kern w:val="0"/>
      <w:sz w:val="24"/>
    </w:rPr>
  </w:style>
  <w:style w:type="paragraph" w:customStyle="1" w:styleId="44">
    <w:name w:val="p0"/>
    <w:basedOn w:val="1"/>
    <w:qFormat/>
    <w:uiPriority w:val="0"/>
    <w:pPr>
      <w:widowControl/>
    </w:pPr>
    <w:rPr>
      <w:rFonts w:ascii="Calibri" w:hAnsi="Calibri" w:cs="宋体"/>
      <w:kern w:val="0"/>
      <w:szCs w:val="21"/>
    </w:rPr>
  </w:style>
  <w:style w:type="paragraph" w:customStyle="1" w:styleId="45">
    <w:name w:val="首行缩进"/>
    <w:basedOn w:val="1"/>
    <w:qFormat/>
    <w:uiPriority w:val="0"/>
    <w:pPr>
      <w:spacing w:line="360" w:lineRule="auto"/>
      <w:ind w:firstLine="480" w:firstLineChars="200"/>
    </w:pPr>
    <w:rPr>
      <w:rFonts w:ascii="宋体" w:hAnsi="宋体"/>
      <w:kern w:val="0"/>
      <w:sz w:val="24"/>
    </w:rPr>
  </w:style>
  <w:style w:type="paragraph" w:customStyle="1" w:styleId="46">
    <w:name w:val="正文小标题_0"/>
    <w:basedOn w:val="47"/>
    <w:qFormat/>
    <w:uiPriority w:val="0"/>
    <w:pPr>
      <w:spacing w:line="420" w:lineRule="exact"/>
    </w:pPr>
    <w:rPr>
      <w:rFonts w:hAnsi="宋体" w:eastAsia="宋体"/>
      <w:sz w:val="21"/>
      <w:szCs w:val="21"/>
    </w:rPr>
  </w:style>
  <w:style w:type="paragraph" w:customStyle="1" w:styleId="47">
    <w:name w:val="标题 1_0"/>
    <w:basedOn w:val="21"/>
    <w:next w:val="21"/>
    <w:qFormat/>
    <w:uiPriority w:val="99"/>
    <w:pPr>
      <w:keepNext/>
      <w:keepLines/>
      <w:spacing w:line="360" w:lineRule="auto"/>
      <w:outlineLvl w:val="0"/>
    </w:pPr>
    <w:rPr>
      <w:rFonts w:eastAsia="黑体"/>
      <w:b/>
      <w:bCs/>
      <w:kern w:val="44"/>
      <w:sz w:val="32"/>
      <w:szCs w:val="44"/>
    </w:rPr>
  </w:style>
  <w:style w:type="paragraph" w:customStyle="1" w:styleId="48">
    <w:name w:val="正文_1_0"/>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49">
    <w:name w:val="正文呀2_0"/>
    <w:basedOn w:val="50"/>
    <w:qFormat/>
    <w:uiPriority w:val="0"/>
    <w:rPr>
      <w:rFonts w:ascii="Times New Roman" w:hAnsi="Times New Roman"/>
    </w:rPr>
  </w:style>
  <w:style w:type="paragraph" w:customStyle="1" w:styleId="50">
    <w:name w:val="正文呀_0"/>
    <w:basedOn w:val="48"/>
    <w:qFormat/>
    <w:uiPriority w:val="0"/>
    <w:pPr>
      <w:spacing w:line="420" w:lineRule="exact"/>
      <w:ind w:firstLine="420" w:firstLineChars="200"/>
    </w:pPr>
    <w:rPr>
      <w:rFonts w:ascii="宋体" w:hAnsi="宋体"/>
      <w:szCs w:val="21"/>
    </w:rPr>
  </w:style>
  <w:style w:type="paragraph" w:customStyle="1" w:styleId="51">
    <w:name w:val="正文呀2_1"/>
    <w:basedOn w:val="52"/>
    <w:qFormat/>
    <w:uiPriority w:val="0"/>
    <w:rPr>
      <w:rFonts w:ascii="Times New Roman" w:hAnsi="Times New Roman" w:eastAsia="宋体" w:cs="Times New Roman"/>
      <w:kern w:val="2"/>
      <w:sz w:val="21"/>
      <w:lang w:val="en-US" w:eastAsia="zh-CN"/>
    </w:rPr>
  </w:style>
  <w:style w:type="paragraph" w:customStyle="1" w:styleId="52">
    <w:name w:val="正文呀_1"/>
    <w:basedOn w:val="21"/>
    <w:qFormat/>
    <w:uiPriority w:val="0"/>
    <w:pPr>
      <w:spacing w:line="420" w:lineRule="exact"/>
      <w:ind w:firstLine="420" w:firstLineChars="200"/>
    </w:pPr>
    <w:rPr>
      <w:rFonts w:ascii="宋体" w:hAnsi="宋体"/>
      <w:kern w:val="0"/>
      <w:sz w:val="20"/>
      <w:szCs w:val="21"/>
      <w:lang w:val="zh-CN" w:eastAsia="zh-CN"/>
    </w:rPr>
  </w:style>
  <w:style w:type="paragraph" w:customStyle="1" w:styleId="53">
    <w:name w:val="纯文本_0"/>
    <w:basedOn w:val="21"/>
    <w:qFormat/>
    <w:uiPriority w:val="0"/>
    <w:rPr>
      <w:rFonts w:ascii="宋体" w:hAnsi="Courier New"/>
      <w:szCs w:val="24"/>
    </w:rPr>
  </w:style>
  <w:style w:type="paragraph" w:customStyle="1" w:styleId="54">
    <w:name w:val="无间隔_0"/>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NormalCharacter"/>
    <w:qFormat/>
    <w:uiPriority w:val="0"/>
  </w:style>
  <w:style w:type="paragraph" w:customStyle="1" w:styleId="58">
    <w:name w:val="BodyText"/>
    <w:basedOn w:val="1"/>
    <w:qFormat/>
    <w:uiPriority w:val="0"/>
    <w:pPr>
      <w:spacing w:after="60" w:line="360" w:lineRule="atLeast"/>
      <w:ind w:left="72" w:leftChars="30" w:right="30" w:rightChars="30"/>
      <w:jc w:val="center"/>
    </w:pPr>
    <w:rPr>
      <w:kern w:val="0"/>
      <w:sz w:val="20"/>
      <w:szCs w:val="20"/>
    </w:rPr>
  </w:style>
  <w:style w:type="paragraph" w:customStyle="1" w:styleId="59">
    <w:name w:val="PlainText"/>
    <w:basedOn w:val="1"/>
    <w:next w:val="60"/>
    <w:qFormat/>
    <w:uiPriority w:val="0"/>
    <w:rPr>
      <w:rFonts w:ascii="宋体" w:hAnsi="Courier New"/>
      <w:szCs w:val="20"/>
    </w:rPr>
  </w:style>
  <w:style w:type="paragraph" w:customStyle="1" w:styleId="60">
    <w:name w:val="Index8"/>
    <w:basedOn w:val="1"/>
    <w:next w:val="1"/>
    <w:qFormat/>
    <w:uiPriority w:val="0"/>
    <w:pPr>
      <w:ind w:left="2940"/>
    </w:pPr>
  </w:style>
  <w:style w:type="paragraph" w:customStyle="1" w:styleId="61">
    <w:name w:val="style4"/>
    <w:basedOn w:val="1"/>
    <w:next w:val="62"/>
    <w:qFormat/>
    <w:uiPriority w:val="0"/>
    <w:pPr>
      <w:widowControl/>
      <w:spacing w:before="280" w:after="280"/>
    </w:pPr>
    <w:rPr>
      <w:rFonts w:ascii="宋体"/>
      <w:sz w:val="18"/>
    </w:rPr>
  </w:style>
  <w:style w:type="paragraph" w:customStyle="1" w:styleId="62">
    <w:name w:val="2"/>
    <w:basedOn w:val="4"/>
    <w:next w:val="1"/>
    <w:qFormat/>
    <w:uiPriority w:val="0"/>
    <w:pPr>
      <w:widowControl w:val="0"/>
      <w:spacing w:before="120" w:beforeLines="50" w:after="120" w:afterLines="50" w:line="240" w:lineRule="auto"/>
      <w:jc w:val="center"/>
    </w:pPr>
    <w:rPr>
      <w:rFonts w:ascii="黑体" w:eastAsia="黑体"/>
      <w:sz w:val="44"/>
      <w:szCs w:val="28"/>
    </w:rPr>
  </w:style>
  <w:style w:type="paragraph" w:customStyle="1" w:styleId="63">
    <w:name w:val="_Style 2"/>
    <w:qFormat/>
    <w:uiPriority w:val="1"/>
    <w:rPr>
      <w:rFonts w:ascii="Times New Roman" w:hAnsi="Times New Roman" w:eastAsia="宋体" w:cs="Times New Roman"/>
      <w:sz w:val="22"/>
      <w:szCs w:val="22"/>
      <w:lang w:val="en-US" w:eastAsia="zh-CN" w:bidi="ar-SA"/>
    </w:rPr>
  </w:style>
  <w:style w:type="paragraph" w:customStyle="1" w:styleId="64">
    <w:name w:val="正文_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列出段落1"/>
    <w:basedOn w:val="1"/>
    <w:qFormat/>
    <w:uiPriority w:val="0"/>
    <w:pPr>
      <w:autoSpaceDE w:val="0"/>
      <w:autoSpaceDN w:val="0"/>
      <w:ind w:left="400" w:firstLine="420"/>
      <w:jc w:val="left"/>
    </w:pPr>
    <w:rPr>
      <w:rFonts w:ascii="宋体" w:hAnsi="宋体" w:cs="宋体"/>
      <w:kern w:val="0"/>
      <w:sz w:val="22"/>
      <w:szCs w:val="22"/>
      <w:lang w:val="zh-CN" w:bidi="zh-CN"/>
    </w:rPr>
  </w:style>
  <w:style w:type="character" w:customStyle="1" w:styleId="67">
    <w:name w:val="first-child"/>
    <w:basedOn w:val="29"/>
    <w:qFormat/>
    <w:uiPriority w:val="0"/>
  </w:style>
  <w:style w:type="character" w:customStyle="1" w:styleId="68">
    <w:name w:val="layui-layer-tabnow"/>
    <w:basedOn w:val="29"/>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51186</Words>
  <Characters>54599</Characters>
  <Lines>0</Lines>
  <Paragraphs>0</Paragraphs>
  <TotalTime>10</TotalTime>
  <ScaleCrop>false</ScaleCrop>
  <LinksUpToDate>false</LinksUpToDate>
  <CharactersWithSpaces>56339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2024-06-03T12:38:00Z</dcterms:created>
  <dc:creator>Administrator</dc:creator>
  <cp:lastModifiedBy>MG</cp:lastModifiedBy>
  <cp:lastPrinted>2026-08-19T04:32:00Z</cp:lastPrinted>
  <dcterms:modified xsi:type="dcterms:W3CDTF">2026-08-19T07:24:58Z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E100F5940F04432E956075D3A5C91F77_11</vt:lpwstr>
  </property>
  <property fmtid="{D5CDD505-2E9C-101B-9397-08002B2CF9AE}" pid="4" name="KSOTemplateDocerSaveRecord">
    <vt:lpwstr>eyJoZGlkIjoiNWQ4YzA0OTBhNTIxMjA5YmE5MjRiMmQ4Y2EzZDUxZDMiLCJ1c2VySWQiOiI3MDkyNzg1NzUifQ==</vt:lpwstr>
  </property>
</Properties>
</file>